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40.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A80F0" w14:textId="124EBFF5" w:rsidR="0016571A" w:rsidRPr="00783571" w:rsidRDefault="00D46135" w:rsidP="00CE576B">
      <w:pPr>
        <w:pStyle w:val="Cov-Date"/>
      </w:pPr>
      <w:r>
        <w:t>March 2018</w:t>
      </w:r>
    </w:p>
    <w:p w14:paraId="528C063D" w14:textId="6518BF94" w:rsidR="0008723C" w:rsidRPr="00783571" w:rsidRDefault="0008723C" w:rsidP="0008723C">
      <w:pPr>
        <w:pStyle w:val="Cov-Date"/>
      </w:pPr>
    </w:p>
    <w:p w14:paraId="60D83EA8" w14:textId="77777777" w:rsidR="0008723C" w:rsidRPr="00783571" w:rsidRDefault="0008723C" w:rsidP="0008723C">
      <w:pPr>
        <w:pStyle w:val="Cov-Date"/>
      </w:pPr>
    </w:p>
    <w:p w14:paraId="62E88D78" w14:textId="77777777" w:rsidR="0008723C" w:rsidRPr="00783571" w:rsidRDefault="0008723C" w:rsidP="0008723C">
      <w:pPr>
        <w:pStyle w:val="Cov-Date"/>
      </w:pPr>
    </w:p>
    <w:p w14:paraId="0E8817A7" w14:textId="15ED1DD6" w:rsidR="0008723C" w:rsidRPr="00783571" w:rsidRDefault="003B19DD" w:rsidP="008F79F0">
      <w:pPr>
        <w:pStyle w:val="Cov-Title"/>
        <w:rPr>
          <w:rFonts w:ascii="Helvetica" w:hAnsi="Helvetica"/>
          <w:b w:val="0"/>
        </w:rPr>
      </w:pPr>
      <w:r w:rsidRPr="00783571">
        <w:t xml:space="preserve">Technical Report for the </w:t>
      </w:r>
      <w:r w:rsidR="00026CEB" w:rsidRPr="00783571">
        <w:t xml:space="preserve">HIV Optimization and Prevention </w:t>
      </w:r>
      <w:r w:rsidR="007C6BBA" w:rsidRPr="00783571">
        <w:t>Eco</w:t>
      </w:r>
      <w:r w:rsidR="008F79F0" w:rsidRPr="00783571">
        <w:t>nom</w:t>
      </w:r>
      <w:r w:rsidR="007C6BBA" w:rsidRPr="00783571">
        <w:t xml:space="preserve">ics </w:t>
      </w:r>
      <w:r w:rsidR="00026CEB" w:rsidRPr="00783571">
        <w:t>(HOPE)</w:t>
      </w:r>
      <w:r w:rsidRPr="00783571">
        <w:t xml:space="preserve"> Model</w:t>
      </w:r>
    </w:p>
    <w:p w14:paraId="06DB3B27" w14:textId="77777777" w:rsidR="009F0212" w:rsidRPr="00783571" w:rsidRDefault="009F0212" w:rsidP="00024DF3">
      <w:pPr>
        <w:pStyle w:val="Cov-Subtitle"/>
      </w:pPr>
    </w:p>
    <w:p w14:paraId="16001A18" w14:textId="439221CC" w:rsidR="00EC2122" w:rsidRPr="00783571" w:rsidRDefault="0097026E" w:rsidP="00024DF3">
      <w:pPr>
        <w:pStyle w:val="Cov-Subtitle"/>
      </w:pPr>
      <w:r w:rsidRPr="00783571">
        <w:t xml:space="preserve">Version </w:t>
      </w:r>
      <w:r w:rsidR="00E91A44" w:rsidRPr="00783571">
        <w:t>7</w:t>
      </w:r>
    </w:p>
    <w:p w14:paraId="1CF5B595" w14:textId="77777777" w:rsidR="0008723C" w:rsidRPr="00783571" w:rsidRDefault="0008723C" w:rsidP="0008723C">
      <w:pPr>
        <w:pStyle w:val="Cov-Date"/>
      </w:pPr>
    </w:p>
    <w:p w14:paraId="1943C4B6" w14:textId="28E6196A" w:rsidR="0008723C" w:rsidRPr="00783571" w:rsidRDefault="005F2777" w:rsidP="0008723C">
      <w:pPr>
        <w:pStyle w:val="Cov-Date"/>
      </w:pPr>
      <w:r w:rsidRPr="00783571">
        <w:t xml:space="preserve">Appendix to </w:t>
      </w:r>
      <w:r w:rsidR="00903B31" w:rsidRPr="00783571">
        <w:t>the manuscript</w:t>
      </w:r>
      <w:r w:rsidR="00CA3CE6" w:rsidRPr="00783571">
        <w:t>,</w:t>
      </w:r>
      <w:r w:rsidR="00903B31" w:rsidRPr="00783571">
        <w:t xml:space="preserve"> </w:t>
      </w:r>
      <w:r w:rsidRPr="00783571">
        <w:t>“</w:t>
      </w:r>
      <w:r w:rsidR="00C04BCE" w:rsidRPr="00783571">
        <w:t>Impact of Improved HIV Care and Treatment and Implementing PrEP in the United States, 2016</w:t>
      </w:r>
      <w:r w:rsidR="00467910" w:rsidRPr="00783571">
        <w:t>–</w:t>
      </w:r>
      <w:r w:rsidR="00C04BCE" w:rsidRPr="00783571">
        <w:t>2020</w:t>
      </w:r>
      <w:r w:rsidRPr="00783571">
        <w:t>”</w:t>
      </w:r>
    </w:p>
    <w:p w14:paraId="57DE3AB4" w14:textId="77777777" w:rsidR="0008723C" w:rsidRPr="00783571" w:rsidRDefault="0008723C" w:rsidP="0008723C">
      <w:pPr>
        <w:pStyle w:val="Cov-Date"/>
      </w:pPr>
    </w:p>
    <w:p w14:paraId="037EFB43" w14:textId="5CDDCF48" w:rsidR="0008723C" w:rsidRPr="00783571" w:rsidRDefault="00BA194E" w:rsidP="008E4542">
      <w:pPr>
        <w:pStyle w:val="Cov-Subtitle"/>
      </w:pPr>
      <w:r w:rsidRPr="00783571">
        <w:t xml:space="preserve">Based on </w:t>
      </w:r>
      <w:r w:rsidR="00393E81" w:rsidRPr="00783571">
        <w:t xml:space="preserve">Model Version </w:t>
      </w:r>
      <w:r w:rsidR="008E4542" w:rsidRPr="00783571">
        <w:t>4.0</w:t>
      </w:r>
      <w:r w:rsidR="00C04BCE" w:rsidRPr="00783571">
        <w:t>3</w:t>
      </w:r>
    </w:p>
    <w:p w14:paraId="576FB75F" w14:textId="32B4D62A" w:rsidR="00980EE9" w:rsidRPr="00783571" w:rsidRDefault="00C63F5D" w:rsidP="00980EE9">
      <w:pPr>
        <w:pStyle w:val="Cov-Subtitle"/>
      </w:pPr>
      <w:r w:rsidRPr="00783571">
        <w:t>p</w:t>
      </w:r>
      <w:r w:rsidR="00980EE9" w:rsidRPr="00783571">
        <w:t>opulated with calibration set AS_1</w:t>
      </w:r>
    </w:p>
    <w:p w14:paraId="16DDFF78" w14:textId="77777777" w:rsidR="001734FC" w:rsidRPr="00783571" w:rsidRDefault="001734FC" w:rsidP="001734FC">
      <w:pPr>
        <w:pStyle w:val="Cov-Date"/>
      </w:pPr>
    </w:p>
    <w:p w14:paraId="5D9E5B22" w14:textId="1D2DB9BE" w:rsidR="001734FC" w:rsidRPr="00783571" w:rsidRDefault="001734FC" w:rsidP="001734FC">
      <w:pPr>
        <w:pStyle w:val="Cov-Date"/>
      </w:pPr>
    </w:p>
    <w:p w14:paraId="7E3B6B03" w14:textId="48854CBF" w:rsidR="001734FC" w:rsidRPr="00783571" w:rsidRDefault="001734FC" w:rsidP="001734FC">
      <w:pPr>
        <w:pStyle w:val="Cov-Date"/>
      </w:pPr>
    </w:p>
    <w:p w14:paraId="3CDE2290" w14:textId="77777777" w:rsidR="001734FC" w:rsidRPr="00783571" w:rsidRDefault="001734FC" w:rsidP="001734FC">
      <w:pPr>
        <w:pStyle w:val="Cov-Date"/>
      </w:pPr>
    </w:p>
    <w:p w14:paraId="1F1B1E91" w14:textId="77777777" w:rsidR="001734FC" w:rsidRPr="00783571" w:rsidRDefault="001734FC" w:rsidP="001734FC">
      <w:pPr>
        <w:pStyle w:val="Cov-Address"/>
        <w:jc w:val="left"/>
      </w:pPr>
    </w:p>
    <w:p w14:paraId="6E7053C6" w14:textId="77777777" w:rsidR="001734FC" w:rsidRPr="00783571" w:rsidRDefault="001734FC" w:rsidP="001734FC">
      <w:pPr>
        <w:pStyle w:val="Cov-Address"/>
      </w:pPr>
    </w:p>
    <w:p w14:paraId="664ACE7C" w14:textId="77777777" w:rsidR="001734FC" w:rsidRPr="00783571" w:rsidRDefault="001734FC" w:rsidP="001734FC">
      <w:pPr>
        <w:pStyle w:val="Cov-Address"/>
      </w:pPr>
    </w:p>
    <w:p w14:paraId="5EE0591D" w14:textId="77777777" w:rsidR="001734FC" w:rsidRPr="00783571" w:rsidRDefault="001734FC" w:rsidP="001734FC">
      <w:pPr>
        <w:pStyle w:val="Cov-Address"/>
      </w:pPr>
    </w:p>
    <w:p w14:paraId="5FC7A738" w14:textId="77777777" w:rsidR="001734FC" w:rsidRPr="00783571" w:rsidRDefault="001734FC" w:rsidP="001734FC">
      <w:pPr>
        <w:pStyle w:val="Cov-Disclaimer"/>
      </w:pPr>
    </w:p>
    <w:p w14:paraId="0966E896" w14:textId="77777777" w:rsidR="001734FC" w:rsidRPr="00783571" w:rsidRDefault="001734FC" w:rsidP="001734FC">
      <w:pPr>
        <w:pStyle w:val="Cov-Disclaimer"/>
      </w:pPr>
    </w:p>
    <w:p w14:paraId="4BF582C8" w14:textId="77777777" w:rsidR="001734FC" w:rsidRPr="00783571" w:rsidRDefault="001734FC" w:rsidP="001734FC">
      <w:pPr>
        <w:pStyle w:val="Cov-Disclaimer"/>
      </w:pPr>
    </w:p>
    <w:p w14:paraId="24A706A7" w14:textId="77777777" w:rsidR="001734FC" w:rsidRPr="00783571" w:rsidRDefault="001734FC" w:rsidP="001734FC">
      <w:pPr>
        <w:pStyle w:val="Cov-Disclaimer"/>
      </w:pPr>
    </w:p>
    <w:p w14:paraId="36B6FFE6" w14:textId="77777777" w:rsidR="001734FC" w:rsidRPr="00783571" w:rsidRDefault="001734FC" w:rsidP="001734FC">
      <w:pPr>
        <w:pStyle w:val="Cov-Disclaimer"/>
      </w:pPr>
    </w:p>
    <w:p w14:paraId="2583DC1E" w14:textId="77777777" w:rsidR="001734FC" w:rsidRPr="00783571" w:rsidRDefault="001734FC" w:rsidP="001734FC">
      <w:pPr>
        <w:pStyle w:val="Cov-Disclaimer"/>
      </w:pPr>
    </w:p>
    <w:p w14:paraId="4EA04244" w14:textId="77777777" w:rsidR="001734FC" w:rsidRPr="00783571" w:rsidRDefault="001734FC" w:rsidP="001734FC">
      <w:pPr>
        <w:pStyle w:val="Cov-Disclaimer"/>
      </w:pPr>
    </w:p>
    <w:p w14:paraId="3A7DC411" w14:textId="5A291D44" w:rsidR="001734FC" w:rsidRPr="00783571" w:rsidRDefault="001734FC" w:rsidP="001734FC">
      <w:pPr>
        <w:pStyle w:val="Cov-Disclaimer"/>
      </w:pPr>
    </w:p>
    <w:p w14:paraId="7654B0B0" w14:textId="2A0B3ADD" w:rsidR="001734FC" w:rsidRPr="00783571" w:rsidRDefault="001734FC" w:rsidP="001734FC">
      <w:pPr>
        <w:pStyle w:val="Cov-Disclaimer"/>
      </w:pPr>
    </w:p>
    <w:p w14:paraId="0BDDEB8F" w14:textId="5BA2740F" w:rsidR="001734FC" w:rsidRPr="00783571" w:rsidRDefault="001734FC" w:rsidP="001734FC">
      <w:pPr>
        <w:pStyle w:val="Cov-Disclaimer"/>
      </w:pPr>
    </w:p>
    <w:p w14:paraId="024B5C9D" w14:textId="2B6ECC3C" w:rsidR="001734FC" w:rsidRPr="00783571" w:rsidRDefault="001734FC" w:rsidP="001734FC">
      <w:pPr>
        <w:pStyle w:val="Cov-Disclaimer"/>
      </w:pPr>
    </w:p>
    <w:p w14:paraId="549DE805" w14:textId="388C05E8" w:rsidR="001734FC" w:rsidRPr="00783571" w:rsidRDefault="001734FC" w:rsidP="001734FC">
      <w:pPr>
        <w:pStyle w:val="Cov-Disclaimer"/>
      </w:pPr>
    </w:p>
    <w:p w14:paraId="6ECB73D7" w14:textId="77777777" w:rsidR="001734FC" w:rsidRPr="00783571" w:rsidRDefault="001734FC" w:rsidP="001734FC">
      <w:pPr>
        <w:pStyle w:val="Cov-Disclaimer"/>
      </w:pPr>
    </w:p>
    <w:p w14:paraId="05D7899C" w14:textId="77777777" w:rsidR="001734FC" w:rsidRPr="00783571" w:rsidRDefault="001734FC" w:rsidP="001734FC">
      <w:pPr>
        <w:pStyle w:val="Cov-Disclaimer"/>
      </w:pPr>
    </w:p>
    <w:p w14:paraId="5E4D3E32" w14:textId="77777777" w:rsidR="001734FC" w:rsidRPr="00783571" w:rsidRDefault="001734FC" w:rsidP="001734FC">
      <w:pPr>
        <w:pStyle w:val="Cov-Disclaimer"/>
      </w:pPr>
    </w:p>
    <w:p w14:paraId="5457F0CF" w14:textId="77777777" w:rsidR="001734FC" w:rsidRPr="00783571" w:rsidRDefault="001734FC" w:rsidP="001734FC">
      <w:pPr>
        <w:pStyle w:val="Cov-Disclaimer"/>
      </w:pPr>
    </w:p>
    <w:p w14:paraId="4CBE1D93" w14:textId="3754A446" w:rsidR="001734FC" w:rsidRPr="00783571" w:rsidRDefault="001734FC" w:rsidP="001734FC">
      <w:pPr>
        <w:pStyle w:val="Cov-Disclaimer"/>
        <w:sectPr w:rsidR="001734FC" w:rsidRPr="00783571" w:rsidSect="004F4E6D">
          <w:headerReference w:type="even" r:id="rId8"/>
          <w:headerReference w:type="default" r:id="rId9"/>
          <w:footerReference w:type="even" r:id="rId10"/>
          <w:footerReference w:type="default" r:id="rId11"/>
          <w:headerReference w:type="first" r:id="rId12"/>
          <w:footerReference w:type="first" r:id="rId13"/>
          <w:type w:val="oddPage"/>
          <w:pgSz w:w="12240" w:h="15840"/>
          <w:pgMar w:top="1440" w:right="1440" w:bottom="1440" w:left="1440" w:header="720" w:footer="720" w:gutter="0"/>
          <w:pgNumType w:start="1"/>
          <w:cols w:space="0"/>
          <w:titlePg/>
        </w:sectPr>
      </w:pPr>
      <w:r w:rsidRPr="00783571">
        <w:t xml:space="preserve">Most of the material in this technical report has been previously published (O’Leary et al., 2017). </w:t>
      </w:r>
      <w:r w:rsidR="00814AFF" w:rsidRPr="00783571">
        <w:t>Key</w:t>
      </w:r>
      <w:r w:rsidRPr="00783571">
        <w:t xml:space="preserve"> material specific to this analysis can be found in sections 9</w:t>
      </w:r>
      <w:r w:rsidR="00C13D28" w:rsidRPr="00783571">
        <w:t>, 11,</w:t>
      </w:r>
      <w:r w:rsidRPr="00783571">
        <w:t xml:space="preserve"> and 12</w:t>
      </w:r>
      <w:r w:rsidR="00C13D28" w:rsidRPr="00783571">
        <w:t xml:space="preserve"> (see</w:t>
      </w:r>
      <w:r w:rsidR="00814AFF" w:rsidRPr="00783571">
        <w:t xml:space="preserve"> Section 1</w:t>
      </w:r>
      <w:r w:rsidR="00C13D28" w:rsidRPr="00783571">
        <w:t xml:space="preserve"> for details)</w:t>
      </w:r>
      <w:r w:rsidR="00814AFF" w:rsidRPr="00783571">
        <w:t>.</w:t>
      </w:r>
    </w:p>
    <w:p w14:paraId="2C798575" w14:textId="77777777" w:rsidR="0087433D" w:rsidRPr="00783571" w:rsidRDefault="00CF18E9" w:rsidP="00D22EA6">
      <w:pPr>
        <w:pStyle w:val="toc0"/>
      </w:pPr>
      <w:r w:rsidRPr="00783571">
        <w:lastRenderedPageBreak/>
        <w:t>Contents</w:t>
      </w:r>
    </w:p>
    <w:p w14:paraId="4D019A77" w14:textId="77777777" w:rsidR="00994A2F" w:rsidRPr="00783571" w:rsidRDefault="00994A2F" w:rsidP="00D22EA6">
      <w:pPr>
        <w:pStyle w:val="TOCHeader"/>
      </w:pPr>
      <w:r w:rsidRPr="00783571">
        <w:t>Section</w:t>
      </w:r>
      <w:r w:rsidRPr="00783571">
        <w:tab/>
        <w:t>Page</w:t>
      </w:r>
    </w:p>
    <w:p w14:paraId="13553A7B" w14:textId="24D02287" w:rsidR="00B67E24" w:rsidRDefault="008E0A3C">
      <w:pPr>
        <w:pStyle w:val="TOC1"/>
        <w:rPr>
          <w:rFonts w:asciiTheme="minorHAnsi" w:eastAsiaTheme="minorEastAsia" w:hAnsiTheme="minorHAnsi" w:cstheme="minorBidi"/>
          <w:b w:val="0"/>
          <w:sz w:val="22"/>
          <w:szCs w:val="22"/>
        </w:rPr>
      </w:pPr>
      <w:r w:rsidRPr="00783571">
        <w:rPr>
          <w:noProof w:val="0"/>
        </w:rPr>
        <w:fldChar w:fldCharType="begin"/>
      </w:r>
      <w:r w:rsidRPr="00783571">
        <w:rPr>
          <w:noProof w:val="0"/>
        </w:rPr>
        <w:instrText xml:space="preserve"> TOC \o "2-2" \t "Heading 1,1,Heading 3,3" </w:instrText>
      </w:r>
      <w:r w:rsidRPr="00783571">
        <w:rPr>
          <w:noProof w:val="0"/>
        </w:rPr>
        <w:fldChar w:fldCharType="separate"/>
      </w:r>
      <w:r w:rsidR="00B67E24">
        <w:t>1.</w:t>
      </w:r>
      <w:r w:rsidR="00B67E24">
        <w:rPr>
          <w:rFonts w:asciiTheme="minorHAnsi" w:eastAsiaTheme="minorEastAsia" w:hAnsiTheme="minorHAnsi" w:cstheme="minorBidi"/>
          <w:b w:val="0"/>
          <w:sz w:val="22"/>
          <w:szCs w:val="22"/>
        </w:rPr>
        <w:tab/>
      </w:r>
      <w:r w:rsidR="00B67E24">
        <w:t>Introduction</w:t>
      </w:r>
      <w:r w:rsidR="00B67E24">
        <w:tab/>
      </w:r>
      <w:r w:rsidR="00B67E24">
        <w:fldChar w:fldCharType="begin"/>
      </w:r>
      <w:r w:rsidR="00B67E24">
        <w:instrText xml:space="preserve"> PAGEREF _Toc510104442 \h </w:instrText>
      </w:r>
      <w:r w:rsidR="00B67E24">
        <w:fldChar w:fldCharType="separate"/>
      </w:r>
      <w:r w:rsidR="00500143">
        <w:t>1-1</w:t>
      </w:r>
      <w:r w:rsidR="00B67E24">
        <w:fldChar w:fldCharType="end"/>
      </w:r>
    </w:p>
    <w:p w14:paraId="47B14744" w14:textId="4A0ADFBD" w:rsidR="00B67E24" w:rsidRDefault="00B67E24">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Model Overview and Purpose</w:t>
      </w:r>
      <w:r>
        <w:tab/>
      </w:r>
      <w:r>
        <w:fldChar w:fldCharType="begin"/>
      </w:r>
      <w:r>
        <w:instrText xml:space="preserve"> PAGEREF _Toc510104443 \h </w:instrText>
      </w:r>
      <w:r>
        <w:fldChar w:fldCharType="separate"/>
      </w:r>
      <w:r w:rsidR="00500143">
        <w:t>2-1</w:t>
      </w:r>
      <w:r>
        <w:fldChar w:fldCharType="end"/>
      </w:r>
    </w:p>
    <w:p w14:paraId="7707D996" w14:textId="21C5DC49" w:rsidR="00B67E24" w:rsidRDefault="00B67E24">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Model Population and Compartments</w:t>
      </w:r>
      <w:r>
        <w:tab/>
      </w:r>
      <w:r>
        <w:fldChar w:fldCharType="begin"/>
      </w:r>
      <w:r>
        <w:instrText xml:space="preserve"> PAGEREF _Toc510104444 \h </w:instrText>
      </w:r>
      <w:r>
        <w:fldChar w:fldCharType="separate"/>
      </w:r>
      <w:r w:rsidR="00500143">
        <w:t>3-1</w:t>
      </w:r>
      <w:r>
        <w:fldChar w:fldCharType="end"/>
      </w:r>
    </w:p>
    <w:p w14:paraId="03334030" w14:textId="309B9CFE" w:rsidR="00B67E24" w:rsidRDefault="00B67E24">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Initial Population</w:t>
      </w:r>
      <w:r>
        <w:tab/>
      </w:r>
      <w:r>
        <w:fldChar w:fldCharType="begin"/>
      </w:r>
      <w:r>
        <w:instrText xml:space="preserve"> PAGEREF _Toc510104445 \h </w:instrText>
      </w:r>
      <w:r>
        <w:fldChar w:fldCharType="separate"/>
      </w:r>
      <w:r w:rsidR="00500143">
        <w:t>4-1</w:t>
      </w:r>
      <w:r>
        <w:fldChar w:fldCharType="end"/>
      </w:r>
    </w:p>
    <w:p w14:paraId="60322C1B" w14:textId="781C30F1" w:rsidR="00B67E24" w:rsidRDefault="00B67E24">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Movement into and out of the Model, between Subpopulations, between Compartments (Except Due to Infection), and within Compartments</w:t>
      </w:r>
      <w:r>
        <w:tab/>
      </w:r>
      <w:r>
        <w:fldChar w:fldCharType="begin"/>
      </w:r>
      <w:r>
        <w:instrText xml:space="preserve"> PAGEREF _Toc510104446 \h </w:instrText>
      </w:r>
      <w:r>
        <w:fldChar w:fldCharType="separate"/>
      </w:r>
      <w:r w:rsidR="00500143">
        <w:t>5-1</w:t>
      </w:r>
      <w:r>
        <w:fldChar w:fldCharType="end"/>
      </w:r>
    </w:p>
    <w:p w14:paraId="7FD2EA43" w14:textId="32E12272" w:rsidR="00B67E24" w:rsidRDefault="00B67E24">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Transitions into and out of the Model</w:t>
      </w:r>
      <w:r>
        <w:tab/>
      </w:r>
      <w:r>
        <w:fldChar w:fldCharType="begin"/>
      </w:r>
      <w:r>
        <w:instrText xml:space="preserve"> PAGEREF _Toc510104447 \h </w:instrText>
      </w:r>
      <w:r>
        <w:fldChar w:fldCharType="separate"/>
      </w:r>
      <w:r w:rsidR="00500143">
        <w:t>5-1</w:t>
      </w:r>
      <w:r>
        <w:fldChar w:fldCharType="end"/>
      </w:r>
    </w:p>
    <w:p w14:paraId="5972171B" w14:textId="6CCF99F9" w:rsidR="00B67E24" w:rsidRDefault="00B67E24">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Transitions between Subpopulations (Aging Only)</w:t>
      </w:r>
      <w:r>
        <w:tab/>
      </w:r>
      <w:r>
        <w:fldChar w:fldCharType="begin"/>
      </w:r>
      <w:r>
        <w:instrText xml:space="preserve"> PAGEREF _Toc510104448 \h </w:instrText>
      </w:r>
      <w:r>
        <w:fldChar w:fldCharType="separate"/>
      </w:r>
      <w:r w:rsidR="00500143">
        <w:t>5-12</w:t>
      </w:r>
      <w:r>
        <w:fldChar w:fldCharType="end"/>
      </w:r>
    </w:p>
    <w:p w14:paraId="08ED4FF0" w14:textId="4C9DBFF3" w:rsidR="00B67E24" w:rsidRDefault="00B67E24">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Transitions between Compartments Due to Disease Progression</w:t>
      </w:r>
      <w:r>
        <w:tab/>
      </w:r>
      <w:r>
        <w:fldChar w:fldCharType="begin"/>
      </w:r>
      <w:r>
        <w:instrText xml:space="preserve"> PAGEREF _Toc510104449 \h </w:instrText>
      </w:r>
      <w:r>
        <w:fldChar w:fldCharType="separate"/>
      </w:r>
      <w:r w:rsidR="00500143">
        <w:t>5-12</w:t>
      </w:r>
      <w:r>
        <w:fldChar w:fldCharType="end"/>
      </w:r>
    </w:p>
    <w:p w14:paraId="13205799" w14:textId="6D70DE99" w:rsidR="00B67E24" w:rsidRDefault="00B67E24">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Transitions between Compartments Due to Progression along the Care Continuum</w:t>
      </w:r>
      <w:r>
        <w:tab/>
      </w:r>
      <w:r>
        <w:fldChar w:fldCharType="begin"/>
      </w:r>
      <w:r>
        <w:instrText xml:space="preserve"> PAGEREF _Toc510104450 \h </w:instrText>
      </w:r>
      <w:r>
        <w:fldChar w:fldCharType="separate"/>
      </w:r>
      <w:r w:rsidR="00500143">
        <w:t>5-12</w:t>
      </w:r>
      <w:r>
        <w:fldChar w:fldCharType="end"/>
      </w:r>
    </w:p>
    <w:p w14:paraId="5ACD3EE7" w14:textId="2F7D1CAF" w:rsidR="00B67E24" w:rsidRDefault="00B67E24">
      <w:pPr>
        <w:pStyle w:val="TOC3"/>
        <w:tabs>
          <w:tab w:val="left" w:pos="1827"/>
        </w:tabs>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Methods for Calculating Progression along the Care Continuum</w:t>
      </w:r>
      <w:r>
        <w:tab/>
      </w:r>
      <w:r>
        <w:fldChar w:fldCharType="begin"/>
      </w:r>
      <w:r>
        <w:instrText xml:space="preserve"> PAGEREF _Toc510104451 \h </w:instrText>
      </w:r>
      <w:r>
        <w:fldChar w:fldCharType="separate"/>
      </w:r>
      <w:r w:rsidR="00500143">
        <w:t>5-13</w:t>
      </w:r>
      <w:r>
        <w:fldChar w:fldCharType="end"/>
      </w:r>
    </w:p>
    <w:p w14:paraId="0EF31836" w14:textId="4BBAA8B6" w:rsidR="00B67E24" w:rsidRDefault="00B67E24">
      <w:pPr>
        <w:pStyle w:val="TOC3"/>
        <w:tabs>
          <w:tab w:val="left" w:pos="1827"/>
        </w:tabs>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Diagnosis Rates</w:t>
      </w:r>
      <w:r>
        <w:tab/>
      </w:r>
      <w:r>
        <w:fldChar w:fldCharType="begin"/>
      </w:r>
      <w:r>
        <w:instrText xml:space="preserve"> PAGEREF _Toc510104452 \h </w:instrText>
      </w:r>
      <w:r>
        <w:fldChar w:fldCharType="separate"/>
      </w:r>
      <w:r w:rsidR="00500143">
        <w:t>5-17</w:t>
      </w:r>
      <w:r>
        <w:fldChar w:fldCharType="end"/>
      </w:r>
    </w:p>
    <w:p w14:paraId="1EF47F80" w14:textId="09B82AE3" w:rsidR="00B67E24" w:rsidRDefault="00B67E24">
      <w:pPr>
        <w:pStyle w:val="TOC3"/>
        <w:tabs>
          <w:tab w:val="left" w:pos="1827"/>
        </w:tabs>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PrEP Participation</w:t>
      </w:r>
      <w:r>
        <w:tab/>
      </w:r>
      <w:r>
        <w:fldChar w:fldCharType="begin"/>
      </w:r>
      <w:r>
        <w:instrText xml:space="preserve"> PAGEREF _Toc510104453 \h </w:instrText>
      </w:r>
      <w:r>
        <w:fldChar w:fldCharType="separate"/>
      </w:r>
      <w:r w:rsidR="00500143">
        <w:t>5-18</w:t>
      </w:r>
      <w:r>
        <w:fldChar w:fldCharType="end"/>
      </w:r>
    </w:p>
    <w:p w14:paraId="24CC079A" w14:textId="571CB92C" w:rsidR="00B67E24" w:rsidRDefault="00B67E24">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Force of Infection</w:t>
      </w:r>
      <w:r>
        <w:tab/>
      </w:r>
      <w:r>
        <w:fldChar w:fldCharType="begin"/>
      </w:r>
      <w:r>
        <w:instrText xml:space="preserve"> PAGEREF _Toc510104454 \h </w:instrText>
      </w:r>
      <w:r>
        <w:fldChar w:fldCharType="separate"/>
      </w:r>
      <w:r w:rsidR="00500143">
        <w:t>6-1</w:t>
      </w:r>
      <w:r>
        <w:fldChar w:fldCharType="end"/>
      </w:r>
    </w:p>
    <w:p w14:paraId="424C57F7" w14:textId="7763A475" w:rsidR="00B67E24" w:rsidRDefault="00B67E2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Sexual and Needle-Sharing Partnerships</w:t>
      </w:r>
      <w:r>
        <w:tab/>
      </w:r>
      <w:r>
        <w:fldChar w:fldCharType="begin"/>
      </w:r>
      <w:r>
        <w:instrText xml:space="preserve"> PAGEREF _Toc510104455 \h </w:instrText>
      </w:r>
      <w:r>
        <w:fldChar w:fldCharType="separate"/>
      </w:r>
      <w:r w:rsidR="00500143">
        <w:t>6-1</w:t>
      </w:r>
      <w:r>
        <w:fldChar w:fldCharType="end"/>
      </w:r>
    </w:p>
    <w:p w14:paraId="05D78157" w14:textId="23E4FE5A" w:rsidR="00B67E24" w:rsidRDefault="00B67E24">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Per-Partnership Transmission Risk</w:t>
      </w:r>
      <w:r>
        <w:tab/>
      </w:r>
      <w:r>
        <w:fldChar w:fldCharType="begin"/>
      </w:r>
      <w:r>
        <w:instrText xml:space="preserve"> PAGEREF _Toc510104456 \h </w:instrText>
      </w:r>
      <w:r>
        <w:fldChar w:fldCharType="separate"/>
      </w:r>
      <w:r w:rsidR="00500143">
        <w:t>6-4</w:t>
      </w:r>
      <w:r>
        <w:fldChar w:fldCharType="end"/>
      </w:r>
    </w:p>
    <w:p w14:paraId="37899B95" w14:textId="19A60987" w:rsidR="00B67E24" w:rsidRDefault="00B67E24">
      <w:pPr>
        <w:pStyle w:val="TOC3"/>
        <w:tabs>
          <w:tab w:val="left" w:pos="1827"/>
        </w:tabs>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Per-Sex-Act Sexual and Needle Transmission Probabilities</w:t>
      </w:r>
      <w:r>
        <w:tab/>
      </w:r>
      <w:r>
        <w:fldChar w:fldCharType="begin"/>
      </w:r>
      <w:r>
        <w:instrText xml:space="preserve"> PAGEREF _Toc510104457 \h </w:instrText>
      </w:r>
      <w:r>
        <w:fldChar w:fldCharType="separate"/>
      </w:r>
      <w:r w:rsidR="00500143">
        <w:t>6-10</w:t>
      </w:r>
      <w:r>
        <w:fldChar w:fldCharType="end"/>
      </w:r>
    </w:p>
    <w:p w14:paraId="352266B7" w14:textId="4830E9B4" w:rsidR="00B67E24" w:rsidRDefault="00B67E24">
      <w:pPr>
        <w:pStyle w:val="TOC3"/>
        <w:tabs>
          <w:tab w:val="left" w:pos="1827"/>
        </w:tabs>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Number of Sex Acts and Needles Shared per Partner</w:t>
      </w:r>
      <w:r>
        <w:tab/>
      </w:r>
      <w:r>
        <w:fldChar w:fldCharType="begin"/>
      </w:r>
      <w:r>
        <w:instrText xml:space="preserve"> PAGEREF _Toc510104458 \h </w:instrText>
      </w:r>
      <w:r>
        <w:fldChar w:fldCharType="separate"/>
      </w:r>
      <w:r w:rsidR="00500143">
        <w:t>6-10</w:t>
      </w:r>
      <w:r>
        <w:fldChar w:fldCharType="end"/>
      </w:r>
    </w:p>
    <w:p w14:paraId="03CB4E2E" w14:textId="04B290F2" w:rsidR="00B67E24" w:rsidRDefault="00B67E24">
      <w:pPr>
        <w:pStyle w:val="TOC3"/>
        <w:tabs>
          <w:tab w:val="left" w:pos="1827"/>
        </w:tabs>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Calculation of Per-Partnership Transmission Risk</w:t>
      </w:r>
      <w:r>
        <w:tab/>
      </w:r>
      <w:r>
        <w:fldChar w:fldCharType="begin"/>
      </w:r>
      <w:r>
        <w:instrText xml:space="preserve"> PAGEREF _Toc510104459 \h </w:instrText>
      </w:r>
      <w:r>
        <w:fldChar w:fldCharType="separate"/>
      </w:r>
      <w:r w:rsidR="00500143">
        <w:t>6-10</w:t>
      </w:r>
      <w:r>
        <w:fldChar w:fldCharType="end"/>
      </w:r>
    </w:p>
    <w:p w14:paraId="2982EA11" w14:textId="328BD619" w:rsidR="00B67E24" w:rsidRDefault="00B67E24">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Calculation of Force of Infection</w:t>
      </w:r>
      <w:r>
        <w:tab/>
      </w:r>
      <w:r>
        <w:fldChar w:fldCharType="begin"/>
      </w:r>
      <w:r>
        <w:instrText xml:space="preserve"> PAGEREF _Toc510104460 \h </w:instrText>
      </w:r>
      <w:r>
        <w:fldChar w:fldCharType="separate"/>
      </w:r>
      <w:r w:rsidR="00500143">
        <w:t>6-12</w:t>
      </w:r>
      <w:r>
        <w:fldChar w:fldCharType="end"/>
      </w:r>
    </w:p>
    <w:p w14:paraId="1E5A603A" w14:textId="7E7942ED" w:rsidR="00B67E24" w:rsidRDefault="00B67E24">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Force of Infection for Individuals on PrEP</w:t>
      </w:r>
      <w:r>
        <w:tab/>
      </w:r>
      <w:r>
        <w:fldChar w:fldCharType="begin"/>
      </w:r>
      <w:r>
        <w:instrText xml:space="preserve"> PAGEREF _Toc510104461 \h </w:instrText>
      </w:r>
      <w:r>
        <w:fldChar w:fldCharType="separate"/>
      </w:r>
      <w:r w:rsidR="00500143">
        <w:t>6-15</w:t>
      </w:r>
      <w:r>
        <w:fldChar w:fldCharType="end"/>
      </w:r>
    </w:p>
    <w:p w14:paraId="0C2A4094" w14:textId="41E5AEC9" w:rsidR="00B67E24" w:rsidRDefault="00B67E24">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Differential Equations that Define the Model</w:t>
      </w:r>
      <w:r>
        <w:tab/>
      </w:r>
      <w:r>
        <w:fldChar w:fldCharType="begin"/>
      </w:r>
      <w:r>
        <w:instrText xml:space="preserve"> PAGEREF _Toc510104462 \h </w:instrText>
      </w:r>
      <w:r>
        <w:fldChar w:fldCharType="separate"/>
      </w:r>
      <w:r w:rsidR="00500143">
        <w:t>7-1</w:t>
      </w:r>
      <w:r>
        <w:fldChar w:fldCharType="end"/>
      </w:r>
    </w:p>
    <w:p w14:paraId="4BFC2763" w14:textId="78DEBCB0" w:rsidR="00B67E24" w:rsidRDefault="00B67E24">
      <w:pPr>
        <w:pStyle w:val="TOC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Number of Susceptible Individuals</w:t>
      </w:r>
      <w:r>
        <w:tab/>
      </w:r>
      <w:r>
        <w:fldChar w:fldCharType="begin"/>
      </w:r>
      <w:r>
        <w:instrText xml:space="preserve"> PAGEREF _Toc510104463 \h </w:instrText>
      </w:r>
      <w:r>
        <w:fldChar w:fldCharType="separate"/>
      </w:r>
      <w:r w:rsidR="00500143">
        <w:t>7-2</w:t>
      </w:r>
      <w:r>
        <w:fldChar w:fldCharType="end"/>
      </w:r>
    </w:p>
    <w:p w14:paraId="237FCE98" w14:textId="6D368846" w:rsidR="00B67E24" w:rsidRDefault="00B67E24">
      <w:pPr>
        <w:pStyle w:val="TOC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Individuals with Acute HIV Infection</w:t>
      </w:r>
      <w:r>
        <w:tab/>
      </w:r>
      <w:r>
        <w:fldChar w:fldCharType="begin"/>
      </w:r>
      <w:r>
        <w:instrText xml:space="preserve"> PAGEREF _Toc510104464 \h </w:instrText>
      </w:r>
      <w:r>
        <w:fldChar w:fldCharType="separate"/>
      </w:r>
      <w:r w:rsidR="00500143">
        <w:t>7-3</w:t>
      </w:r>
      <w:r>
        <w:fldChar w:fldCharType="end"/>
      </w:r>
    </w:p>
    <w:p w14:paraId="79255796" w14:textId="655B18E0" w:rsidR="00B67E24" w:rsidRDefault="00B67E24">
      <w:pPr>
        <w:pStyle w:val="TOC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Individuals with Chronic HIV Infection and CD4 ≥ 200</w:t>
      </w:r>
      <w:r>
        <w:tab/>
      </w:r>
      <w:r>
        <w:fldChar w:fldCharType="begin"/>
      </w:r>
      <w:r>
        <w:instrText xml:space="preserve"> PAGEREF _Toc510104465 \h </w:instrText>
      </w:r>
      <w:r>
        <w:fldChar w:fldCharType="separate"/>
      </w:r>
      <w:r w:rsidR="00500143">
        <w:t>7-4</w:t>
      </w:r>
      <w:r>
        <w:fldChar w:fldCharType="end"/>
      </w:r>
    </w:p>
    <w:p w14:paraId="289E0271" w14:textId="1F4AC18A" w:rsidR="00B67E24" w:rsidRDefault="00B67E24">
      <w:pPr>
        <w:pStyle w:val="TOC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Individuals with AIDS (CD4 &lt; 200) (</w:t>
      </w:r>
      <w:r w:rsidRPr="00BD76CF">
        <w:rPr>
          <w:i/>
          <w:iCs/>
        </w:rPr>
        <w:t>h</w:t>
      </w:r>
      <w:r>
        <w:t> = 5)</w:t>
      </w:r>
      <w:r>
        <w:tab/>
      </w:r>
      <w:r>
        <w:fldChar w:fldCharType="begin"/>
      </w:r>
      <w:r>
        <w:instrText xml:space="preserve"> PAGEREF _Toc510104466 \h </w:instrText>
      </w:r>
      <w:r>
        <w:fldChar w:fldCharType="separate"/>
      </w:r>
      <w:r w:rsidR="00500143">
        <w:t>7-6</w:t>
      </w:r>
      <w:r>
        <w:fldChar w:fldCharType="end"/>
      </w:r>
    </w:p>
    <w:p w14:paraId="50D060B9" w14:textId="2CC4ADBE" w:rsidR="00B67E24" w:rsidRDefault="00B67E24">
      <w:pPr>
        <w:pStyle w:val="TOC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Absorbing States</w:t>
      </w:r>
      <w:r>
        <w:tab/>
      </w:r>
      <w:r>
        <w:fldChar w:fldCharType="begin"/>
      </w:r>
      <w:r>
        <w:instrText xml:space="preserve"> PAGEREF _Toc510104467 \h </w:instrText>
      </w:r>
      <w:r>
        <w:fldChar w:fldCharType="separate"/>
      </w:r>
      <w:r w:rsidR="00500143">
        <w:t>7-7</w:t>
      </w:r>
      <w:r>
        <w:fldChar w:fldCharType="end"/>
      </w:r>
    </w:p>
    <w:p w14:paraId="651B7178" w14:textId="03CA4547" w:rsidR="00B67E24" w:rsidRDefault="00B67E24">
      <w:pPr>
        <w:pStyle w:val="TOC1"/>
        <w:rPr>
          <w:rFonts w:asciiTheme="minorHAnsi" w:eastAsiaTheme="minorEastAsia" w:hAnsiTheme="minorHAnsi" w:cstheme="minorBidi"/>
          <w:b w:val="0"/>
          <w:sz w:val="22"/>
          <w:szCs w:val="22"/>
        </w:rPr>
      </w:pPr>
      <w:r>
        <w:lastRenderedPageBreak/>
        <w:t>8.</w:t>
      </w:r>
      <w:r>
        <w:rPr>
          <w:rFonts w:asciiTheme="minorHAnsi" w:eastAsiaTheme="minorEastAsia" w:hAnsiTheme="minorHAnsi" w:cstheme="minorBidi"/>
          <w:b w:val="0"/>
          <w:sz w:val="22"/>
          <w:szCs w:val="22"/>
        </w:rPr>
        <w:tab/>
      </w:r>
      <w:r>
        <w:t>Interventions and Optimization of Allocations to Interventions</w:t>
      </w:r>
      <w:r>
        <w:tab/>
      </w:r>
      <w:r>
        <w:fldChar w:fldCharType="begin"/>
      </w:r>
      <w:r>
        <w:instrText xml:space="preserve"> PAGEREF _Toc510104468 \h </w:instrText>
      </w:r>
      <w:r>
        <w:fldChar w:fldCharType="separate"/>
      </w:r>
      <w:r w:rsidR="00500143">
        <w:t>8-1</w:t>
      </w:r>
      <w:r>
        <w:fldChar w:fldCharType="end"/>
      </w:r>
    </w:p>
    <w:p w14:paraId="68DD07BF" w14:textId="33D829C1" w:rsidR="00B67E24" w:rsidRDefault="00B67E24">
      <w:pPr>
        <w:pStyle w:val="TOC2"/>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Intervention Costs and Effects</w:t>
      </w:r>
      <w:r>
        <w:tab/>
      </w:r>
      <w:r>
        <w:fldChar w:fldCharType="begin"/>
      </w:r>
      <w:r>
        <w:instrText xml:space="preserve"> PAGEREF _Toc510104469 \h </w:instrText>
      </w:r>
      <w:r>
        <w:fldChar w:fldCharType="separate"/>
      </w:r>
      <w:r w:rsidR="00500143">
        <w:t>8-1</w:t>
      </w:r>
      <w:r>
        <w:fldChar w:fldCharType="end"/>
      </w:r>
    </w:p>
    <w:p w14:paraId="027F0D99" w14:textId="0FAD2EE7" w:rsidR="00B67E24" w:rsidRDefault="00B67E24">
      <w:pPr>
        <w:pStyle w:val="TOC2"/>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Optimization of Funding Allocations to Interventions</w:t>
      </w:r>
      <w:r>
        <w:tab/>
      </w:r>
      <w:r>
        <w:fldChar w:fldCharType="begin"/>
      </w:r>
      <w:r>
        <w:instrText xml:space="preserve"> PAGEREF _Toc510104470 \h </w:instrText>
      </w:r>
      <w:r>
        <w:fldChar w:fldCharType="separate"/>
      </w:r>
      <w:r w:rsidR="00500143">
        <w:t>8-6</w:t>
      </w:r>
      <w:r>
        <w:fldChar w:fldCharType="end"/>
      </w:r>
    </w:p>
    <w:p w14:paraId="5F394693" w14:textId="7FC84243" w:rsidR="00B67E24" w:rsidRDefault="00B67E24">
      <w:pPr>
        <w:pStyle w:val="TOC1"/>
        <w:rPr>
          <w:rFonts w:asciiTheme="minorHAnsi" w:eastAsiaTheme="minorEastAsia" w:hAnsiTheme="minorHAnsi" w:cstheme="minorBidi"/>
          <w:b w:val="0"/>
          <w:sz w:val="22"/>
          <w:szCs w:val="22"/>
        </w:rPr>
      </w:pPr>
      <w:r>
        <w:t>9.</w:t>
      </w:r>
      <w:r>
        <w:rPr>
          <w:rFonts w:asciiTheme="minorHAnsi" w:eastAsiaTheme="minorEastAsia" w:hAnsiTheme="minorHAnsi" w:cstheme="minorBidi"/>
          <w:b w:val="0"/>
          <w:sz w:val="22"/>
          <w:szCs w:val="22"/>
        </w:rPr>
        <w:tab/>
      </w:r>
      <w:r>
        <w:t>Additional Details Pertaining to the Analysis Conducted in this Manuscript</w:t>
      </w:r>
      <w:r>
        <w:tab/>
      </w:r>
      <w:r>
        <w:fldChar w:fldCharType="begin"/>
      </w:r>
      <w:r>
        <w:instrText xml:space="preserve"> PAGEREF _Toc510104471 \h </w:instrText>
      </w:r>
      <w:r>
        <w:fldChar w:fldCharType="separate"/>
      </w:r>
      <w:r w:rsidR="00500143">
        <w:t>9-1</w:t>
      </w:r>
      <w:r>
        <w:fldChar w:fldCharType="end"/>
      </w:r>
    </w:p>
    <w:p w14:paraId="335564C0" w14:textId="47E6DD46" w:rsidR="00B67E24" w:rsidRDefault="00B67E24">
      <w:pPr>
        <w:pStyle w:val="TOC2"/>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Effects of Varying PrEP Efficacy, Coverage, and Dropout Rates on HIV Incidence When Current Care Continuum Levels Were Maintained</w:t>
      </w:r>
      <w:r>
        <w:tab/>
      </w:r>
      <w:r>
        <w:fldChar w:fldCharType="begin"/>
      </w:r>
      <w:r>
        <w:instrText xml:space="preserve"> PAGEREF _Toc510104472 \h </w:instrText>
      </w:r>
      <w:r>
        <w:fldChar w:fldCharType="separate"/>
      </w:r>
      <w:r w:rsidR="00500143">
        <w:t>9-1</w:t>
      </w:r>
      <w:r>
        <w:fldChar w:fldCharType="end"/>
      </w:r>
    </w:p>
    <w:p w14:paraId="6E06E114" w14:textId="31782DC8" w:rsidR="00B67E24" w:rsidRDefault="00B67E24">
      <w:pPr>
        <w:pStyle w:val="TOC2"/>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Effects of Varying PrEP Efficacy and Coverage</w:t>
      </w:r>
      <w:r>
        <w:tab/>
      </w:r>
      <w:r>
        <w:fldChar w:fldCharType="begin"/>
      </w:r>
      <w:r>
        <w:instrText xml:space="preserve"> PAGEREF _Toc510104473 \h </w:instrText>
      </w:r>
      <w:r>
        <w:fldChar w:fldCharType="separate"/>
      </w:r>
      <w:r w:rsidR="00500143">
        <w:t>9-3</w:t>
      </w:r>
      <w:r>
        <w:fldChar w:fldCharType="end"/>
      </w:r>
    </w:p>
    <w:p w14:paraId="18F5B979" w14:textId="7976ECE8" w:rsidR="00B67E24" w:rsidRDefault="00B67E24">
      <w:pPr>
        <w:pStyle w:val="TOC2"/>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Partial Achievement of National Goals</w:t>
      </w:r>
      <w:r>
        <w:tab/>
      </w:r>
      <w:r>
        <w:fldChar w:fldCharType="begin"/>
      </w:r>
      <w:r>
        <w:instrText xml:space="preserve"> PAGEREF _Toc510104474 \h </w:instrText>
      </w:r>
      <w:r>
        <w:fldChar w:fldCharType="separate"/>
      </w:r>
      <w:r w:rsidR="00500143">
        <w:t>9-4</w:t>
      </w:r>
      <w:r>
        <w:fldChar w:fldCharType="end"/>
      </w:r>
    </w:p>
    <w:p w14:paraId="25D91E84" w14:textId="51C81FCF" w:rsidR="00B67E24" w:rsidRDefault="00B67E24">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Calculation of Model Outcomes</w:t>
      </w:r>
      <w:r>
        <w:tab/>
      </w:r>
      <w:r>
        <w:fldChar w:fldCharType="begin"/>
      </w:r>
      <w:r>
        <w:instrText xml:space="preserve"> PAGEREF _Toc510104475 \h </w:instrText>
      </w:r>
      <w:r>
        <w:fldChar w:fldCharType="separate"/>
      </w:r>
      <w:r w:rsidR="00500143">
        <w:t>10-1</w:t>
      </w:r>
      <w:r>
        <w:fldChar w:fldCharType="end"/>
      </w:r>
    </w:p>
    <w:p w14:paraId="15747357" w14:textId="153AF2DD" w:rsidR="00B67E24" w:rsidRDefault="00B67E24">
      <w:pPr>
        <w:pStyle w:val="TOC2"/>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Health Outcomes</w:t>
      </w:r>
      <w:r>
        <w:tab/>
      </w:r>
      <w:r>
        <w:fldChar w:fldCharType="begin"/>
      </w:r>
      <w:r>
        <w:instrText xml:space="preserve"> PAGEREF _Toc510104476 \h </w:instrText>
      </w:r>
      <w:r>
        <w:fldChar w:fldCharType="separate"/>
      </w:r>
      <w:r w:rsidR="00500143">
        <w:t>10-1</w:t>
      </w:r>
      <w:r>
        <w:fldChar w:fldCharType="end"/>
      </w:r>
    </w:p>
    <w:p w14:paraId="2F798BBA" w14:textId="09B7EC1F" w:rsidR="00B67E24" w:rsidRDefault="00B67E24">
      <w:pPr>
        <w:pStyle w:val="TOC3"/>
        <w:tabs>
          <w:tab w:val="left" w:pos="1954"/>
        </w:tabs>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Heath State Utility Inputs</w:t>
      </w:r>
      <w:r>
        <w:tab/>
      </w:r>
      <w:r>
        <w:fldChar w:fldCharType="begin"/>
      </w:r>
      <w:r>
        <w:instrText xml:space="preserve"> PAGEREF _Toc510104477 \h </w:instrText>
      </w:r>
      <w:r>
        <w:fldChar w:fldCharType="separate"/>
      </w:r>
      <w:r w:rsidR="00500143">
        <w:t>10-1</w:t>
      </w:r>
      <w:r>
        <w:fldChar w:fldCharType="end"/>
      </w:r>
    </w:p>
    <w:p w14:paraId="64F21E1C" w14:textId="03CB3595" w:rsidR="00B67E24" w:rsidRDefault="00B67E24">
      <w:pPr>
        <w:pStyle w:val="TOC3"/>
        <w:tabs>
          <w:tab w:val="left" w:pos="1954"/>
        </w:tabs>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Calculation of Health Outcomes</w:t>
      </w:r>
      <w:r>
        <w:tab/>
      </w:r>
      <w:r>
        <w:fldChar w:fldCharType="begin"/>
      </w:r>
      <w:r>
        <w:instrText xml:space="preserve"> PAGEREF _Toc510104478 \h </w:instrText>
      </w:r>
      <w:r>
        <w:fldChar w:fldCharType="separate"/>
      </w:r>
      <w:r w:rsidR="00500143">
        <w:t>10-1</w:t>
      </w:r>
      <w:r>
        <w:fldChar w:fldCharType="end"/>
      </w:r>
    </w:p>
    <w:p w14:paraId="3779F336" w14:textId="37F69890" w:rsidR="00B67E24" w:rsidRDefault="00B67E24">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Economic Outcomes</w:t>
      </w:r>
      <w:r>
        <w:tab/>
      </w:r>
      <w:r>
        <w:fldChar w:fldCharType="begin"/>
      </w:r>
      <w:r>
        <w:instrText xml:space="preserve"> PAGEREF _Toc510104479 \h </w:instrText>
      </w:r>
      <w:r>
        <w:fldChar w:fldCharType="separate"/>
      </w:r>
      <w:r w:rsidR="00500143">
        <w:t>10-2</w:t>
      </w:r>
      <w:r>
        <w:fldChar w:fldCharType="end"/>
      </w:r>
    </w:p>
    <w:p w14:paraId="5C742CB1" w14:textId="7AFA299C" w:rsidR="00B67E24" w:rsidRDefault="00B67E24">
      <w:pPr>
        <w:pStyle w:val="TOC3"/>
        <w:tabs>
          <w:tab w:val="left" w:pos="1954"/>
        </w:tabs>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Testing Cost Inputs</w:t>
      </w:r>
      <w:r>
        <w:tab/>
      </w:r>
      <w:r>
        <w:fldChar w:fldCharType="begin"/>
      </w:r>
      <w:r>
        <w:instrText xml:space="preserve"> PAGEREF _Toc510104480 \h </w:instrText>
      </w:r>
      <w:r>
        <w:fldChar w:fldCharType="separate"/>
      </w:r>
      <w:r w:rsidR="00500143">
        <w:t>10-2</w:t>
      </w:r>
      <w:r>
        <w:fldChar w:fldCharType="end"/>
      </w:r>
    </w:p>
    <w:p w14:paraId="6FE3667A" w14:textId="345168BE" w:rsidR="00B67E24" w:rsidRDefault="00B67E24">
      <w:pPr>
        <w:pStyle w:val="TOC3"/>
        <w:tabs>
          <w:tab w:val="left" w:pos="1954"/>
        </w:tabs>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Calculation of Testing and Notification Costs</w:t>
      </w:r>
      <w:r>
        <w:tab/>
      </w:r>
      <w:r>
        <w:fldChar w:fldCharType="begin"/>
      </w:r>
      <w:r>
        <w:instrText xml:space="preserve"> PAGEREF _Toc510104481 \h </w:instrText>
      </w:r>
      <w:r>
        <w:fldChar w:fldCharType="separate"/>
      </w:r>
      <w:r w:rsidR="00500143">
        <w:t>10-3</w:t>
      </w:r>
      <w:r>
        <w:fldChar w:fldCharType="end"/>
      </w:r>
    </w:p>
    <w:p w14:paraId="01DF50E8" w14:textId="5F6E94B5" w:rsidR="00B67E24" w:rsidRDefault="00B67E24">
      <w:pPr>
        <w:pStyle w:val="TOC3"/>
        <w:tabs>
          <w:tab w:val="left" w:pos="1954"/>
        </w:tabs>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HIV Treatment and Care Costs</w:t>
      </w:r>
      <w:r>
        <w:tab/>
      </w:r>
      <w:r>
        <w:fldChar w:fldCharType="begin"/>
      </w:r>
      <w:r>
        <w:instrText xml:space="preserve"> PAGEREF _Toc510104482 \h </w:instrText>
      </w:r>
      <w:r>
        <w:fldChar w:fldCharType="separate"/>
      </w:r>
      <w:r w:rsidR="00500143">
        <w:t>10-5</w:t>
      </w:r>
      <w:r>
        <w:fldChar w:fldCharType="end"/>
      </w:r>
    </w:p>
    <w:p w14:paraId="6F2F8E0C" w14:textId="67F3FC83" w:rsidR="00B67E24" w:rsidRDefault="00B67E24">
      <w:pPr>
        <w:pStyle w:val="TOC3"/>
        <w:tabs>
          <w:tab w:val="left" w:pos="1954"/>
        </w:tabs>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Calculation of PrEP Costs</w:t>
      </w:r>
      <w:r>
        <w:tab/>
      </w:r>
      <w:r>
        <w:fldChar w:fldCharType="begin"/>
      </w:r>
      <w:r>
        <w:instrText xml:space="preserve"> PAGEREF _Toc510104483 \h </w:instrText>
      </w:r>
      <w:r>
        <w:fldChar w:fldCharType="separate"/>
      </w:r>
      <w:r w:rsidR="00500143">
        <w:t>10-7</w:t>
      </w:r>
      <w:r>
        <w:fldChar w:fldCharType="end"/>
      </w:r>
    </w:p>
    <w:p w14:paraId="0E69644A" w14:textId="11353A2C" w:rsidR="00B67E24" w:rsidRDefault="00B67E24">
      <w:pPr>
        <w:pStyle w:val="TOC3"/>
        <w:tabs>
          <w:tab w:val="left" w:pos="1954"/>
        </w:tabs>
        <w:rPr>
          <w:rFonts w:asciiTheme="minorHAnsi" w:eastAsiaTheme="minorEastAsia" w:hAnsiTheme="minorHAnsi" w:cstheme="minorBidi"/>
          <w:sz w:val="22"/>
          <w:szCs w:val="22"/>
        </w:rPr>
      </w:pPr>
      <w:r>
        <w:t>10.2.5</w:t>
      </w:r>
      <w:r>
        <w:rPr>
          <w:rFonts w:asciiTheme="minorHAnsi" w:eastAsiaTheme="minorEastAsia" w:hAnsiTheme="minorHAnsi" w:cstheme="minorBidi"/>
          <w:sz w:val="22"/>
          <w:szCs w:val="22"/>
        </w:rPr>
        <w:tab/>
      </w:r>
      <w:r>
        <w:t>Calculation of Incremental Cost-Effectiveness Ratios</w:t>
      </w:r>
      <w:r>
        <w:tab/>
      </w:r>
      <w:r>
        <w:fldChar w:fldCharType="begin"/>
      </w:r>
      <w:r>
        <w:instrText xml:space="preserve"> PAGEREF _Toc510104484 \h </w:instrText>
      </w:r>
      <w:r>
        <w:fldChar w:fldCharType="separate"/>
      </w:r>
      <w:r w:rsidR="00500143">
        <w:t>10-7</w:t>
      </w:r>
      <w:r>
        <w:fldChar w:fldCharType="end"/>
      </w:r>
    </w:p>
    <w:p w14:paraId="7C393416" w14:textId="6377A2AF" w:rsidR="00B67E24" w:rsidRDefault="00B67E24">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Model Calibration and Validation</w:t>
      </w:r>
      <w:r>
        <w:tab/>
      </w:r>
      <w:r>
        <w:fldChar w:fldCharType="begin"/>
      </w:r>
      <w:r>
        <w:instrText xml:space="preserve"> PAGEREF _Toc510104485 \h </w:instrText>
      </w:r>
      <w:r>
        <w:fldChar w:fldCharType="separate"/>
      </w:r>
      <w:r w:rsidR="00500143">
        <w:t>11-1</w:t>
      </w:r>
      <w:r>
        <w:fldChar w:fldCharType="end"/>
      </w:r>
    </w:p>
    <w:p w14:paraId="39901B97" w14:textId="105AD9A8" w:rsidR="00B67E24" w:rsidRDefault="00B67E24">
      <w:pPr>
        <w:pStyle w:val="TOC2"/>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Model Calibration to Published Data</w:t>
      </w:r>
      <w:r>
        <w:tab/>
      </w:r>
      <w:r>
        <w:fldChar w:fldCharType="begin"/>
      </w:r>
      <w:r>
        <w:instrText xml:space="preserve"> PAGEREF _Toc510104486 \h </w:instrText>
      </w:r>
      <w:r>
        <w:fldChar w:fldCharType="separate"/>
      </w:r>
      <w:r w:rsidR="00500143">
        <w:t>11-1</w:t>
      </w:r>
      <w:r>
        <w:fldChar w:fldCharType="end"/>
      </w:r>
    </w:p>
    <w:p w14:paraId="687F4366" w14:textId="6658DD28" w:rsidR="00B67E24" w:rsidRDefault="00B67E24">
      <w:pPr>
        <w:pStyle w:val="TOC3"/>
        <w:tabs>
          <w:tab w:val="left" w:pos="1954"/>
        </w:tabs>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Establish Calibration Outcome Targets</w:t>
      </w:r>
      <w:r>
        <w:tab/>
      </w:r>
      <w:r>
        <w:fldChar w:fldCharType="begin"/>
      </w:r>
      <w:r>
        <w:instrText xml:space="preserve"> PAGEREF _Toc510104487 \h </w:instrText>
      </w:r>
      <w:r>
        <w:fldChar w:fldCharType="separate"/>
      </w:r>
      <w:r w:rsidR="00500143">
        <w:t>11-1</w:t>
      </w:r>
      <w:r>
        <w:fldChar w:fldCharType="end"/>
      </w:r>
    </w:p>
    <w:p w14:paraId="75498E32" w14:textId="1AC35F37" w:rsidR="00B67E24" w:rsidRDefault="00B67E24">
      <w:pPr>
        <w:pStyle w:val="TOC3"/>
        <w:tabs>
          <w:tab w:val="left" w:pos="1954"/>
        </w:tabs>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Establish Inputs to Vary in Calibration</w:t>
      </w:r>
      <w:r>
        <w:tab/>
      </w:r>
      <w:r>
        <w:fldChar w:fldCharType="begin"/>
      </w:r>
      <w:r>
        <w:instrText xml:space="preserve"> PAGEREF _Toc510104488 \h </w:instrText>
      </w:r>
      <w:r>
        <w:fldChar w:fldCharType="separate"/>
      </w:r>
      <w:r w:rsidR="00500143">
        <w:t>11-1</w:t>
      </w:r>
      <w:r>
        <w:fldChar w:fldCharType="end"/>
      </w:r>
    </w:p>
    <w:p w14:paraId="21E114D1" w14:textId="31BA5F24" w:rsidR="00B67E24" w:rsidRDefault="00B67E24">
      <w:pPr>
        <w:pStyle w:val="TOC3"/>
        <w:tabs>
          <w:tab w:val="left" w:pos="1954"/>
        </w:tabs>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Screening for Preliminary Input Sets Using Latin Hypercube Sampling</w:t>
      </w:r>
      <w:r>
        <w:tab/>
      </w:r>
      <w:r>
        <w:fldChar w:fldCharType="begin"/>
      </w:r>
      <w:r>
        <w:instrText xml:space="preserve"> PAGEREF _Toc510104489 \h </w:instrText>
      </w:r>
      <w:r>
        <w:fldChar w:fldCharType="separate"/>
      </w:r>
      <w:r w:rsidR="00500143">
        <w:t>11-5</w:t>
      </w:r>
      <w:r>
        <w:fldChar w:fldCharType="end"/>
      </w:r>
    </w:p>
    <w:p w14:paraId="52E86B1E" w14:textId="25ED1A8D" w:rsidR="00B67E24" w:rsidRDefault="00B67E24">
      <w:pPr>
        <w:pStyle w:val="TOC3"/>
        <w:tabs>
          <w:tab w:val="left" w:pos="1954"/>
        </w:tabs>
        <w:rPr>
          <w:rFonts w:asciiTheme="minorHAnsi" w:eastAsiaTheme="minorEastAsia" w:hAnsiTheme="minorHAnsi" w:cstheme="minorBidi"/>
          <w:sz w:val="22"/>
          <w:szCs w:val="22"/>
        </w:rPr>
      </w:pPr>
      <w:r>
        <w:t>11.1.4</w:t>
      </w:r>
      <w:r>
        <w:rPr>
          <w:rFonts w:asciiTheme="minorHAnsi" w:eastAsiaTheme="minorEastAsia" w:hAnsiTheme="minorHAnsi" w:cstheme="minorBidi"/>
          <w:sz w:val="22"/>
          <w:szCs w:val="22"/>
        </w:rPr>
        <w:tab/>
      </w:r>
      <w:r>
        <w:t>Identification of Base and Alternative Input Sets Using Optimization Techniques</w:t>
      </w:r>
      <w:r>
        <w:tab/>
      </w:r>
      <w:r>
        <w:fldChar w:fldCharType="begin"/>
      </w:r>
      <w:r>
        <w:instrText xml:space="preserve"> PAGEREF _Toc510104490 \h </w:instrText>
      </w:r>
      <w:r>
        <w:fldChar w:fldCharType="separate"/>
      </w:r>
      <w:r w:rsidR="00500143">
        <w:t>11-6</w:t>
      </w:r>
      <w:r>
        <w:fldChar w:fldCharType="end"/>
      </w:r>
    </w:p>
    <w:p w14:paraId="39624BE5" w14:textId="38BA6ADE" w:rsidR="00B67E24" w:rsidRDefault="00B67E24">
      <w:pPr>
        <w:pStyle w:val="TOC2"/>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Internal and External Validation of the Model</w:t>
      </w:r>
      <w:r>
        <w:tab/>
      </w:r>
      <w:r>
        <w:fldChar w:fldCharType="begin"/>
      </w:r>
      <w:r>
        <w:instrText xml:space="preserve"> PAGEREF _Toc510104491 \h </w:instrText>
      </w:r>
      <w:r>
        <w:fldChar w:fldCharType="separate"/>
      </w:r>
      <w:r w:rsidR="00500143">
        <w:t>11-8</w:t>
      </w:r>
      <w:r>
        <w:fldChar w:fldCharType="end"/>
      </w:r>
    </w:p>
    <w:p w14:paraId="0B065C8C" w14:textId="1363F38D" w:rsidR="00B67E24" w:rsidRDefault="00B67E24">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Model Sensitivity and Uncertainty Analyses</w:t>
      </w:r>
      <w:r>
        <w:tab/>
      </w:r>
      <w:r>
        <w:fldChar w:fldCharType="begin"/>
      </w:r>
      <w:r>
        <w:instrText xml:space="preserve"> PAGEREF _Toc510104492 \h </w:instrText>
      </w:r>
      <w:r>
        <w:fldChar w:fldCharType="separate"/>
      </w:r>
      <w:r w:rsidR="00500143">
        <w:t>12-1</w:t>
      </w:r>
      <w:r>
        <w:fldChar w:fldCharType="end"/>
      </w:r>
    </w:p>
    <w:p w14:paraId="0E191DDC" w14:textId="4EDB5BE7" w:rsidR="00B67E24" w:rsidRDefault="00B67E24">
      <w:pPr>
        <w:pStyle w:val="TOC2"/>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Elementary Effects Method</w:t>
      </w:r>
      <w:r>
        <w:tab/>
      </w:r>
      <w:r>
        <w:fldChar w:fldCharType="begin"/>
      </w:r>
      <w:r>
        <w:instrText xml:space="preserve"> PAGEREF _Toc510104493 \h </w:instrText>
      </w:r>
      <w:r>
        <w:fldChar w:fldCharType="separate"/>
      </w:r>
      <w:r w:rsidR="00500143">
        <w:t>12-1</w:t>
      </w:r>
      <w:r>
        <w:fldChar w:fldCharType="end"/>
      </w:r>
    </w:p>
    <w:p w14:paraId="749B40D5" w14:textId="49C90325" w:rsidR="00B67E24" w:rsidRDefault="00B67E24">
      <w:pPr>
        <w:pStyle w:val="TOC2"/>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rsidRPr="00BD76CF">
        <w:rPr>
          <w:rFonts w:cs="Arial"/>
        </w:rPr>
        <w:t>Values and Sources for Key Model Parameters</w:t>
      </w:r>
      <w:r>
        <w:tab/>
      </w:r>
      <w:r>
        <w:fldChar w:fldCharType="begin"/>
      </w:r>
      <w:r>
        <w:instrText xml:space="preserve"> PAGEREF _Toc510104494 \h </w:instrText>
      </w:r>
      <w:r>
        <w:fldChar w:fldCharType="separate"/>
      </w:r>
      <w:r w:rsidR="00500143">
        <w:t>12-7</w:t>
      </w:r>
      <w:r>
        <w:fldChar w:fldCharType="end"/>
      </w:r>
    </w:p>
    <w:p w14:paraId="03132943" w14:textId="41D6C4E9" w:rsidR="00B67E24" w:rsidRDefault="00B67E24">
      <w:pPr>
        <w:pStyle w:val="TOC2"/>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One-Way Sensitivity Analysis</w:t>
      </w:r>
      <w:r>
        <w:tab/>
      </w:r>
      <w:r>
        <w:fldChar w:fldCharType="begin"/>
      </w:r>
      <w:r>
        <w:instrText xml:space="preserve"> PAGEREF _Toc510104495 \h </w:instrText>
      </w:r>
      <w:r>
        <w:fldChar w:fldCharType="separate"/>
      </w:r>
      <w:r w:rsidR="00500143">
        <w:t>12-10</w:t>
      </w:r>
      <w:r>
        <w:fldChar w:fldCharType="end"/>
      </w:r>
    </w:p>
    <w:p w14:paraId="1122A8D0" w14:textId="0ECE7FC2" w:rsidR="00B67E24" w:rsidRDefault="00B67E24">
      <w:pPr>
        <w:pStyle w:val="TOC2"/>
        <w:rPr>
          <w:rFonts w:asciiTheme="minorHAnsi" w:eastAsiaTheme="minorEastAsia" w:hAnsiTheme="minorHAnsi" w:cstheme="minorBidi"/>
          <w:sz w:val="22"/>
          <w:szCs w:val="22"/>
        </w:rPr>
      </w:pPr>
      <w:r>
        <w:t>12.4</w:t>
      </w:r>
      <w:r>
        <w:rPr>
          <w:rFonts w:asciiTheme="minorHAnsi" w:eastAsiaTheme="minorEastAsia" w:hAnsiTheme="minorHAnsi" w:cstheme="minorBidi"/>
          <w:sz w:val="22"/>
          <w:szCs w:val="22"/>
        </w:rPr>
        <w:tab/>
      </w:r>
      <w:r>
        <w:t>Uncertainty Analysis</w:t>
      </w:r>
      <w:r>
        <w:tab/>
      </w:r>
      <w:r>
        <w:fldChar w:fldCharType="begin"/>
      </w:r>
      <w:r>
        <w:instrText xml:space="preserve"> PAGEREF _Toc510104496 \h </w:instrText>
      </w:r>
      <w:r>
        <w:fldChar w:fldCharType="separate"/>
      </w:r>
      <w:r w:rsidR="00500143">
        <w:t>12-11</w:t>
      </w:r>
      <w:r>
        <w:fldChar w:fldCharType="end"/>
      </w:r>
    </w:p>
    <w:p w14:paraId="362828D8" w14:textId="3FEB6F78" w:rsidR="008E0A3C" w:rsidRPr="00783571" w:rsidRDefault="008E0A3C" w:rsidP="007C5544">
      <w:pPr>
        <w:pStyle w:val="TOC1"/>
        <w:rPr>
          <w:noProof w:val="0"/>
        </w:rPr>
      </w:pPr>
      <w:r w:rsidRPr="00783571">
        <w:rPr>
          <w:noProof w:val="0"/>
        </w:rPr>
        <w:fldChar w:fldCharType="end"/>
      </w:r>
      <w:r w:rsidRPr="00783571">
        <w:rPr>
          <w:noProof w:val="0"/>
        </w:rPr>
        <w:t>References</w:t>
      </w:r>
      <w:r w:rsidRPr="00783571">
        <w:rPr>
          <w:noProof w:val="0"/>
        </w:rPr>
        <w:tab/>
        <w:t>R-1</w:t>
      </w:r>
    </w:p>
    <w:p w14:paraId="3DB3BED0" w14:textId="77777777" w:rsidR="007C5544" w:rsidRPr="00783571" w:rsidRDefault="007C5544" w:rsidP="007C5544">
      <w:pPr>
        <w:pStyle w:val="TOC1"/>
        <w:rPr>
          <w:noProof w:val="0"/>
        </w:rPr>
      </w:pPr>
      <w:r w:rsidRPr="00783571">
        <w:rPr>
          <w:noProof w:val="0"/>
        </w:rPr>
        <w:t>Appendix</w:t>
      </w:r>
    </w:p>
    <w:p w14:paraId="5429BA5C" w14:textId="5BFCF0A6" w:rsidR="006912BF" w:rsidRPr="00783571" w:rsidRDefault="00DE6578" w:rsidP="006912BF">
      <w:pPr>
        <w:pStyle w:val="TOC1"/>
        <w:rPr>
          <w:noProof w:val="0"/>
        </w:rPr>
      </w:pPr>
      <w:r w:rsidRPr="00783571">
        <w:rPr>
          <w:noProof w:val="0"/>
        </w:rPr>
        <w:fldChar w:fldCharType="begin"/>
      </w:r>
      <w:r w:rsidRPr="00783571">
        <w:rPr>
          <w:noProof w:val="0"/>
        </w:rPr>
        <w:instrText xml:space="preserve"> TOC \t "App Heading 1,1" </w:instrText>
      </w:r>
      <w:r w:rsidRPr="00783571">
        <w:rPr>
          <w:noProof w:val="0"/>
        </w:rPr>
        <w:fldChar w:fldCharType="separate"/>
      </w:r>
      <w:r w:rsidR="005D5BE6" w:rsidRPr="00783571">
        <w:rPr>
          <w:noProof w:val="0"/>
        </w:rPr>
        <w:t>A: Definitions</w:t>
      </w:r>
      <w:r w:rsidR="005D5BE6" w:rsidRPr="00783571">
        <w:rPr>
          <w:noProof w:val="0"/>
        </w:rPr>
        <w:tab/>
      </w:r>
      <w:r w:rsidR="00AB7B2C" w:rsidRPr="00783571">
        <w:rPr>
          <w:noProof w:val="0"/>
        </w:rPr>
        <w:t>A-</w:t>
      </w:r>
      <w:r w:rsidR="005D5BE6" w:rsidRPr="00783571">
        <w:rPr>
          <w:noProof w:val="0"/>
        </w:rPr>
        <w:fldChar w:fldCharType="begin"/>
      </w:r>
      <w:r w:rsidR="005D5BE6" w:rsidRPr="00783571">
        <w:rPr>
          <w:noProof w:val="0"/>
        </w:rPr>
        <w:instrText xml:space="preserve"> PAGEREF _Toc438565047 \h </w:instrText>
      </w:r>
      <w:r w:rsidR="005D5BE6" w:rsidRPr="00783571">
        <w:rPr>
          <w:noProof w:val="0"/>
        </w:rPr>
      </w:r>
      <w:r w:rsidR="005D5BE6" w:rsidRPr="00783571">
        <w:rPr>
          <w:noProof w:val="0"/>
        </w:rPr>
        <w:fldChar w:fldCharType="separate"/>
      </w:r>
      <w:r w:rsidR="00C977F9" w:rsidRPr="00783571">
        <w:t>3</w:t>
      </w:r>
      <w:r w:rsidR="005D5BE6" w:rsidRPr="00783571">
        <w:rPr>
          <w:noProof w:val="0"/>
        </w:rPr>
        <w:fldChar w:fldCharType="end"/>
      </w:r>
      <w:r w:rsidRPr="00783571">
        <w:rPr>
          <w:noProof w:val="0"/>
        </w:rPr>
        <w:fldChar w:fldCharType="end"/>
      </w:r>
    </w:p>
    <w:p w14:paraId="4402D72A" w14:textId="77777777" w:rsidR="006912BF" w:rsidRPr="00783571" w:rsidRDefault="006912BF">
      <w:pPr>
        <w:rPr>
          <w:b/>
        </w:rPr>
      </w:pPr>
      <w:r w:rsidRPr="00783571">
        <w:br w:type="page"/>
      </w:r>
    </w:p>
    <w:p w14:paraId="5FDF33D6" w14:textId="77777777" w:rsidR="0087433D" w:rsidRPr="00783571" w:rsidRDefault="0087433D" w:rsidP="00D22EA6">
      <w:pPr>
        <w:pStyle w:val="toc0"/>
      </w:pPr>
      <w:r w:rsidRPr="00783571">
        <w:t>Figures</w:t>
      </w:r>
    </w:p>
    <w:p w14:paraId="10D47F79" w14:textId="77777777" w:rsidR="00994A2F" w:rsidRPr="00783571" w:rsidRDefault="00994A2F" w:rsidP="00B17F98">
      <w:pPr>
        <w:pStyle w:val="TOCHeader"/>
      </w:pPr>
      <w:r w:rsidRPr="00783571">
        <w:t>Number</w:t>
      </w:r>
      <w:r w:rsidRPr="00783571">
        <w:tab/>
        <w:t>Page</w:t>
      </w:r>
    </w:p>
    <w:p w14:paraId="54FB1389" w14:textId="056AA9E3" w:rsidR="00414F6C" w:rsidRPr="00783571" w:rsidRDefault="00156EC1">
      <w:pPr>
        <w:pStyle w:val="TOC5"/>
        <w:tabs>
          <w:tab w:val="left" w:pos="1800"/>
        </w:tabs>
        <w:rPr>
          <w:rFonts w:asciiTheme="minorHAnsi" w:eastAsiaTheme="minorEastAsia" w:hAnsiTheme="minorHAnsi" w:cstheme="minorBidi"/>
          <w:sz w:val="22"/>
          <w:szCs w:val="22"/>
        </w:rPr>
      </w:pPr>
      <w:r w:rsidRPr="00783571">
        <w:rPr>
          <w:noProof w:val="0"/>
        </w:rPr>
        <w:fldChar w:fldCharType="begin"/>
      </w:r>
      <w:r w:rsidRPr="00783571">
        <w:rPr>
          <w:noProof w:val="0"/>
        </w:rPr>
        <w:instrText xml:space="preserve"> TOC \t "Figure Title,5" </w:instrText>
      </w:r>
      <w:r w:rsidRPr="00783571">
        <w:rPr>
          <w:noProof w:val="0"/>
        </w:rPr>
        <w:fldChar w:fldCharType="separate"/>
      </w:r>
      <w:r w:rsidR="00414F6C" w:rsidRPr="00783571">
        <w:t>3.1.</w:t>
      </w:r>
      <w:r w:rsidR="00414F6C" w:rsidRPr="00783571">
        <w:rPr>
          <w:rFonts w:asciiTheme="minorHAnsi" w:eastAsiaTheme="minorEastAsia" w:hAnsiTheme="minorHAnsi" w:cstheme="minorBidi"/>
          <w:sz w:val="22"/>
          <w:szCs w:val="22"/>
        </w:rPr>
        <w:tab/>
      </w:r>
      <w:r w:rsidR="00414F6C" w:rsidRPr="00783571">
        <w:t>Model Flow Diagram between Compartments due to HIV Infection, Progression along the Care Continuum, Progression of HIV, and Death and Aging</w:t>
      </w:r>
      <w:r w:rsidR="00414F6C" w:rsidRPr="00783571">
        <w:tab/>
      </w:r>
      <w:r w:rsidR="00414F6C" w:rsidRPr="00783571">
        <w:tab/>
      </w:r>
      <w:r w:rsidR="00414F6C" w:rsidRPr="00783571">
        <w:fldChar w:fldCharType="begin"/>
      </w:r>
      <w:r w:rsidR="00414F6C" w:rsidRPr="00783571">
        <w:instrText xml:space="preserve"> PAGEREF _Toc498078972 \h </w:instrText>
      </w:r>
      <w:r w:rsidR="00414F6C" w:rsidRPr="00783571">
        <w:fldChar w:fldCharType="separate"/>
      </w:r>
      <w:r w:rsidR="00500143">
        <w:t>3-5</w:t>
      </w:r>
      <w:r w:rsidR="00414F6C" w:rsidRPr="00783571">
        <w:fldChar w:fldCharType="end"/>
      </w:r>
    </w:p>
    <w:p w14:paraId="3F2958DE" w14:textId="269E54FB" w:rsidR="00414F6C" w:rsidRPr="00783571" w:rsidRDefault="00414F6C">
      <w:pPr>
        <w:pStyle w:val="TOC5"/>
        <w:tabs>
          <w:tab w:val="left" w:pos="1800"/>
        </w:tabs>
        <w:rPr>
          <w:rFonts w:asciiTheme="minorHAnsi" w:eastAsiaTheme="minorEastAsia" w:hAnsiTheme="minorHAnsi" w:cstheme="minorBidi"/>
          <w:sz w:val="22"/>
          <w:szCs w:val="22"/>
        </w:rPr>
      </w:pPr>
      <w:r w:rsidRPr="00783571">
        <w:t>9.1.</w:t>
      </w:r>
      <w:r w:rsidRPr="00783571">
        <w:rPr>
          <w:rFonts w:asciiTheme="minorHAnsi" w:eastAsiaTheme="minorEastAsia" w:hAnsiTheme="minorHAnsi" w:cstheme="minorBidi"/>
          <w:sz w:val="22"/>
          <w:szCs w:val="22"/>
        </w:rPr>
        <w:tab/>
      </w:r>
      <w:r w:rsidRPr="00783571">
        <w:t>PrEP Coverage of MSM as a Function of Time for Different Levels of Efficacy for the Scenario When Current Care Continuum Levels Were Maintained</w:t>
      </w:r>
      <w:r w:rsidRPr="00783571">
        <w:tab/>
      </w:r>
      <w:r w:rsidRPr="00783571">
        <w:fldChar w:fldCharType="begin"/>
      </w:r>
      <w:r w:rsidRPr="00783571">
        <w:instrText xml:space="preserve"> PAGEREF _Toc498078973 \h </w:instrText>
      </w:r>
      <w:r w:rsidRPr="00783571">
        <w:fldChar w:fldCharType="separate"/>
      </w:r>
      <w:r w:rsidR="00500143">
        <w:t>9-3</w:t>
      </w:r>
      <w:r w:rsidRPr="00783571">
        <w:fldChar w:fldCharType="end"/>
      </w:r>
    </w:p>
    <w:p w14:paraId="30431E48" w14:textId="68041AFE" w:rsidR="00414F6C" w:rsidRPr="00783571" w:rsidRDefault="00414F6C">
      <w:pPr>
        <w:pStyle w:val="TOC5"/>
        <w:tabs>
          <w:tab w:val="left" w:pos="1800"/>
        </w:tabs>
        <w:rPr>
          <w:rFonts w:asciiTheme="minorHAnsi" w:eastAsiaTheme="minorEastAsia" w:hAnsiTheme="minorHAnsi" w:cstheme="minorBidi"/>
          <w:sz w:val="22"/>
          <w:szCs w:val="22"/>
        </w:rPr>
      </w:pPr>
      <w:r w:rsidRPr="00783571">
        <w:t>12.1</w:t>
      </w:r>
      <w:r w:rsidRPr="00783571">
        <w:rPr>
          <w:rFonts w:asciiTheme="minorHAnsi" w:eastAsiaTheme="minorEastAsia" w:hAnsiTheme="minorHAnsi" w:cstheme="minorBidi"/>
          <w:sz w:val="22"/>
          <w:szCs w:val="22"/>
        </w:rPr>
        <w:tab/>
      </w:r>
      <w:r w:rsidRPr="00783571">
        <w:t>Elementary Effects Analysis Results for Total U.S. HIV Incidence in 2020: Standard Deviation of the Elementary Effects Versus Mean of Absolute Elementary Effects for 52 Inputs (Using Input Numbers Defined in Table 12.1)</w:t>
      </w:r>
      <w:r w:rsidRPr="00783571">
        <w:tab/>
      </w:r>
      <w:r w:rsidRPr="00783571">
        <w:fldChar w:fldCharType="begin"/>
      </w:r>
      <w:r w:rsidRPr="00783571">
        <w:instrText xml:space="preserve"> PAGEREF _Toc498078974 \h </w:instrText>
      </w:r>
      <w:r w:rsidRPr="00783571">
        <w:fldChar w:fldCharType="separate"/>
      </w:r>
      <w:r w:rsidR="00500143">
        <w:t>12-7</w:t>
      </w:r>
      <w:r w:rsidRPr="00783571">
        <w:fldChar w:fldCharType="end"/>
      </w:r>
    </w:p>
    <w:p w14:paraId="19ED7DA2" w14:textId="008C5E97" w:rsidR="00414F6C" w:rsidRPr="00783571" w:rsidRDefault="00414F6C">
      <w:pPr>
        <w:pStyle w:val="TOC5"/>
        <w:tabs>
          <w:tab w:val="left" w:pos="1800"/>
        </w:tabs>
        <w:rPr>
          <w:rFonts w:asciiTheme="minorHAnsi" w:eastAsiaTheme="minorEastAsia" w:hAnsiTheme="minorHAnsi" w:cstheme="minorBidi"/>
          <w:sz w:val="22"/>
          <w:szCs w:val="22"/>
        </w:rPr>
      </w:pPr>
      <w:r w:rsidRPr="00783571">
        <w:t>12.2.</w:t>
      </w:r>
      <w:r w:rsidRPr="00783571">
        <w:rPr>
          <w:rFonts w:asciiTheme="minorHAnsi" w:eastAsiaTheme="minorEastAsia" w:hAnsiTheme="minorHAnsi" w:cstheme="minorBidi"/>
          <w:sz w:val="22"/>
          <w:szCs w:val="22"/>
        </w:rPr>
        <w:tab/>
      </w:r>
      <w:r w:rsidRPr="00783571">
        <w:t>One-Way Sensitivity Analysis Results: Impact of ±20% Relative Change in Input Parameter Values on the Total U.S. HIV Incidence in 2020</w:t>
      </w:r>
      <w:r w:rsidRPr="00783571">
        <w:tab/>
      </w:r>
      <w:r w:rsidRPr="00783571">
        <w:fldChar w:fldCharType="begin"/>
      </w:r>
      <w:r w:rsidRPr="00783571">
        <w:instrText xml:space="preserve"> PAGEREF _Toc498078975 \h </w:instrText>
      </w:r>
      <w:r w:rsidRPr="00783571">
        <w:fldChar w:fldCharType="separate"/>
      </w:r>
      <w:r w:rsidR="00500143">
        <w:t>12-11</w:t>
      </w:r>
      <w:r w:rsidRPr="00783571">
        <w:fldChar w:fldCharType="end"/>
      </w:r>
    </w:p>
    <w:p w14:paraId="62B4AA0E" w14:textId="4BA6B1AD" w:rsidR="0087433D" w:rsidRPr="00783571" w:rsidRDefault="00156EC1" w:rsidP="006577DA">
      <w:r w:rsidRPr="00783571">
        <w:fldChar w:fldCharType="end"/>
      </w:r>
    </w:p>
    <w:p w14:paraId="47ECC363" w14:textId="77777777" w:rsidR="00156EC1" w:rsidRPr="00783571" w:rsidRDefault="00156EC1"/>
    <w:p w14:paraId="611080CF" w14:textId="77777777" w:rsidR="0087433D" w:rsidRPr="00783571" w:rsidRDefault="0087433D" w:rsidP="00D22EA6">
      <w:pPr>
        <w:pStyle w:val="toc0"/>
      </w:pPr>
      <w:r w:rsidRPr="00783571">
        <w:t>Tables</w:t>
      </w:r>
    </w:p>
    <w:p w14:paraId="512A68DA" w14:textId="77777777" w:rsidR="00994A2F" w:rsidRPr="00783571" w:rsidRDefault="00994A2F" w:rsidP="00B17F98">
      <w:pPr>
        <w:pStyle w:val="TOCHeader"/>
      </w:pPr>
      <w:r w:rsidRPr="00783571">
        <w:t>Number</w:t>
      </w:r>
      <w:r w:rsidRPr="00783571">
        <w:tab/>
        <w:t>Page</w:t>
      </w:r>
    </w:p>
    <w:p w14:paraId="5BADE417" w14:textId="241571F1" w:rsidR="00EF1C48" w:rsidRDefault="00156EC1">
      <w:pPr>
        <w:pStyle w:val="TOC5"/>
        <w:tabs>
          <w:tab w:val="left" w:pos="1800"/>
        </w:tabs>
        <w:rPr>
          <w:rFonts w:asciiTheme="minorHAnsi" w:eastAsiaTheme="minorEastAsia" w:hAnsiTheme="minorHAnsi" w:cstheme="minorBidi"/>
          <w:sz w:val="22"/>
          <w:szCs w:val="22"/>
        </w:rPr>
      </w:pPr>
      <w:r w:rsidRPr="00783571">
        <w:rPr>
          <w:noProof w:val="0"/>
        </w:rPr>
        <w:fldChar w:fldCharType="begin"/>
      </w:r>
      <w:r w:rsidRPr="00783571">
        <w:rPr>
          <w:noProof w:val="0"/>
        </w:rPr>
        <w:instrText xml:space="preserve"> TOC \t "Table Title,5" </w:instrText>
      </w:r>
      <w:r w:rsidRPr="00783571">
        <w:rPr>
          <w:noProof w:val="0"/>
        </w:rPr>
        <w:fldChar w:fldCharType="separate"/>
      </w:r>
      <w:r w:rsidR="00EF1C48">
        <w:t>3.1.</w:t>
      </w:r>
      <w:r w:rsidR="00EF1C48">
        <w:rPr>
          <w:rFonts w:asciiTheme="minorHAnsi" w:eastAsiaTheme="minorEastAsia" w:hAnsiTheme="minorHAnsi" w:cstheme="minorBidi"/>
          <w:sz w:val="22"/>
          <w:szCs w:val="22"/>
        </w:rPr>
        <w:tab/>
      </w:r>
      <w:r w:rsidR="00EF1C48">
        <w:t>Population Stratification Criteria and Categories Applied in Each</w:t>
      </w:r>
      <w:r w:rsidR="00EF1C48">
        <w:tab/>
      </w:r>
      <w:r w:rsidR="00EF1C48">
        <w:fldChar w:fldCharType="begin"/>
      </w:r>
      <w:r w:rsidR="00EF1C48">
        <w:instrText xml:space="preserve"> PAGEREF _Toc510104012 \h </w:instrText>
      </w:r>
      <w:r w:rsidR="00EF1C48">
        <w:fldChar w:fldCharType="separate"/>
      </w:r>
      <w:r w:rsidR="00500143">
        <w:t>3-1</w:t>
      </w:r>
      <w:r w:rsidR="00EF1C48">
        <w:fldChar w:fldCharType="end"/>
      </w:r>
    </w:p>
    <w:p w14:paraId="39141BED" w14:textId="65C0EF09" w:rsidR="00EF1C48" w:rsidRDefault="00EF1C48">
      <w:pPr>
        <w:pStyle w:val="TOC5"/>
        <w:tabs>
          <w:tab w:val="left" w:pos="1800"/>
        </w:tabs>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Percentage PWID and MSM, Initial Population Size, HIV Prevalence of High- Versus Low-Risk Levels, HIV Prevalence, and Percentage High Risk in Initial Population (2006)</w:t>
      </w:r>
      <w:r>
        <w:tab/>
      </w:r>
      <w:r>
        <w:fldChar w:fldCharType="begin"/>
      </w:r>
      <w:r>
        <w:instrText xml:space="preserve"> PAGEREF _Toc510104013 \h </w:instrText>
      </w:r>
      <w:r>
        <w:fldChar w:fldCharType="separate"/>
      </w:r>
      <w:r w:rsidR="00500143">
        <w:t>4-2</w:t>
      </w:r>
      <w:r>
        <w:fldChar w:fldCharType="end"/>
      </w:r>
    </w:p>
    <w:p w14:paraId="53801735" w14:textId="359F125C" w:rsidR="00EF1C48" w:rsidRDefault="00EF1C48">
      <w:pPr>
        <w:pStyle w:val="TOC5"/>
        <w:tabs>
          <w:tab w:val="left" w:pos="1800"/>
        </w:tabs>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Distribution of Initial Population (2006) across Age Groups, Percentage Circumcised, and Percentage of Each Transmission Group Sexually Active</w:t>
      </w:r>
      <w:r>
        <w:tab/>
      </w:r>
      <w:r>
        <w:tab/>
      </w:r>
      <w:r>
        <w:fldChar w:fldCharType="begin"/>
      </w:r>
      <w:r>
        <w:instrText xml:space="preserve"> PAGEREF _Toc510104014 \h </w:instrText>
      </w:r>
      <w:r>
        <w:fldChar w:fldCharType="separate"/>
      </w:r>
      <w:r w:rsidR="00500143">
        <w:t>4-6</w:t>
      </w:r>
      <w:r>
        <w:fldChar w:fldCharType="end"/>
      </w:r>
    </w:p>
    <w:p w14:paraId="74072A5C" w14:textId="32902CBD" w:rsidR="00EF1C48" w:rsidRDefault="00EF1C48">
      <w:pPr>
        <w:pStyle w:val="TOC5"/>
        <w:tabs>
          <w:tab w:val="left" w:pos="1800"/>
        </w:tabs>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Distribution of Initial HIV-Infected Population across Continuum-of-Care Stages by Race/Ethnicity (2006)</w:t>
      </w:r>
      <w:r>
        <w:tab/>
      </w:r>
      <w:r>
        <w:fldChar w:fldCharType="begin"/>
      </w:r>
      <w:r>
        <w:instrText xml:space="preserve"> PAGEREF _Toc510104015 \h </w:instrText>
      </w:r>
      <w:r>
        <w:fldChar w:fldCharType="separate"/>
      </w:r>
      <w:r w:rsidR="00500143">
        <w:t>4-7</w:t>
      </w:r>
      <w:r>
        <w:fldChar w:fldCharType="end"/>
      </w:r>
    </w:p>
    <w:p w14:paraId="51F11105" w14:textId="601115EA" w:rsidR="00EF1C48" w:rsidRDefault="00EF1C48">
      <w:pPr>
        <w:pStyle w:val="TOC5"/>
        <w:tabs>
          <w:tab w:val="left" w:pos="1800"/>
        </w:tabs>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Distribution of Initial HIV-Infected Population across HIV Stages, by Continuum-of-Care Stage</w:t>
      </w:r>
      <w:r>
        <w:tab/>
      </w:r>
      <w:r>
        <w:fldChar w:fldCharType="begin"/>
      </w:r>
      <w:r>
        <w:instrText xml:space="preserve"> PAGEREF _Toc510104016 \h </w:instrText>
      </w:r>
      <w:r>
        <w:fldChar w:fldCharType="separate"/>
      </w:r>
      <w:r w:rsidR="00500143">
        <w:t>4-8</w:t>
      </w:r>
      <w:r>
        <w:fldChar w:fldCharType="end"/>
      </w:r>
    </w:p>
    <w:p w14:paraId="2826C190" w14:textId="0A82A840" w:rsidR="00EF1C48" w:rsidRDefault="00EF1C48">
      <w:pPr>
        <w:pStyle w:val="TOC5"/>
        <w:tabs>
          <w:tab w:val="left" w:pos="1800"/>
        </w:tabs>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Rate of Aging into Population and Inputs that Determine All HIV Progression and Death Rates</w:t>
      </w:r>
      <w:r>
        <w:tab/>
      </w:r>
      <w:r>
        <w:fldChar w:fldCharType="begin"/>
      </w:r>
      <w:r>
        <w:instrText xml:space="preserve"> PAGEREF _Toc510104017 \h </w:instrText>
      </w:r>
      <w:r>
        <w:fldChar w:fldCharType="separate"/>
      </w:r>
      <w:r w:rsidR="00500143">
        <w:t>5-3</w:t>
      </w:r>
      <w:r>
        <w:fldChar w:fldCharType="end"/>
      </w:r>
    </w:p>
    <w:p w14:paraId="71DC757F" w14:textId="517D447D" w:rsidR="00EF1C48" w:rsidRDefault="00EF1C48">
      <w:pPr>
        <w:pStyle w:val="TOC5"/>
        <w:tabs>
          <w:tab w:val="left" w:pos="1800"/>
        </w:tabs>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Inputs for Calculating Rates of Undiagnosed HIV-Infected and HIV-Uninfected Individuals Getting Tested</w:t>
      </w:r>
      <w:r>
        <w:tab/>
      </w:r>
      <w:r>
        <w:fldChar w:fldCharType="begin"/>
      </w:r>
      <w:r>
        <w:instrText xml:space="preserve"> PAGEREF _Toc510104018 \h </w:instrText>
      </w:r>
      <w:r>
        <w:fldChar w:fldCharType="separate"/>
      </w:r>
      <w:r w:rsidR="00500143">
        <w:t>5-6</w:t>
      </w:r>
      <w:r>
        <w:fldChar w:fldCharType="end"/>
      </w:r>
    </w:p>
    <w:p w14:paraId="31946E37" w14:textId="4DB953D0" w:rsidR="00EF1C48" w:rsidRDefault="00EF1C48">
      <w:pPr>
        <w:pStyle w:val="TOC5"/>
        <w:tabs>
          <w:tab w:val="left" w:pos="1800"/>
        </w:tabs>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Calculated Annual Rate of an HIV-Infected Undiagnosed or HIV-Uninfected Individual Getting Tested in Second and Third Time Periods</w:t>
      </w:r>
      <w:r>
        <w:tab/>
      </w:r>
      <w:r>
        <w:fldChar w:fldCharType="begin"/>
      </w:r>
      <w:r>
        <w:instrText xml:space="preserve"> PAGEREF _Toc510104019 \h </w:instrText>
      </w:r>
      <w:r>
        <w:fldChar w:fldCharType="separate"/>
      </w:r>
      <w:r w:rsidR="00500143">
        <w:t>5-7</w:t>
      </w:r>
      <w:r>
        <w:fldChar w:fldCharType="end"/>
      </w:r>
    </w:p>
    <w:p w14:paraId="26550F2C" w14:textId="4AEBA2B5" w:rsidR="00EF1C48" w:rsidRDefault="00EF1C48">
      <w:pPr>
        <w:pStyle w:val="TOC5"/>
        <w:tabs>
          <w:tab w:val="left" w:pos="1800"/>
        </w:tabs>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Testing Performance Parameters</w:t>
      </w:r>
      <w:r>
        <w:tab/>
      </w:r>
      <w:r>
        <w:fldChar w:fldCharType="begin"/>
      </w:r>
      <w:r>
        <w:instrText xml:space="preserve"> PAGEREF _Toc510104020 \h </w:instrText>
      </w:r>
      <w:r>
        <w:fldChar w:fldCharType="separate"/>
      </w:r>
      <w:r w:rsidR="00500143">
        <w:t>5-8</w:t>
      </w:r>
      <w:r>
        <w:fldChar w:fldCharType="end"/>
      </w:r>
    </w:p>
    <w:p w14:paraId="2833C0A3" w14:textId="4CCDD671" w:rsidR="00EF1C48" w:rsidRDefault="00EF1C48">
      <w:pPr>
        <w:pStyle w:val="TOC5"/>
        <w:tabs>
          <w:tab w:val="left" w:pos="1800"/>
        </w:tabs>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Annual Probability of Being Prescribed ART in Second and Third Time Periods</w:t>
      </w:r>
      <w:r>
        <w:tab/>
      </w:r>
      <w:r>
        <w:fldChar w:fldCharType="begin"/>
      </w:r>
      <w:r>
        <w:instrText xml:space="preserve"> PAGEREF _Toc510104021 \h </w:instrText>
      </w:r>
      <w:r>
        <w:fldChar w:fldCharType="separate"/>
      </w:r>
      <w:r w:rsidR="00500143">
        <w:t>5-9</w:t>
      </w:r>
      <w:r>
        <w:fldChar w:fldCharType="end"/>
      </w:r>
    </w:p>
    <w:p w14:paraId="6471E2C9" w14:textId="0FA87AFB" w:rsidR="00EF1C48" w:rsidRDefault="00EF1C48">
      <w:pPr>
        <w:pStyle w:val="TOC5"/>
        <w:tabs>
          <w:tab w:val="left" w:pos="1800"/>
        </w:tabs>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Other Continuum-of-Care Probabilities</w:t>
      </w:r>
      <w:r>
        <w:tab/>
      </w:r>
      <w:r>
        <w:fldChar w:fldCharType="begin"/>
      </w:r>
      <w:r>
        <w:instrText xml:space="preserve"> PAGEREF _Toc510104022 \h </w:instrText>
      </w:r>
      <w:r>
        <w:fldChar w:fldCharType="separate"/>
      </w:r>
      <w:r w:rsidR="00500143">
        <w:t>5-10</w:t>
      </w:r>
      <w:r>
        <w:fldChar w:fldCharType="end"/>
      </w:r>
    </w:p>
    <w:p w14:paraId="0016345B" w14:textId="4D829F10" w:rsidR="00EF1C48" w:rsidRDefault="00EF1C48">
      <w:pPr>
        <w:pStyle w:val="TOC5"/>
        <w:tabs>
          <w:tab w:val="left" w:pos="1800"/>
        </w:tabs>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Progression along the Care Continuum (and Initiation of PrEP) Affected by Using Interval-Based Testing or Allocation Method (in Third Time Period Only)</w:t>
      </w:r>
      <w:r>
        <w:tab/>
      </w:r>
      <w:r>
        <w:fldChar w:fldCharType="begin"/>
      </w:r>
      <w:r>
        <w:instrText xml:space="preserve"> PAGEREF _Toc510104023 \h </w:instrText>
      </w:r>
      <w:r>
        <w:fldChar w:fldCharType="separate"/>
      </w:r>
      <w:r w:rsidR="00500143">
        <w:t>5-14</w:t>
      </w:r>
      <w:r>
        <w:fldChar w:fldCharType="end"/>
      </w:r>
    </w:p>
    <w:p w14:paraId="6EE339C8" w14:textId="271D0547" w:rsidR="00EF1C48" w:rsidRDefault="00EF1C48">
      <w:pPr>
        <w:pStyle w:val="TOC5"/>
        <w:tabs>
          <w:tab w:val="left" w:pos="1800"/>
        </w:tabs>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Distribution of Sexual Partners by Sex and Transmission Group</w:t>
      </w:r>
      <w:r>
        <w:tab/>
      </w:r>
      <w:r>
        <w:fldChar w:fldCharType="begin"/>
      </w:r>
      <w:r>
        <w:instrText xml:space="preserve"> PAGEREF _Toc510104024 \h </w:instrText>
      </w:r>
      <w:r>
        <w:fldChar w:fldCharType="separate"/>
      </w:r>
      <w:r w:rsidR="00500143">
        <w:t>6-2</w:t>
      </w:r>
      <w:r>
        <w:fldChar w:fldCharType="end"/>
      </w:r>
    </w:p>
    <w:p w14:paraId="1E2CACBD" w14:textId="1F602DD1" w:rsidR="00EF1C48" w:rsidRDefault="00EF1C48">
      <w:pPr>
        <w:pStyle w:val="TOC5"/>
        <w:tabs>
          <w:tab w:val="left" w:pos="1800"/>
        </w:tabs>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Distribution of Sexual Partners by Race/Ethnicity</w:t>
      </w:r>
      <w:r>
        <w:tab/>
      </w:r>
      <w:r>
        <w:fldChar w:fldCharType="begin"/>
      </w:r>
      <w:r>
        <w:instrText xml:space="preserve"> PAGEREF _Toc510104025 \h </w:instrText>
      </w:r>
      <w:r>
        <w:fldChar w:fldCharType="separate"/>
      </w:r>
      <w:r w:rsidR="00500143">
        <w:t>6-2</w:t>
      </w:r>
      <w:r>
        <w:fldChar w:fldCharType="end"/>
      </w:r>
    </w:p>
    <w:p w14:paraId="32EB9252" w14:textId="47CA672B" w:rsidR="00EF1C48" w:rsidRDefault="00EF1C48">
      <w:pPr>
        <w:pStyle w:val="TOC5"/>
        <w:tabs>
          <w:tab w:val="left" w:pos="1800"/>
        </w:tabs>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Distribution of Sexual Partners by Age</w:t>
      </w:r>
      <w:r>
        <w:tab/>
      </w:r>
      <w:r>
        <w:fldChar w:fldCharType="begin"/>
      </w:r>
      <w:r>
        <w:instrText xml:space="preserve"> PAGEREF _Toc510104026 \h </w:instrText>
      </w:r>
      <w:r>
        <w:fldChar w:fldCharType="separate"/>
      </w:r>
      <w:r w:rsidR="00500143">
        <w:t>6-2</w:t>
      </w:r>
      <w:r>
        <w:fldChar w:fldCharType="end"/>
      </w:r>
    </w:p>
    <w:p w14:paraId="12592E75" w14:textId="73721BF3" w:rsidR="00EF1C48" w:rsidRDefault="00EF1C48">
      <w:pPr>
        <w:pStyle w:val="TOC5"/>
        <w:tabs>
          <w:tab w:val="left" w:pos="1800"/>
        </w:tabs>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Distribution of Sexual Partners by Risk Level, by Transmission Group</w:t>
      </w:r>
      <w:r>
        <w:tab/>
      </w:r>
      <w:r>
        <w:tab/>
      </w:r>
      <w:r>
        <w:fldChar w:fldCharType="begin"/>
      </w:r>
      <w:r>
        <w:instrText xml:space="preserve"> PAGEREF _Toc510104027 \h </w:instrText>
      </w:r>
      <w:r>
        <w:fldChar w:fldCharType="separate"/>
      </w:r>
      <w:r w:rsidR="00500143">
        <w:t>6-3</w:t>
      </w:r>
      <w:r>
        <w:fldChar w:fldCharType="end"/>
      </w:r>
    </w:p>
    <w:p w14:paraId="0257E9BE" w14:textId="7BA73355" w:rsidR="00EF1C48" w:rsidRDefault="00EF1C48">
      <w:pPr>
        <w:pStyle w:val="TOC5"/>
        <w:tabs>
          <w:tab w:val="left" w:pos="1800"/>
        </w:tabs>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Distribution of Needle-Sharing Partners by Sex (PWID Only)</w:t>
      </w:r>
      <w:r>
        <w:tab/>
      </w:r>
      <w:r>
        <w:fldChar w:fldCharType="begin"/>
      </w:r>
      <w:r>
        <w:instrText xml:space="preserve"> PAGEREF _Toc510104028 \h </w:instrText>
      </w:r>
      <w:r>
        <w:fldChar w:fldCharType="separate"/>
      </w:r>
      <w:r w:rsidR="00500143">
        <w:t>6-3</w:t>
      </w:r>
      <w:r>
        <w:fldChar w:fldCharType="end"/>
      </w:r>
    </w:p>
    <w:p w14:paraId="01AECA16" w14:textId="58694009" w:rsidR="00EF1C48" w:rsidRDefault="00EF1C48">
      <w:pPr>
        <w:pStyle w:val="TOC5"/>
        <w:tabs>
          <w:tab w:val="left" w:pos="1800"/>
        </w:tabs>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Distribution of Needle-Sharing Partners by Race/Ethnicity (PWID Only)</w:t>
      </w:r>
      <w:r>
        <w:tab/>
      </w:r>
      <w:r>
        <w:tab/>
      </w:r>
      <w:r>
        <w:fldChar w:fldCharType="begin"/>
      </w:r>
      <w:r>
        <w:instrText xml:space="preserve"> PAGEREF _Toc510104029 \h </w:instrText>
      </w:r>
      <w:r>
        <w:fldChar w:fldCharType="separate"/>
      </w:r>
      <w:r w:rsidR="00500143">
        <w:t>6-3</w:t>
      </w:r>
      <w:r>
        <w:fldChar w:fldCharType="end"/>
      </w:r>
    </w:p>
    <w:p w14:paraId="298B59FB" w14:textId="58CA725C" w:rsidR="00EF1C48" w:rsidRDefault="00EF1C48">
      <w:pPr>
        <w:pStyle w:val="TOC5"/>
        <w:tabs>
          <w:tab w:val="left" w:pos="1800"/>
        </w:tabs>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Distribution of Needle-Sharing Partners by Age Group (PWID Only)</w:t>
      </w:r>
      <w:r>
        <w:tab/>
      </w:r>
      <w:r>
        <w:fldChar w:fldCharType="begin"/>
      </w:r>
      <w:r>
        <w:instrText xml:space="preserve"> PAGEREF _Toc510104030 \h </w:instrText>
      </w:r>
      <w:r>
        <w:fldChar w:fldCharType="separate"/>
      </w:r>
      <w:r w:rsidR="00500143">
        <w:t>6-3</w:t>
      </w:r>
      <w:r>
        <w:fldChar w:fldCharType="end"/>
      </w:r>
    </w:p>
    <w:p w14:paraId="6207AE32" w14:textId="69920C22" w:rsidR="00EF1C48" w:rsidRDefault="00EF1C48">
      <w:pPr>
        <w:pStyle w:val="TOC5"/>
        <w:tabs>
          <w:tab w:val="left" w:pos="1800"/>
        </w:tabs>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Per-Act HIV Transmission Risk and Reductions in Risk Due to Circumcision, Viral Load Suppression, and Condom Use</w:t>
      </w:r>
      <w:r>
        <w:tab/>
      </w:r>
      <w:r>
        <w:fldChar w:fldCharType="begin"/>
      </w:r>
      <w:r>
        <w:instrText xml:space="preserve"> PAGEREF _Toc510104031 \h </w:instrText>
      </w:r>
      <w:r>
        <w:fldChar w:fldCharType="separate"/>
      </w:r>
      <w:r w:rsidR="00500143">
        <w:t>6-5</w:t>
      </w:r>
      <w:r>
        <w:fldChar w:fldCharType="end"/>
      </w:r>
    </w:p>
    <w:p w14:paraId="5BB29951" w14:textId="22E876F4" w:rsidR="00EF1C48" w:rsidRDefault="00EF1C48">
      <w:pPr>
        <w:pStyle w:val="TOC5"/>
        <w:tabs>
          <w:tab w:val="left" w:pos="1800"/>
        </w:tabs>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Sexual Partners and Sex Acts</w:t>
      </w:r>
      <w:r>
        <w:tab/>
      </w:r>
      <w:r>
        <w:fldChar w:fldCharType="begin"/>
      </w:r>
      <w:r>
        <w:instrText xml:space="preserve"> PAGEREF _Toc510104032 \h </w:instrText>
      </w:r>
      <w:r>
        <w:fldChar w:fldCharType="separate"/>
      </w:r>
      <w:r w:rsidR="00500143">
        <w:t>6-6</w:t>
      </w:r>
      <w:r>
        <w:fldChar w:fldCharType="end"/>
      </w:r>
    </w:p>
    <w:p w14:paraId="6DB09A81" w14:textId="4B28391E" w:rsidR="00EF1C48" w:rsidRDefault="00EF1C48">
      <w:pPr>
        <w:pStyle w:val="TOC5"/>
        <w:tabs>
          <w:tab w:val="left" w:pos="1800"/>
        </w:tabs>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Percentage of Sexual Acts That Are Anal (vs. Vaginal) in Male-Female Partnerships with Anal Intercourse by Sex- and Age-Group-Specific Population in 2010 and Beyond</w:t>
      </w:r>
      <w:r>
        <w:tab/>
      </w:r>
      <w:r>
        <w:fldChar w:fldCharType="begin"/>
      </w:r>
      <w:r>
        <w:instrText xml:space="preserve"> PAGEREF _Toc510104033 \h </w:instrText>
      </w:r>
      <w:r>
        <w:fldChar w:fldCharType="separate"/>
      </w:r>
      <w:r w:rsidR="00500143">
        <w:t>6-8</w:t>
      </w:r>
      <w:r>
        <w:fldChar w:fldCharType="end"/>
      </w:r>
    </w:p>
    <w:p w14:paraId="2B243E27" w14:textId="612422DE" w:rsidR="00EF1C48" w:rsidRDefault="00EF1C48">
      <w:pPr>
        <w:pStyle w:val="TOC5"/>
        <w:tabs>
          <w:tab w:val="left" w:pos="1800"/>
        </w:tabs>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Percentage of People Who Have Anal Intercourse in their Male-Female Sexual Partnerships by Sex-, Age Group-, and Race/Ethnicity-Specific Population in 2010 and Beyond</w:t>
      </w:r>
      <w:r>
        <w:tab/>
      </w:r>
      <w:r>
        <w:fldChar w:fldCharType="begin"/>
      </w:r>
      <w:r>
        <w:instrText xml:space="preserve"> PAGEREF _Toc510104034 \h </w:instrText>
      </w:r>
      <w:r>
        <w:fldChar w:fldCharType="separate"/>
      </w:r>
      <w:r w:rsidR="00500143">
        <w:t>6-8</w:t>
      </w:r>
      <w:r>
        <w:fldChar w:fldCharType="end"/>
      </w:r>
    </w:p>
    <w:p w14:paraId="2871183D" w14:textId="425A78DD" w:rsidR="00EF1C48" w:rsidRDefault="00EF1C48">
      <w:pPr>
        <w:pStyle w:val="TOC5"/>
        <w:tabs>
          <w:tab w:val="left" w:pos="1800"/>
        </w:tabs>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Other Risk Behaviors</w:t>
      </w:r>
      <w:r>
        <w:tab/>
      </w:r>
      <w:r>
        <w:fldChar w:fldCharType="begin"/>
      </w:r>
      <w:r>
        <w:instrText xml:space="preserve"> PAGEREF _Toc510104035 \h </w:instrText>
      </w:r>
      <w:r>
        <w:fldChar w:fldCharType="separate"/>
      </w:r>
      <w:r w:rsidR="00500143">
        <w:t>6-9</w:t>
      </w:r>
      <w:r>
        <w:fldChar w:fldCharType="end"/>
      </w:r>
    </w:p>
    <w:p w14:paraId="15BBAD3C" w14:textId="23DB8470" w:rsidR="00EF1C48" w:rsidRDefault="00EF1C48">
      <w:pPr>
        <w:pStyle w:val="TOC5"/>
        <w:tabs>
          <w:tab w:val="left" w:pos="1800"/>
        </w:tabs>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Five Sources of Infection that Contribute to Overall Force of Infection for Each Subpopulation</w:t>
      </w:r>
      <w:r>
        <w:tab/>
      </w:r>
      <w:r>
        <w:fldChar w:fldCharType="begin"/>
      </w:r>
      <w:r>
        <w:instrText xml:space="preserve"> PAGEREF _Toc510104036 \h </w:instrText>
      </w:r>
      <w:r>
        <w:fldChar w:fldCharType="separate"/>
      </w:r>
      <w:r w:rsidR="00500143">
        <w:t>6-13</w:t>
      </w:r>
      <w:r>
        <w:fldChar w:fldCharType="end"/>
      </w:r>
    </w:p>
    <w:p w14:paraId="5BF19ECD" w14:textId="37748179" w:rsidR="00EF1C48" w:rsidRDefault="00EF1C48">
      <w:pPr>
        <w:pStyle w:val="TOC5"/>
        <w:tabs>
          <w:tab w:val="left" w:pos="1800"/>
        </w:tabs>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Percentage Reduction in Infection Risk if on PrEP</w:t>
      </w:r>
      <w:r>
        <w:tab/>
      </w:r>
      <w:r>
        <w:fldChar w:fldCharType="begin"/>
      </w:r>
      <w:r>
        <w:instrText xml:space="preserve"> PAGEREF _Toc510104037 \h </w:instrText>
      </w:r>
      <w:r>
        <w:fldChar w:fldCharType="separate"/>
      </w:r>
      <w:r w:rsidR="00500143">
        <w:t>6-15</w:t>
      </w:r>
      <w:r>
        <w:fldChar w:fldCharType="end"/>
      </w:r>
    </w:p>
    <w:p w14:paraId="5F660DAA" w14:textId="0B97CF0F" w:rsidR="00EF1C48" w:rsidRDefault="00EF1C48">
      <w:pPr>
        <w:pStyle w:val="TOC5"/>
        <w:tabs>
          <w:tab w:val="left" w:pos="1800"/>
        </w:tabs>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Model Compartments</w:t>
      </w:r>
      <w:r>
        <w:tab/>
      </w:r>
      <w:r>
        <w:fldChar w:fldCharType="begin"/>
      </w:r>
      <w:r>
        <w:instrText xml:space="preserve"> PAGEREF _Toc510104038 \h </w:instrText>
      </w:r>
      <w:r>
        <w:fldChar w:fldCharType="separate"/>
      </w:r>
      <w:r w:rsidR="00500143">
        <w:t>7-1</w:t>
      </w:r>
      <w:r>
        <w:fldChar w:fldCharType="end"/>
      </w:r>
    </w:p>
    <w:p w14:paraId="692721E0" w14:textId="59EF2C98" w:rsidR="00EF1C48" w:rsidRDefault="00EF1C48">
      <w:pPr>
        <w:pStyle w:val="TOC5"/>
        <w:tabs>
          <w:tab w:val="left" w:pos="1800"/>
        </w:tabs>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Eligible Populations, Costs, and Effects of Each Category of Interventions</w:t>
      </w:r>
      <w:r>
        <w:tab/>
      </w:r>
      <w:r>
        <w:fldChar w:fldCharType="begin"/>
      </w:r>
      <w:r>
        <w:instrText xml:space="preserve"> PAGEREF _Toc510104039 \h </w:instrText>
      </w:r>
      <w:r>
        <w:fldChar w:fldCharType="separate"/>
      </w:r>
      <w:r w:rsidR="00500143">
        <w:t>8-2</w:t>
      </w:r>
      <w:r>
        <w:fldChar w:fldCharType="end"/>
      </w:r>
    </w:p>
    <w:p w14:paraId="1D4B7687" w14:textId="478E9B42" w:rsidR="00EF1C48" w:rsidRDefault="00EF1C48">
      <w:pPr>
        <w:pStyle w:val="TOC5"/>
        <w:tabs>
          <w:tab w:val="left" w:pos="1800"/>
        </w:tabs>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Values and Sources for Key Inputs Specific to Interventions</w:t>
      </w:r>
      <w:r>
        <w:tab/>
      </w:r>
      <w:r>
        <w:fldChar w:fldCharType="begin"/>
      </w:r>
      <w:r>
        <w:instrText xml:space="preserve"> PAGEREF _Toc510104040 \h </w:instrText>
      </w:r>
      <w:r>
        <w:fldChar w:fldCharType="separate"/>
      </w:r>
      <w:r w:rsidR="00500143">
        <w:t>8-4</w:t>
      </w:r>
      <w:r>
        <w:fldChar w:fldCharType="end"/>
      </w:r>
    </w:p>
    <w:p w14:paraId="730EDEF3" w14:textId="44E71D3A" w:rsidR="00EF1C48" w:rsidRDefault="00EF1C48">
      <w:pPr>
        <w:pStyle w:val="TOC5"/>
        <w:tabs>
          <w:tab w:val="left" w:pos="1800"/>
        </w:tabs>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Cumulative HIV Incidence in 2016–2020 and the Marginal Benefit of Delivering PrEP as PrEP Parameters Were Varied</w:t>
      </w:r>
      <w:r w:rsidRPr="00D11E15">
        <w:rPr>
          <w:vertAlign w:val="superscript"/>
        </w:rPr>
        <w:t>a, b</w:t>
      </w:r>
      <w:r>
        <w:tab/>
      </w:r>
      <w:r>
        <w:fldChar w:fldCharType="begin"/>
      </w:r>
      <w:r>
        <w:instrText xml:space="preserve"> PAGEREF _Toc510104041 \h </w:instrText>
      </w:r>
      <w:r>
        <w:fldChar w:fldCharType="separate"/>
      </w:r>
      <w:r w:rsidR="00500143">
        <w:t>9-2</w:t>
      </w:r>
      <w:r>
        <w:fldChar w:fldCharType="end"/>
      </w:r>
    </w:p>
    <w:p w14:paraId="1C8BFC2D" w14:textId="71590346" w:rsidR="00EF1C48" w:rsidRDefault="00EF1C48">
      <w:pPr>
        <w:pStyle w:val="TOC5"/>
        <w:tabs>
          <w:tab w:val="left" w:pos="1800"/>
        </w:tabs>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Cumulative number of new infections 2016–2020 for varied scenarios</w:t>
      </w:r>
      <w:r w:rsidRPr="00D11E15">
        <w:rPr>
          <w:vertAlign w:val="superscript"/>
        </w:rPr>
        <w:t>a</w:t>
      </w:r>
      <w:r>
        <w:tab/>
      </w:r>
      <w:r>
        <w:tab/>
      </w:r>
      <w:r>
        <w:fldChar w:fldCharType="begin"/>
      </w:r>
      <w:r>
        <w:instrText xml:space="preserve"> PAGEREF _Toc510104042 \h </w:instrText>
      </w:r>
      <w:r>
        <w:fldChar w:fldCharType="separate"/>
      </w:r>
      <w:r w:rsidR="00500143">
        <w:t>9-4</w:t>
      </w:r>
      <w:r>
        <w:fldChar w:fldCharType="end"/>
      </w:r>
    </w:p>
    <w:p w14:paraId="41561367" w14:textId="7EDF8006" w:rsidR="00EF1C48" w:rsidRDefault="00EF1C48">
      <w:pPr>
        <w:pStyle w:val="TOC5"/>
        <w:tabs>
          <w:tab w:val="left" w:pos="1800"/>
        </w:tabs>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Utility Inputs</w:t>
      </w:r>
      <w:r>
        <w:tab/>
      </w:r>
      <w:r>
        <w:fldChar w:fldCharType="begin"/>
      </w:r>
      <w:r>
        <w:instrText xml:space="preserve"> PAGEREF _Toc510104043 \h </w:instrText>
      </w:r>
      <w:r>
        <w:fldChar w:fldCharType="separate"/>
      </w:r>
      <w:r w:rsidR="00500143">
        <w:t>10-1</w:t>
      </w:r>
      <w:r>
        <w:fldChar w:fldCharType="end"/>
      </w:r>
    </w:p>
    <w:p w14:paraId="1E333415" w14:textId="5F3F6016" w:rsidR="00EF1C48" w:rsidRDefault="00EF1C48">
      <w:pPr>
        <w:pStyle w:val="TOC5"/>
        <w:tabs>
          <w:tab w:val="left" w:pos="1800"/>
        </w:tabs>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Discount Rates</w:t>
      </w:r>
      <w:r>
        <w:tab/>
      </w:r>
      <w:r>
        <w:fldChar w:fldCharType="begin"/>
      </w:r>
      <w:r>
        <w:instrText xml:space="preserve"> PAGEREF _Toc510104044 \h </w:instrText>
      </w:r>
      <w:r>
        <w:fldChar w:fldCharType="separate"/>
      </w:r>
      <w:r w:rsidR="00500143">
        <w:t>10-1</w:t>
      </w:r>
      <w:r>
        <w:fldChar w:fldCharType="end"/>
      </w:r>
    </w:p>
    <w:p w14:paraId="2D61BF0E" w14:textId="1D561A37" w:rsidR="00EF1C48" w:rsidRDefault="00EF1C48">
      <w:pPr>
        <w:pStyle w:val="TOC5"/>
        <w:tabs>
          <w:tab w:val="left" w:pos="1800"/>
        </w:tabs>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Testing Cost Inputs</w:t>
      </w:r>
      <w:r>
        <w:tab/>
      </w:r>
      <w:r>
        <w:fldChar w:fldCharType="begin"/>
      </w:r>
      <w:r>
        <w:instrText xml:space="preserve"> PAGEREF _Toc510104045 \h </w:instrText>
      </w:r>
      <w:r>
        <w:fldChar w:fldCharType="separate"/>
      </w:r>
      <w:r w:rsidR="00500143">
        <w:t>10-3</w:t>
      </w:r>
      <w:r>
        <w:fldChar w:fldCharType="end"/>
      </w:r>
    </w:p>
    <w:p w14:paraId="19EB431F" w14:textId="0B386AE1" w:rsidR="00EF1C48" w:rsidRDefault="00EF1C48">
      <w:pPr>
        <w:pStyle w:val="TOC5"/>
        <w:tabs>
          <w:tab w:val="left" w:pos="1800"/>
        </w:tabs>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Annual HIV Treatment and Care Costs</w:t>
      </w:r>
      <w:r>
        <w:tab/>
      </w:r>
      <w:r>
        <w:fldChar w:fldCharType="begin"/>
      </w:r>
      <w:r>
        <w:instrText xml:space="preserve"> PAGEREF _Toc510104046 \h </w:instrText>
      </w:r>
      <w:r>
        <w:fldChar w:fldCharType="separate"/>
      </w:r>
      <w:r w:rsidR="00500143">
        <w:t>10-6</w:t>
      </w:r>
      <w:r>
        <w:fldChar w:fldCharType="end"/>
      </w:r>
    </w:p>
    <w:p w14:paraId="717AB73A" w14:textId="0E68E460" w:rsidR="00EF1C48" w:rsidRDefault="00EF1C48">
      <w:pPr>
        <w:pStyle w:val="TOC5"/>
        <w:tabs>
          <w:tab w:val="left" w:pos="1800"/>
        </w:tabs>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Annual PrEP Costs</w:t>
      </w:r>
      <w:r>
        <w:tab/>
      </w:r>
      <w:r>
        <w:fldChar w:fldCharType="begin"/>
      </w:r>
      <w:r>
        <w:instrText xml:space="preserve"> PAGEREF _Toc510104047 \h </w:instrText>
      </w:r>
      <w:r>
        <w:fldChar w:fldCharType="separate"/>
      </w:r>
      <w:r w:rsidR="00500143">
        <w:t>10-7</w:t>
      </w:r>
      <w:r>
        <w:fldChar w:fldCharType="end"/>
      </w:r>
    </w:p>
    <w:p w14:paraId="0BD42A67" w14:textId="690DF7E9" w:rsidR="00EF1C48" w:rsidRDefault="00EF1C48">
      <w:pPr>
        <w:pStyle w:val="TOC5"/>
        <w:tabs>
          <w:tab w:val="left" w:pos="1800"/>
        </w:tabs>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Bounds and Final Values of Continuum-of-Care Parameters Varied in Calibration: Second Time Period</w:t>
      </w:r>
      <w:r w:rsidRPr="00D11E15">
        <w:rPr>
          <w:vertAlign w:val="superscript"/>
        </w:rPr>
        <w:t>a</w:t>
      </w:r>
      <w:r>
        <w:tab/>
      </w:r>
      <w:r>
        <w:fldChar w:fldCharType="begin"/>
      </w:r>
      <w:r>
        <w:instrText xml:space="preserve"> PAGEREF _Toc510104048 \h </w:instrText>
      </w:r>
      <w:r>
        <w:fldChar w:fldCharType="separate"/>
      </w:r>
      <w:r w:rsidR="00500143">
        <w:t>11-2</w:t>
      </w:r>
      <w:r>
        <w:fldChar w:fldCharType="end"/>
      </w:r>
    </w:p>
    <w:p w14:paraId="656B6E7C" w14:textId="57EC98F5" w:rsidR="00EF1C48" w:rsidRDefault="00EF1C48">
      <w:pPr>
        <w:pStyle w:val="TOC5"/>
        <w:tabs>
          <w:tab w:val="left" w:pos="1800"/>
        </w:tabs>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Bounds and Final Values of Inputs Defining Behaviors and Infectivity Varied in Calibration</w:t>
      </w:r>
      <w:r w:rsidRPr="00D11E15">
        <w:rPr>
          <w:vertAlign w:val="superscript"/>
        </w:rPr>
        <w:t>a</w:t>
      </w:r>
      <w:r>
        <w:tab/>
      </w:r>
      <w:r>
        <w:fldChar w:fldCharType="begin"/>
      </w:r>
      <w:r>
        <w:instrText xml:space="preserve"> PAGEREF _Toc510104049 \h </w:instrText>
      </w:r>
      <w:r>
        <w:fldChar w:fldCharType="separate"/>
      </w:r>
      <w:r w:rsidR="00500143">
        <w:t>11-3</w:t>
      </w:r>
      <w:r>
        <w:fldChar w:fldCharType="end"/>
      </w:r>
    </w:p>
    <w:p w14:paraId="657A664F" w14:textId="2AB4DDC0" w:rsidR="00EF1C48" w:rsidRDefault="00EF1C48">
      <w:pPr>
        <w:pStyle w:val="TOC5"/>
        <w:tabs>
          <w:tab w:val="left" w:pos="1800"/>
        </w:tabs>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Values Generated by the Model using the Base Analysis Set vs. Target Values and Bounds Considered for Outcomes Targeted in Calibration</w:t>
      </w:r>
      <w:r>
        <w:tab/>
      </w:r>
      <w:r>
        <w:fldChar w:fldCharType="begin"/>
      </w:r>
      <w:r>
        <w:instrText xml:space="preserve"> PAGEREF _Toc510104050 \h </w:instrText>
      </w:r>
      <w:r>
        <w:fldChar w:fldCharType="separate"/>
      </w:r>
      <w:r w:rsidR="00500143">
        <w:t>11-6</w:t>
      </w:r>
      <w:r>
        <w:fldChar w:fldCharType="end"/>
      </w:r>
    </w:p>
    <w:p w14:paraId="23B3C7AE" w14:textId="77ABD40E" w:rsidR="00EF1C48" w:rsidRDefault="00EF1C48">
      <w:pPr>
        <w:pStyle w:val="TOC5"/>
        <w:tabs>
          <w:tab w:val="left" w:pos="1800"/>
        </w:tabs>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Elementary Effects Analysis Results for Total U.S. HIV Incidence in 2020: Mean of Absolute, and Standard Deviation of Elementary Effects for 52</w:t>
      </w:r>
      <w:r w:rsidRPr="00D11E15">
        <w:rPr>
          <w:vertAlign w:val="superscript"/>
        </w:rPr>
        <w:t>a</w:t>
      </w:r>
      <w:r>
        <w:t xml:space="preserve"> Inputs (in Descending Order by Mean of Absolute Elementary Effects)</w:t>
      </w:r>
      <w:r>
        <w:tab/>
      </w:r>
      <w:r>
        <w:fldChar w:fldCharType="begin"/>
      </w:r>
      <w:r>
        <w:instrText xml:space="preserve"> PAGEREF _Toc510104051 \h </w:instrText>
      </w:r>
      <w:r>
        <w:fldChar w:fldCharType="separate"/>
      </w:r>
      <w:r w:rsidR="00500143">
        <w:t>12-4</w:t>
      </w:r>
      <w:r>
        <w:fldChar w:fldCharType="end"/>
      </w:r>
    </w:p>
    <w:p w14:paraId="43003607" w14:textId="15F31DF7" w:rsidR="00EF1C48" w:rsidRDefault="00EF1C48">
      <w:pPr>
        <w:pStyle w:val="TOC5"/>
        <w:tabs>
          <w:tab w:val="left" w:pos="1800"/>
        </w:tabs>
        <w:rPr>
          <w:rFonts w:asciiTheme="minorHAnsi" w:eastAsiaTheme="minorEastAsia" w:hAnsiTheme="minorHAnsi" w:cstheme="minorBidi"/>
          <w:sz w:val="22"/>
          <w:szCs w:val="22"/>
        </w:rPr>
      </w:pPr>
      <w:r>
        <w:t>12.2.</w:t>
      </w:r>
      <w:r>
        <w:rPr>
          <w:rFonts w:asciiTheme="minorHAnsi" w:eastAsiaTheme="minorEastAsia" w:hAnsiTheme="minorHAnsi" w:cstheme="minorBidi"/>
          <w:sz w:val="22"/>
          <w:szCs w:val="22"/>
        </w:rPr>
        <w:tab/>
      </w:r>
      <w:r>
        <w:t>Values and Sources of Key Model Parameters</w:t>
      </w:r>
      <w:r>
        <w:tab/>
      </w:r>
      <w:r>
        <w:fldChar w:fldCharType="begin"/>
      </w:r>
      <w:r>
        <w:instrText xml:space="preserve"> PAGEREF _Toc510104052 \h </w:instrText>
      </w:r>
      <w:r>
        <w:fldChar w:fldCharType="separate"/>
      </w:r>
      <w:r w:rsidR="00500143">
        <w:t>12-7</w:t>
      </w:r>
      <w:r>
        <w:fldChar w:fldCharType="end"/>
      </w:r>
    </w:p>
    <w:p w14:paraId="7A257FE2" w14:textId="3B05E6FE" w:rsidR="00EF1C48" w:rsidRDefault="00EF1C48">
      <w:pPr>
        <w:pStyle w:val="TOC5"/>
        <w:tabs>
          <w:tab w:val="left" w:pos="1800"/>
        </w:tabs>
        <w:rPr>
          <w:rFonts w:asciiTheme="minorHAnsi" w:eastAsiaTheme="minorEastAsia" w:hAnsiTheme="minorHAnsi" w:cstheme="minorBidi"/>
          <w:sz w:val="22"/>
          <w:szCs w:val="22"/>
        </w:rPr>
      </w:pPr>
      <w:r>
        <w:t>12.3</w:t>
      </w:r>
      <w:r>
        <w:rPr>
          <w:rFonts w:asciiTheme="minorHAnsi" w:eastAsiaTheme="minorEastAsia" w:hAnsiTheme="minorHAnsi" w:cstheme="minorBidi"/>
          <w:sz w:val="22"/>
          <w:szCs w:val="22"/>
        </w:rPr>
        <w:tab/>
      </w:r>
      <w:r>
        <w:t>Uncertainty Analysis Results for Cumulative U.S. HIV Incidence from 2016 to 2020</w:t>
      </w:r>
      <w:r w:rsidR="00500143">
        <w:tab/>
      </w:r>
      <w:r w:rsidR="00500143">
        <w:tab/>
      </w:r>
      <w:r>
        <w:fldChar w:fldCharType="begin"/>
      </w:r>
      <w:r>
        <w:instrText xml:space="preserve"> PAGEREF _Toc510104053 \h </w:instrText>
      </w:r>
      <w:r>
        <w:fldChar w:fldCharType="separate"/>
      </w:r>
      <w:r w:rsidR="00500143">
        <w:t>12-12</w:t>
      </w:r>
      <w:r>
        <w:fldChar w:fldCharType="end"/>
      </w:r>
    </w:p>
    <w:p w14:paraId="1A9E027B" w14:textId="24D48666" w:rsidR="0087433D" w:rsidRPr="00783571" w:rsidRDefault="00156EC1" w:rsidP="00377525">
      <w:pPr>
        <w:pStyle w:val="TOC5"/>
      </w:pPr>
      <w:r w:rsidRPr="00783571">
        <w:fldChar w:fldCharType="end"/>
      </w:r>
    </w:p>
    <w:p w14:paraId="3AD1D63E" w14:textId="77777777" w:rsidR="00E17B53" w:rsidRPr="00783571" w:rsidRDefault="00E17B53" w:rsidP="00E17B53"/>
    <w:p w14:paraId="1F14CCC9" w14:textId="70699383" w:rsidR="0087433D" w:rsidRPr="00783571" w:rsidRDefault="0087433D"/>
    <w:p w14:paraId="1D4D0DE4" w14:textId="04AF3DCC" w:rsidR="00374755" w:rsidRPr="00783571" w:rsidRDefault="00374755"/>
    <w:p w14:paraId="03E4CEB8" w14:textId="77777777" w:rsidR="0016571A" w:rsidRPr="00783571" w:rsidRDefault="0016571A">
      <w:r w:rsidRPr="00783571">
        <w:br w:type="page"/>
      </w:r>
    </w:p>
    <w:p w14:paraId="091DCBEF" w14:textId="78A5C8DE" w:rsidR="00374755" w:rsidRPr="00783571" w:rsidRDefault="00374755" w:rsidP="0016571A">
      <w:pPr>
        <w:pStyle w:val="BodyText"/>
      </w:pPr>
      <w:r w:rsidRPr="00783571">
        <w:t>Disclaimer: Previous versions of this document were published</w:t>
      </w:r>
      <w:r w:rsidR="00443F9C" w:rsidRPr="00783571">
        <w:t xml:space="preserve"> </w:t>
      </w:r>
      <w:r w:rsidRPr="00783571">
        <w:t>as supplementary material to the following papers:</w:t>
      </w:r>
    </w:p>
    <w:p w14:paraId="51E271E2" w14:textId="1D905F77" w:rsidR="00374755" w:rsidRPr="00783571" w:rsidRDefault="00374755" w:rsidP="00195187">
      <w:pPr>
        <w:pStyle w:val="bullets"/>
      </w:pPr>
      <w:r w:rsidRPr="00783571">
        <w:t>O’Lear</w:t>
      </w:r>
      <w:r w:rsidR="00240E89" w:rsidRPr="00783571">
        <w:t>y A, DiNenno E, Honeycutt A, Allaire B, Neuwahl S, Hicks K</w:t>
      </w:r>
      <w:r w:rsidRPr="00783571">
        <w:t xml:space="preserve">, Sansom S. Contribution of anal sex to HIV prevalence among heterosexuals: A modeling analysis. </w:t>
      </w:r>
      <w:r w:rsidRPr="00783571">
        <w:rPr>
          <w:i/>
        </w:rPr>
        <w:t>AIDS Behav</w:t>
      </w:r>
      <w:r w:rsidR="003354B1" w:rsidRPr="00783571">
        <w:t>. 2017;</w:t>
      </w:r>
      <w:r w:rsidR="00DE461F" w:rsidRPr="00783571">
        <w:t>21:1–9</w:t>
      </w:r>
      <w:r w:rsidRPr="00783571">
        <w:t xml:space="preserve"> doi:10.1007/s10461-016-1635-z.</w:t>
      </w:r>
    </w:p>
    <w:p w14:paraId="4E17F891" w14:textId="396A6685" w:rsidR="00374755" w:rsidRPr="00783571" w:rsidRDefault="00240E89" w:rsidP="00195187">
      <w:pPr>
        <w:pStyle w:val="bullets"/>
      </w:pPr>
      <w:r w:rsidRPr="00783571">
        <w:t>Jacobson E</w:t>
      </w:r>
      <w:r w:rsidR="00374755" w:rsidRPr="00783571">
        <w:t xml:space="preserve">, </w:t>
      </w:r>
      <w:r w:rsidRPr="00783571">
        <w:t>Hicks K</w:t>
      </w:r>
      <w:r w:rsidR="00374755" w:rsidRPr="00783571">
        <w:t xml:space="preserve">, </w:t>
      </w:r>
      <w:r w:rsidRPr="00783571">
        <w:t>Tucker E</w:t>
      </w:r>
      <w:r w:rsidR="00374755" w:rsidRPr="00783571">
        <w:t>, Farnha</w:t>
      </w:r>
      <w:r w:rsidRPr="00783571">
        <w:t>m P</w:t>
      </w:r>
      <w:r w:rsidR="00374755" w:rsidRPr="00783571">
        <w:t>, Sansom S. Effects of reaching national goals on HIV incidence, by race and ethnicity, in the United States</w:t>
      </w:r>
      <w:r w:rsidR="00374755" w:rsidRPr="00783571">
        <w:rPr>
          <w:i/>
        </w:rPr>
        <w:t>. J of Public Health Management and Practice</w:t>
      </w:r>
      <w:r w:rsidR="003354B1" w:rsidRPr="00783571">
        <w:t>. In press.</w:t>
      </w:r>
    </w:p>
    <w:p w14:paraId="22BA45D7" w14:textId="61421970" w:rsidR="00374755" w:rsidRPr="00783571" w:rsidRDefault="00374755" w:rsidP="00195187">
      <w:pPr>
        <w:pStyle w:val="bullets"/>
        <w:numPr>
          <w:ilvl w:val="0"/>
          <w:numId w:val="0"/>
        </w:numPr>
        <w:ind w:left="720" w:hanging="360"/>
      </w:pPr>
    </w:p>
    <w:p w14:paraId="3FD6CEAE" w14:textId="77777777" w:rsidR="00374755" w:rsidRPr="00783571" w:rsidRDefault="00374755" w:rsidP="00195187">
      <w:pPr>
        <w:pStyle w:val="bullets"/>
        <w:numPr>
          <w:ilvl w:val="0"/>
          <w:numId w:val="0"/>
        </w:numPr>
        <w:ind w:left="720" w:hanging="360"/>
        <w:sectPr w:rsidR="00374755" w:rsidRPr="00783571" w:rsidSect="00EA6FDC">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fmt="lowerRoman" w:start="3"/>
          <w:cols w:space="0"/>
          <w:titlePg/>
        </w:sectPr>
      </w:pPr>
    </w:p>
    <w:p w14:paraId="7C0100B3" w14:textId="77777777" w:rsidR="00A71DBD" w:rsidRPr="00783571" w:rsidRDefault="00A71DBD" w:rsidP="00A71DBD">
      <w:pPr>
        <w:pStyle w:val="Heading1"/>
      </w:pPr>
      <w:bookmarkStart w:id="0" w:name="_Toc510104442"/>
      <w:bookmarkStart w:id="1" w:name="_Toc32742969"/>
      <w:bookmarkStart w:id="2" w:name="_GoBack"/>
      <w:bookmarkEnd w:id="2"/>
      <w:r w:rsidRPr="00783571">
        <w:t>Introduction</w:t>
      </w:r>
      <w:bookmarkEnd w:id="0"/>
    </w:p>
    <w:p w14:paraId="22CD1E85" w14:textId="5A80E619" w:rsidR="004F4E6D" w:rsidRPr="00783571" w:rsidRDefault="00382287" w:rsidP="00CC1DD7">
      <w:pPr>
        <w:pStyle w:val="BodyText"/>
      </w:pPr>
      <w:r w:rsidRPr="00783571">
        <w:t xml:space="preserve">This document </w:t>
      </w:r>
      <w:r w:rsidR="00026CEB" w:rsidRPr="00783571">
        <w:t xml:space="preserve">presents </w:t>
      </w:r>
      <w:r w:rsidRPr="00783571">
        <w:t xml:space="preserve">the technical details of </w:t>
      </w:r>
      <w:r w:rsidR="007C6BBA" w:rsidRPr="00783571">
        <w:t>the HIV Op</w:t>
      </w:r>
      <w:r w:rsidR="008F79F0" w:rsidRPr="00783571">
        <w:t>timization and Prevention Econom</w:t>
      </w:r>
      <w:r w:rsidR="007C6BBA" w:rsidRPr="00783571">
        <w:t xml:space="preserve">ics (HOPE) Model, </w:t>
      </w:r>
      <w:r w:rsidRPr="00783571">
        <w:t>a</w:t>
      </w:r>
      <w:r w:rsidR="006C542A" w:rsidRPr="00783571">
        <w:t xml:space="preserve"> differential equation</w:t>
      </w:r>
      <w:r w:rsidRPr="00783571">
        <w:t xml:space="preserve"> model </w:t>
      </w:r>
      <w:r w:rsidR="006C542A" w:rsidRPr="00783571">
        <w:t xml:space="preserve">representing the U.S. HIV epidemic </w:t>
      </w:r>
      <w:r w:rsidRPr="00783571">
        <w:t xml:space="preserve">developed by the Centers for Disease Control and Prevention’s (CDC’s) Division of HIV/AIDS Prevention and RTI International. </w:t>
      </w:r>
      <w:r w:rsidR="00CA2896" w:rsidRPr="00783571">
        <w:t>Section </w:t>
      </w:r>
      <w:r w:rsidR="003B19DD" w:rsidRPr="00783571">
        <w:t xml:space="preserve">2 </w:t>
      </w:r>
      <w:r w:rsidRPr="00783571">
        <w:t xml:space="preserve">gives a brief overview of the model and its purpose. </w:t>
      </w:r>
      <w:r w:rsidR="00CA2896" w:rsidRPr="00783571">
        <w:t>Section </w:t>
      </w:r>
      <w:r w:rsidR="003B19DD" w:rsidRPr="00783571">
        <w:t xml:space="preserve">3 </w:t>
      </w:r>
      <w:r w:rsidRPr="00783571">
        <w:t xml:space="preserve">explains the core structure of the model, including the modeled population, the compartments used in the model, and the notation applied in this document. </w:t>
      </w:r>
      <w:r w:rsidR="00CA2896" w:rsidRPr="00783571">
        <w:t>Section </w:t>
      </w:r>
      <w:r w:rsidR="003B19DD" w:rsidRPr="00783571">
        <w:t xml:space="preserve">4 </w:t>
      </w:r>
      <w:r w:rsidRPr="00783571">
        <w:t xml:space="preserve">describes the initial model population. </w:t>
      </w:r>
      <w:r w:rsidR="00CA2896" w:rsidRPr="00783571">
        <w:t>Section </w:t>
      </w:r>
      <w:r w:rsidR="003B19DD" w:rsidRPr="00783571">
        <w:t xml:space="preserve">5 </w:t>
      </w:r>
      <w:r w:rsidRPr="00783571">
        <w:t xml:space="preserve">discusses the transitions that result in the flow of the population between compartments (except the flow due to infection) and the flow into and out of the model. </w:t>
      </w:r>
      <w:r w:rsidR="00CA2896" w:rsidRPr="00783571">
        <w:t>Section </w:t>
      </w:r>
      <w:r w:rsidR="003B19DD" w:rsidRPr="00783571">
        <w:t xml:space="preserve">6 </w:t>
      </w:r>
      <w:r w:rsidRPr="00783571">
        <w:t xml:space="preserve">describes how the force of infection is calculated. </w:t>
      </w:r>
      <w:r w:rsidR="00CA2896" w:rsidRPr="00783571">
        <w:t>Section </w:t>
      </w:r>
      <w:r w:rsidR="003B19DD" w:rsidRPr="00783571">
        <w:t xml:space="preserve">7 </w:t>
      </w:r>
      <w:r w:rsidRPr="00783571">
        <w:t xml:space="preserve">explains the differential equations that are applied in the model. </w:t>
      </w:r>
      <w:r w:rsidR="00CA2896" w:rsidRPr="00783571">
        <w:t>Section </w:t>
      </w:r>
      <w:r w:rsidR="004922C3" w:rsidRPr="00783571">
        <w:t>8</w:t>
      </w:r>
      <w:r w:rsidR="00A67F85" w:rsidRPr="00783571">
        <w:t xml:space="preserve"> describes the interventions included in the model that increase progression along the HIV </w:t>
      </w:r>
      <w:r w:rsidR="003F2DC6" w:rsidRPr="00783571">
        <w:t>care continuum</w:t>
      </w:r>
      <w:r w:rsidR="00A67F85" w:rsidRPr="00783571">
        <w:t xml:space="preserve"> when “allocation-based” progression is applied.</w:t>
      </w:r>
      <w:r w:rsidR="004922C3" w:rsidRPr="00783571">
        <w:t xml:space="preserve"> </w:t>
      </w:r>
      <w:r w:rsidR="00CA2896" w:rsidRPr="00783571">
        <w:t>Section </w:t>
      </w:r>
      <w:r w:rsidR="00A67F85" w:rsidRPr="00783571">
        <w:t xml:space="preserve">9 </w:t>
      </w:r>
      <w:r w:rsidR="00CC1DD7" w:rsidRPr="00783571">
        <w:t>provides important details pertaining to the analysis conducted using the HOPE model in the manuscript entitled “</w:t>
      </w:r>
      <w:r w:rsidR="00443F9C" w:rsidRPr="00783571">
        <w:t>Impact of Improved HIV Care and Treatment and Implementing PrEP in the United States, 2016</w:t>
      </w:r>
      <w:r w:rsidR="00377525" w:rsidRPr="00783571">
        <w:t>–20</w:t>
      </w:r>
      <w:r w:rsidR="00443F9C" w:rsidRPr="00783571">
        <w:t>20</w:t>
      </w:r>
      <w:r w:rsidR="00CC1DD7" w:rsidRPr="00783571">
        <w:t xml:space="preserve">” that were not otherwise presented in the manuscript text. Section 10 </w:t>
      </w:r>
      <w:r w:rsidR="004922C3" w:rsidRPr="00783571">
        <w:t xml:space="preserve">describes the calculation of model outcomes. </w:t>
      </w:r>
      <w:r w:rsidR="00CA2896" w:rsidRPr="00783571">
        <w:t>Section </w:t>
      </w:r>
      <w:r w:rsidR="00CC1DD7" w:rsidRPr="00783571">
        <w:t xml:space="preserve">11 </w:t>
      </w:r>
      <w:r w:rsidR="006C542A" w:rsidRPr="00783571">
        <w:t>discusses the model’s calibration and validation</w:t>
      </w:r>
      <w:r w:rsidRPr="00783571">
        <w:t>.</w:t>
      </w:r>
      <w:r w:rsidR="00D51793" w:rsidRPr="00783571">
        <w:t xml:space="preserve"> </w:t>
      </w:r>
      <w:r w:rsidR="00B527E5" w:rsidRPr="00783571">
        <w:t xml:space="preserve">Section </w:t>
      </w:r>
      <w:r w:rsidR="00CC1DD7" w:rsidRPr="00783571">
        <w:t xml:space="preserve">12 </w:t>
      </w:r>
      <w:r w:rsidR="00B527E5" w:rsidRPr="00783571">
        <w:t xml:space="preserve">presents the methods and results of sensitivity and uncertainty analyses. </w:t>
      </w:r>
      <w:r w:rsidR="00CA2896" w:rsidRPr="00783571">
        <w:t>Appendix </w:t>
      </w:r>
      <w:r w:rsidR="00E631C3" w:rsidRPr="00783571">
        <w:t xml:space="preserve">A </w:t>
      </w:r>
      <w:r w:rsidR="00D51793" w:rsidRPr="00783571">
        <w:t>includes tables defining the symbols and indices applied in this document.</w:t>
      </w:r>
    </w:p>
    <w:p w14:paraId="4259CC56" w14:textId="5775D0D9" w:rsidR="00F00BE2" w:rsidRPr="00783571" w:rsidRDefault="00F00BE2" w:rsidP="000063C2">
      <w:pPr>
        <w:pStyle w:val="BodyText"/>
      </w:pPr>
      <w:r w:rsidRPr="00783571">
        <w:t xml:space="preserve">As noted in the disclaimer at the beginning of this document, several versions of this report have previously </w:t>
      </w:r>
      <w:r w:rsidR="00195187" w:rsidRPr="00783571">
        <w:t xml:space="preserve">been </w:t>
      </w:r>
      <w:r w:rsidRPr="00783571">
        <w:t xml:space="preserve">published in manuscripts that use the HOPE </w:t>
      </w:r>
      <w:r w:rsidR="00195187" w:rsidRPr="00783571">
        <w:t>M</w:t>
      </w:r>
      <w:r w:rsidRPr="00783571">
        <w:t xml:space="preserve">odel. Each version has been adapted for the specific analysis presented in that manuscript. </w:t>
      </w:r>
      <w:r w:rsidR="00DD0B2B" w:rsidRPr="00783571">
        <w:t>Besides reflecting the assumptions and structure of the model version used, t</w:t>
      </w:r>
      <w:r w:rsidRPr="00783571">
        <w:t xml:space="preserve">he following is a list of how this version of this document has been adapted to </w:t>
      </w:r>
      <w:r w:rsidR="00DD0B2B" w:rsidRPr="00783571">
        <w:t xml:space="preserve">specifically </w:t>
      </w:r>
      <w:r w:rsidRPr="00783571">
        <w:t xml:space="preserve">represent </w:t>
      </w:r>
      <w:r w:rsidR="00DD0B2B" w:rsidRPr="00783571">
        <w:t>this</w:t>
      </w:r>
      <w:r w:rsidRPr="00783571">
        <w:t xml:space="preserve"> analysis:</w:t>
      </w:r>
    </w:p>
    <w:p w14:paraId="7F571BD0" w14:textId="1FDDBD2D" w:rsidR="00F00BE2" w:rsidRPr="00783571" w:rsidRDefault="00F00BE2" w:rsidP="00F00BE2">
      <w:pPr>
        <w:pStyle w:val="bullets"/>
      </w:pPr>
      <w:r w:rsidRPr="00783571">
        <w:t>Sections 5 and 6: All input tables reflect the set of values used for calibrated inputs for this analysis (</w:t>
      </w:r>
      <w:r w:rsidR="00DD0B2B" w:rsidRPr="00783571">
        <w:t xml:space="preserve">the </w:t>
      </w:r>
      <w:r w:rsidRPr="00783571">
        <w:t>set</w:t>
      </w:r>
      <w:r w:rsidR="00DD0B2B" w:rsidRPr="00783571">
        <w:t xml:space="preserve"> with identifier</w:t>
      </w:r>
      <w:r w:rsidRPr="00783571">
        <w:t xml:space="preserve"> </w:t>
      </w:r>
      <w:r w:rsidR="00DD0B2B" w:rsidRPr="00783571">
        <w:t>“</w:t>
      </w:r>
      <w:r w:rsidRPr="00783571">
        <w:t>AS_1</w:t>
      </w:r>
      <w:r w:rsidR="00DD0B2B" w:rsidRPr="00783571">
        <w:t>”</w:t>
      </w:r>
      <w:r w:rsidRPr="00783571">
        <w:t>).</w:t>
      </w:r>
    </w:p>
    <w:p w14:paraId="7970D083" w14:textId="77777777" w:rsidR="0016571A" w:rsidRPr="00783571" w:rsidRDefault="00F00BE2" w:rsidP="006E0C2B">
      <w:pPr>
        <w:pStyle w:val="bullets"/>
      </w:pPr>
      <w:r w:rsidRPr="00783571">
        <w:t>Section 9: Key explanations and details of the specific methods applied for using the HOPE model for conducting this particular analysis.</w:t>
      </w:r>
    </w:p>
    <w:p w14:paraId="2173A60B" w14:textId="426D8F7C" w:rsidR="0016571A" w:rsidRPr="00783571" w:rsidRDefault="000A688B" w:rsidP="006E0C2B">
      <w:pPr>
        <w:pStyle w:val="bullets"/>
      </w:pPr>
      <w:r w:rsidRPr="00783571">
        <w:t>Section 11: The c</w:t>
      </w:r>
      <w:r w:rsidR="00F00BE2" w:rsidRPr="00783571">
        <w:t xml:space="preserve">alibration methods </w:t>
      </w:r>
      <w:r w:rsidRPr="00783571">
        <w:t xml:space="preserve">represent those applied in </w:t>
      </w:r>
      <w:r w:rsidR="00B55484" w:rsidRPr="00783571">
        <w:t>generating</w:t>
      </w:r>
      <w:r w:rsidRPr="00783571">
        <w:t xml:space="preserve"> the set of values used to populate all calibrated inputs </w:t>
      </w:r>
      <w:r w:rsidR="0032537A" w:rsidRPr="00783571">
        <w:t>in this analysis</w:t>
      </w:r>
      <w:r w:rsidR="00DD0B2B" w:rsidRPr="00783571">
        <w:t xml:space="preserve"> (set AS_1)</w:t>
      </w:r>
      <w:r w:rsidR="0032537A" w:rsidRPr="00783571">
        <w:t xml:space="preserve">. </w:t>
      </w:r>
      <w:r w:rsidRPr="00783571">
        <w:t xml:space="preserve">The ranges considered for all calibrated inputs </w:t>
      </w:r>
      <w:r w:rsidR="0032537A" w:rsidRPr="00783571">
        <w:t xml:space="preserve">and the point estimates and </w:t>
      </w:r>
      <w:r w:rsidR="008C26F1" w:rsidRPr="00783571">
        <w:t xml:space="preserve">acceptable </w:t>
      </w:r>
      <w:r w:rsidR="0032537A" w:rsidRPr="00783571">
        <w:t xml:space="preserve">ranges of </w:t>
      </w:r>
      <w:r w:rsidR="008C26F1" w:rsidRPr="00783571">
        <w:t xml:space="preserve">output </w:t>
      </w:r>
      <w:r w:rsidR="0032537A" w:rsidRPr="00783571">
        <w:t>values for all targeted outcomes are also specific to the analysis, as are the final values of the inputs and resulting values of the targeted outcomes when those input values were applied in the HOPE Model.</w:t>
      </w:r>
    </w:p>
    <w:p w14:paraId="2A1E41A3" w14:textId="77FC3469" w:rsidR="00F00BE2" w:rsidRPr="00783571" w:rsidRDefault="00F00BE2" w:rsidP="006E0C2B">
      <w:pPr>
        <w:pStyle w:val="bullets"/>
      </w:pPr>
      <w:r w:rsidRPr="00783571">
        <w:t>Section 12</w:t>
      </w:r>
      <w:r w:rsidR="00DD0B2B" w:rsidRPr="00783571">
        <w:t>: The s</w:t>
      </w:r>
      <w:r w:rsidRPr="00783571">
        <w:t xml:space="preserve">ensitivity and </w:t>
      </w:r>
      <w:r w:rsidR="00DD0B2B" w:rsidRPr="00783571">
        <w:t>u</w:t>
      </w:r>
      <w:r w:rsidRPr="00783571">
        <w:t xml:space="preserve">ncertainty </w:t>
      </w:r>
      <w:r w:rsidR="00DD0B2B" w:rsidRPr="00783571">
        <w:t>a</w:t>
      </w:r>
      <w:r w:rsidRPr="00783571">
        <w:t>nalyses</w:t>
      </w:r>
      <w:r w:rsidR="00DD0B2B" w:rsidRPr="00783571">
        <w:t xml:space="preserve"> </w:t>
      </w:r>
      <w:r w:rsidRPr="00783571">
        <w:t xml:space="preserve">methods </w:t>
      </w:r>
      <w:r w:rsidR="00DD0B2B" w:rsidRPr="00783571">
        <w:t>reflect those used in this analysis, specifically</w:t>
      </w:r>
      <w:r w:rsidR="0057788A" w:rsidRPr="00783571">
        <w:t>,</w:t>
      </w:r>
      <w:r w:rsidR="00DD0B2B" w:rsidRPr="00783571">
        <w:t xml:space="preserve"> the </w:t>
      </w:r>
      <w:r w:rsidRPr="00783571">
        <w:t xml:space="preserve">outcome observed and </w:t>
      </w:r>
      <w:r w:rsidR="00DD0B2B" w:rsidRPr="00783571">
        <w:t>relevant processes applied</w:t>
      </w:r>
      <w:r w:rsidRPr="00783571">
        <w:t xml:space="preserve">. </w:t>
      </w:r>
      <w:r w:rsidR="006E0C2B" w:rsidRPr="00783571">
        <w:t>Also</w:t>
      </w:r>
      <w:r w:rsidR="00DD0B2B" w:rsidRPr="00783571">
        <w:t>, the r</w:t>
      </w:r>
      <w:r w:rsidRPr="00783571">
        <w:t xml:space="preserve">esults </w:t>
      </w:r>
      <w:r w:rsidR="00DD0B2B" w:rsidRPr="00783571">
        <w:t>of the analyses will reflect those specifically generated for this analysis.</w:t>
      </w:r>
    </w:p>
    <w:p w14:paraId="06FED83B" w14:textId="5F19CD6D" w:rsidR="00691631" w:rsidRPr="00783571" w:rsidRDefault="00691631">
      <w:pPr>
        <w:pStyle w:val="BodyText"/>
      </w:pPr>
      <w:r w:rsidRPr="00783571">
        <w:t xml:space="preserve">In addition, because this document covers the full functionality of the HOPE </w:t>
      </w:r>
      <w:r w:rsidR="006E0C2B" w:rsidRPr="00783571">
        <w:t>M</w:t>
      </w:r>
      <w:r w:rsidRPr="00783571">
        <w:t>odel</w:t>
      </w:r>
      <w:r w:rsidR="006E0C2B" w:rsidRPr="00783571">
        <w:t>, t</w:t>
      </w:r>
      <w:r w:rsidRPr="00783571">
        <w:t>he following key portions of that functionality were not used in this analysis:</w:t>
      </w:r>
    </w:p>
    <w:p w14:paraId="38DD1317" w14:textId="4F2AE4CA" w:rsidR="005732F9" w:rsidRPr="00783571" w:rsidRDefault="003F2DC6" w:rsidP="00975E4C">
      <w:pPr>
        <w:pStyle w:val="bullets"/>
      </w:pPr>
      <w:r w:rsidRPr="00783571">
        <w:t xml:space="preserve">Allocation-based method for calculating progression along the care continuum (Section 5.4.1 and </w:t>
      </w:r>
      <w:r w:rsidR="00691631" w:rsidRPr="00783571">
        <w:t>Section 8</w:t>
      </w:r>
      <w:r w:rsidR="006E0C2B" w:rsidRPr="00783571">
        <w:t>)</w:t>
      </w:r>
      <w:r w:rsidRPr="00783571">
        <w:t>: Allocation-based progression was not applied as a method for calculating progression along the care continuum.</w:t>
      </w:r>
    </w:p>
    <w:p w14:paraId="1FCD6FEC" w14:textId="00A5339A" w:rsidR="00443F9C" w:rsidRPr="00783571" w:rsidRDefault="00467910" w:rsidP="00975E4C">
      <w:pPr>
        <w:pStyle w:val="bullets"/>
      </w:pPr>
      <w:r w:rsidRPr="00783571">
        <w:t>Heterosexual (</w:t>
      </w:r>
      <w:r w:rsidR="00443F9C" w:rsidRPr="00783571">
        <w:t>HET</w:t>
      </w:r>
      <w:r w:rsidRPr="00783571">
        <w:t>)</w:t>
      </w:r>
      <w:r w:rsidR="00443F9C" w:rsidRPr="00783571">
        <w:t xml:space="preserve"> interval-based testing method (Section 5.4.1) for calculating progression along the care continuum: HET interval-based testing was not applied as a method for calculating progression along the care continuum.</w:t>
      </w:r>
    </w:p>
    <w:p w14:paraId="552A98B0" w14:textId="1978D9ED" w:rsidR="00975E4C" w:rsidRPr="00783571" w:rsidRDefault="00975E4C" w:rsidP="00975E4C">
      <w:pPr>
        <w:pStyle w:val="bullets"/>
      </w:pPr>
      <w:r w:rsidRPr="00783571">
        <w:t xml:space="preserve">Calculation of </w:t>
      </w:r>
      <w:r w:rsidR="00AB1E10" w:rsidRPr="00783571">
        <w:t>economic outcomes</w:t>
      </w:r>
      <w:r w:rsidRPr="00783571">
        <w:t xml:space="preserve"> (Section 10.2): </w:t>
      </w:r>
      <w:r w:rsidR="00AB1E10" w:rsidRPr="00783571">
        <w:t>Economic outcomes were</w:t>
      </w:r>
      <w:r w:rsidRPr="00783571">
        <w:t xml:space="preserve"> not calculated in the analyses </w:t>
      </w:r>
      <w:r w:rsidR="00AB1E10" w:rsidRPr="00783571">
        <w:t>for</w:t>
      </w:r>
      <w:r w:rsidRPr="00783571">
        <w:t xml:space="preserve"> this manuscript.</w:t>
      </w:r>
    </w:p>
    <w:p w14:paraId="13CB2CF9" w14:textId="77777777" w:rsidR="004F4E6D" w:rsidRPr="00783571" w:rsidRDefault="004F4E6D" w:rsidP="00F93701">
      <w:pPr>
        <w:pStyle w:val="BodyText"/>
      </w:pPr>
    </w:p>
    <w:p w14:paraId="3440903C" w14:textId="77777777" w:rsidR="006F6153" w:rsidRPr="00783571" w:rsidRDefault="006F6153" w:rsidP="00F93701">
      <w:pPr>
        <w:pStyle w:val="BodyText"/>
      </w:pPr>
    </w:p>
    <w:p w14:paraId="6D5EF5F0" w14:textId="77777777" w:rsidR="00382287" w:rsidRPr="00783571" w:rsidRDefault="00382287" w:rsidP="00382287">
      <w:pPr>
        <w:pStyle w:val="Heading1"/>
        <w:sectPr w:rsidR="00382287" w:rsidRPr="00783571" w:rsidSect="00EA6FDC">
          <w:headerReference w:type="even" r:id="rId18"/>
          <w:headerReference w:type="default" r:id="rId19"/>
          <w:footerReference w:type="even" r:id="rId20"/>
          <w:footerReference w:type="default" r:id="rId21"/>
          <w:footerReference w:type="first" r:id="rId22"/>
          <w:type w:val="oddPage"/>
          <w:pgSz w:w="12240" w:h="15840" w:code="1"/>
          <w:pgMar w:top="1440" w:right="1440" w:bottom="1440" w:left="1440" w:header="720" w:footer="720" w:gutter="0"/>
          <w:pgNumType w:start="1" w:chapStyle="1"/>
          <w:cols w:space="0"/>
          <w:titlePg/>
          <w:docGrid w:linePitch="299"/>
        </w:sectPr>
      </w:pPr>
      <w:bookmarkStart w:id="3" w:name="_Toc398293109"/>
    </w:p>
    <w:p w14:paraId="6F0DD70B" w14:textId="77777777" w:rsidR="00382287" w:rsidRPr="00783571" w:rsidRDefault="00382287" w:rsidP="00382287">
      <w:pPr>
        <w:pStyle w:val="Heading1"/>
      </w:pPr>
      <w:bookmarkStart w:id="4" w:name="_Toc510104443"/>
      <w:r w:rsidRPr="00783571">
        <w:t>Model Overview and Purpose</w:t>
      </w:r>
      <w:bookmarkEnd w:id="3"/>
      <w:bookmarkEnd w:id="4"/>
    </w:p>
    <w:p w14:paraId="6974ED93" w14:textId="7AD1BE92" w:rsidR="004F4E6D" w:rsidRPr="00783571" w:rsidRDefault="00952170" w:rsidP="007C6BBA">
      <w:pPr>
        <w:pStyle w:val="BodyText"/>
      </w:pPr>
      <w:r w:rsidRPr="00783571">
        <w:t xml:space="preserve">The objective of </w:t>
      </w:r>
      <w:r w:rsidR="007C6BBA" w:rsidRPr="00783571">
        <w:t xml:space="preserve">the HOPE </w:t>
      </w:r>
      <w:r w:rsidRPr="00783571">
        <w:t>model was to estimate the impact on health outcomes related to HIV in the U.S. population resulting from changes in the distribution of people living with HIV along the HIV care continuum and to better understand the impact of different risk behaviors on the prevalence of HIV in the United States.</w:t>
      </w:r>
      <w:r w:rsidR="00613D64" w:rsidRPr="00783571">
        <w:t xml:space="preserve"> </w:t>
      </w:r>
      <w:r w:rsidR="00382287" w:rsidRPr="00783571">
        <w:t>The model used differential equations that are implemented and solved in MATLAB software (Mathworks</w:t>
      </w:r>
      <w:r w:rsidR="00E631C3" w:rsidRPr="00783571">
        <w:t>,</w:t>
      </w:r>
      <w:r w:rsidR="00382287" w:rsidRPr="00783571">
        <w:t xml:space="preserve"> Natick, Massachusetts)</w:t>
      </w:r>
      <w:r w:rsidR="00642FB4" w:rsidRPr="00783571">
        <w:t>; it may also be solved using discretized difference equations, if indicated by the user</w:t>
      </w:r>
      <w:r w:rsidR="00382287" w:rsidRPr="00783571">
        <w:t>. The</w:t>
      </w:r>
      <w:r w:rsidR="00F77D76" w:rsidRPr="00783571">
        <w:t xml:space="preserve"> </w:t>
      </w:r>
      <w:r w:rsidR="00382287" w:rsidRPr="00783571">
        <w:t xml:space="preserve">equations represented the </w:t>
      </w:r>
      <w:r w:rsidR="00F77D76" w:rsidRPr="00783571">
        <w:t xml:space="preserve">dynamics of the </w:t>
      </w:r>
      <w:r w:rsidR="00382287" w:rsidRPr="00783571">
        <w:t xml:space="preserve">HIV-uninfected and HIV-infected </w:t>
      </w:r>
      <w:r w:rsidR="00F77D76" w:rsidRPr="00783571">
        <w:t xml:space="preserve">populations, including their interaction and progression through various clinical stages of HIV as well as the </w:t>
      </w:r>
      <w:r w:rsidR="003F2DC6" w:rsidRPr="00783571">
        <w:t>care continuum</w:t>
      </w:r>
      <w:r w:rsidR="00382287" w:rsidRPr="00783571">
        <w:t>.</w:t>
      </w:r>
      <w:r w:rsidR="00996515" w:rsidRPr="00783571">
        <w:t xml:space="preserve"> We consider progression through the care continuum to include</w:t>
      </w:r>
      <w:r w:rsidR="006E0C2B" w:rsidRPr="00783571">
        <w:t xml:space="preserve"> HIV</w:t>
      </w:r>
      <w:r w:rsidR="00996515" w:rsidRPr="00783571">
        <w:t xml:space="preserve"> diagnosis, linkage to care, ART prescription, and achievement of viral load suppression.</w:t>
      </w:r>
      <w:r w:rsidR="00382287" w:rsidRPr="00783571">
        <w:t xml:space="preserve"> </w:t>
      </w:r>
      <w:r w:rsidR="00F77D76" w:rsidRPr="00783571">
        <w:t>Transmission risks from sex</w:t>
      </w:r>
      <w:r w:rsidR="00DB6E5A" w:rsidRPr="00783571">
        <w:t xml:space="preserve"> acts</w:t>
      </w:r>
      <w:r w:rsidR="00F77D76" w:rsidRPr="00783571">
        <w:t xml:space="preserve"> (vaginal and anal) and </w:t>
      </w:r>
      <w:r w:rsidR="00DB6E5A" w:rsidRPr="00783571">
        <w:t>shared needles</w:t>
      </w:r>
      <w:r w:rsidR="00F77D76" w:rsidRPr="00783571">
        <w:t xml:space="preserve"> were considered. </w:t>
      </w:r>
      <w:r w:rsidR="00382287" w:rsidRPr="00783571">
        <w:t xml:space="preserve">The model </w:t>
      </w:r>
      <w:r w:rsidR="00F77D76" w:rsidRPr="00783571">
        <w:t xml:space="preserve">can be used to examine </w:t>
      </w:r>
      <w:r w:rsidR="00382287" w:rsidRPr="00783571">
        <w:t xml:space="preserve">HIV prevention interventions aimed at </w:t>
      </w:r>
      <w:r w:rsidR="005F5C70" w:rsidRPr="00783571">
        <w:t>HIV-infected</w:t>
      </w:r>
      <w:r w:rsidR="00F77D76" w:rsidRPr="00783571">
        <w:t xml:space="preserve"> and </w:t>
      </w:r>
      <w:r w:rsidR="005F5C70" w:rsidRPr="00783571">
        <w:t>HIV-uninfected</w:t>
      </w:r>
      <w:r w:rsidR="00382287" w:rsidRPr="00783571">
        <w:t xml:space="preserve"> individuals.</w:t>
      </w:r>
    </w:p>
    <w:p w14:paraId="6C306597" w14:textId="56AE5127" w:rsidR="00432EAD" w:rsidRPr="00783571" w:rsidRDefault="00382287" w:rsidP="00432EAD">
      <w:pPr>
        <w:pStyle w:val="BodyText"/>
      </w:pPr>
      <w:r w:rsidRPr="00783571">
        <w:t xml:space="preserve">Our model was originally based on a model published by Sorensen and colleagues (2012) that included gay, bisexual, and other men who have sex with men (collectively referred to as MSM) in New York City; we expanded that model to include the national epidemic data for multiple transmission groups (MSM, </w:t>
      </w:r>
      <w:r w:rsidR="00F77D76" w:rsidRPr="00783571">
        <w:t>people who inject drugs</w:t>
      </w:r>
      <w:r w:rsidRPr="00783571">
        <w:t xml:space="preserve"> [</w:t>
      </w:r>
      <w:r w:rsidR="00F77D76" w:rsidRPr="00783571">
        <w:t>PWID]</w:t>
      </w:r>
      <w:r w:rsidRPr="00783571">
        <w:t xml:space="preserve">, and HETs). </w:t>
      </w:r>
      <w:r w:rsidR="00F77D76" w:rsidRPr="00783571">
        <w:t>These groups were further categori</w:t>
      </w:r>
      <w:r w:rsidR="000122E6" w:rsidRPr="00783571">
        <w:t>zed</w:t>
      </w:r>
      <w:r w:rsidR="00F77D76" w:rsidRPr="00783571">
        <w:t xml:space="preserve"> </w:t>
      </w:r>
      <w:r w:rsidRPr="00783571">
        <w:t>by sex (male, female), race/ethnicity (black, Hispanic/Latino, other), age group (13–17, 18–24, 25–34, 35–44, and 45–64 yea</w:t>
      </w:r>
      <w:r w:rsidR="003438E2" w:rsidRPr="00783571">
        <w:t>rs), and risk level (low, high).</w:t>
      </w:r>
      <w:r w:rsidRPr="00783571">
        <w:t xml:space="preserve"> </w:t>
      </w:r>
      <w:r w:rsidR="00BE15F5" w:rsidRPr="00783571">
        <w:t xml:space="preserve">We also adjusted the model’s </w:t>
      </w:r>
      <w:r w:rsidR="003F2DC6" w:rsidRPr="00783571">
        <w:t>care continuum</w:t>
      </w:r>
      <w:r w:rsidR="00BE15F5" w:rsidRPr="00783571">
        <w:t xml:space="preserve"> stages to more precisely represent the effects of </w:t>
      </w:r>
      <w:r w:rsidR="002A1B33" w:rsidRPr="00783571">
        <w:t>antiretroviral therapy (</w:t>
      </w:r>
      <w:r w:rsidR="00BE15F5" w:rsidRPr="00783571">
        <w:t>ART</w:t>
      </w:r>
      <w:r w:rsidR="002A1B33" w:rsidRPr="00783571">
        <w:t>)</w:t>
      </w:r>
      <w:r w:rsidR="00BE15F5" w:rsidRPr="00783571">
        <w:t xml:space="preserve"> and</w:t>
      </w:r>
      <w:r w:rsidR="006F4845" w:rsidRPr="00783571">
        <w:t xml:space="preserve"> being</w:t>
      </w:r>
      <w:r w:rsidR="00BE15F5" w:rsidRPr="00783571">
        <w:t xml:space="preserve"> </w:t>
      </w:r>
      <w:r w:rsidR="002A1B33" w:rsidRPr="00783571">
        <w:t>viral load suppress</w:t>
      </w:r>
      <w:r w:rsidR="006F4845" w:rsidRPr="00783571">
        <w:t>ed</w:t>
      </w:r>
      <w:r w:rsidR="002A1B33" w:rsidRPr="00783571">
        <w:t xml:space="preserve"> (</w:t>
      </w:r>
      <w:r w:rsidR="00BE15F5" w:rsidRPr="00783571">
        <w:t>VLS</w:t>
      </w:r>
      <w:r w:rsidR="002A1B33" w:rsidRPr="00783571">
        <w:t>)</w:t>
      </w:r>
      <w:r w:rsidR="00BE15F5" w:rsidRPr="00783571">
        <w:t xml:space="preserve">. </w:t>
      </w:r>
      <w:r w:rsidRPr="00783571">
        <w:t xml:space="preserve">The model was dynamic in that the risk of uninfected individuals acquiring HIV at any given time was a function of the current size, disease stages, and HIV care continuum stages of the HIV-infected portion of their pool of </w:t>
      </w:r>
      <w:r w:rsidR="00F77D76" w:rsidRPr="00783571">
        <w:t xml:space="preserve">sexual and needle </w:t>
      </w:r>
      <w:r w:rsidRPr="00783571">
        <w:t>partners. As a result, changes that affect the HIV-infected population affected the spread of the disease to the uninfected portion of the population in the model.</w:t>
      </w:r>
    </w:p>
    <w:p w14:paraId="21960981" w14:textId="27A112EC" w:rsidR="001F5372" w:rsidRPr="00783571" w:rsidRDefault="00A16C51" w:rsidP="00432EAD">
      <w:pPr>
        <w:pStyle w:val="BodyText"/>
      </w:pPr>
      <w:r w:rsidRPr="00783571">
        <w:t>Three time periods are observed. The first</w:t>
      </w:r>
      <w:r w:rsidR="00432EAD" w:rsidRPr="00783571">
        <w:t>,</w:t>
      </w:r>
      <w:r w:rsidRPr="00783571">
        <w:t xml:space="preserve"> 2006 to 2009</w:t>
      </w:r>
      <w:r w:rsidR="00432EAD" w:rsidRPr="00783571">
        <w:t>,</w:t>
      </w:r>
      <w:r w:rsidRPr="00783571">
        <w:t xml:space="preserve"> is a “run-in period” for the model</w:t>
      </w:r>
      <w:r w:rsidR="00432EAD" w:rsidRPr="00783571">
        <w:t>,</w:t>
      </w:r>
      <w:r w:rsidR="001309A5" w:rsidRPr="00783571">
        <w:t xml:space="preserve"> which provides a necessary period of stabilization for the differential equations</w:t>
      </w:r>
      <w:r w:rsidRPr="00783571">
        <w:t>. The second is 2010 to 2015</w:t>
      </w:r>
      <w:r w:rsidR="00432EAD" w:rsidRPr="00783571">
        <w:t>,</w:t>
      </w:r>
      <w:r w:rsidRPr="00783571">
        <w:t xml:space="preserve"> and the third is 2016 and beyond.</w:t>
      </w:r>
    </w:p>
    <w:p w14:paraId="3F41B0C9" w14:textId="3AB735C1" w:rsidR="004F4E6D" w:rsidRPr="00783571" w:rsidRDefault="004F4E6D" w:rsidP="004F4E6D">
      <w:pPr>
        <w:pStyle w:val="BodyText"/>
      </w:pPr>
    </w:p>
    <w:p w14:paraId="6032B751" w14:textId="77777777" w:rsidR="0087433D" w:rsidRPr="00783571" w:rsidRDefault="0087433D" w:rsidP="00CD242E">
      <w:pPr>
        <w:pStyle w:val="BodyText"/>
        <w:sectPr w:rsidR="0087433D" w:rsidRPr="00783571" w:rsidSect="00EA6FDC">
          <w:headerReference w:type="default" r:id="rId23"/>
          <w:type w:val="oddPage"/>
          <w:pgSz w:w="12240" w:h="15840" w:code="1"/>
          <w:pgMar w:top="1440" w:right="1440" w:bottom="1440" w:left="1440" w:header="720" w:footer="720" w:gutter="0"/>
          <w:pgNumType w:start="1" w:chapStyle="1"/>
          <w:cols w:space="0"/>
          <w:titlePg/>
          <w:docGrid w:linePitch="299"/>
        </w:sectPr>
      </w:pPr>
    </w:p>
    <w:p w14:paraId="14AF7592" w14:textId="43315F04" w:rsidR="000F420A" w:rsidRPr="00783571" w:rsidRDefault="00382287">
      <w:pPr>
        <w:pStyle w:val="Heading1"/>
      </w:pPr>
      <w:bookmarkStart w:id="5" w:name="_Toc398293110"/>
      <w:bookmarkStart w:id="6" w:name="_Toc510104444"/>
      <w:bookmarkEnd w:id="1"/>
      <w:r w:rsidRPr="00783571">
        <w:t>Model Population</w:t>
      </w:r>
      <w:r w:rsidR="00C47A13" w:rsidRPr="00783571">
        <w:t xml:space="preserve"> </w:t>
      </w:r>
      <w:r w:rsidR="000141DA" w:rsidRPr="00783571">
        <w:t>and</w:t>
      </w:r>
      <w:r w:rsidRPr="00783571">
        <w:t xml:space="preserve"> Compartments</w:t>
      </w:r>
      <w:bookmarkEnd w:id="5"/>
      <w:bookmarkEnd w:id="6"/>
    </w:p>
    <w:p w14:paraId="2A3E1F08" w14:textId="6DDE1793" w:rsidR="00382287" w:rsidRPr="00783571" w:rsidRDefault="00382287" w:rsidP="00157D0F">
      <w:pPr>
        <w:pStyle w:val="BodyText"/>
      </w:pPr>
      <w:r w:rsidRPr="00783571">
        <w:t xml:space="preserve">The population observed in this model was stratified by age group </w:t>
      </w:r>
      <w:r w:rsidRPr="00783571">
        <w:rPr>
          <w:i/>
          <w:iCs/>
        </w:rPr>
        <w:t>j</w:t>
      </w:r>
      <w:r w:rsidRPr="00783571">
        <w:t xml:space="preserve"> (</w:t>
      </w:r>
      <w:r w:rsidRPr="00783571">
        <w:rPr>
          <w:i/>
          <w:iCs/>
        </w:rPr>
        <w:t>j</w:t>
      </w:r>
      <w:r w:rsidRPr="00783571">
        <w:t xml:space="preserve"> = 1, …, 5), risk level </w:t>
      </w:r>
      <w:r w:rsidRPr="00783571">
        <w:rPr>
          <w:i/>
          <w:iCs/>
        </w:rPr>
        <w:t>k</w:t>
      </w:r>
      <w:r w:rsidRPr="00783571">
        <w:t xml:space="preserve"> (</w:t>
      </w:r>
      <w:r w:rsidRPr="00783571">
        <w:rPr>
          <w:i/>
          <w:iCs/>
        </w:rPr>
        <w:t>k</w:t>
      </w:r>
      <w:r w:rsidRPr="00783571">
        <w:t xml:space="preserve"> = 1, 2), transmission group </w:t>
      </w:r>
      <w:r w:rsidRPr="00783571">
        <w:rPr>
          <w:i/>
          <w:iCs/>
        </w:rPr>
        <w:t xml:space="preserve">l </w:t>
      </w:r>
      <w:r w:rsidRPr="00783571">
        <w:t>(</w:t>
      </w:r>
      <w:r w:rsidRPr="00783571">
        <w:rPr>
          <w:i/>
          <w:iCs/>
        </w:rPr>
        <w:t>l</w:t>
      </w:r>
      <w:r w:rsidRPr="00783571">
        <w:t xml:space="preserve"> = 1, 2, 3), sex </w:t>
      </w:r>
      <w:r w:rsidRPr="00783571">
        <w:rPr>
          <w:i/>
          <w:iCs/>
        </w:rPr>
        <w:t>m</w:t>
      </w:r>
      <w:r w:rsidRPr="00783571">
        <w:t xml:space="preserve"> (</w:t>
      </w:r>
      <w:r w:rsidRPr="00783571">
        <w:rPr>
          <w:i/>
          <w:iCs/>
        </w:rPr>
        <w:t>m</w:t>
      </w:r>
      <w:r w:rsidRPr="00783571">
        <w:t xml:space="preserve"> = 1, 2), circumcision status </w:t>
      </w:r>
      <w:r w:rsidRPr="00783571">
        <w:rPr>
          <w:i/>
          <w:iCs/>
        </w:rPr>
        <w:t>n</w:t>
      </w:r>
      <w:r w:rsidRPr="00783571">
        <w:t xml:space="preserve"> (</w:t>
      </w:r>
      <w:r w:rsidRPr="00783571">
        <w:rPr>
          <w:i/>
          <w:iCs/>
        </w:rPr>
        <w:t>n</w:t>
      </w:r>
      <w:r w:rsidRPr="00783571">
        <w:t> = 1, 2), and race</w:t>
      </w:r>
      <w:r w:rsidR="00352A22" w:rsidRPr="00783571">
        <w:t>/ethnicity</w:t>
      </w:r>
      <w:r w:rsidRPr="00783571">
        <w:t xml:space="preserve"> </w:t>
      </w:r>
      <w:r w:rsidRPr="00783571">
        <w:rPr>
          <w:i/>
          <w:iCs/>
        </w:rPr>
        <w:t>o</w:t>
      </w:r>
      <w:r w:rsidRPr="00783571">
        <w:t xml:space="preserve"> (</w:t>
      </w:r>
      <w:r w:rsidRPr="00783571">
        <w:rPr>
          <w:i/>
          <w:iCs/>
        </w:rPr>
        <w:t>o</w:t>
      </w:r>
      <w:r w:rsidR="00072F57" w:rsidRPr="00783571">
        <w:t xml:space="preserve"> = 1, 2, 3). </w:t>
      </w:r>
      <w:r w:rsidR="00814158" w:rsidRPr="00783571">
        <w:t>Table </w:t>
      </w:r>
      <w:r w:rsidR="00871E69" w:rsidRPr="00783571">
        <w:t>3.</w:t>
      </w:r>
      <w:r w:rsidRPr="00783571">
        <w:t xml:space="preserve">1 lists the categories applied in the model for each of these stratification criteria. </w:t>
      </w:r>
      <w:r w:rsidR="00F77D76" w:rsidRPr="00783571">
        <w:t>PWID</w:t>
      </w:r>
      <w:r w:rsidRPr="00783571">
        <w:t xml:space="preserve"> are all high-risk, MSM are all male, and only males are stratified by circumcision status</w:t>
      </w:r>
      <w:r w:rsidR="000122E6" w:rsidRPr="00783571">
        <w:t>;</w:t>
      </w:r>
      <w:r w:rsidRPr="00783571">
        <w:t xml:space="preserve"> therefore</w:t>
      </w:r>
      <w:r w:rsidR="000122E6" w:rsidRPr="00783571">
        <w:t>,</w:t>
      </w:r>
      <w:r w:rsidRPr="00783571">
        <w:t xml:space="preserve"> not all combinations of these stratifications</w:t>
      </w:r>
      <w:r w:rsidR="00F77D76" w:rsidRPr="00783571">
        <w:t xml:space="preserve"> (i.e., 360 = 5x2x3x2x2x3)</w:t>
      </w:r>
      <w:r w:rsidRPr="00783571">
        <w:t xml:space="preserve"> are represented</w:t>
      </w:r>
      <w:r w:rsidRPr="005E57FF">
        <w:rPr>
          <w:highlight w:val="yellow"/>
        </w:rPr>
        <w:t xml:space="preserve">. </w:t>
      </w:r>
      <w:bookmarkStart w:id="7" w:name="_Hlk510186610"/>
      <w:r w:rsidR="00D46135" w:rsidRPr="005E57FF">
        <w:rPr>
          <w:highlight w:val="yellow"/>
        </w:rPr>
        <w:t>Males are stratified by 5 age groups, 5 combinations of transmission group and risk level (MSM high-risk, MSM low-risk, HET high-risk, HET low-risk, PWID), 2 groups based on circumcision status, and 3 groups based on race/ethnicity</w:t>
      </w:r>
      <w:r w:rsidR="005262E9" w:rsidRPr="005E57FF">
        <w:rPr>
          <w:highlight w:val="yellow"/>
        </w:rPr>
        <w:t xml:space="preserve">, resulting in </w:t>
      </w:r>
      <w:r w:rsidR="00D46135" w:rsidRPr="005E57FF">
        <w:rPr>
          <w:highlight w:val="yellow"/>
        </w:rPr>
        <w:t xml:space="preserve">150 (5x5x2x3) </w:t>
      </w:r>
      <w:r w:rsidR="005262E9" w:rsidRPr="005E57FF">
        <w:rPr>
          <w:highlight w:val="yellow"/>
        </w:rPr>
        <w:t xml:space="preserve">male </w:t>
      </w:r>
      <w:r w:rsidR="00D46135" w:rsidRPr="005E57FF">
        <w:rPr>
          <w:highlight w:val="yellow"/>
        </w:rPr>
        <w:t>subpopulations. Females are stratified by 5 age groups, 3 combinations of transmission group and risk level (HET high-risk, HET low-risk, and PWID),</w:t>
      </w:r>
      <w:r w:rsidR="005262E9" w:rsidRPr="005E57FF">
        <w:rPr>
          <w:highlight w:val="yellow"/>
        </w:rPr>
        <w:t xml:space="preserve"> and three groups based on race/</w:t>
      </w:r>
      <w:r w:rsidR="00D46135" w:rsidRPr="005E57FF">
        <w:rPr>
          <w:highlight w:val="yellow"/>
        </w:rPr>
        <w:t>ethnicity</w:t>
      </w:r>
      <w:r w:rsidR="005262E9" w:rsidRPr="005E57FF">
        <w:rPr>
          <w:highlight w:val="yellow"/>
        </w:rPr>
        <w:t xml:space="preserve">, resulting in </w:t>
      </w:r>
      <w:r w:rsidR="00D46135" w:rsidRPr="005E57FF">
        <w:rPr>
          <w:highlight w:val="yellow"/>
        </w:rPr>
        <w:t xml:space="preserve">45 (5x3x3) </w:t>
      </w:r>
      <w:r w:rsidR="005262E9" w:rsidRPr="005E57FF">
        <w:rPr>
          <w:highlight w:val="yellow"/>
        </w:rPr>
        <w:t xml:space="preserve">female </w:t>
      </w:r>
      <w:r w:rsidR="00D46135" w:rsidRPr="005E57FF">
        <w:rPr>
          <w:highlight w:val="yellow"/>
        </w:rPr>
        <w:t>sub</w:t>
      </w:r>
      <w:r w:rsidR="005262E9" w:rsidRPr="005E57FF">
        <w:rPr>
          <w:highlight w:val="yellow"/>
        </w:rPr>
        <w:t>population</w:t>
      </w:r>
      <w:r w:rsidR="00D46135" w:rsidRPr="005E57FF">
        <w:rPr>
          <w:highlight w:val="yellow"/>
        </w:rPr>
        <w:t>s. Accounting for both males and females</w:t>
      </w:r>
      <w:r w:rsidR="005262E9" w:rsidRPr="005E57FF">
        <w:rPr>
          <w:highlight w:val="yellow"/>
        </w:rPr>
        <w:t>, there are</w:t>
      </w:r>
      <w:r w:rsidR="00D46135" w:rsidRPr="005E57FF">
        <w:rPr>
          <w:highlight w:val="yellow"/>
        </w:rPr>
        <w:t xml:space="preserve"> 195 (150+45) subpopulations </w:t>
      </w:r>
      <w:r w:rsidR="00D46135" w:rsidRPr="005E57FF">
        <w:rPr>
          <w:i/>
          <w:iCs/>
          <w:highlight w:val="yellow"/>
        </w:rPr>
        <w:t>p</w:t>
      </w:r>
      <w:r w:rsidR="00D46135" w:rsidRPr="005E57FF">
        <w:rPr>
          <w:highlight w:val="yellow"/>
        </w:rPr>
        <w:t xml:space="preserve"> (</w:t>
      </w:r>
      <w:r w:rsidR="00D46135" w:rsidRPr="005E57FF">
        <w:rPr>
          <w:i/>
          <w:iCs/>
          <w:highlight w:val="yellow"/>
        </w:rPr>
        <w:t>p</w:t>
      </w:r>
      <w:r w:rsidR="00D46135" w:rsidRPr="005E57FF">
        <w:rPr>
          <w:highlight w:val="yellow"/>
        </w:rPr>
        <w:t xml:space="preserve"> =1, …, 195).</w:t>
      </w:r>
      <w:bookmarkEnd w:id="7"/>
    </w:p>
    <w:p w14:paraId="2C394A34" w14:textId="26E5FF25" w:rsidR="00382287" w:rsidRPr="00783571" w:rsidRDefault="00382287" w:rsidP="00157D0F">
      <w:pPr>
        <w:pStyle w:val="TableTitle"/>
      </w:pPr>
      <w:bookmarkStart w:id="8" w:name="_Toc510104012"/>
      <w:r w:rsidRPr="00783571">
        <w:t xml:space="preserve">Table </w:t>
      </w:r>
      <w:r w:rsidR="00072F57" w:rsidRPr="00783571">
        <w:t>3</w:t>
      </w:r>
      <w:r w:rsidR="00157D0F" w:rsidRPr="00783571">
        <w:t>.</w:t>
      </w:r>
      <w:r w:rsidRPr="00783571">
        <w:t>1.</w:t>
      </w:r>
      <w:r w:rsidRPr="00783571">
        <w:tab/>
        <w:t>Population Stratification Criteria and Categories Applied in Each</w:t>
      </w:r>
      <w:bookmarkEnd w:id="8"/>
    </w:p>
    <w:tbl>
      <w:tblPr>
        <w:tblW w:w="5000" w:type="pct"/>
        <w:tblBorders>
          <w:top w:val="single" w:sz="12" w:space="0" w:color="000000"/>
          <w:bottom w:val="single" w:sz="12" w:space="0" w:color="000000"/>
          <w:insideH w:val="single" w:sz="2" w:space="0" w:color="DDDDDD"/>
        </w:tblBorders>
        <w:tblLayout w:type="fixed"/>
        <w:tblLook w:val="04A0" w:firstRow="1" w:lastRow="0" w:firstColumn="1" w:lastColumn="0" w:noHBand="0" w:noVBand="1"/>
      </w:tblPr>
      <w:tblGrid>
        <w:gridCol w:w="4680"/>
        <w:gridCol w:w="4680"/>
      </w:tblGrid>
      <w:tr w:rsidR="00382287" w:rsidRPr="00783571" w14:paraId="33F6D354" w14:textId="77777777" w:rsidTr="00260D8A">
        <w:trPr>
          <w:tblHeader/>
        </w:trPr>
        <w:tc>
          <w:tcPr>
            <w:tcW w:w="4680" w:type="dxa"/>
            <w:tcBorders>
              <w:top w:val="single" w:sz="12" w:space="0" w:color="auto"/>
              <w:bottom w:val="single" w:sz="6" w:space="0" w:color="auto"/>
            </w:tcBorders>
            <w:shd w:val="clear" w:color="auto" w:fill="auto"/>
            <w:noWrap/>
            <w:vAlign w:val="bottom"/>
            <w:hideMark/>
          </w:tcPr>
          <w:p w14:paraId="2CE06DA1" w14:textId="77777777" w:rsidR="00382287" w:rsidRPr="00783571" w:rsidRDefault="00382287" w:rsidP="00382287">
            <w:pPr>
              <w:pStyle w:val="TableHeaders"/>
            </w:pPr>
            <w:r w:rsidRPr="00783571">
              <w:t>Stratification Criterion (Represented by)</w:t>
            </w:r>
          </w:p>
        </w:tc>
        <w:tc>
          <w:tcPr>
            <w:tcW w:w="4680" w:type="dxa"/>
            <w:tcBorders>
              <w:top w:val="single" w:sz="12" w:space="0" w:color="auto"/>
              <w:bottom w:val="single" w:sz="6" w:space="0" w:color="auto"/>
            </w:tcBorders>
            <w:shd w:val="clear" w:color="auto" w:fill="auto"/>
            <w:vAlign w:val="bottom"/>
            <w:hideMark/>
          </w:tcPr>
          <w:p w14:paraId="38DA90EE" w14:textId="77777777" w:rsidR="00382287" w:rsidRPr="00783571" w:rsidRDefault="00382287" w:rsidP="00382287">
            <w:pPr>
              <w:pStyle w:val="TableHeaders"/>
            </w:pPr>
            <w:r w:rsidRPr="00783571">
              <w:t>Categories (Represented by)</w:t>
            </w:r>
          </w:p>
        </w:tc>
      </w:tr>
      <w:tr w:rsidR="00382287" w:rsidRPr="00783571" w14:paraId="1C727678" w14:textId="77777777" w:rsidTr="00260D8A">
        <w:tc>
          <w:tcPr>
            <w:tcW w:w="4680" w:type="dxa"/>
            <w:vMerge w:val="restart"/>
            <w:tcBorders>
              <w:top w:val="single" w:sz="6" w:space="0" w:color="auto"/>
              <w:bottom w:val="single" w:sz="4" w:space="0" w:color="808080" w:themeColor="background1" w:themeShade="80"/>
            </w:tcBorders>
            <w:shd w:val="clear" w:color="auto" w:fill="auto"/>
            <w:noWrap/>
            <w:hideMark/>
          </w:tcPr>
          <w:p w14:paraId="1F160154" w14:textId="77777777" w:rsidR="00382287" w:rsidRPr="00783571" w:rsidRDefault="00382287" w:rsidP="008E0A3C">
            <w:pPr>
              <w:pStyle w:val="TableText"/>
            </w:pPr>
            <w:r w:rsidRPr="00783571">
              <w:t>Age group (</w:t>
            </w:r>
            <w:r w:rsidRPr="00783571">
              <w:rPr>
                <w:i/>
              </w:rPr>
              <w:t>j</w:t>
            </w:r>
            <w:r w:rsidRPr="00783571">
              <w:t>) (years)</w:t>
            </w:r>
          </w:p>
        </w:tc>
        <w:tc>
          <w:tcPr>
            <w:tcW w:w="4680" w:type="dxa"/>
            <w:tcBorders>
              <w:top w:val="single" w:sz="6" w:space="0" w:color="auto"/>
              <w:bottom w:val="single" w:sz="4" w:space="0" w:color="808080" w:themeColor="background1" w:themeShade="80"/>
            </w:tcBorders>
            <w:shd w:val="clear" w:color="auto" w:fill="auto"/>
            <w:hideMark/>
          </w:tcPr>
          <w:p w14:paraId="2A3DB5C1" w14:textId="77777777" w:rsidR="00382287" w:rsidRPr="00783571" w:rsidRDefault="00382287" w:rsidP="008E0A3C">
            <w:pPr>
              <w:pStyle w:val="TableText"/>
            </w:pPr>
            <w:r w:rsidRPr="00783571">
              <w:t>13–17 (1)</w:t>
            </w:r>
          </w:p>
        </w:tc>
      </w:tr>
      <w:tr w:rsidR="00382287" w:rsidRPr="00783571" w14:paraId="335F91D5" w14:textId="77777777" w:rsidTr="00260D8A">
        <w:tc>
          <w:tcPr>
            <w:tcW w:w="4680" w:type="dxa"/>
            <w:vMerge/>
            <w:tcBorders>
              <w:top w:val="single" w:sz="4" w:space="0" w:color="808080" w:themeColor="background1" w:themeShade="80"/>
              <w:bottom w:val="single" w:sz="4" w:space="0" w:color="808080" w:themeColor="background1" w:themeShade="80"/>
            </w:tcBorders>
            <w:shd w:val="clear" w:color="auto" w:fill="auto"/>
            <w:noWrap/>
            <w:hideMark/>
          </w:tcPr>
          <w:p w14:paraId="6E37ACC3" w14:textId="77777777" w:rsidR="00382287" w:rsidRPr="00783571" w:rsidRDefault="00382287" w:rsidP="008E0A3C">
            <w:pPr>
              <w:pStyle w:val="TableText"/>
            </w:pPr>
          </w:p>
        </w:tc>
        <w:tc>
          <w:tcPr>
            <w:tcW w:w="4680" w:type="dxa"/>
            <w:tcBorders>
              <w:top w:val="single" w:sz="4" w:space="0" w:color="808080" w:themeColor="background1" w:themeShade="80"/>
              <w:bottom w:val="single" w:sz="4" w:space="0" w:color="808080" w:themeColor="background1" w:themeShade="80"/>
            </w:tcBorders>
            <w:shd w:val="clear" w:color="auto" w:fill="auto"/>
            <w:noWrap/>
          </w:tcPr>
          <w:p w14:paraId="68EBA681" w14:textId="77777777" w:rsidR="00382287" w:rsidRPr="00783571" w:rsidRDefault="00382287" w:rsidP="008E0A3C">
            <w:pPr>
              <w:pStyle w:val="TableText"/>
            </w:pPr>
            <w:r w:rsidRPr="00783571">
              <w:t>18–24 (2)</w:t>
            </w:r>
          </w:p>
        </w:tc>
      </w:tr>
      <w:tr w:rsidR="00382287" w:rsidRPr="00783571" w14:paraId="4AE3A45F" w14:textId="77777777" w:rsidTr="00260D8A">
        <w:tc>
          <w:tcPr>
            <w:tcW w:w="4680" w:type="dxa"/>
            <w:vMerge/>
            <w:tcBorders>
              <w:top w:val="single" w:sz="4" w:space="0" w:color="808080" w:themeColor="background1" w:themeShade="80"/>
              <w:bottom w:val="single" w:sz="4" w:space="0" w:color="808080" w:themeColor="background1" w:themeShade="80"/>
            </w:tcBorders>
            <w:shd w:val="clear" w:color="auto" w:fill="auto"/>
            <w:noWrap/>
            <w:hideMark/>
          </w:tcPr>
          <w:p w14:paraId="746A7297" w14:textId="77777777" w:rsidR="00382287" w:rsidRPr="00783571" w:rsidRDefault="00382287" w:rsidP="008E0A3C">
            <w:pPr>
              <w:pStyle w:val="TableText"/>
            </w:pPr>
          </w:p>
        </w:tc>
        <w:tc>
          <w:tcPr>
            <w:tcW w:w="4680" w:type="dxa"/>
            <w:tcBorders>
              <w:top w:val="single" w:sz="4" w:space="0" w:color="808080" w:themeColor="background1" w:themeShade="80"/>
              <w:bottom w:val="single" w:sz="4" w:space="0" w:color="808080" w:themeColor="background1" w:themeShade="80"/>
            </w:tcBorders>
            <w:shd w:val="clear" w:color="auto" w:fill="auto"/>
            <w:noWrap/>
          </w:tcPr>
          <w:p w14:paraId="32BAFF5F" w14:textId="77777777" w:rsidR="00382287" w:rsidRPr="00783571" w:rsidRDefault="00382287" w:rsidP="008E0A3C">
            <w:pPr>
              <w:pStyle w:val="TableText"/>
            </w:pPr>
            <w:r w:rsidRPr="00783571">
              <w:t>25–34 (3)</w:t>
            </w:r>
          </w:p>
        </w:tc>
      </w:tr>
      <w:tr w:rsidR="00382287" w:rsidRPr="00783571" w14:paraId="17247196" w14:textId="77777777" w:rsidTr="00260D8A">
        <w:tc>
          <w:tcPr>
            <w:tcW w:w="4680" w:type="dxa"/>
            <w:vMerge/>
            <w:tcBorders>
              <w:top w:val="single" w:sz="4" w:space="0" w:color="808080" w:themeColor="background1" w:themeShade="80"/>
              <w:bottom w:val="single" w:sz="4" w:space="0" w:color="808080" w:themeColor="background1" w:themeShade="80"/>
            </w:tcBorders>
            <w:shd w:val="clear" w:color="auto" w:fill="auto"/>
            <w:noWrap/>
            <w:hideMark/>
          </w:tcPr>
          <w:p w14:paraId="1A25A795" w14:textId="77777777" w:rsidR="00382287" w:rsidRPr="00783571" w:rsidRDefault="00382287" w:rsidP="008E0A3C">
            <w:pPr>
              <w:pStyle w:val="TableText"/>
            </w:pP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319AB527" w14:textId="77777777" w:rsidR="00382287" w:rsidRPr="00783571" w:rsidRDefault="00382287" w:rsidP="008E0A3C">
            <w:pPr>
              <w:pStyle w:val="TableText"/>
            </w:pPr>
            <w:r w:rsidRPr="00783571">
              <w:t>35–44 (4)</w:t>
            </w:r>
          </w:p>
        </w:tc>
      </w:tr>
      <w:tr w:rsidR="00382287" w:rsidRPr="00783571" w14:paraId="67B916EF" w14:textId="77777777" w:rsidTr="00260D8A">
        <w:tc>
          <w:tcPr>
            <w:tcW w:w="4680" w:type="dxa"/>
            <w:vMerge/>
            <w:tcBorders>
              <w:top w:val="single" w:sz="4" w:space="0" w:color="808080" w:themeColor="background1" w:themeShade="80"/>
              <w:bottom w:val="single" w:sz="4" w:space="0" w:color="808080" w:themeColor="background1" w:themeShade="80"/>
            </w:tcBorders>
            <w:shd w:val="clear" w:color="auto" w:fill="auto"/>
            <w:noWrap/>
            <w:hideMark/>
          </w:tcPr>
          <w:p w14:paraId="6C2647DA" w14:textId="77777777" w:rsidR="00382287" w:rsidRPr="00783571" w:rsidRDefault="00382287" w:rsidP="008E0A3C">
            <w:pPr>
              <w:pStyle w:val="TableText"/>
            </w:pP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139F7786" w14:textId="77777777" w:rsidR="00382287" w:rsidRPr="00783571" w:rsidRDefault="00382287" w:rsidP="008E0A3C">
            <w:pPr>
              <w:pStyle w:val="TableText"/>
            </w:pPr>
            <w:r w:rsidRPr="00783571">
              <w:t>45–64 (5)</w:t>
            </w:r>
          </w:p>
        </w:tc>
      </w:tr>
      <w:tr w:rsidR="00382287" w:rsidRPr="00783571" w14:paraId="47EC40E9" w14:textId="77777777" w:rsidTr="00260D8A">
        <w:tc>
          <w:tcPr>
            <w:tcW w:w="4680" w:type="dxa"/>
            <w:vMerge w:val="restart"/>
            <w:tcBorders>
              <w:top w:val="single" w:sz="4" w:space="0" w:color="808080" w:themeColor="background1" w:themeShade="80"/>
              <w:bottom w:val="single" w:sz="4" w:space="0" w:color="808080" w:themeColor="background1" w:themeShade="80"/>
            </w:tcBorders>
            <w:shd w:val="clear" w:color="auto" w:fill="auto"/>
            <w:noWrap/>
            <w:hideMark/>
          </w:tcPr>
          <w:p w14:paraId="42B1C510" w14:textId="77777777" w:rsidR="00382287" w:rsidRPr="00783571" w:rsidRDefault="00382287" w:rsidP="008E0A3C">
            <w:pPr>
              <w:pStyle w:val="TableText"/>
            </w:pPr>
            <w:r w:rsidRPr="00783571">
              <w:t>Risk level (</w:t>
            </w:r>
            <w:r w:rsidRPr="00783571">
              <w:rPr>
                <w:i/>
              </w:rPr>
              <w:t>k</w:t>
            </w:r>
            <w:r w:rsidRPr="00783571">
              <w:t>)</w:t>
            </w: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38E1C26A" w14:textId="77777777" w:rsidR="00382287" w:rsidRPr="00783571" w:rsidRDefault="00382287" w:rsidP="008E0A3C">
            <w:pPr>
              <w:pStyle w:val="TableText"/>
            </w:pPr>
            <w:r w:rsidRPr="00783571">
              <w:t>Low (1)</w:t>
            </w:r>
          </w:p>
        </w:tc>
      </w:tr>
      <w:tr w:rsidR="00382287" w:rsidRPr="00783571" w14:paraId="10A2FFEF" w14:textId="77777777" w:rsidTr="00260D8A">
        <w:tc>
          <w:tcPr>
            <w:tcW w:w="4680" w:type="dxa"/>
            <w:vMerge/>
            <w:tcBorders>
              <w:top w:val="single" w:sz="4" w:space="0" w:color="808080" w:themeColor="background1" w:themeShade="80"/>
              <w:bottom w:val="single" w:sz="4" w:space="0" w:color="808080" w:themeColor="background1" w:themeShade="80"/>
            </w:tcBorders>
            <w:shd w:val="clear" w:color="auto" w:fill="auto"/>
            <w:noWrap/>
            <w:hideMark/>
          </w:tcPr>
          <w:p w14:paraId="4D8313C5" w14:textId="77777777" w:rsidR="00382287" w:rsidRPr="00783571" w:rsidRDefault="00382287" w:rsidP="008E0A3C">
            <w:pPr>
              <w:pStyle w:val="TableText"/>
            </w:pP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389A4056" w14:textId="77777777" w:rsidR="00382287" w:rsidRPr="00783571" w:rsidRDefault="00382287" w:rsidP="008E0A3C">
            <w:pPr>
              <w:pStyle w:val="TableText"/>
            </w:pPr>
            <w:r w:rsidRPr="00783571">
              <w:t>High (2)</w:t>
            </w:r>
          </w:p>
        </w:tc>
      </w:tr>
      <w:tr w:rsidR="00382287" w:rsidRPr="00783571" w14:paraId="10B77CB8" w14:textId="77777777" w:rsidTr="00260D8A">
        <w:tc>
          <w:tcPr>
            <w:tcW w:w="4680" w:type="dxa"/>
            <w:vMerge w:val="restart"/>
            <w:tcBorders>
              <w:top w:val="single" w:sz="4" w:space="0" w:color="808080" w:themeColor="background1" w:themeShade="80"/>
              <w:bottom w:val="single" w:sz="4" w:space="0" w:color="808080" w:themeColor="background1" w:themeShade="80"/>
            </w:tcBorders>
            <w:shd w:val="clear" w:color="auto" w:fill="auto"/>
            <w:noWrap/>
            <w:hideMark/>
          </w:tcPr>
          <w:p w14:paraId="58411B63" w14:textId="77777777" w:rsidR="00382287" w:rsidRPr="00783571" w:rsidRDefault="00382287" w:rsidP="008E0A3C">
            <w:pPr>
              <w:pStyle w:val="TableText"/>
            </w:pPr>
            <w:r w:rsidRPr="00783571">
              <w:t>Transmission group (</w:t>
            </w:r>
            <w:r w:rsidRPr="00783571">
              <w:rPr>
                <w:i/>
              </w:rPr>
              <w:t>l</w:t>
            </w:r>
            <w:r w:rsidRPr="00783571">
              <w:t>)</w:t>
            </w: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54C47B35" w14:textId="77777777" w:rsidR="00382287" w:rsidRPr="00783571" w:rsidRDefault="00382287" w:rsidP="008E0A3C">
            <w:pPr>
              <w:pStyle w:val="TableText"/>
            </w:pPr>
            <w:r w:rsidRPr="00783571">
              <w:t>HET (1)</w:t>
            </w:r>
          </w:p>
        </w:tc>
      </w:tr>
      <w:tr w:rsidR="00382287" w:rsidRPr="00783571" w14:paraId="365C552B" w14:textId="77777777" w:rsidTr="00260D8A">
        <w:tc>
          <w:tcPr>
            <w:tcW w:w="4680" w:type="dxa"/>
            <w:vMerge/>
            <w:tcBorders>
              <w:top w:val="single" w:sz="4" w:space="0" w:color="808080" w:themeColor="background1" w:themeShade="80"/>
              <w:bottom w:val="single" w:sz="4" w:space="0" w:color="808080" w:themeColor="background1" w:themeShade="80"/>
            </w:tcBorders>
            <w:shd w:val="clear" w:color="auto" w:fill="auto"/>
            <w:noWrap/>
            <w:hideMark/>
          </w:tcPr>
          <w:p w14:paraId="6A3857DD" w14:textId="77777777" w:rsidR="00382287" w:rsidRPr="00783571" w:rsidRDefault="00382287" w:rsidP="008E0A3C">
            <w:pPr>
              <w:pStyle w:val="TableText"/>
            </w:pP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0E8F9BE5" w14:textId="5D05BCCF" w:rsidR="00382287" w:rsidRPr="00783571" w:rsidRDefault="00382287" w:rsidP="008E0A3C">
            <w:pPr>
              <w:pStyle w:val="TableText"/>
            </w:pPr>
            <w:r w:rsidRPr="00783571">
              <w:t>MSM (2)</w:t>
            </w:r>
            <w:r w:rsidR="00820ABC" w:rsidRPr="00783571">
              <w:rPr>
                <w:vertAlign w:val="superscript"/>
              </w:rPr>
              <w:t>a</w:t>
            </w:r>
          </w:p>
        </w:tc>
      </w:tr>
      <w:tr w:rsidR="00382287" w:rsidRPr="00783571" w14:paraId="433FB9FF" w14:textId="77777777" w:rsidTr="00260D8A">
        <w:tc>
          <w:tcPr>
            <w:tcW w:w="4680" w:type="dxa"/>
            <w:vMerge/>
            <w:tcBorders>
              <w:top w:val="single" w:sz="4" w:space="0" w:color="808080" w:themeColor="background1" w:themeShade="80"/>
              <w:bottom w:val="single" w:sz="4" w:space="0" w:color="808080" w:themeColor="background1" w:themeShade="80"/>
            </w:tcBorders>
            <w:shd w:val="clear" w:color="auto" w:fill="auto"/>
            <w:noWrap/>
            <w:hideMark/>
          </w:tcPr>
          <w:p w14:paraId="0F3C1636" w14:textId="77777777" w:rsidR="00382287" w:rsidRPr="00783571" w:rsidRDefault="00382287" w:rsidP="008E0A3C">
            <w:pPr>
              <w:pStyle w:val="TableText"/>
            </w:pP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0F2CC2F4" w14:textId="23F77471" w:rsidR="00382287" w:rsidRPr="00783571" w:rsidRDefault="00F77D76" w:rsidP="008E0A3C">
            <w:pPr>
              <w:pStyle w:val="TableText"/>
            </w:pPr>
            <w:r w:rsidRPr="00783571">
              <w:t>PWID</w:t>
            </w:r>
            <w:r w:rsidR="00382287" w:rsidRPr="00783571">
              <w:t xml:space="preserve"> (3)</w:t>
            </w:r>
          </w:p>
        </w:tc>
      </w:tr>
      <w:tr w:rsidR="00382287" w:rsidRPr="00783571" w14:paraId="5848272F" w14:textId="77777777" w:rsidTr="00260D8A">
        <w:tc>
          <w:tcPr>
            <w:tcW w:w="4680" w:type="dxa"/>
            <w:vMerge w:val="restart"/>
            <w:tcBorders>
              <w:top w:val="single" w:sz="4" w:space="0" w:color="808080" w:themeColor="background1" w:themeShade="80"/>
              <w:bottom w:val="single" w:sz="4" w:space="0" w:color="808080" w:themeColor="background1" w:themeShade="80"/>
            </w:tcBorders>
            <w:shd w:val="clear" w:color="auto" w:fill="auto"/>
            <w:noWrap/>
            <w:hideMark/>
          </w:tcPr>
          <w:p w14:paraId="7ECF3DAE" w14:textId="77777777" w:rsidR="00382287" w:rsidRPr="00783571" w:rsidRDefault="00382287" w:rsidP="008E0A3C">
            <w:pPr>
              <w:pStyle w:val="TableText"/>
            </w:pPr>
            <w:r w:rsidRPr="00783571">
              <w:t>Sex (</w:t>
            </w:r>
            <w:r w:rsidRPr="00783571">
              <w:rPr>
                <w:i/>
              </w:rPr>
              <w:t>m</w:t>
            </w:r>
            <w:r w:rsidRPr="00783571">
              <w:t>)</w:t>
            </w: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6F7E3871" w14:textId="77777777" w:rsidR="00382287" w:rsidRPr="00783571" w:rsidRDefault="00382287" w:rsidP="008E0A3C">
            <w:pPr>
              <w:pStyle w:val="TableText"/>
            </w:pPr>
            <w:r w:rsidRPr="00783571">
              <w:t>Male (1)</w:t>
            </w:r>
          </w:p>
        </w:tc>
      </w:tr>
      <w:tr w:rsidR="00382287" w:rsidRPr="00783571" w14:paraId="3884BAFA" w14:textId="77777777" w:rsidTr="00260D8A">
        <w:tc>
          <w:tcPr>
            <w:tcW w:w="4680" w:type="dxa"/>
            <w:vMerge/>
            <w:tcBorders>
              <w:top w:val="single" w:sz="4" w:space="0" w:color="808080" w:themeColor="background1" w:themeShade="80"/>
              <w:bottom w:val="single" w:sz="4" w:space="0" w:color="808080" w:themeColor="background1" w:themeShade="80"/>
            </w:tcBorders>
            <w:shd w:val="clear" w:color="auto" w:fill="auto"/>
            <w:noWrap/>
            <w:hideMark/>
          </w:tcPr>
          <w:p w14:paraId="631411B6" w14:textId="77777777" w:rsidR="00382287" w:rsidRPr="00783571" w:rsidRDefault="00382287" w:rsidP="008E0A3C">
            <w:pPr>
              <w:pStyle w:val="TableText"/>
            </w:pP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13F85294" w14:textId="77777777" w:rsidR="00382287" w:rsidRPr="00783571" w:rsidRDefault="00382287" w:rsidP="008E0A3C">
            <w:pPr>
              <w:pStyle w:val="TableText"/>
            </w:pPr>
            <w:r w:rsidRPr="00783571">
              <w:t>Female (2)</w:t>
            </w:r>
          </w:p>
        </w:tc>
      </w:tr>
      <w:tr w:rsidR="00382287" w:rsidRPr="00783571" w14:paraId="5740CE64" w14:textId="77777777" w:rsidTr="00260D8A">
        <w:tc>
          <w:tcPr>
            <w:tcW w:w="4680" w:type="dxa"/>
            <w:vMerge w:val="restart"/>
            <w:tcBorders>
              <w:top w:val="single" w:sz="4" w:space="0" w:color="808080" w:themeColor="background1" w:themeShade="80"/>
              <w:bottom w:val="single" w:sz="4" w:space="0" w:color="808080" w:themeColor="background1" w:themeShade="80"/>
            </w:tcBorders>
            <w:shd w:val="clear" w:color="auto" w:fill="auto"/>
            <w:noWrap/>
            <w:hideMark/>
          </w:tcPr>
          <w:p w14:paraId="5705E009" w14:textId="77777777" w:rsidR="00382287" w:rsidRPr="00783571" w:rsidRDefault="00382287" w:rsidP="008E0A3C">
            <w:pPr>
              <w:pStyle w:val="TableText"/>
            </w:pPr>
            <w:r w:rsidRPr="00783571">
              <w:t>Circumcision status (</w:t>
            </w:r>
            <w:r w:rsidRPr="00783571">
              <w:rPr>
                <w:i/>
              </w:rPr>
              <w:t>n</w:t>
            </w:r>
            <w:r w:rsidRPr="00783571">
              <w:t>)</w:t>
            </w: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1770A398" w14:textId="77777777" w:rsidR="00382287" w:rsidRPr="00783571" w:rsidRDefault="00382287" w:rsidP="008E0A3C">
            <w:pPr>
              <w:pStyle w:val="TableText"/>
            </w:pPr>
            <w:r w:rsidRPr="00783571">
              <w:t>Uncircumcised (1)</w:t>
            </w:r>
          </w:p>
        </w:tc>
      </w:tr>
      <w:tr w:rsidR="00382287" w:rsidRPr="00783571" w14:paraId="5225C1BC" w14:textId="77777777" w:rsidTr="00260D8A">
        <w:tc>
          <w:tcPr>
            <w:tcW w:w="4680" w:type="dxa"/>
            <w:vMerge/>
            <w:tcBorders>
              <w:top w:val="single" w:sz="4" w:space="0" w:color="808080" w:themeColor="background1" w:themeShade="80"/>
              <w:bottom w:val="single" w:sz="4" w:space="0" w:color="808080" w:themeColor="background1" w:themeShade="80"/>
            </w:tcBorders>
            <w:shd w:val="clear" w:color="auto" w:fill="auto"/>
            <w:noWrap/>
            <w:hideMark/>
          </w:tcPr>
          <w:p w14:paraId="6C3AB9CD" w14:textId="77777777" w:rsidR="00382287" w:rsidRPr="00783571" w:rsidRDefault="00382287" w:rsidP="008E0A3C">
            <w:pPr>
              <w:pStyle w:val="TableText"/>
            </w:pP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23F6E7C2" w14:textId="77777777" w:rsidR="00382287" w:rsidRPr="00783571" w:rsidRDefault="00382287" w:rsidP="008E0A3C">
            <w:pPr>
              <w:pStyle w:val="TableText"/>
            </w:pPr>
            <w:r w:rsidRPr="00783571">
              <w:t>Circumcised (2)</w:t>
            </w:r>
          </w:p>
        </w:tc>
      </w:tr>
      <w:tr w:rsidR="00382287" w:rsidRPr="00783571" w14:paraId="0F0A7DCA" w14:textId="77777777" w:rsidTr="00260D8A">
        <w:tc>
          <w:tcPr>
            <w:tcW w:w="4680" w:type="dxa"/>
            <w:vMerge w:val="restart"/>
            <w:tcBorders>
              <w:top w:val="single" w:sz="4" w:space="0" w:color="808080" w:themeColor="background1" w:themeShade="80"/>
              <w:bottom w:val="single" w:sz="4" w:space="0" w:color="808080" w:themeColor="background1" w:themeShade="80"/>
            </w:tcBorders>
            <w:shd w:val="clear" w:color="auto" w:fill="auto"/>
            <w:noWrap/>
            <w:hideMark/>
          </w:tcPr>
          <w:p w14:paraId="0D863559" w14:textId="77777777" w:rsidR="00382287" w:rsidRPr="00783571" w:rsidRDefault="00382287" w:rsidP="008E0A3C">
            <w:pPr>
              <w:pStyle w:val="TableText"/>
            </w:pPr>
            <w:r w:rsidRPr="00783571">
              <w:t>Race</w:t>
            </w:r>
            <w:r w:rsidR="00D4774B" w:rsidRPr="00783571">
              <w:t>/ethnicity</w:t>
            </w:r>
            <w:r w:rsidRPr="00783571">
              <w:t xml:space="preserve"> (</w:t>
            </w:r>
            <w:r w:rsidRPr="00783571">
              <w:rPr>
                <w:i/>
              </w:rPr>
              <w:t>o</w:t>
            </w:r>
            <w:r w:rsidRPr="00783571">
              <w:t>)</w:t>
            </w: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70B947F5" w14:textId="77777777" w:rsidR="00382287" w:rsidRPr="00783571" w:rsidRDefault="00382287" w:rsidP="008E0A3C">
            <w:pPr>
              <w:pStyle w:val="TableText"/>
            </w:pPr>
            <w:r w:rsidRPr="00783571">
              <w:t>Black (1)</w:t>
            </w:r>
          </w:p>
        </w:tc>
      </w:tr>
      <w:tr w:rsidR="00382287" w:rsidRPr="00783571" w14:paraId="6233B2AC" w14:textId="77777777" w:rsidTr="00260D8A">
        <w:tc>
          <w:tcPr>
            <w:tcW w:w="4680" w:type="dxa"/>
            <w:vMerge/>
            <w:tcBorders>
              <w:top w:val="single" w:sz="4" w:space="0" w:color="808080" w:themeColor="background1" w:themeShade="80"/>
              <w:bottom w:val="single" w:sz="4" w:space="0" w:color="808080" w:themeColor="background1" w:themeShade="80"/>
            </w:tcBorders>
            <w:shd w:val="clear" w:color="auto" w:fill="auto"/>
            <w:noWrap/>
            <w:hideMark/>
          </w:tcPr>
          <w:p w14:paraId="2088648F" w14:textId="77777777" w:rsidR="00382287" w:rsidRPr="00783571" w:rsidRDefault="00382287" w:rsidP="008E0A3C">
            <w:pPr>
              <w:pStyle w:val="TableText"/>
            </w:pPr>
          </w:p>
        </w:tc>
        <w:tc>
          <w:tcPr>
            <w:tcW w:w="4680" w:type="dxa"/>
            <w:tcBorders>
              <w:top w:val="single" w:sz="4" w:space="0" w:color="808080" w:themeColor="background1" w:themeShade="80"/>
              <w:bottom w:val="single" w:sz="4" w:space="0" w:color="808080" w:themeColor="background1" w:themeShade="80"/>
            </w:tcBorders>
            <w:shd w:val="clear" w:color="auto" w:fill="auto"/>
            <w:noWrap/>
            <w:hideMark/>
          </w:tcPr>
          <w:p w14:paraId="2B8681F1" w14:textId="77777777" w:rsidR="00382287" w:rsidRPr="00783571" w:rsidRDefault="00382287" w:rsidP="008E0A3C">
            <w:pPr>
              <w:pStyle w:val="TableText"/>
            </w:pPr>
            <w:r w:rsidRPr="00783571">
              <w:t>Hispanic</w:t>
            </w:r>
            <w:r w:rsidR="001A72D1" w:rsidRPr="00783571">
              <w:t>/Latino</w:t>
            </w:r>
            <w:r w:rsidRPr="00783571">
              <w:t xml:space="preserve"> (2)</w:t>
            </w:r>
          </w:p>
        </w:tc>
      </w:tr>
      <w:tr w:rsidR="00382287" w:rsidRPr="00783571" w14:paraId="31658662" w14:textId="77777777" w:rsidTr="00260D8A">
        <w:tc>
          <w:tcPr>
            <w:tcW w:w="4680" w:type="dxa"/>
            <w:vMerge/>
            <w:tcBorders>
              <w:top w:val="single" w:sz="4" w:space="0" w:color="808080" w:themeColor="background1" w:themeShade="80"/>
              <w:bottom w:val="single" w:sz="12" w:space="0" w:color="000000"/>
            </w:tcBorders>
            <w:shd w:val="clear" w:color="auto" w:fill="auto"/>
            <w:noWrap/>
            <w:hideMark/>
          </w:tcPr>
          <w:p w14:paraId="745A4C32" w14:textId="77777777" w:rsidR="00382287" w:rsidRPr="00783571" w:rsidRDefault="00382287" w:rsidP="008E0A3C">
            <w:pPr>
              <w:pStyle w:val="TableText"/>
            </w:pPr>
          </w:p>
        </w:tc>
        <w:tc>
          <w:tcPr>
            <w:tcW w:w="4680" w:type="dxa"/>
            <w:tcBorders>
              <w:top w:val="single" w:sz="4" w:space="0" w:color="808080" w:themeColor="background1" w:themeShade="80"/>
              <w:bottom w:val="single" w:sz="12" w:space="0" w:color="000000"/>
            </w:tcBorders>
            <w:shd w:val="clear" w:color="auto" w:fill="auto"/>
            <w:noWrap/>
            <w:hideMark/>
          </w:tcPr>
          <w:p w14:paraId="472A0097" w14:textId="77777777" w:rsidR="00382287" w:rsidRPr="00783571" w:rsidRDefault="00382287" w:rsidP="008E0A3C">
            <w:pPr>
              <w:pStyle w:val="TableText"/>
            </w:pPr>
            <w:r w:rsidRPr="00783571">
              <w:t>Other (3)</w:t>
            </w:r>
          </w:p>
        </w:tc>
      </w:tr>
    </w:tbl>
    <w:p w14:paraId="54BAEDE1" w14:textId="31CAC1B4" w:rsidR="000122E6" w:rsidRPr="00783571" w:rsidRDefault="000122E6" w:rsidP="0016571A">
      <w:pPr>
        <w:pStyle w:val="Source2"/>
      </w:pPr>
      <w:r w:rsidRPr="00783571">
        <w:t>Note: HET</w:t>
      </w:r>
      <w:r w:rsidR="00E628BE" w:rsidRPr="00783571">
        <w:t> = </w:t>
      </w:r>
      <w:r w:rsidRPr="00783571">
        <w:t>heterosexual; MSM</w:t>
      </w:r>
      <w:r w:rsidR="00E628BE" w:rsidRPr="00783571">
        <w:t> = </w:t>
      </w:r>
      <w:r w:rsidRPr="00783571">
        <w:t>men who have sex with men; PWID</w:t>
      </w:r>
      <w:r w:rsidR="00E628BE" w:rsidRPr="00783571">
        <w:t> = </w:t>
      </w:r>
      <w:r w:rsidRPr="00783571">
        <w:t>people who inject drugs</w:t>
      </w:r>
    </w:p>
    <w:p w14:paraId="3F63D15D" w14:textId="27AAD4ED" w:rsidR="004F4E6D" w:rsidRPr="00783571" w:rsidRDefault="00820ABC" w:rsidP="0016571A">
      <w:pPr>
        <w:pStyle w:val="Source4"/>
      </w:pPr>
      <w:r w:rsidRPr="00783571">
        <w:rPr>
          <w:vertAlign w:val="superscript"/>
        </w:rPr>
        <w:t>a</w:t>
      </w:r>
      <w:r w:rsidRPr="00783571">
        <w:t xml:space="preserve"> The MSM population is meant to capture all men who </w:t>
      </w:r>
      <w:r w:rsidR="006F4845" w:rsidRPr="00783571">
        <w:t xml:space="preserve">have </w:t>
      </w:r>
      <w:r w:rsidRPr="00783571">
        <w:t>sex with men, not just those who self-identify as MSM.</w:t>
      </w:r>
    </w:p>
    <w:p w14:paraId="41CDD393" w14:textId="6F11F6EF" w:rsidR="00382287" w:rsidRPr="00783571" w:rsidRDefault="00382287" w:rsidP="0046162D">
      <w:pPr>
        <w:pStyle w:val="BodyText"/>
      </w:pPr>
      <w:r w:rsidRPr="00783571">
        <w:t xml:space="preserve">The model’s </w:t>
      </w:r>
      <w:r w:rsidR="004F759E" w:rsidRPr="00783571">
        <w:t>2</w:t>
      </w:r>
      <w:r w:rsidR="00C2679D" w:rsidRPr="00783571">
        <w:t>8</w:t>
      </w:r>
      <w:r w:rsidRPr="00783571">
        <w:t xml:space="preserve"> compartments (defined by </w:t>
      </w:r>
      <w:r w:rsidRPr="00783571">
        <w:rPr>
          <w:i/>
          <w:iCs/>
        </w:rPr>
        <w:t>c</w:t>
      </w:r>
      <w:r w:rsidRPr="00783571">
        <w:t xml:space="preserve">) included </w:t>
      </w:r>
      <w:r w:rsidR="004F759E" w:rsidRPr="00783571">
        <w:t>2</w:t>
      </w:r>
      <w:r w:rsidR="00C2679D" w:rsidRPr="00783571">
        <w:t>5</w:t>
      </w:r>
      <w:r w:rsidRPr="00783571">
        <w:t xml:space="preserve"> main compartments for individuals actively moving through the model and </w:t>
      </w:r>
      <w:r w:rsidR="00782114" w:rsidRPr="00783571">
        <w:t xml:space="preserve">3 </w:t>
      </w:r>
      <w:r w:rsidRPr="00783571">
        <w:t xml:space="preserve">compartments for individuals who were no longer actively followed in the model due to death </w:t>
      </w:r>
      <w:r w:rsidR="0043578F" w:rsidRPr="00783571">
        <w:t>by</w:t>
      </w:r>
      <w:r w:rsidRPr="00783571">
        <w:t xml:space="preserve"> causes other than AIDS, death due to AIDS, and aging out. The </w:t>
      </w:r>
      <w:r w:rsidR="00DC4946" w:rsidRPr="00783571">
        <w:t xml:space="preserve">25 </w:t>
      </w:r>
      <w:r w:rsidRPr="00783571">
        <w:t>former compartments were defined by disease stage (</w:t>
      </w:r>
      <w:r w:rsidRPr="00783571">
        <w:rPr>
          <w:i/>
          <w:iCs/>
        </w:rPr>
        <w:t>h</w:t>
      </w:r>
      <w:r w:rsidRPr="00783571">
        <w:t>) and continuum-of-care stage (</w:t>
      </w:r>
      <w:r w:rsidRPr="00783571">
        <w:rPr>
          <w:i/>
          <w:iCs/>
        </w:rPr>
        <w:t>r</w:t>
      </w:r>
      <w:r w:rsidRPr="00783571">
        <w:t>).</w:t>
      </w:r>
    </w:p>
    <w:p w14:paraId="6ED6124A" w14:textId="17A9B993" w:rsidR="0020439A" w:rsidRPr="00783571" w:rsidRDefault="00814158" w:rsidP="00F82809">
      <w:pPr>
        <w:pStyle w:val="BodyText"/>
      </w:pPr>
      <w:r w:rsidRPr="00783571">
        <w:t>Figure </w:t>
      </w:r>
      <w:r w:rsidR="00F82809" w:rsidRPr="00783571">
        <w:t xml:space="preserve">3.1 displays how the model’s compartments are applied in the model; each compartment is labeled in that figure with its corresponding number </w:t>
      </w:r>
      <w:r w:rsidR="00F82809" w:rsidRPr="00783571">
        <w:rPr>
          <w:i/>
          <w:iCs/>
        </w:rPr>
        <w:t>c</w:t>
      </w:r>
      <w:r w:rsidR="00A76183" w:rsidRPr="00783571">
        <w:t xml:space="preserve">. They are defined by HIV stage </w:t>
      </w:r>
      <w:r w:rsidR="000A312E" w:rsidRPr="00783571">
        <w:t>and</w:t>
      </w:r>
      <w:r w:rsidR="00A76183" w:rsidRPr="00783571">
        <w:t xml:space="preserve"> </w:t>
      </w:r>
      <w:r w:rsidR="00627CC7" w:rsidRPr="00783571">
        <w:t xml:space="preserve">HIV </w:t>
      </w:r>
      <w:r w:rsidR="00A76183" w:rsidRPr="00783571">
        <w:t>continuum-of-care</w:t>
      </w:r>
      <w:r w:rsidR="001E0A32" w:rsidRPr="00783571">
        <w:t xml:space="preserve"> </w:t>
      </w:r>
      <w:r w:rsidR="00A76183" w:rsidRPr="00783571">
        <w:t>status.</w:t>
      </w:r>
      <w:r w:rsidR="000F420A" w:rsidRPr="00783571">
        <w:t xml:space="preserve"> </w:t>
      </w:r>
      <w:r w:rsidR="00A76183" w:rsidRPr="00783571">
        <w:t>Individuals enter the population as susceptible</w:t>
      </w:r>
      <w:r w:rsidR="00113C3E" w:rsidRPr="00783571">
        <w:t xml:space="preserve"> and not on PrEP</w:t>
      </w:r>
      <w:r w:rsidR="00A76183" w:rsidRPr="00783571">
        <w:t xml:space="preserve"> </w:t>
      </w:r>
      <w:r w:rsidR="00F82809" w:rsidRPr="00783571">
        <w:t>(</w:t>
      </w:r>
      <w:r w:rsidR="00F82809" w:rsidRPr="00783571">
        <w:rPr>
          <w:i/>
          <w:iCs/>
        </w:rPr>
        <w:t>c</w:t>
      </w:r>
      <w:r w:rsidR="00F82809" w:rsidRPr="00783571">
        <w:t xml:space="preserve"> = 1)</w:t>
      </w:r>
      <w:r w:rsidR="00A76183" w:rsidRPr="00783571">
        <w:t>. They may die</w:t>
      </w:r>
      <w:r w:rsidR="000A312E" w:rsidRPr="00783571">
        <w:t xml:space="preserve"> or age out of the population</w:t>
      </w:r>
      <w:r w:rsidR="00A76183" w:rsidRPr="00783571">
        <w:t xml:space="preserve"> from any of the</w:t>
      </w:r>
      <w:r w:rsidR="000A312E" w:rsidRPr="00783571">
        <w:t xml:space="preserve"> main</w:t>
      </w:r>
      <w:r w:rsidR="00A76183" w:rsidRPr="00783571">
        <w:t xml:space="preserve"> compartments.</w:t>
      </w:r>
    </w:p>
    <w:p w14:paraId="2283B690" w14:textId="2A515050" w:rsidR="008804EA" w:rsidRPr="00783571" w:rsidRDefault="008804EA" w:rsidP="008804EA">
      <w:pPr>
        <w:pStyle w:val="BodyText"/>
        <w:keepNext/>
      </w:pPr>
      <w:r w:rsidRPr="00783571">
        <w:t>The six disease stages (</w:t>
      </w:r>
      <w:r w:rsidRPr="00783571">
        <w:rPr>
          <w:i/>
          <w:iCs/>
        </w:rPr>
        <w:t>h</w:t>
      </w:r>
      <w:r w:rsidR="00E628BE" w:rsidRPr="00783571">
        <w:t> = </w:t>
      </w:r>
      <w:r w:rsidRPr="00783571">
        <w:t>0, …, 5) were defined by the presence of HIV infection and, if infected, HIV progression:</w:t>
      </w:r>
    </w:p>
    <w:p w14:paraId="31FF754D" w14:textId="77777777" w:rsidR="008804EA" w:rsidRPr="00783571" w:rsidRDefault="008804EA" w:rsidP="008804EA">
      <w:pPr>
        <w:pStyle w:val="bullets"/>
        <w:keepNext/>
      </w:pPr>
      <w:r w:rsidRPr="00783571">
        <w:rPr>
          <w:i/>
          <w:iCs/>
        </w:rPr>
        <w:t>h</w:t>
      </w:r>
      <w:r w:rsidRPr="00783571">
        <w:t> = 0: Susceptible</w:t>
      </w:r>
    </w:p>
    <w:p w14:paraId="3043CD49" w14:textId="69916B82" w:rsidR="008804EA" w:rsidRPr="00783571" w:rsidRDefault="008804EA" w:rsidP="005F5DDA">
      <w:pPr>
        <w:pStyle w:val="bullets"/>
      </w:pPr>
      <w:r w:rsidRPr="00783571">
        <w:rPr>
          <w:i/>
          <w:iCs/>
        </w:rPr>
        <w:t>h</w:t>
      </w:r>
      <w:r w:rsidRPr="00783571">
        <w:t> = 1: Acute HIV infection</w:t>
      </w:r>
      <w:r w:rsidR="00885CC4" w:rsidRPr="00783571">
        <w:t xml:space="preserve"> (“</w:t>
      </w:r>
      <w:r w:rsidR="005F5DDA" w:rsidRPr="00783571">
        <w:t>A</w:t>
      </w:r>
      <w:r w:rsidR="00885CC4" w:rsidRPr="00783571">
        <w:t>cute” hereafter)</w:t>
      </w:r>
    </w:p>
    <w:p w14:paraId="342739D8" w14:textId="3F9E55B2" w:rsidR="008804EA" w:rsidRPr="00783571" w:rsidRDefault="008804EA" w:rsidP="00885CC4">
      <w:pPr>
        <w:pStyle w:val="bullets"/>
      </w:pPr>
      <w:r w:rsidRPr="00783571">
        <w:rPr>
          <w:i/>
          <w:iCs/>
        </w:rPr>
        <w:t>h</w:t>
      </w:r>
      <w:r w:rsidRPr="00783571">
        <w:t> = 2: HIV infection with CD4 count greater than 500 cells/mm</w:t>
      </w:r>
      <w:r w:rsidRPr="00783571">
        <w:rPr>
          <w:vertAlign w:val="superscript"/>
        </w:rPr>
        <w:t>3</w:t>
      </w:r>
      <w:r w:rsidRPr="00783571">
        <w:t xml:space="preserve"> (but not acute)</w:t>
      </w:r>
      <w:r w:rsidR="00885CC4" w:rsidRPr="00783571">
        <w:t xml:space="preserve"> (“CD4&gt;500” hereafter)</w:t>
      </w:r>
    </w:p>
    <w:p w14:paraId="5FE2E284" w14:textId="384A5E70" w:rsidR="008804EA" w:rsidRPr="00783571" w:rsidRDefault="008804EA" w:rsidP="00885CC4">
      <w:pPr>
        <w:pStyle w:val="bullets"/>
      </w:pPr>
      <w:r w:rsidRPr="00783571">
        <w:rPr>
          <w:i/>
          <w:iCs/>
        </w:rPr>
        <w:t>h</w:t>
      </w:r>
      <w:r w:rsidRPr="00783571">
        <w:t> = 3: HIV infection with CD4 count between 350 cells/mm</w:t>
      </w:r>
      <w:r w:rsidRPr="00783571">
        <w:rPr>
          <w:vertAlign w:val="superscript"/>
        </w:rPr>
        <w:t xml:space="preserve">3 </w:t>
      </w:r>
      <w:r w:rsidRPr="00783571">
        <w:t>and 500 cells/mm</w:t>
      </w:r>
      <w:r w:rsidRPr="00783571">
        <w:rPr>
          <w:vertAlign w:val="superscript"/>
        </w:rPr>
        <w:t>3</w:t>
      </w:r>
      <w:r w:rsidR="00885CC4" w:rsidRPr="00783571">
        <w:rPr>
          <w:vertAlign w:val="superscript"/>
        </w:rPr>
        <w:t xml:space="preserve"> </w:t>
      </w:r>
      <w:r w:rsidR="00885CC4" w:rsidRPr="00783571">
        <w:t>(“CD4 350-500” hereafter)</w:t>
      </w:r>
    </w:p>
    <w:p w14:paraId="1E18D3FF" w14:textId="1815C130" w:rsidR="008804EA" w:rsidRPr="00783571" w:rsidRDefault="008804EA" w:rsidP="00885CC4">
      <w:pPr>
        <w:pStyle w:val="bullets"/>
      </w:pPr>
      <w:r w:rsidRPr="00783571">
        <w:rPr>
          <w:i/>
          <w:iCs/>
        </w:rPr>
        <w:t>h</w:t>
      </w:r>
      <w:r w:rsidRPr="00783571">
        <w:t> = 4: HIV infection with CD4 count between 200 cells/mm</w:t>
      </w:r>
      <w:r w:rsidRPr="00783571">
        <w:rPr>
          <w:vertAlign w:val="superscript"/>
        </w:rPr>
        <w:t xml:space="preserve">3 </w:t>
      </w:r>
      <w:r w:rsidRPr="00783571">
        <w:t>and 350 cells/mm</w:t>
      </w:r>
      <w:r w:rsidRPr="00783571">
        <w:rPr>
          <w:vertAlign w:val="superscript"/>
        </w:rPr>
        <w:t>3</w:t>
      </w:r>
      <w:r w:rsidR="00885CC4" w:rsidRPr="00783571">
        <w:rPr>
          <w:vertAlign w:val="superscript"/>
        </w:rPr>
        <w:t xml:space="preserve"> </w:t>
      </w:r>
      <w:r w:rsidR="00885CC4" w:rsidRPr="00783571">
        <w:t>(“CD4 200-350” hereafter)</w:t>
      </w:r>
    </w:p>
    <w:p w14:paraId="3989A2A5" w14:textId="33080D54" w:rsidR="008804EA" w:rsidRPr="00783571" w:rsidRDefault="008804EA" w:rsidP="00885CC4">
      <w:pPr>
        <w:pStyle w:val="bullets"/>
      </w:pPr>
      <w:r w:rsidRPr="00783571">
        <w:rPr>
          <w:i/>
          <w:iCs/>
        </w:rPr>
        <w:t>h</w:t>
      </w:r>
      <w:r w:rsidRPr="00783571">
        <w:t> = 5: AIDS with CD4 less than 200 cells/mm</w:t>
      </w:r>
      <w:r w:rsidRPr="00783571">
        <w:rPr>
          <w:vertAlign w:val="superscript"/>
        </w:rPr>
        <w:t>3</w:t>
      </w:r>
      <w:r w:rsidR="00885CC4" w:rsidRPr="00783571">
        <w:rPr>
          <w:vertAlign w:val="superscript"/>
        </w:rPr>
        <w:t xml:space="preserve"> </w:t>
      </w:r>
      <w:r w:rsidR="00885CC4" w:rsidRPr="00783571">
        <w:t>(“CD4&lt;200” or “AIDS” hereafter)</w:t>
      </w:r>
    </w:p>
    <w:p w14:paraId="703178F1" w14:textId="357EBC96" w:rsidR="008804EA" w:rsidRPr="00783571" w:rsidRDefault="003E37E1" w:rsidP="008804EA">
      <w:pPr>
        <w:pStyle w:val="BodyText"/>
      </w:pPr>
      <w:r w:rsidRPr="00783571">
        <w:t>Five</w:t>
      </w:r>
      <w:r w:rsidR="008804EA" w:rsidRPr="00783571">
        <w:t xml:space="preserve"> continuum-of-care stages (</w:t>
      </w:r>
      <w:r w:rsidR="008804EA" w:rsidRPr="00783571">
        <w:rPr>
          <w:i/>
          <w:iCs/>
        </w:rPr>
        <w:t>r</w:t>
      </w:r>
      <w:r w:rsidR="008804EA" w:rsidRPr="00783571">
        <w:t> = 1,</w:t>
      </w:r>
      <w:r w:rsidR="00225D32" w:rsidRPr="00783571">
        <w:t xml:space="preserve"> </w:t>
      </w:r>
      <w:r w:rsidR="008804EA" w:rsidRPr="00783571">
        <w:t xml:space="preserve">…, </w:t>
      </w:r>
      <w:r w:rsidR="00B05D78" w:rsidRPr="00783571">
        <w:t>5</w:t>
      </w:r>
      <w:r w:rsidR="008804EA" w:rsidRPr="00783571">
        <w:t>) were defined by infection status, awareness of infection, linkage to HIV care, status based on effects of treatment with ART, and VLS status:</w:t>
      </w:r>
    </w:p>
    <w:p w14:paraId="34F9B00F" w14:textId="77758BB8" w:rsidR="008804EA" w:rsidRPr="00783571" w:rsidRDefault="008804EA" w:rsidP="00A60EFF">
      <w:pPr>
        <w:pStyle w:val="bullets"/>
      </w:pPr>
      <w:r w:rsidRPr="00783571">
        <w:rPr>
          <w:i/>
          <w:iCs/>
        </w:rPr>
        <w:t>r</w:t>
      </w:r>
      <w:r w:rsidRPr="00783571">
        <w:t> = 1: Susceptible or, if infected, unaware of infection</w:t>
      </w:r>
      <w:r w:rsidR="00781CDC" w:rsidRPr="00783571">
        <w:t xml:space="preserve"> (“</w:t>
      </w:r>
      <w:r w:rsidR="005F5DDA" w:rsidRPr="00783571">
        <w:t>U</w:t>
      </w:r>
      <w:r w:rsidR="00885CC4" w:rsidRPr="00783571">
        <w:t>naware</w:t>
      </w:r>
      <w:r w:rsidR="00781CDC" w:rsidRPr="00783571">
        <w:t>” hereafter)</w:t>
      </w:r>
    </w:p>
    <w:p w14:paraId="69E408B0" w14:textId="3B3367A0" w:rsidR="008804EA" w:rsidRPr="00783571" w:rsidRDefault="008804EA" w:rsidP="005F5DDA">
      <w:pPr>
        <w:pStyle w:val="bullets"/>
      </w:pPr>
      <w:r w:rsidRPr="00783571">
        <w:rPr>
          <w:i/>
          <w:iCs/>
        </w:rPr>
        <w:t>r</w:t>
      </w:r>
      <w:r w:rsidRPr="00783571">
        <w:t xml:space="preserve"> = 2: Aware of infection, but not linked to HIV care </w:t>
      </w:r>
      <w:r w:rsidR="00781CDC" w:rsidRPr="00783571">
        <w:t>(“</w:t>
      </w:r>
      <w:r w:rsidR="005F5DDA" w:rsidRPr="00783571">
        <w:t>A</w:t>
      </w:r>
      <w:r w:rsidR="00781CDC" w:rsidRPr="00783571">
        <w:t>ware”</w:t>
      </w:r>
      <w:r w:rsidR="00885CC4" w:rsidRPr="00783571">
        <w:t xml:space="preserve"> </w:t>
      </w:r>
      <w:r w:rsidR="00781CDC" w:rsidRPr="00783571">
        <w:t>hereafter)</w:t>
      </w:r>
    </w:p>
    <w:p w14:paraId="6C2E2E96" w14:textId="2282CA68" w:rsidR="008804EA" w:rsidRPr="00783571" w:rsidRDefault="008804EA" w:rsidP="005F5DDA">
      <w:pPr>
        <w:pStyle w:val="bullets"/>
      </w:pPr>
      <w:r w:rsidRPr="00783571">
        <w:rPr>
          <w:i/>
          <w:iCs/>
        </w:rPr>
        <w:t>r</w:t>
      </w:r>
      <w:r w:rsidRPr="00783571">
        <w:t xml:space="preserve"> = 3: Linked to HIV care, but </w:t>
      </w:r>
      <w:r w:rsidR="00156CB0" w:rsidRPr="00783571">
        <w:t xml:space="preserve">not </w:t>
      </w:r>
      <w:r w:rsidR="00DC18BA" w:rsidRPr="00783571">
        <w:t xml:space="preserve">prescribed </w:t>
      </w:r>
      <w:r w:rsidR="00156CB0" w:rsidRPr="00783571">
        <w:t>ART</w:t>
      </w:r>
      <w:r w:rsidR="00781CDC" w:rsidRPr="00783571">
        <w:t xml:space="preserve"> (“L</w:t>
      </w:r>
      <w:r w:rsidR="005F5DDA" w:rsidRPr="00783571">
        <w:t xml:space="preserve">inked to </w:t>
      </w:r>
      <w:r w:rsidR="009E34D9" w:rsidRPr="00783571">
        <w:t xml:space="preserve">HIV </w:t>
      </w:r>
      <w:r w:rsidR="005F5DDA" w:rsidRPr="00783571">
        <w:t>care</w:t>
      </w:r>
      <w:r w:rsidR="00781CDC" w:rsidRPr="00783571">
        <w:t>”</w:t>
      </w:r>
      <w:r w:rsidR="005F5DDA" w:rsidRPr="00783571">
        <w:t xml:space="preserve"> or “LTC”</w:t>
      </w:r>
      <w:r w:rsidR="00781CDC" w:rsidRPr="00783571">
        <w:t xml:space="preserve"> hereafter)</w:t>
      </w:r>
    </w:p>
    <w:p w14:paraId="42BE2ADA" w14:textId="53EBA12E" w:rsidR="008804EA" w:rsidRPr="00783571" w:rsidRDefault="008804EA" w:rsidP="00885CC4">
      <w:pPr>
        <w:pStyle w:val="bullets"/>
      </w:pPr>
      <w:r w:rsidRPr="00783571">
        <w:rPr>
          <w:i/>
          <w:iCs/>
        </w:rPr>
        <w:t>r</w:t>
      </w:r>
      <w:r w:rsidRPr="00783571">
        <w:t xml:space="preserve"> = 4: </w:t>
      </w:r>
      <w:r w:rsidR="00DC18BA" w:rsidRPr="00783571">
        <w:t xml:space="preserve">Prescribed </w:t>
      </w:r>
      <w:r w:rsidR="00156CB0" w:rsidRPr="00783571">
        <w:t>ART</w:t>
      </w:r>
      <w:r w:rsidRPr="00783571">
        <w:t>, but not VLS</w:t>
      </w:r>
      <w:r w:rsidR="00781CDC" w:rsidRPr="00783571">
        <w:t xml:space="preserve"> (</w:t>
      </w:r>
      <w:r w:rsidR="005F5DDA" w:rsidRPr="00783571">
        <w:t xml:space="preserve">“ART-not-VLS” or </w:t>
      </w:r>
      <w:r w:rsidR="00781CDC" w:rsidRPr="00783571">
        <w:t>“ANV”</w:t>
      </w:r>
      <w:r w:rsidR="00885CC4" w:rsidRPr="00783571">
        <w:t xml:space="preserve"> </w:t>
      </w:r>
      <w:r w:rsidR="00781CDC" w:rsidRPr="00783571">
        <w:t>hereafter)</w:t>
      </w:r>
    </w:p>
    <w:p w14:paraId="147EB880" w14:textId="0A34B662" w:rsidR="008804EA" w:rsidRPr="00783571" w:rsidRDefault="008804EA" w:rsidP="00885CC4">
      <w:pPr>
        <w:pStyle w:val="bullets"/>
      </w:pPr>
      <w:r w:rsidRPr="00783571">
        <w:rPr>
          <w:i/>
        </w:rPr>
        <w:t>r</w:t>
      </w:r>
      <w:r w:rsidR="00E628BE" w:rsidRPr="00783571">
        <w:t> = </w:t>
      </w:r>
      <w:r w:rsidRPr="00783571">
        <w:t xml:space="preserve">5: VLS (in care and </w:t>
      </w:r>
      <w:r w:rsidR="000965E6" w:rsidRPr="00783571">
        <w:t>prescribed ART</w:t>
      </w:r>
      <w:r w:rsidRPr="00783571">
        <w:t>)</w:t>
      </w:r>
      <w:r w:rsidR="00781CDC" w:rsidRPr="00783571">
        <w:t xml:space="preserve"> (“VLS” hereafter)</w:t>
      </w:r>
    </w:p>
    <w:p w14:paraId="2484207D" w14:textId="2D0BF3FA" w:rsidR="008804EA" w:rsidRPr="00783571" w:rsidRDefault="008804EA" w:rsidP="00885CC4">
      <w:pPr>
        <w:pStyle w:val="BodyText"/>
        <w:spacing w:before="240"/>
      </w:pPr>
      <w:r w:rsidRPr="00783571">
        <w:t>For the acute disease stage (</w:t>
      </w:r>
      <w:r w:rsidRPr="00783571">
        <w:rPr>
          <w:i/>
        </w:rPr>
        <w:t>h</w:t>
      </w:r>
      <w:r w:rsidR="00E628BE" w:rsidRPr="00783571">
        <w:t> = </w:t>
      </w:r>
      <w:r w:rsidRPr="00783571">
        <w:t xml:space="preserve">1), compartments were defined by only the first three continuum-of-care stages: susceptible, aware, and </w:t>
      </w:r>
      <w:r w:rsidR="00885CC4" w:rsidRPr="00783571">
        <w:t>LTC</w:t>
      </w:r>
      <w:r w:rsidRPr="00783571">
        <w:t xml:space="preserve"> (</w:t>
      </w:r>
      <w:r w:rsidRPr="00783571">
        <w:rPr>
          <w:i/>
        </w:rPr>
        <w:t>r</w:t>
      </w:r>
      <w:r w:rsidR="00E628BE" w:rsidRPr="00783571">
        <w:t> = </w:t>
      </w:r>
      <w:r w:rsidRPr="00783571">
        <w:t>1, 2, 3). For each of the four disease stages for individuals with chronic HIV (</w:t>
      </w:r>
      <w:r w:rsidRPr="00783571">
        <w:rPr>
          <w:i/>
          <w:iCs/>
        </w:rPr>
        <w:t>h</w:t>
      </w:r>
      <w:r w:rsidR="00E628BE" w:rsidRPr="00783571">
        <w:t> = </w:t>
      </w:r>
      <w:r w:rsidRPr="00783571">
        <w:t>2, 3, 4, 5), compartments were defined by all continuum-of-care stages for infected individuals (</w:t>
      </w:r>
      <w:r w:rsidRPr="00783571">
        <w:rPr>
          <w:i/>
          <w:iCs/>
        </w:rPr>
        <w:t>r</w:t>
      </w:r>
      <w:r w:rsidR="00E628BE" w:rsidRPr="00783571">
        <w:t> = </w:t>
      </w:r>
      <w:r w:rsidRPr="00783571">
        <w:t xml:space="preserve">1, 2, 3, 4, 5). </w:t>
      </w:r>
      <w:r w:rsidR="00885CC4" w:rsidRPr="00783571">
        <w:t>Susceptible i</w:t>
      </w:r>
      <w:r w:rsidRPr="00783571">
        <w:t>ndividuals (</w:t>
      </w:r>
      <w:r w:rsidRPr="00783571">
        <w:rPr>
          <w:i/>
          <w:iCs/>
        </w:rPr>
        <w:t>h</w:t>
      </w:r>
      <w:r w:rsidR="00E628BE" w:rsidRPr="00783571">
        <w:t> = </w:t>
      </w:r>
      <w:r w:rsidRPr="00783571">
        <w:t xml:space="preserve">0) also were categorized by </w:t>
      </w:r>
      <w:r w:rsidR="009F0212" w:rsidRPr="00783571">
        <w:t>pre-exposure prophylaxis (</w:t>
      </w:r>
      <w:r w:rsidRPr="00783571">
        <w:t>PrEP</w:t>
      </w:r>
      <w:r w:rsidR="009F0212" w:rsidRPr="00783571">
        <w:t>)</w:t>
      </w:r>
      <w:r w:rsidRPr="00783571">
        <w:t xml:space="preserve"> status (</w:t>
      </w:r>
      <w:r w:rsidR="00D504E5" w:rsidRPr="00783571">
        <w:rPr>
          <w:i/>
          <w:iCs/>
        </w:rPr>
        <w:t>c</w:t>
      </w:r>
      <w:r w:rsidR="00E628BE" w:rsidRPr="00783571">
        <w:t> = </w:t>
      </w:r>
      <w:r w:rsidRPr="00783571">
        <w:t xml:space="preserve">1 </w:t>
      </w:r>
      <w:r w:rsidR="00D504E5" w:rsidRPr="00783571">
        <w:t>and c = 2</w:t>
      </w:r>
      <w:r w:rsidRPr="00783571">
        <w:t>).</w:t>
      </w:r>
    </w:p>
    <w:p w14:paraId="0756257F" w14:textId="5400307A" w:rsidR="008804EA" w:rsidRPr="00783571" w:rsidRDefault="00A60EFF" w:rsidP="00157D0F">
      <w:pPr>
        <w:pStyle w:val="BodyText"/>
      </w:pPr>
      <w:r w:rsidRPr="00783571">
        <w:t xml:space="preserve">The population represented in the model at any given time was distributed among the 25 main compartments. Individuals in the population were defined by the compartment they occupied, as well as by other demographic and behavioral factors. We let </w:t>
      </w:r>
      <w:r w:rsidRPr="00783571">
        <w:rPr>
          <w:position w:val="-10"/>
        </w:rPr>
        <w:object w:dxaOrig="540" w:dyaOrig="400" w14:anchorId="10E42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2.5pt" o:ole="">
            <v:imagedata r:id="rId24" o:title=""/>
          </v:shape>
          <o:OLEObject Type="Embed" ProgID="Equation.3" ShapeID="_x0000_i1025" DrawAspect="Content" ObjectID="_1584261689" r:id="rId25"/>
        </w:object>
      </w:r>
      <w:r w:rsidRPr="00783571">
        <w:t xml:space="preserve"> equal the number of individuals in subpopulation </w:t>
      </w:r>
      <w:r w:rsidRPr="00783571">
        <w:rPr>
          <w:i/>
          <w:iCs/>
        </w:rPr>
        <w:t>p</w:t>
      </w:r>
      <w:r w:rsidRPr="00783571">
        <w:t xml:space="preserve"> in compartment </w:t>
      </w:r>
      <w:r w:rsidRPr="00783571">
        <w:rPr>
          <w:i/>
          <w:iCs/>
        </w:rPr>
        <w:t xml:space="preserve">c </w:t>
      </w:r>
      <w:r w:rsidRPr="00783571">
        <w:t xml:space="preserve">at time </w:t>
      </w:r>
      <w:r w:rsidRPr="00783571">
        <w:rPr>
          <w:i/>
          <w:iCs/>
        </w:rPr>
        <w:t>t</w:t>
      </w:r>
      <w:r w:rsidRPr="00783571">
        <w:t xml:space="preserve">. Appendix </w:t>
      </w:r>
      <w:r w:rsidR="00814158" w:rsidRPr="00783571">
        <w:t>Table </w:t>
      </w:r>
      <w:r w:rsidRPr="00783571">
        <w:t>A.1 lists and defines all symbols used in this document.</w:t>
      </w:r>
    </w:p>
    <w:p w14:paraId="28DCFBCD" w14:textId="77777777" w:rsidR="008804EA" w:rsidRPr="00783571" w:rsidRDefault="008804EA" w:rsidP="00157D0F">
      <w:pPr>
        <w:pStyle w:val="BodyText"/>
        <w:sectPr w:rsidR="008804EA" w:rsidRPr="00783571" w:rsidSect="00722C33">
          <w:headerReference w:type="default" r:id="rId26"/>
          <w:type w:val="oddPage"/>
          <w:pgSz w:w="12240" w:h="15840" w:code="1"/>
          <w:pgMar w:top="1440" w:right="1440" w:bottom="1440" w:left="1440" w:header="720" w:footer="720" w:gutter="0"/>
          <w:pgNumType w:start="1" w:chapStyle="1"/>
          <w:cols w:space="720"/>
          <w:titlePg/>
          <w:docGrid w:linePitch="360"/>
        </w:sectPr>
      </w:pPr>
    </w:p>
    <w:p w14:paraId="53B60933" w14:textId="67FE7AFA" w:rsidR="00EE7C4C" w:rsidRPr="00783571" w:rsidRDefault="00EE7C4C" w:rsidP="00260D8A">
      <w:pPr>
        <w:pStyle w:val="FigureTitle"/>
        <w:ind w:left="1530"/>
      </w:pPr>
      <w:bookmarkStart w:id="9" w:name="_Toc498078972"/>
      <w:r w:rsidRPr="00783571">
        <w:t>Figure 3</w:t>
      </w:r>
      <w:r w:rsidR="00157D0F" w:rsidRPr="00783571">
        <w:t>.</w:t>
      </w:r>
      <w:r w:rsidRPr="00783571">
        <w:t>1.</w:t>
      </w:r>
      <w:r w:rsidRPr="00783571">
        <w:tab/>
        <w:t xml:space="preserve">Model Flow Diagram between Compartments due to </w:t>
      </w:r>
      <w:r w:rsidR="00113C3E" w:rsidRPr="00783571">
        <w:t xml:space="preserve">HIV Infection, </w:t>
      </w:r>
      <w:r w:rsidRPr="00783571">
        <w:t xml:space="preserve">Progression along the </w:t>
      </w:r>
      <w:r w:rsidR="003F2DC6" w:rsidRPr="00783571">
        <w:t xml:space="preserve">Care </w:t>
      </w:r>
      <w:r w:rsidR="006E0C2B" w:rsidRPr="00783571">
        <w:t>C</w:t>
      </w:r>
      <w:r w:rsidR="003F2DC6" w:rsidRPr="00783571">
        <w:t>ontinuum</w:t>
      </w:r>
      <w:r w:rsidR="00627CC7" w:rsidRPr="00783571">
        <w:t xml:space="preserve">, </w:t>
      </w:r>
      <w:r w:rsidRPr="00783571">
        <w:t>Progression of HIV</w:t>
      </w:r>
      <w:r w:rsidR="00627CC7" w:rsidRPr="00783571">
        <w:t xml:space="preserve">, </w:t>
      </w:r>
      <w:r w:rsidR="00EC2122" w:rsidRPr="00783571">
        <w:t xml:space="preserve">and </w:t>
      </w:r>
      <w:r w:rsidR="00627CC7" w:rsidRPr="00783571">
        <w:t>Death and Aging</w:t>
      </w:r>
      <w:bookmarkEnd w:id="9"/>
    </w:p>
    <w:p w14:paraId="056870A1" w14:textId="77777777" w:rsidR="0016571A" w:rsidRPr="00783571" w:rsidRDefault="00DC18BA" w:rsidP="008804EA">
      <w:pPr>
        <w:pStyle w:val="figurewbox"/>
      </w:pPr>
      <w:r w:rsidRPr="00783571">
        <w:rPr>
          <w:noProof/>
        </w:rPr>
        <w:drawing>
          <wp:inline distT="0" distB="0" distL="0" distR="0" wp14:anchorId="2AED2F7E" wp14:editId="112A260D">
            <wp:extent cx="7952198" cy="436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7957960" cy="4371966"/>
                    </a:xfrm>
                    <a:prstGeom prst="rect">
                      <a:avLst/>
                    </a:prstGeom>
                  </pic:spPr>
                </pic:pic>
              </a:graphicData>
            </a:graphic>
          </wp:inline>
        </w:drawing>
      </w:r>
    </w:p>
    <w:p w14:paraId="500AEB4D" w14:textId="75CAF00F" w:rsidR="006471F0" w:rsidRPr="00783571" w:rsidRDefault="00457A9C" w:rsidP="006471F0">
      <w:pPr>
        <w:pStyle w:val="Source1"/>
        <w:ind w:left="0" w:firstLine="0"/>
      </w:pPr>
      <w:r w:rsidRPr="00783571">
        <w:t xml:space="preserve">Note: </w:t>
      </w:r>
      <w:r w:rsidR="001B058D" w:rsidRPr="00783571">
        <w:t>ART</w:t>
      </w:r>
      <w:r w:rsidR="00E628BE" w:rsidRPr="00783571">
        <w:t> = </w:t>
      </w:r>
      <w:r w:rsidR="001B058D" w:rsidRPr="00783571">
        <w:t>antiretroviral therapy</w:t>
      </w:r>
      <w:r w:rsidR="00D84ABB" w:rsidRPr="00783571">
        <w:t xml:space="preserve">; </w:t>
      </w:r>
      <w:r w:rsidR="00642D3A" w:rsidRPr="00783571">
        <w:t>LTC</w:t>
      </w:r>
      <w:r w:rsidR="00E628BE" w:rsidRPr="00783571">
        <w:t> = </w:t>
      </w:r>
      <w:r w:rsidR="00642D3A" w:rsidRPr="00783571">
        <w:t xml:space="preserve">linked to HIV care; </w:t>
      </w:r>
      <w:r w:rsidR="00113C3E" w:rsidRPr="00783571">
        <w:t>PrEP</w:t>
      </w:r>
      <w:r w:rsidR="00E628BE" w:rsidRPr="00783571">
        <w:t> = </w:t>
      </w:r>
      <w:r w:rsidR="00113C3E" w:rsidRPr="00783571">
        <w:t xml:space="preserve">pre-exposure prophylaxis; </w:t>
      </w:r>
      <w:r w:rsidR="00D84ABB" w:rsidRPr="00783571">
        <w:t>VLS</w:t>
      </w:r>
      <w:r w:rsidR="00E628BE" w:rsidRPr="00783571">
        <w:t> = </w:t>
      </w:r>
      <w:r w:rsidR="00D84ABB" w:rsidRPr="00783571">
        <w:t>viral load suppression</w:t>
      </w:r>
      <w:r w:rsidR="00225D32" w:rsidRPr="00783571">
        <w:t>.</w:t>
      </w:r>
    </w:p>
    <w:p w14:paraId="7A1B8ADC" w14:textId="77777777" w:rsidR="00CA2896" w:rsidRPr="00783571" w:rsidRDefault="00CA2896" w:rsidP="006471F0">
      <w:pPr>
        <w:pStyle w:val="Source1"/>
        <w:ind w:left="0" w:firstLine="0"/>
        <w:sectPr w:rsidR="00CA2896" w:rsidRPr="00783571" w:rsidSect="006471F0">
          <w:headerReference w:type="even" r:id="rId28"/>
          <w:headerReference w:type="default" r:id="rId29"/>
          <w:footerReference w:type="even" r:id="rId30"/>
          <w:footerReference w:type="default" r:id="rId31"/>
          <w:type w:val="oddPage"/>
          <w:pgSz w:w="15840" w:h="12240" w:orient="landscape" w:code="1"/>
          <w:pgMar w:top="1440" w:right="1440" w:bottom="1440" w:left="1440" w:header="720" w:footer="720" w:gutter="0"/>
          <w:pgNumType w:chapStyle="1"/>
          <w:cols w:space="720"/>
          <w:docGrid w:linePitch="360"/>
        </w:sectPr>
      </w:pPr>
    </w:p>
    <w:p w14:paraId="7FF9BC52" w14:textId="77777777" w:rsidR="0087433D" w:rsidRPr="00783571" w:rsidRDefault="00382287" w:rsidP="00382287">
      <w:pPr>
        <w:pStyle w:val="Heading1"/>
      </w:pPr>
      <w:bookmarkStart w:id="10" w:name="_Toc398293111"/>
      <w:bookmarkStart w:id="11" w:name="_Toc510104445"/>
      <w:r w:rsidRPr="00783571">
        <w:t>Initial Population</w:t>
      </w:r>
      <w:bookmarkEnd w:id="10"/>
      <w:bookmarkEnd w:id="11"/>
    </w:p>
    <w:p w14:paraId="5F8BD91E" w14:textId="224B59D8" w:rsidR="008804EA" w:rsidRPr="00783571" w:rsidRDefault="00382287" w:rsidP="00072F57">
      <w:pPr>
        <w:pStyle w:val="BodyText"/>
      </w:pPr>
      <w:r w:rsidRPr="00783571">
        <w:t>The model was initiated so that the observed population was distributed among the model’s 2</w:t>
      </w:r>
      <w:r w:rsidR="003B7EE1" w:rsidRPr="00783571">
        <w:t>5</w:t>
      </w:r>
      <w:r w:rsidRPr="00783571">
        <w:t xml:space="preserve"> main compartments and was characterized to match the total and HIV-infected population in the United States in 2006. The size of the population was set to capture sexually active individuals in the U.S. population; </w:t>
      </w:r>
      <w:r w:rsidR="00E409A7" w:rsidRPr="00783571">
        <w:t>it is flexibly programmed to either</w:t>
      </w:r>
      <w:r w:rsidRPr="00783571">
        <w:t xml:space="preserve"> include ages 13 to 64 or 18 to 64</w:t>
      </w:r>
      <w:r w:rsidR="00E409A7" w:rsidRPr="00783571">
        <w:t xml:space="preserve"> based on user settings</w:t>
      </w:r>
      <w:r w:rsidRPr="00783571">
        <w:t xml:space="preserve">. The </w:t>
      </w:r>
      <w:r w:rsidR="00E409A7" w:rsidRPr="00783571">
        <w:t xml:space="preserve">size of and </w:t>
      </w:r>
      <w:r w:rsidRPr="00783571">
        <w:t>distribution among demographic subpopulations</w:t>
      </w:r>
      <w:r w:rsidR="00E409A7" w:rsidRPr="00783571">
        <w:t xml:space="preserve"> were</w:t>
      </w:r>
      <w:r w:rsidRPr="00783571">
        <w:t xml:space="preserve"> determined by </w:t>
      </w:r>
      <w:r w:rsidR="006934C5" w:rsidRPr="00783571">
        <w:t xml:space="preserve">a set of </w:t>
      </w:r>
      <w:r w:rsidRPr="00783571">
        <w:t>parameters</w:t>
      </w:r>
      <w:r w:rsidR="00E409A7" w:rsidRPr="00783571">
        <w:t xml:space="preserve"> listed</w:t>
      </w:r>
      <w:r w:rsidR="00072F57" w:rsidRPr="00783571">
        <w:t xml:space="preserve"> in </w:t>
      </w:r>
      <w:r w:rsidR="00871E69" w:rsidRPr="00783571">
        <w:t>Tables </w:t>
      </w:r>
      <w:r w:rsidR="00F36478" w:rsidRPr="00783571">
        <w:t>4</w:t>
      </w:r>
      <w:r w:rsidR="00157D0F" w:rsidRPr="00783571">
        <w:t>.</w:t>
      </w:r>
      <w:r w:rsidRPr="00783571">
        <w:t xml:space="preserve">1 through </w:t>
      </w:r>
      <w:r w:rsidR="00F36478" w:rsidRPr="00783571">
        <w:t>4</w:t>
      </w:r>
      <w:r w:rsidR="00157D0F" w:rsidRPr="00783571">
        <w:t>.</w:t>
      </w:r>
      <w:r w:rsidR="003B19DD" w:rsidRPr="00783571">
        <w:t>4</w:t>
      </w:r>
      <w:r w:rsidR="00072F57" w:rsidRPr="00783571">
        <w:t>.</w:t>
      </w:r>
    </w:p>
    <w:p w14:paraId="26E36D9E" w14:textId="77777777" w:rsidR="008804EA" w:rsidRPr="00783571" w:rsidRDefault="008804EA" w:rsidP="00072F57">
      <w:pPr>
        <w:pStyle w:val="BodyText"/>
      </w:pPr>
    </w:p>
    <w:p w14:paraId="4E0EBED3" w14:textId="77777777" w:rsidR="00382287" w:rsidRPr="00783571" w:rsidRDefault="00382287" w:rsidP="00382287">
      <w:pPr>
        <w:pStyle w:val="paragraph"/>
        <w:sectPr w:rsidR="00382287" w:rsidRPr="00783571" w:rsidSect="00EA6FDC">
          <w:headerReference w:type="default" r:id="rId32"/>
          <w:endnotePr>
            <w:numFmt w:val="decimal"/>
          </w:endnotePr>
          <w:type w:val="oddPage"/>
          <w:pgSz w:w="12240" w:h="15840" w:code="1"/>
          <w:pgMar w:top="1440" w:right="1440" w:bottom="1440" w:left="1440" w:header="720" w:footer="720" w:gutter="0"/>
          <w:pgNumType w:start="1" w:chapStyle="1"/>
          <w:cols w:space="720"/>
          <w:titlePg/>
          <w:docGrid w:linePitch="360"/>
        </w:sectPr>
      </w:pPr>
    </w:p>
    <w:p w14:paraId="26BB8BD5" w14:textId="249F3999" w:rsidR="00382287" w:rsidRPr="00783571" w:rsidRDefault="004F4E6D" w:rsidP="00260D8A">
      <w:pPr>
        <w:pStyle w:val="TableTitle"/>
        <w:spacing w:before="0"/>
        <w:ind w:left="1530"/>
      </w:pPr>
      <w:bookmarkStart w:id="12" w:name="_Toc510104013"/>
      <w:r w:rsidRPr="00783571">
        <w:t>Table 4.</w:t>
      </w:r>
      <w:r w:rsidR="00382287" w:rsidRPr="00783571">
        <w:t>1</w:t>
      </w:r>
      <w:r w:rsidR="005F3906" w:rsidRPr="00783571">
        <w:t>.</w:t>
      </w:r>
      <w:r w:rsidR="005F3906" w:rsidRPr="00783571">
        <w:tab/>
      </w:r>
      <w:r w:rsidR="00382287" w:rsidRPr="00783571">
        <w:t xml:space="preserve">Percentage </w:t>
      </w:r>
      <w:r w:rsidR="00F77D76" w:rsidRPr="00783571">
        <w:t>PWID</w:t>
      </w:r>
      <w:r w:rsidR="00382287" w:rsidRPr="00783571">
        <w:t xml:space="preserve"> and MSM, Initial Population Size, HIV Prevalence of High- Versus Low-Risk Levels, HIV Prevalence, and Percentage High Risk</w:t>
      </w:r>
      <w:r w:rsidR="00517A85" w:rsidRPr="00783571">
        <w:t xml:space="preserve"> in Initial Population</w:t>
      </w:r>
      <w:r w:rsidR="000C5C78" w:rsidRPr="00783571">
        <w:t xml:space="preserve"> (2006)</w:t>
      </w:r>
      <w:bookmarkEnd w:id="12"/>
    </w:p>
    <w:tbl>
      <w:tblPr>
        <w:tblW w:w="5048" w:type="pct"/>
        <w:tblBorders>
          <w:top w:val="single" w:sz="12" w:space="0" w:color="000000"/>
          <w:bottom w:val="single" w:sz="12" w:space="0" w:color="000000"/>
          <w:insideH w:val="single" w:sz="2" w:space="0" w:color="DDDDDD"/>
        </w:tblBorders>
        <w:tblLayout w:type="fixed"/>
        <w:tblCellMar>
          <w:left w:w="58" w:type="dxa"/>
          <w:right w:w="58" w:type="dxa"/>
        </w:tblCellMar>
        <w:tblLook w:val="04A0" w:firstRow="1" w:lastRow="0" w:firstColumn="1" w:lastColumn="0" w:noHBand="0" w:noVBand="1"/>
      </w:tblPr>
      <w:tblGrid>
        <w:gridCol w:w="1684"/>
        <w:gridCol w:w="1332"/>
        <w:gridCol w:w="1331"/>
        <w:gridCol w:w="1303"/>
        <w:gridCol w:w="9"/>
        <w:gridCol w:w="18"/>
        <w:gridCol w:w="776"/>
        <w:gridCol w:w="615"/>
        <w:gridCol w:w="440"/>
        <w:gridCol w:w="352"/>
        <w:gridCol w:w="527"/>
        <w:gridCol w:w="70"/>
        <w:gridCol w:w="1514"/>
        <w:gridCol w:w="1319"/>
        <w:gridCol w:w="1794"/>
      </w:tblGrid>
      <w:tr w:rsidR="008804EA" w:rsidRPr="00783571" w14:paraId="38931D00" w14:textId="77777777" w:rsidTr="0016571A">
        <w:trPr>
          <w:tblHeader/>
        </w:trPr>
        <w:tc>
          <w:tcPr>
            <w:tcW w:w="1698" w:type="dxa"/>
            <w:vMerge w:val="restart"/>
            <w:tcBorders>
              <w:top w:val="single" w:sz="12" w:space="0" w:color="000000"/>
              <w:bottom w:val="single" w:sz="6" w:space="0" w:color="000000"/>
            </w:tcBorders>
            <w:shd w:val="clear" w:color="auto" w:fill="auto"/>
            <w:noWrap/>
            <w:vAlign w:val="bottom"/>
            <w:hideMark/>
          </w:tcPr>
          <w:p w14:paraId="03F0226E" w14:textId="77777777" w:rsidR="008804EA" w:rsidRPr="00783571" w:rsidRDefault="008804EA" w:rsidP="006F6153">
            <w:pPr>
              <w:pStyle w:val="TableHeaders"/>
              <w:spacing w:before="20" w:after="20"/>
            </w:pPr>
            <w:r w:rsidRPr="00783571">
              <w:t>Parameter</w:t>
            </w:r>
          </w:p>
        </w:tc>
        <w:tc>
          <w:tcPr>
            <w:tcW w:w="4028" w:type="dxa"/>
            <w:gridSpan w:val="5"/>
            <w:tcBorders>
              <w:top w:val="single" w:sz="12" w:space="0" w:color="000000"/>
              <w:bottom w:val="single" w:sz="6" w:space="0" w:color="000000"/>
            </w:tcBorders>
            <w:shd w:val="clear" w:color="auto" w:fill="auto"/>
            <w:noWrap/>
            <w:vAlign w:val="bottom"/>
            <w:hideMark/>
          </w:tcPr>
          <w:p w14:paraId="2E658458" w14:textId="77777777" w:rsidR="008804EA" w:rsidRPr="00783571" w:rsidRDefault="008804EA" w:rsidP="006F6153">
            <w:pPr>
              <w:pStyle w:val="TableHeaders"/>
              <w:spacing w:before="20" w:after="20"/>
            </w:pPr>
            <w:r w:rsidRPr="00783571">
              <w:t>Female</w:t>
            </w:r>
          </w:p>
        </w:tc>
        <w:tc>
          <w:tcPr>
            <w:tcW w:w="4334" w:type="dxa"/>
            <w:gridSpan w:val="7"/>
            <w:tcBorders>
              <w:top w:val="single" w:sz="12" w:space="0" w:color="000000"/>
              <w:bottom w:val="single" w:sz="6" w:space="0" w:color="000000"/>
            </w:tcBorders>
            <w:shd w:val="clear" w:color="auto" w:fill="auto"/>
            <w:noWrap/>
            <w:vAlign w:val="bottom"/>
            <w:hideMark/>
          </w:tcPr>
          <w:p w14:paraId="0792E828" w14:textId="77777777" w:rsidR="008804EA" w:rsidRPr="00783571" w:rsidRDefault="008804EA" w:rsidP="006F6153">
            <w:pPr>
              <w:pStyle w:val="TableHeaders"/>
              <w:spacing w:before="20" w:after="20"/>
            </w:pPr>
            <w:r w:rsidRPr="00783571">
              <w:t>Male</w:t>
            </w:r>
          </w:p>
        </w:tc>
        <w:tc>
          <w:tcPr>
            <w:tcW w:w="1331" w:type="dxa"/>
            <w:vMerge w:val="restart"/>
            <w:tcBorders>
              <w:top w:val="single" w:sz="12" w:space="0" w:color="000000"/>
            </w:tcBorders>
            <w:vAlign w:val="bottom"/>
          </w:tcPr>
          <w:p w14:paraId="0D755532" w14:textId="297A3008" w:rsidR="008804EA" w:rsidRPr="00783571" w:rsidRDefault="008804EA" w:rsidP="006F6153">
            <w:pPr>
              <w:pStyle w:val="TableHeaders"/>
              <w:spacing w:before="20" w:after="20"/>
            </w:pPr>
            <w:r w:rsidRPr="00783571">
              <w:t>Total</w:t>
            </w:r>
          </w:p>
        </w:tc>
        <w:tc>
          <w:tcPr>
            <w:tcW w:w="1811" w:type="dxa"/>
            <w:vMerge w:val="restart"/>
            <w:tcBorders>
              <w:top w:val="single" w:sz="12" w:space="0" w:color="000000"/>
            </w:tcBorders>
            <w:shd w:val="clear" w:color="auto" w:fill="auto"/>
            <w:noWrap/>
            <w:vAlign w:val="bottom"/>
            <w:hideMark/>
          </w:tcPr>
          <w:p w14:paraId="29E1053F" w14:textId="3FE69F2D" w:rsidR="008804EA" w:rsidRPr="00783571" w:rsidRDefault="008804EA" w:rsidP="006F6153">
            <w:pPr>
              <w:pStyle w:val="TableHeaders"/>
              <w:spacing w:before="20" w:after="20"/>
            </w:pPr>
            <w:r w:rsidRPr="00783571">
              <w:t>Source</w:t>
            </w:r>
          </w:p>
        </w:tc>
      </w:tr>
      <w:tr w:rsidR="008804EA" w:rsidRPr="00783571" w14:paraId="1FC0AE22" w14:textId="77777777" w:rsidTr="0016571A">
        <w:trPr>
          <w:tblHeader/>
        </w:trPr>
        <w:tc>
          <w:tcPr>
            <w:tcW w:w="1698" w:type="dxa"/>
            <w:vMerge/>
            <w:tcBorders>
              <w:top w:val="single" w:sz="6" w:space="0" w:color="000000"/>
              <w:bottom w:val="single" w:sz="6" w:space="0" w:color="000000"/>
            </w:tcBorders>
            <w:shd w:val="clear" w:color="auto" w:fill="auto"/>
            <w:noWrap/>
            <w:vAlign w:val="bottom"/>
            <w:hideMark/>
          </w:tcPr>
          <w:p w14:paraId="7ECC5E0A" w14:textId="77777777" w:rsidR="008804EA" w:rsidRPr="00783571" w:rsidRDefault="008804EA" w:rsidP="006F6153">
            <w:pPr>
              <w:pStyle w:val="TableHeaders"/>
              <w:spacing w:before="20" w:after="20"/>
            </w:pPr>
          </w:p>
        </w:tc>
        <w:tc>
          <w:tcPr>
            <w:tcW w:w="1343" w:type="dxa"/>
            <w:tcBorders>
              <w:top w:val="single" w:sz="6" w:space="0" w:color="000000"/>
              <w:bottom w:val="single" w:sz="6" w:space="0" w:color="000000"/>
            </w:tcBorders>
            <w:shd w:val="clear" w:color="auto" w:fill="auto"/>
            <w:noWrap/>
            <w:vAlign w:val="bottom"/>
            <w:hideMark/>
          </w:tcPr>
          <w:p w14:paraId="0140AC0F" w14:textId="77777777" w:rsidR="008804EA" w:rsidRPr="00783571" w:rsidRDefault="008804EA" w:rsidP="006F6153">
            <w:pPr>
              <w:pStyle w:val="TableHeaders"/>
              <w:spacing w:before="20" w:after="20"/>
            </w:pPr>
            <w:r w:rsidRPr="00783571">
              <w:t>Black</w:t>
            </w:r>
          </w:p>
        </w:tc>
        <w:tc>
          <w:tcPr>
            <w:tcW w:w="1343" w:type="dxa"/>
            <w:tcBorders>
              <w:top w:val="single" w:sz="6" w:space="0" w:color="000000"/>
              <w:bottom w:val="single" w:sz="6" w:space="0" w:color="000000"/>
            </w:tcBorders>
            <w:shd w:val="clear" w:color="auto" w:fill="auto"/>
            <w:noWrap/>
            <w:vAlign w:val="bottom"/>
            <w:hideMark/>
          </w:tcPr>
          <w:p w14:paraId="291569D5" w14:textId="77777777" w:rsidR="008804EA" w:rsidRPr="00783571" w:rsidRDefault="008804EA" w:rsidP="006F6153">
            <w:pPr>
              <w:pStyle w:val="TableHeaders"/>
              <w:spacing w:before="20" w:after="20"/>
            </w:pPr>
            <w:r w:rsidRPr="00783571">
              <w:t>Hispanic</w:t>
            </w:r>
          </w:p>
        </w:tc>
        <w:tc>
          <w:tcPr>
            <w:tcW w:w="1342" w:type="dxa"/>
            <w:gridSpan w:val="3"/>
            <w:tcBorders>
              <w:top w:val="single" w:sz="6" w:space="0" w:color="000000"/>
              <w:bottom w:val="single" w:sz="6" w:space="0" w:color="000000"/>
            </w:tcBorders>
            <w:shd w:val="clear" w:color="auto" w:fill="auto"/>
            <w:noWrap/>
            <w:vAlign w:val="bottom"/>
            <w:hideMark/>
          </w:tcPr>
          <w:p w14:paraId="3589D491" w14:textId="77777777" w:rsidR="008804EA" w:rsidRPr="00783571" w:rsidRDefault="008804EA" w:rsidP="006F6153">
            <w:pPr>
              <w:pStyle w:val="TableHeaders"/>
              <w:spacing w:before="20" w:after="20"/>
            </w:pPr>
            <w:r w:rsidRPr="00783571">
              <w:t>Other</w:t>
            </w:r>
          </w:p>
        </w:tc>
        <w:tc>
          <w:tcPr>
            <w:tcW w:w="1404" w:type="dxa"/>
            <w:gridSpan w:val="2"/>
            <w:tcBorders>
              <w:top w:val="single" w:sz="6" w:space="0" w:color="000000"/>
              <w:bottom w:val="single" w:sz="6" w:space="0" w:color="000000"/>
            </w:tcBorders>
            <w:shd w:val="clear" w:color="auto" w:fill="auto"/>
            <w:noWrap/>
            <w:vAlign w:val="bottom"/>
            <w:hideMark/>
          </w:tcPr>
          <w:p w14:paraId="03AC88E5" w14:textId="77777777" w:rsidR="008804EA" w:rsidRPr="00783571" w:rsidRDefault="008804EA" w:rsidP="006F6153">
            <w:pPr>
              <w:pStyle w:val="TableHeaders"/>
              <w:spacing w:before="20" w:after="20"/>
            </w:pPr>
            <w:r w:rsidRPr="00783571">
              <w:t>Black</w:t>
            </w:r>
          </w:p>
        </w:tc>
        <w:tc>
          <w:tcPr>
            <w:tcW w:w="1402" w:type="dxa"/>
            <w:gridSpan w:val="4"/>
            <w:tcBorders>
              <w:top w:val="single" w:sz="6" w:space="0" w:color="000000"/>
              <w:bottom w:val="single" w:sz="6" w:space="0" w:color="000000"/>
            </w:tcBorders>
            <w:shd w:val="clear" w:color="auto" w:fill="auto"/>
            <w:noWrap/>
            <w:vAlign w:val="bottom"/>
            <w:hideMark/>
          </w:tcPr>
          <w:p w14:paraId="0D0C7CA1" w14:textId="77777777" w:rsidR="008804EA" w:rsidRPr="00783571" w:rsidRDefault="008804EA" w:rsidP="006F6153">
            <w:pPr>
              <w:pStyle w:val="TableHeaders"/>
              <w:spacing w:before="20" w:after="20"/>
            </w:pPr>
            <w:r w:rsidRPr="00783571">
              <w:t>Hispanic</w:t>
            </w:r>
          </w:p>
        </w:tc>
        <w:tc>
          <w:tcPr>
            <w:tcW w:w="1528" w:type="dxa"/>
            <w:tcBorders>
              <w:top w:val="single" w:sz="6" w:space="0" w:color="000000"/>
              <w:bottom w:val="single" w:sz="6" w:space="0" w:color="000000"/>
            </w:tcBorders>
            <w:shd w:val="clear" w:color="auto" w:fill="auto"/>
            <w:noWrap/>
            <w:vAlign w:val="bottom"/>
            <w:hideMark/>
          </w:tcPr>
          <w:p w14:paraId="3315F23F" w14:textId="77777777" w:rsidR="008804EA" w:rsidRPr="00783571" w:rsidRDefault="008804EA" w:rsidP="006F6153">
            <w:pPr>
              <w:pStyle w:val="TableHeaders"/>
              <w:spacing w:before="20" w:after="20"/>
            </w:pPr>
            <w:r w:rsidRPr="00783571">
              <w:t>Other</w:t>
            </w:r>
          </w:p>
        </w:tc>
        <w:tc>
          <w:tcPr>
            <w:tcW w:w="1331" w:type="dxa"/>
            <w:vMerge/>
            <w:tcBorders>
              <w:bottom w:val="single" w:sz="6" w:space="0" w:color="000000"/>
            </w:tcBorders>
          </w:tcPr>
          <w:p w14:paraId="0E1A7E50" w14:textId="77777777" w:rsidR="008804EA" w:rsidRPr="00783571" w:rsidRDefault="008804EA" w:rsidP="006F6153">
            <w:pPr>
              <w:pStyle w:val="TableHeaders"/>
              <w:spacing w:before="20" w:after="20"/>
            </w:pPr>
          </w:p>
        </w:tc>
        <w:tc>
          <w:tcPr>
            <w:tcW w:w="1811" w:type="dxa"/>
            <w:vMerge/>
            <w:tcBorders>
              <w:bottom w:val="single" w:sz="6" w:space="0" w:color="000000"/>
            </w:tcBorders>
            <w:shd w:val="clear" w:color="auto" w:fill="auto"/>
            <w:noWrap/>
            <w:vAlign w:val="bottom"/>
            <w:hideMark/>
          </w:tcPr>
          <w:p w14:paraId="6BFB38D8" w14:textId="69521C74" w:rsidR="008804EA" w:rsidRPr="00783571" w:rsidRDefault="008804EA" w:rsidP="006F6153">
            <w:pPr>
              <w:pStyle w:val="TableHeaders"/>
              <w:spacing w:before="20" w:after="20"/>
            </w:pPr>
          </w:p>
        </w:tc>
      </w:tr>
      <w:tr w:rsidR="00CD5904" w:rsidRPr="00783571" w14:paraId="15FCAE42" w14:textId="77777777" w:rsidTr="0016571A">
        <w:tc>
          <w:tcPr>
            <w:tcW w:w="8461" w:type="dxa"/>
            <w:gridSpan w:val="11"/>
            <w:tcBorders>
              <w:top w:val="single" w:sz="6" w:space="0" w:color="000000"/>
              <w:bottom w:val="single" w:sz="4" w:space="0" w:color="808080" w:themeColor="background1" w:themeShade="80"/>
            </w:tcBorders>
          </w:tcPr>
          <w:p w14:paraId="4090C35E" w14:textId="2852E309"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Percentages of population that are in the PWID and MSM transmission groups</w:t>
            </w:r>
          </w:p>
        </w:tc>
        <w:tc>
          <w:tcPr>
            <w:tcW w:w="4741" w:type="dxa"/>
            <w:gridSpan w:val="4"/>
            <w:tcBorders>
              <w:top w:val="single" w:sz="6" w:space="0" w:color="000000"/>
              <w:bottom w:val="single" w:sz="4" w:space="0" w:color="808080" w:themeColor="background1" w:themeShade="80"/>
            </w:tcBorders>
            <w:shd w:val="clear" w:color="auto" w:fill="auto"/>
            <w:noWrap/>
            <w:hideMark/>
          </w:tcPr>
          <w:p w14:paraId="3DE504FA" w14:textId="46767AB0" w:rsidR="00CD5904" w:rsidRPr="00783571" w:rsidRDefault="00CD5904" w:rsidP="007F4338">
            <w:pPr>
              <w:pStyle w:val="Tabletext0"/>
              <w:spacing w:before="20" w:after="20" w:line="240" w:lineRule="auto"/>
              <w:rPr>
                <w:rFonts w:ascii="Verdana" w:hAnsi="Verdana"/>
                <w:sz w:val="18"/>
                <w:szCs w:val="18"/>
              </w:rPr>
            </w:pPr>
          </w:p>
        </w:tc>
      </w:tr>
      <w:tr w:rsidR="00CD5904" w:rsidRPr="00783571" w14:paraId="5D3ADC4E"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hideMark/>
          </w:tcPr>
          <w:p w14:paraId="19B5DFBD" w14:textId="4A4D8389" w:rsidR="00CD5904" w:rsidRPr="00783571" w:rsidRDefault="00CD5904" w:rsidP="007F4338">
            <w:pPr>
              <w:pStyle w:val="Tabletext0"/>
              <w:spacing w:before="20" w:after="20" w:line="240" w:lineRule="auto"/>
              <w:ind w:left="180" w:right="-98"/>
              <w:rPr>
                <w:rFonts w:ascii="Verdana" w:hAnsi="Verdana"/>
                <w:sz w:val="18"/>
                <w:szCs w:val="18"/>
              </w:rPr>
            </w:pPr>
            <w:r w:rsidRPr="00783571">
              <w:rPr>
                <w:rFonts w:ascii="Verdana" w:hAnsi="Verdana"/>
                <w:sz w:val="18"/>
                <w:szCs w:val="18"/>
              </w:rPr>
              <w:t>PWID</w:t>
            </w:r>
          </w:p>
        </w:tc>
        <w:tc>
          <w:tcPr>
            <w:tcW w:w="4001" w:type="dxa"/>
            <w:gridSpan w:val="3"/>
            <w:tcBorders>
              <w:top w:val="single" w:sz="4" w:space="0" w:color="808080" w:themeColor="background1" w:themeShade="80"/>
              <w:bottom w:val="single" w:sz="4" w:space="0" w:color="808080" w:themeColor="background1" w:themeShade="80"/>
            </w:tcBorders>
            <w:shd w:val="clear" w:color="auto" w:fill="auto"/>
            <w:noWrap/>
            <w:hideMark/>
          </w:tcPr>
          <w:p w14:paraId="71550D41" w14:textId="42BCA68E"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----------------------0.21%-----------------</w:t>
            </w:r>
          </w:p>
        </w:tc>
        <w:tc>
          <w:tcPr>
            <w:tcW w:w="4361" w:type="dxa"/>
            <w:gridSpan w:val="9"/>
            <w:tcBorders>
              <w:top w:val="single" w:sz="4" w:space="0" w:color="808080" w:themeColor="background1" w:themeShade="80"/>
              <w:bottom w:val="single" w:sz="4" w:space="0" w:color="808080" w:themeColor="background1" w:themeShade="80"/>
            </w:tcBorders>
            <w:shd w:val="clear" w:color="auto" w:fill="auto"/>
          </w:tcPr>
          <w:p w14:paraId="66EA6E46" w14:textId="4D1F50EA"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-----------------------0.36%------------------</w:t>
            </w:r>
            <w:r w:rsidR="007F4338" w:rsidRPr="00783571">
              <w:rPr>
                <w:rFonts w:ascii="Verdana" w:hAnsi="Verdana"/>
                <w:sz w:val="18"/>
                <w:szCs w:val="18"/>
              </w:rPr>
              <w:t>--</w:t>
            </w:r>
          </w:p>
        </w:tc>
        <w:tc>
          <w:tcPr>
            <w:tcW w:w="1331" w:type="dxa"/>
            <w:tcBorders>
              <w:top w:val="single" w:sz="4" w:space="0" w:color="808080" w:themeColor="background1" w:themeShade="80"/>
              <w:bottom w:val="single" w:sz="4" w:space="0" w:color="808080" w:themeColor="background1" w:themeShade="80"/>
            </w:tcBorders>
          </w:tcPr>
          <w:p w14:paraId="7FD3E393" w14:textId="43AE2FC7" w:rsidR="00CD5904" w:rsidRPr="00783571" w:rsidDel="008017D6" w:rsidRDefault="00A410B5" w:rsidP="007F4338">
            <w:pPr>
              <w:pStyle w:val="Tabletext0"/>
              <w:spacing w:before="20" w:after="20" w:line="240" w:lineRule="auto"/>
              <w:jc w:val="center"/>
              <w:rPr>
                <w:rFonts w:ascii="Verdana" w:hAnsi="Verdana"/>
                <w:sz w:val="18"/>
                <w:szCs w:val="18"/>
              </w:rPr>
            </w:pPr>
            <w:r w:rsidRPr="00783571">
              <w:rPr>
                <w:rFonts w:ascii="Verdana" w:hAnsi="Verdana"/>
                <w:sz w:val="18"/>
                <w:szCs w:val="18"/>
              </w:rPr>
              <w:t>N/A</w:t>
            </w:r>
          </w:p>
        </w:tc>
        <w:tc>
          <w:tcPr>
            <w:tcW w:w="1811" w:type="dxa"/>
            <w:tcBorders>
              <w:top w:val="single" w:sz="4" w:space="0" w:color="808080" w:themeColor="background1" w:themeShade="80"/>
              <w:bottom w:val="single" w:sz="4" w:space="0" w:color="808080" w:themeColor="background1" w:themeShade="80"/>
            </w:tcBorders>
            <w:shd w:val="clear" w:color="auto" w:fill="auto"/>
            <w:noWrap/>
            <w:hideMark/>
          </w:tcPr>
          <w:p w14:paraId="4A95506A" w14:textId="5A4E7857"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Lansky et al. (2014)</w:t>
            </w:r>
            <w:r w:rsidR="001417B2" w:rsidRPr="00783571">
              <w:rPr>
                <w:rFonts w:ascii="Verdana" w:hAnsi="Verdana"/>
                <w:sz w:val="18"/>
                <w:szCs w:val="18"/>
              </w:rPr>
              <w:t>, Table 3</w:t>
            </w:r>
            <w:r w:rsidR="00977D61" w:rsidRPr="00783571">
              <w:rPr>
                <w:rFonts w:ascii="Verdana" w:hAnsi="Verdana"/>
                <w:sz w:val="18"/>
                <w:szCs w:val="18"/>
                <w:vertAlign w:val="superscript"/>
              </w:rPr>
              <w:t>a</w:t>
            </w:r>
          </w:p>
        </w:tc>
      </w:tr>
      <w:tr w:rsidR="00CD5904" w:rsidRPr="00783571" w14:paraId="06602834"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hideMark/>
          </w:tcPr>
          <w:p w14:paraId="36228875" w14:textId="0F6B8AE2" w:rsidR="00CD5904" w:rsidRPr="00783571" w:rsidRDefault="00CD5904" w:rsidP="007F4338">
            <w:pPr>
              <w:pStyle w:val="Tabletext0"/>
              <w:spacing w:before="20" w:after="20" w:line="240" w:lineRule="auto"/>
              <w:ind w:left="180" w:right="-98"/>
              <w:rPr>
                <w:rFonts w:ascii="Verdana" w:hAnsi="Verdana"/>
                <w:sz w:val="18"/>
                <w:szCs w:val="18"/>
              </w:rPr>
            </w:pPr>
            <w:r w:rsidRPr="00783571">
              <w:rPr>
                <w:rFonts w:ascii="Verdana" w:hAnsi="Verdana"/>
                <w:sz w:val="18"/>
                <w:szCs w:val="18"/>
              </w:rPr>
              <w:t>MSM (among males only)</w:t>
            </w:r>
          </w:p>
        </w:tc>
        <w:tc>
          <w:tcPr>
            <w:tcW w:w="1343" w:type="dxa"/>
            <w:tcBorders>
              <w:top w:val="single" w:sz="4" w:space="0" w:color="808080" w:themeColor="background1" w:themeShade="80"/>
              <w:bottom w:val="single" w:sz="4" w:space="0" w:color="808080" w:themeColor="background1" w:themeShade="80"/>
            </w:tcBorders>
            <w:shd w:val="clear" w:color="auto" w:fill="auto"/>
            <w:noWrap/>
            <w:hideMark/>
          </w:tcPr>
          <w:p w14:paraId="65D9CE76" w14:textId="77777777" w:rsidR="00CD5904" w:rsidRPr="00783571" w:rsidRDefault="00CD5904" w:rsidP="007F4338">
            <w:pPr>
              <w:pStyle w:val="Tabletext0"/>
              <w:spacing w:before="20" w:after="20" w:line="240" w:lineRule="auto"/>
              <w:rPr>
                <w:rFonts w:ascii="Verdana" w:hAnsi="Verdana"/>
                <w:sz w:val="18"/>
                <w:szCs w:val="18"/>
              </w:rPr>
            </w:pPr>
          </w:p>
        </w:tc>
        <w:tc>
          <w:tcPr>
            <w:tcW w:w="1343" w:type="dxa"/>
            <w:tcBorders>
              <w:top w:val="single" w:sz="4" w:space="0" w:color="808080" w:themeColor="background1" w:themeShade="80"/>
              <w:bottom w:val="single" w:sz="4" w:space="0" w:color="808080" w:themeColor="background1" w:themeShade="80"/>
            </w:tcBorders>
            <w:shd w:val="clear" w:color="auto" w:fill="auto"/>
            <w:noWrap/>
            <w:hideMark/>
          </w:tcPr>
          <w:p w14:paraId="6FD27C86" w14:textId="77777777" w:rsidR="00CD5904" w:rsidRPr="00783571" w:rsidRDefault="00CD5904" w:rsidP="007F4338">
            <w:pPr>
              <w:pStyle w:val="Tabletext0"/>
              <w:spacing w:before="20" w:after="20" w:line="240" w:lineRule="auto"/>
              <w:rPr>
                <w:rFonts w:ascii="Verdana" w:hAnsi="Verdana"/>
                <w:sz w:val="18"/>
                <w:szCs w:val="18"/>
              </w:rPr>
            </w:pPr>
          </w:p>
        </w:tc>
        <w:tc>
          <w:tcPr>
            <w:tcW w:w="1315" w:type="dxa"/>
            <w:tcBorders>
              <w:top w:val="single" w:sz="4" w:space="0" w:color="808080" w:themeColor="background1" w:themeShade="80"/>
              <w:bottom w:val="single" w:sz="4" w:space="0" w:color="808080" w:themeColor="background1" w:themeShade="80"/>
            </w:tcBorders>
            <w:shd w:val="clear" w:color="auto" w:fill="auto"/>
            <w:noWrap/>
            <w:hideMark/>
          </w:tcPr>
          <w:p w14:paraId="790023F3" w14:textId="77777777" w:rsidR="00CD5904" w:rsidRPr="00783571" w:rsidRDefault="00CD5904" w:rsidP="007F4338">
            <w:pPr>
              <w:pStyle w:val="Tabletext0"/>
              <w:spacing w:before="20" w:after="20" w:line="240" w:lineRule="auto"/>
              <w:rPr>
                <w:rFonts w:ascii="Verdana" w:hAnsi="Verdana"/>
                <w:sz w:val="18"/>
                <w:szCs w:val="18"/>
              </w:rPr>
            </w:pPr>
          </w:p>
        </w:tc>
        <w:tc>
          <w:tcPr>
            <w:tcW w:w="4361" w:type="dxa"/>
            <w:gridSpan w:val="9"/>
            <w:tcBorders>
              <w:top w:val="single" w:sz="4" w:space="0" w:color="808080" w:themeColor="background1" w:themeShade="80"/>
              <w:bottom w:val="single" w:sz="4" w:space="0" w:color="808080" w:themeColor="background1" w:themeShade="80"/>
            </w:tcBorders>
            <w:shd w:val="clear" w:color="auto" w:fill="auto"/>
          </w:tcPr>
          <w:p w14:paraId="15702A79" w14:textId="456FF5E7"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------------------------3.9%-------------------</w:t>
            </w:r>
            <w:r w:rsidR="007F4338" w:rsidRPr="00783571">
              <w:rPr>
                <w:rFonts w:ascii="Verdana" w:hAnsi="Verdana"/>
                <w:sz w:val="18"/>
                <w:szCs w:val="18"/>
              </w:rPr>
              <w:t>-</w:t>
            </w:r>
          </w:p>
        </w:tc>
        <w:tc>
          <w:tcPr>
            <w:tcW w:w="1331" w:type="dxa"/>
            <w:tcBorders>
              <w:top w:val="single" w:sz="4" w:space="0" w:color="808080" w:themeColor="background1" w:themeShade="80"/>
              <w:bottom w:val="single" w:sz="4" w:space="0" w:color="808080" w:themeColor="background1" w:themeShade="80"/>
            </w:tcBorders>
          </w:tcPr>
          <w:p w14:paraId="5071CDC9" w14:textId="1DE37DC4" w:rsidR="00CD5904" w:rsidRPr="00783571" w:rsidRDefault="00A410B5" w:rsidP="007F4338">
            <w:pPr>
              <w:pStyle w:val="Tabletext0"/>
              <w:spacing w:before="20" w:after="20" w:line="240" w:lineRule="auto"/>
              <w:jc w:val="center"/>
              <w:rPr>
                <w:rFonts w:ascii="Verdana" w:hAnsi="Verdana"/>
                <w:sz w:val="18"/>
                <w:szCs w:val="18"/>
              </w:rPr>
            </w:pPr>
            <w:r w:rsidRPr="00783571">
              <w:rPr>
                <w:rFonts w:ascii="Verdana" w:hAnsi="Verdana"/>
                <w:sz w:val="18"/>
                <w:szCs w:val="18"/>
              </w:rPr>
              <w:t>N/A</w:t>
            </w:r>
          </w:p>
        </w:tc>
        <w:tc>
          <w:tcPr>
            <w:tcW w:w="1811" w:type="dxa"/>
            <w:tcBorders>
              <w:top w:val="single" w:sz="4" w:space="0" w:color="808080" w:themeColor="background1" w:themeShade="80"/>
              <w:bottom w:val="single" w:sz="4" w:space="0" w:color="808080" w:themeColor="background1" w:themeShade="80"/>
            </w:tcBorders>
            <w:shd w:val="clear" w:color="auto" w:fill="auto"/>
            <w:noWrap/>
            <w:hideMark/>
          </w:tcPr>
          <w:p w14:paraId="0B1A2DEA" w14:textId="44741A42"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Purcell et al. (2012)</w:t>
            </w:r>
            <w:r w:rsidR="001417B2" w:rsidRPr="00783571">
              <w:rPr>
                <w:rFonts w:ascii="Verdana" w:hAnsi="Verdana"/>
                <w:sz w:val="18"/>
                <w:szCs w:val="18"/>
              </w:rPr>
              <w:t>, Table 2</w:t>
            </w:r>
            <w:r w:rsidR="00977D61" w:rsidRPr="00783571">
              <w:rPr>
                <w:rFonts w:ascii="Verdana" w:hAnsi="Verdana"/>
                <w:sz w:val="18"/>
                <w:szCs w:val="18"/>
                <w:vertAlign w:val="superscript"/>
              </w:rPr>
              <w:t>b</w:t>
            </w:r>
          </w:p>
        </w:tc>
      </w:tr>
      <w:tr w:rsidR="00CD5904" w:rsidRPr="00783571" w14:paraId="7A87B8CB" w14:textId="77777777" w:rsidTr="0016571A">
        <w:tc>
          <w:tcPr>
            <w:tcW w:w="7574" w:type="dxa"/>
            <w:gridSpan w:val="9"/>
            <w:tcBorders>
              <w:top w:val="single" w:sz="4" w:space="0" w:color="808080" w:themeColor="background1" w:themeShade="80"/>
              <w:bottom w:val="single" w:sz="4" w:space="0" w:color="808080" w:themeColor="background1" w:themeShade="80"/>
            </w:tcBorders>
          </w:tcPr>
          <w:p w14:paraId="7BCB50E6" w14:textId="18AFCBBC"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 xml:space="preserve">Percentages of PWID and MSM high risk </w:t>
            </w:r>
          </w:p>
        </w:tc>
        <w:tc>
          <w:tcPr>
            <w:tcW w:w="5628" w:type="dxa"/>
            <w:gridSpan w:val="6"/>
            <w:tcBorders>
              <w:top w:val="single" w:sz="4" w:space="0" w:color="808080" w:themeColor="background1" w:themeShade="80"/>
              <w:bottom w:val="single" w:sz="4" w:space="0" w:color="808080" w:themeColor="background1" w:themeShade="80"/>
            </w:tcBorders>
            <w:shd w:val="clear" w:color="auto" w:fill="auto"/>
            <w:noWrap/>
          </w:tcPr>
          <w:p w14:paraId="1F14C2F3" w14:textId="6F95F683" w:rsidR="00CD5904" w:rsidRPr="00783571" w:rsidRDefault="00CD5904" w:rsidP="007F4338">
            <w:pPr>
              <w:pStyle w:val="Tabletext0"/>
              <w:spacing w:before="20" w:after="20" w:line="240" w:lineRule="auto"/>
              <w:rPr>
                <w:rFonts w:ascii="Verdana" w:hAnsi="Verdana"/>
                <w:sz w:val="18"/>
                <w:szCs w:val="18"/>
              </w:rPr>
            </w:pPr>
          </w:p>
        </w:tc>
      </w:tr>
      <w:tr w:rsidR="00CD5904" w:rsidRPr="00783571" w14:paraId="7DEA3643"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tcPr>
          <w:p w14:paraId="0D11CA97" w14:textId="3F414D9A" w:rsidR="00CD5904" w:rsidRPr="00783571" w:rsidRDefault="00CD5904" w:rsidP="007F4338">
            <w:pPr>
              <w:pStyle w:val="Tabletext0"/>
              <w:spacing w:before="20" w:after="20" w:line="240" w:lineRule="auto"/>
              <w:ind w:left="180" w:right="-98"/>
              <w:rPr>
                <w:rFonts w:ascii="Verdana" w:hAnsi="Verdana"/>
                <w:sz w:val="18"/>
                <w:szCs w:val="18"/>
              </w:rPr>
            </w:pPr>
            <w:r w:rsidRPr="00783571">
              <w:rPr>
                <w:rFonts w:ascii="Verdana" w:hAnsi="Verdana"/>
                <w:sz w:val="18"/>
                <w:szCs w:val="18"/>
              </w:rPr>
              <w:t>PWID</w:t>
            </w:r>
          </w:p>
        </w:tc>
        <w:tc>
          <w:tcPr>
            <w:tcW w:w="8362" w:type="dxa"/>
            <w:gridSpan w:val="12"/>
            <w:tcBorders>
              <w:top w:val="single" w:sz="4" w:space="0" w:color="808080" w:themeColor="background1" w:themeShade="80"/>
              <w:bottom w:val="single" w:sz="4" w:space="0" w:color="808080" w:themeColor="background1" w:themeShade="80"/>
            </w:tcBorders>
            <w:shd w:val="clear" w:color="auto" w:fill="auto"/>
            <w:noWrap/>
          </w:tcPr>
          <w:p w14:paraId="44D35DFD" w14:textId="720BE363" w:rsidR="00C17197"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-----------------------------------------100.0%-------------------------------------------------</w:t>
            </w:r>
          </w:p>
        </w:tc>
        <w:tc>
          <w:tcPr>
            <w:tcW w:w="1331" w:type="dxa"/>
            <w:tcBorders>
              <w:top w:val="single" w:sz="4" w:space="0" w:color="808080" w:themeColor="background1" w:themeShade="80"/>
              <w:bottom w:val="single" w:sz="4" w:space="0" w:color="808080" w:themeColor="background1" w:themeShade="80"/>
            </w:tcBorders>
          </w:tcPr>
          <w:p w14:paraId="05451DE6" w14:textId="67CD7F30" w:rsidR="00CD5904" w:rsidRPr="00783571" w:rsidRDefault="00A410B5" w:rsidP="007F4338">
            <w:pPr>
              <w:pStyle w:val="Tabletext0"/>
              <w:spacing w:before="20" w:after="20" w:line="240" w:lineRule="auto"/>
              <w:jc w:val="center"/>
              <w:rPr>
                <w:rFonts w:ascii="Verdana" w:hAnsi="Verdana"/>
                <w:sz w:val="18"/>
                <w:szCs w:val="18"/>
              </w:rPr>
            </w:pPr>
            <w:r w:rsidRPr="00783571">
              <w:rPr>
                <w:rFonts w:ascii="Verdana" w:hAnsi="Verdana"/>
                <w:sz w:val="18"/>
                <w:szCs w:val="18"/>
              </w:rPr>
              <w:t>N/A</w:t>
            </w:r>
          </w:p>
        </w:tc>
        <w:tc>
          <w:tcPr>
            <w:tcW w:w="1811" w:type="dxa"/>
            <w:tcBorders>
              <w:top w:val="single" w:sz="4" w:space="0" w:color="808080" w:themeColor="background1" w:themeShade="80"/>
              <w:bottom w:val="single" w:sz="4" w:space="0" w:color="808080" w:themeColor="background1" w:themeShade="80"/>
            </w:tcBorders>
            <w:shd w:val="clear" w:color="auto" w:fill="auto"/>
            <w:noWrap/>
          </w:tcPr>
          <w:p w14:paraId="7BC98B19" w14:textId="5A163E98" w:rsidR="00CD5904" w:rsidRPr="00783571" w:rsidRDefault="00977D61" w:rsidP="007F4338">
            <w:pPr>
              <w:pStyle w:val="Tabletext0"/>
              <w:spacing w:before="20" w:after="20" w:line="240" w:lineRule="auto"/>
              <w:rPr>
                <w:rFonts w:ascii="Verdana" w:hAnsi="Verdana"/>
                <w:sz w:val="18"/>
                <w:szCs w:val="18"/>
              </w:rPr>
            </w:pPr>
            <w:r w:rsidRPr="00783571">
              <w:rPr>
                <w:rFonts w:ascii="Verdana" w:hAnsi="Verdana"/>
                <w:sz w:val="18"/>
                <w:szCs w:val="18"/>
              </w:rPr>
              <w:t>Assumed</w:t>
            </w:r>
            <w:r w:rsidRPr="00783571">
              <w:rPr>
                <w:rFonts w:ascii="Verdana" w:hAnsi="Verdana"/>
                <w:sz w:val="18"/>
                <w:szCs w:val="18"/>
                <w:vertAlign w:val="superscript"/>
              </w:rPr>
              <w:t>c</w:t>
            </w:r>
          </w:p>
        </w:tc>
      </w:tr>
      <w:tr w:rsidR="00CD5904" w:rsidRPr="00783571" w14:paraId="6E5CFB25"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tcPr>
          <w:p w14:paraId="3C516CEF" w14:textId="474ADF97" w:rsidR="00CD5904" w:rsidRPr="00783571" w:rsidRDefault="00CD5904" w:rsidP="007F4338">
            <w:pPr>
              <w:pStyle w:val="Tabletext0"/>
              <w:spacing w:before="20" w:after="20" w:line="240" w:lineRule="auto"/>
              <w:ind w:left="180" w:right="-98"/>
              <w:rPr>
                <w:rFonts w:ascii="Verdana" w:hAnsi="Verdana"/>
                <w:sz w:val="18"/>
                <w:szCs w:val="18"/>
              </w:rPr>
            </w:pPr>
            <w:r w:rsidRPr="00783571">
              <w:rPr>
                <w:rFonts w:ascii="Verdana" w:hAnsi="Verdana"/>
                <w:sz w:val="18"/>
                <w:szCs w:val="18"/>
              </w:rPr>
              <w:t>MSM</w:t>
            </w:r>
          </w:p>
        </w:tc>
        <w:tc>
          <w:tcPr>
            <w:tcW w:w="8362" w:type="dxa"/>
            <w:gridSpan w:val="12"/>
            <w:tcBorders>
              <w:top w:val="single" w:sz="4" w:space="0" w:color="808080" w:themeColor="background1" w:themeShade="80"/>
              <w:bottom w:val="single" w:sz="4" w:space="0" w:color="808080" w:themeColor="background1" w:themeShade="80"/>
            </w:tcBorders>
            <w:shd w:val="clear" w:color="auto" w:fill="auto"/>
            <w:noWrap/>
          </w:tcPr>
          <w:p w14:paraId="3F321847" w14:textId="604C815E"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------------------------------------------69.4%----------------------------------------------</w:t>
            </w:r>
            <w:r w:rsidR="009239E7" w:rsidRPr="00783571">
              <w:rPr>
                <w:rFonts w:ascii="Verdana" w:hAnsi="Verdana"/>
                <w:sz w:val="18"/>
                <w:szCs w:val="18"/>
              </w:rPr>
              <w:t>--</w:t>
            </w:r>
            <w:r w:rsidRPr="00783571">
              <w:rPr>
                <w:rFonts w:ascii="Verdana" w:hAnsi="Verdana"/>
                <w:sz w:val="18"/>
                <w:szCs w:val="18"/>
              </w:rPr>
              <w:t>-</w:t>
            </w:r>
          </w:p>
        </w:tc>
        <w:tc>
          <w:tcPr>
            <w:tcW w:w="1331" w:type="dxa"/>
            <w:tcBorders>
              <w:top w:val="single" w:sz="4" w:space="0" w:color="808080" w:themeColor="background1" w:themeShade="80"/>
              <w:bottom w:val="single" w:sz="4" w:space="0" w:color="808080" w:themeColor="background1" w:themeShade="80"/>
            </w:tcBorders>
          </w:tcPr>
          <w:p w14:paraId="46F4D773" w14:textId="67B7B670" w:rsidR="00CD5904" w:rsidRPr="00783571" w:rsidRDefault="00A410B5" w:rsidP="007F4338">
            <w:pPr>
              <w:pStyle w:val="Tabletext0"/>
              <w:spacing w:before="20" w:after="20" w:line="240" w:lineRule="auto"/>
              <w:jc w:val="center"/>
              <w:rPr>
                <w:rFonts w:ascii="Verdana" w:hAnsi="Verdana"/>
                <w:sz w:val="18"/>
                <w:szCs w:val="18"/>
              </w:rPr>
            </w:pPr>
            <w:r w:rsidRPr="00783571">
              <w:rPr>
                <w:rFonts w:ascii="Verdana" w:hAnsi="Verdana"/>
                <w:sz w:val="18"/>
                <w:szCs w:val="18"/>
              </w:rPr>
              <w:t>N/A</w:t>
            </w:r>
          </w:p>
        </w:tc>
        <w:tc>
          <w:tcPr>
            <w:tcW w:w="1811" w:type="dxa"/>
            <w:tcBorders>
              <w:top w:val="single" w:sz="4" w:space="0" w:color="808080" w:themeColor="background1" w:themeShade="80"/>
              <w:bottom w:val="single" w:sz="4" w:space="0" w:color="808080" w:themeColor="background1" w:themeShade="80"/>
            </w:tcBorders>
            <w:shd w:val="clear" w:color="auto" w:fill="auto"/>
            <w:noWrap/>
          </w:tcPr>
          <w:p w14:paraId="7FDA2226" w14:textId="068B5633"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CDC unpublished data based on 2008 NHBS MSM cycle 2.</w:t>
            </w:r>
            <w:r w:rsidR="00977D61" w:rsidRPr="00783571">
              <w:rPr>
                <w:rFonts w:ascii="Verdana" w:hAnsi="Verdana"/>
                <w:sz w:val="18"/>
                <w:szCs w:val="18"/>
                <w:vertAlign w:val="superscript"/>
              </w:rPr>
              <w:t>d</w:t>
            </w:r>
          </w:p>
        </w:tc>
      </w:tr>
      <w:tr w:rsidR="00CD5904" w:rsidRPr="00783571" w14:paraId="51E96599" w14:textId="77777777" w:rsidTr="0016571A">
        <w:tc>
          <w:tcPr>
            <w:tcW w:w="7929" w:type="dxa"/>
            <w:gridSpan w:val="10"/>
            <w:tcBorders>
              <w:top w:val="single" w:sz="4" w:space="0" w:color="808080" w:themeColor="background1" w:themeShade="80"/>
              <w:bottom w:val="single" w:sz="4" w:space="0" w:color="808080" w:themeColor="background1" w:themeShade="80"/>
            </w:tcBorders>
          </w:tcPr>
          <w:p w14:paraId="501EF870" w14:textId="6A07D846"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Percentages of PWID population that is each race/ethnicity, by sex</w:t>
            </w:r>
          </w:p>
        </w:tc>
        <w:tc>
          <w:tcPr>
            <w:tcW w:w="5273" w:type="dxa"/>
            <w:gridSpan w:val="5"/>
            <w:tcBorders>
              <w:top w:val="single" w:sz="4" w:space="0" w:color="808080" w:themeColor="background1" w:themeShade="80"/>
              <w:bottom w:val="single" w:sz="4" w:space="0" w:color="808080" w:themeColor="background1" w:themeShade="80"/>
            </w:tcBorders>
            <w:shd w:val="clear" w:color="auto" w:fill="auto"/>
            <w:noWrap/>
          </w:tcPr>
          <w:p w14:paraId="31F2FD3A" w14:textId="56C62941" w:rsidR="00CD5904" w:rsidRPr="00783571" w:rsidRDefault="00CD5904" w:rsidP="007F4338">
            <w:pPr>
              <w:pStyle w:val="Tabletext0"/>
              <w:spacing w:before="20" w:after="20" w:line="240" w:lineRule="auto"/>
              <w:rPr>
                <w:rFonts w:ascii="Verdana" w:hAnsi="Verdana"/>
                <w:sz w:val="18"/>
                <w:szCs w:val="18"/>
              </w:rPr>
            </w:pPr>
          </w:p>
        </w:tc>
      </w:tr>
      <w:tr w:rsidR="00CD5904" w:rsidRPr="00783571" w14:paraId="2655F2EC"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tcPr>
          <w:p w14:paraId="01EB7C06" w14:textId="77777777" w:rsidR="00CD5904" w:rsidRPr="00783571" w:rsidRDefault="00CD5904" w:rsidP="007F4338">
            <w:pPr>
              <w:pStyle w:val="Tabletextindented"/>
              <w:spacing w:before="20" w:after="20" w:line="240" w:lineRule="auto"/>
              <w:ind w:left="360"/>
              <w:rPr>
                <w:rFonts w:ascii="Verdana" w:hAnsi="Verdana"/>
                <w:sz w:val="18"/>
                <w:szCs w:val="18"/>
              </w:rPr>
            </w:pPr>
          </w:p>
        </w:tc>
        <w:tc>
          <w:tcPr>
            <w:tcW w:w="1343" w:type="dxa"/>
            <w:tcBorders>
              <w:top w:val="single" w:sz="4" w:space="0" w:color="808080" w:themeColor="background1" w:themeShade="80"/>
              <w:bottom w:val="single" w:sz="4" w:space="0" w:color="808080" w:themeColor="background1" w:themeShade="80"/>
            </w:tcBorders>
            <w:shd w:val="clear" w:color="auto" w:fill="auto"/>
            <w:noWrap/>
          </w:tcPr>
          <w:p w14:paraId="420192B3"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25.68%</w:t>
            </w:r>
          </w:p>
        </w:tc>
        <w:tc>
          <w:tcPr>
            <w:tcW w:w="1343" w:type="dxa"/>
            <w:tcBorders>
              <w:top w:val="single" w:sz="4" w:space="0" w:color="808080" w:themeColor="background1" w:themeShade="80"/>
              <w:bottom w:val="single" w:sz="4" w:space="0" w:color="808080" w:themeColor="background1" w:themeShade="80"/>
            </w:tcBorders>
            <w:shd w:val="clear" w:color="auto" w:fill="auto"/>
            <w:noWrap/>
          </w:tcPr>
          <w:p w14:paraId="5165B06D"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12.72%</w:t>
            </w:r>
          </w:p>
        </w:tc>
        <w:tc>
          <w:tcPr>
            <w:tcW w:w="1324" w:type="dxa"/>
            <w:gridSpan w:val="2"/>
            <w:tcBorders>
              <w:top w:val="single" w:sz="4" w:space="0" w:color="808080" w:themeColor="background1" w:themeShade="80"/>
              <w:bottom w:val="single" w:sz="4" w:space="0" w:color="808080" w:themeColor="background1" w:themeShade="80"/>
            </w:tcBorders>
            <w:shd w:val="clear" w:color="auto" w:fill="auto"/>
            <w:noWrap/>
          </w:tcPr>
          <w:p w14:paraId="452E1672"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61.60%</w:t>
            </w:r>
          </w:p>
        </w:tc>
        <w:tc>
          <w:tcPr>
            <w:tcW w:w="1422" w:type="dxa"/>
            <w:gridSpan w:val="3"/>
            <w:tcBorders>
              <w:top w:val="single" w:sz="4" w:space="0" w:color="808080" w:themeColor="background1" w:themeShade="80"/>
              <w:bottom w:val="single" w:sz="4" w:space="0" w:color="808080" w:themeColor="background1" w:themeShade="80"/>
            </w:tcBorders>
            <w:shd w:val="clear" w:color="auto" w:fill="auto"/>
            <w:noWrap/>
          </w:tcPr>
          <w:p w14:paraId="141FECE2" w14:textId="77777777" w:rsidR="00CD5904" w:rsidRPr="00783571" w:rsidRDefault="00CD5904" w:rsidP="007F4338">
            <w:pPr>
              <w:pStyle w:val="Tabletext0"/>
              <w:spacing w:before="20" w:after="20" w:line="240" w:lineRule="auto"/>
              <w:ind w:right="63"/>
              <w:jc w:val="right"/>
              <w:rPr>
                <w:rFonts w:ascii="Verdana" w:hAnsi="Verdana"/>
                <w:sz w:val="18"/>
                <w:szCs w:val="18"/>
              </w:rPr>
            </w:pPr>
            <w:r w:rsidRPr="00783571">
              <w:rPr>
                <w:rFonts w:ascii="Verdana" w:hAnsi="Verdana"/>
                <w:sz w:val="18"/>
                <w:szCs w:val="18"/>
              </w:rPr>
              <w:t>25.68%</w:t>
            </w:r>
          </w:p>
        </w:tc>
        <w:tc>
          <w:tcPr>
            <w:tcW w:w="1402" w:type="dxa"/>
            <w:gridSpan w:val="4"/>
            <w:tcBorders>
              <w:top w:val="single" w:sz="4" w:space="0" w:color="808080" w:themeColor="background1" w:themeShade="80"/>
              <w:bottom w:val="single" w:sz="4" w:space="0" w:color="808080" w:themeColor="background1" w:themeShade="80"/>
            </w:tcBorders>
            <w:shd w:val="clear" w:color="auto" w:fill="auto"/>
            <w:noWrap/>
          </w:tcPr>
          <w:p w14:paraId="27CF48EF"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12.72%</w:t>
            </w:r>
          </w:p>
        </w:tc>
        <w:tc>
          <w:tcPr>
            <w:tcW w:w="1528" w:type="dxa"/>
            <w:tcBorders>
              <w:top w:val="single" w:sz="4" w:space="0" w:color="808080" w:themeColor="background1" w:themeShade="80"/>
              <w:bottom w:val="single" w:sz="4" w:space="0" w:color="808080" w:themeColor="background1" w:themeShade="80"/>
            </w:tcBorders>
            <w:shd w:val="clear" w:color="auto" w:fill="auto"/>
            <w:noWrap/>
          </w:tcPr>
          <w:p w14:paraId="562DC074"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61.60%</w:t>
            </w:r>
          </w:p>
        </w:tc>
        <w:tc>
          <w:tcPr>
            <w:tcW w:w="1331" w:type="dxa"/>
            <w:tcBorders>
              <w:top w:val="single" w:sz="4" w:space="0" w:color="808080" w:themeColor="background1" w:themeShade="80"/>
              <w:bottom w:val="single" w:sz="4" w:space="0" w:color="808080" w:themeColor="background1" w:themeShade="80"/>
            </w:tcBorders>
          </w:tcPr>
          <w:p w14:paraId="2970722C" w14:textId="3AFC0E1F" w:rsidR="00CD5904" w:rsidRPr="00783571" w:rsidRDefault="00A410B5" w:rsidP="007F4338">
            <w:pPr>
              <w:pStyle w:val="Tabletext0"/>
              <w:spacing w:before="20" w:after="20" w:line="240" w:lineRule="auto"/>
              <w:jc w:val="center"/>
              <w:rPr>
                <w:rFonts w:ascii="Verdana" w:hAnsi="Verdana"/>
                <w:sz w:val="18"/>
                <w:szCs w:val="18"/>
              </w:rPr>
            </w:pPr>
            <w:r w:rsidRPr="00783571">
              <w:rPr>
                <w:rFonts w:ascii="Verdana" w:hAnsi="Verdana"/>
                <w:sz w:val="18"/>
                <w:szCs w:val="18"/>
              </w:rPr>
              <w:t>N/A</w:t>
            </w:r>
          </w:p>
        </w:tc>
        <w:tc>
          <w:tcPr>
            <w:tcW w:w="1811" w:type="dxa"/>
            <w:tcBorders>
              <w:top w:val="single" w:sz="4" w:space="0" w:color="808080" w:themeColor="background1" w:themeShade="80"/>
              <w:bottom w:val="single" w:sz="4" w:space="0" w:color="808080" w:themeColor="background1" w:themeShade="80"/>
            </w:tcBorders>
            <w:shd w:val="clear" w:color="auto" w:fill="auto"/>
            <w:noWrap/>
          </w:tcPr>
          <w:p w14:paraId="343D14DB" w14:textId="2A76A1EB" w:rsidR="00CD5904" w:rsidRPr="00783571" w:rsidRDefault="00CD5904" w:rsidP="007F4338">
            <w:pPr>
              <w:pStyle w:val="Tabletext0"/>
              <w:spacing w:before="20" w:after="20" w:line="240" w:lineRule="auto"/>
              <w:rPr>
                <w:rFonts w:ascii="Verdana" w:hAnsi="Verdana"/>
                <w:sz w:val="18"/>
                <w:szCs w:val="18"/>
                <w:vertAlign w:val="superscript"/>
              </w:rPr>
            </w:pPr>
            <w:r w:rsidRPr="00783571">
              <w:rPr>
                <w:rFonts w:ascii="Verdana" w:hAnsi="Verdana"/>
                <w:sz w:val="18"/>
                <w:szCs w:val="18"/>
              </w:rPr>
              <w:t>Calculated from Cooper et al. (2005)</w:t>
            </w:r>
            <w:r w:rsidR="00977D61" w:rsidRPr="00783571">
              <w:rPr>
                <w:rFonts w:ascii="Verdana" w:hAnsi="Verdana"/>
                <w:sz w:val="18"/>
                <w:szCs w:val="18"/>
                <w:vertAlign w:val="superscript"/>
              </w:rPr>
              <w:t>e</w:t>
            </w:r>
          </w:p>
        </w:tc>
      </w:tr>
      <w:tr w:rsidR="00CD5904" w:rsidRPr="00783571" w14:paraId="3B1342D2" w14:textId="77777777" w:rsidTr="0016571A">
        <w:tc>
          <w:tcPr>
            <w:tcW w:w="7929" w:type="dxa"/>
            <w:gridSpan w:val="10"/>
            <w:tcBorders>
              <w:top w:val="single" w:sz="4" w:space="0" w:color="808080" w:themeColor="background1" w:themeShade="80"/>
              <w:bottom w:val="single" w:sz="4" w:space="0" w:color="808080" w:themeColor="background1" w:themeShade="80"/>
            </w:tcBorders>
          </w:tcPr>
          <w:p w14:paraId="6CFABBE7" w14:textId="6AC7BA2C"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Initial population size, total and by transmission group and risk level</w:t>
            </w:r>
          </w:p>
        </w:tc>
        <w:tc>
          <w:tcPr>
            <w:tcW w:w="5273" w:type="dxa"/>
            <w:gridSpan w:val="5"/>
            <w:tcBorders>
              <w:top w:val="single" w:sz="4" w:space="0" w:color="808080" w:themeColor="background1" w:themeShade="80"/>
              <w:bottom w:val="single" w:sz="4" w:space="0" w:color="808080" w:themeColor="background1" w:themeShade="80"/>
            </w:tcBorders>
            <w:shd w:val="clear" w:color="auto" w:fill="auto"/>
            <w:noWrap/>
          </w:tcPr>
          <w:p w14:paraId="4A5507A6" w14:textId="551077DA" w:rsidR="00CD5904" w:rsidRPr="00783571" w:rsidRDefault="00CD5904" w:rsidP="007F4338">
            <w:pPr>
              <w:pStyle w:val="Tabletext0"/>
              <w:spacing w:before="20" w:after="20" w:line="240" w:lineRule="auto"/>
              <w:rPr>
                <w:rFonts w:ascii="Verdana" w:hAnsi="Verdana"/>
                <w:sz w:val="18"/>
                <w:szCs w:val="18"/>
              </w:rPr>
            </w:pPr>
          </w:p>
        </w:tc>
      </w:tr>
      <w:tr w:rsidR="00CD5904" w:rsidRPr="00783571" w14:paraId="2AC41D85"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hideMark/>
          </w:tcPr>
          <w:p w14:paraId="6CF7521F" w14:textId="77777777" w:rsidR="00CD5904" w:rsidRPr="00783571" w:rsidRDefault="00CD5904" w:rsidP="007F4338">
            <w:pPr>
              <w:pStyle w:val="Tabletextindented"/>
              <w:spacing w:before="20" w:after="20" w:line="240" w:lineRule="auto"/>
              <w:ind w:right="-64"/>
              <w:rPr>
                <w:rFonts w:ascii="Verdana" w:hAnsi="Verdana"/>
                <w:sz w:val="18"/>
                <w:szCs w:val="18"/>
              </w:rPr>
            </w:pPr>
            <w:r w:rsidRPr="00783571">
              <w:rPr>
                <w:rFonts w:ascii="Verdana" w:hAnsi="Verdana"/>
                <w:sz w:val="18"/>
                <w:szCs w:val="18"/>
              </w:rPr>
              <w:t>U.S. population aged 13–64</w:t>
            </w:r>
          </w:p>
        </w:tc>
        <w:tc>
          <w:tcPr>
            <w:tcW w:w="1343" w:type="dxa"/>
            <w:tcBorders>
              <w:top w:val="single" w:sz="4" w:space="0" w:color="808080" w:themeColor="background1" w:themeShade="80"/>
              <w:bottom w:val="single" w:sz="4" w:space="0" w:color="808080" w:themeColor="background1" w:themeShade="80"/>
            </w:tcBorders>
            <w:shd w:val="clear" w:color="auto" w:fill="auto"/>
            <w:noWrap/>
          </w:tcPr>
          <w:p w14:paraId="67165550"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14,111,830</w:t>
            </w:r>
          </w:p>
        </w:tc>
        <w:tc>
          <w:tcPr>
            <w:tcW w:w="1343" w:type="dxa"/>
            <w:tcBorders>
              <w:top w:val="single" w:sz="4" w:space="0" w:color="808080" w:themeColor="background1" w:themeShade="80"/>
              <w:bottom w:val="single" w:sz="4" w:space="0" w:color="808080" w:themeColor="background1" w:themeShade="80"/>
            </w:tcBorders>
            <w:shd w:val="clear" w:color="auto" w:fill="auto"/>
            <w:noWrap/>
          </w:tcPr>
          <w:p w14:paraId="5ED3C72F"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17,062,126</w:t>
            </w:r>
          </w:p>
        </w:tc>
        <w:tc>
          <w:tcPr>
            <w:tcW w:w="1324" w:type="dxa"/>
            <w:gridSpan w:val="2"/>
            <w:tcBorders>
              <w:top w:val="single" w:sz="4" w:space="0" w:color="808080" w:themeColor="background1" w:themeShade="80"/>
              <w:bottom w:val="single" w:sz="4" w:space="0" w:color="808080" w:themeColor="background1" w:themeShade="80"/>
            </w:tcBorders>
            <w:shd w:val="clear" w:color="auto" w:fill="auto"/>
            <w:noWrap/>
          </w:tcPr>
          <w:p w14:paraId="7D8D5034"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76,990,484</w:t>
            </w:r>
          </w:p>
        </w:tc>
        <w:tc>
          <w:tcPr>
            <w:tcW w:w="1422" w:type="dxa"/>
            <w:gridSpan w:val="3"/>
            <w:tcBorders>
              <w:top w:val="single" w:sz="4" w:space="0" w:color="808080" w:themeColor="background1" w:themeShade="80"/>
              <w:bottom w:val="single" w:sz="4" w:space="0" w:color="808080" w:themeColor="background1" w:themeShade="80"/>
            </w:tcBorders>
            <w:shd w:val="clear" w:color="auto" w:fill="auto"/>
            <w:noWrap/>
          </w:tcPr>
          <w:p w14:paraId="314ADDF1" w14:textId="77777777" w:rsidR="00CD5904" w:rsidRPr="00783571" w:rsidRDefault="00CD5904" w:rsidP="007F4338">
            <w:pPr>
              <w:pStyle w:val="Tabletext0"/>
              <w:spacing w:before="20" w:after="20" w:line="240" w:lineRule="auto"/>
              <w:ind w:right="63"/>
              <w:jc w:val="right"/>
              <w:rPr>
                <w:rFonts w:ascii="Verdana" w:hAnsi="Verdana"/>
                <w:sz w:val="18"/>
                <w:szCs w:val="18"/>
              </w:rPr>
            </w:pPr>
            <w:r w:rsidRPr="00783571">
              <w:rPr>
                <w:rFonts w:ascii="Verdana" w:hAnsi="Verdana"/>
                <w:sz w:val="18"/>
                <w:szCs w:val="18"/>
              </w:rPr>
              <w:t>12,952,528</w:t>
            </w:r>
          </w:p>
        </w:tc>
        <w:tc>
          <w:tcPr>
            <w:tcW w:w="1402" w:type="dxa"/>
            <w:gridSpan w:val="4"/>
            <w:tcBorders>
              <w:top w:val="single" w:sz="4" w:space="0" w:color="808080" w:themeColor="background1" w:themeShade="80"/>
              <w:bottom w:val="single" w:sz="4" w:space="0" w:color="808080" w:themeColor="background1" w:themeShade="80"/>
            </w:tcBorders>
            <w:shd w:val="clear" w:color="auto" w:fill="auto"/>
            <w:noWrap/>
          </w:tcPr>
          <w:p w14:paraId="2031348E"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17,983,623</w:t>
            </w:r>
          </w:p>
        </w:tc>
        <w:tc>
          <w:tcPr>
            <w:tcW w:w="1528" w:type="dxa"/>
            <w:tcBorders>
              <w:top w:val="single" w:sz="4" w:space="0" w:color="808080" w:themeColor="background1" w:themeShade="80"/>
              <w:bottom w:val="single" w:sz="4" w:space="0" w:color="808080" w:themeColor="background1" w:themeShade="80"/>
            </w:tcBorders>
            <w:shd w:val="clear" w:color="auto" w:fill="auto"/>
            <w:noWrap/>
          </w:tcPr>
          <w:p w14:paraId="1AB9E270"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76,433,745</w:t>
            </w:r>
          </w:p>
        </w:tc>
        <w:tc>
          <w:tcPr>
            <w:tcW w:w="1331" w:type="dxa"/>
            <w:tcBorders>
              <w:top w:val="single" w:sz="4" w:space="0" w:color="808080" w:themeColor="background1" w:themeShade="80"/>
              <w:bottom w:val="single" w:sz="4" w:space="0" w:color="808080" w:themeColor="background1" w:themeShade="80"/>
            </w:tcBorders>
          </w:tcPr>
          <w:p w14:paraId="3D2E21E9" w14:textId="4091C9E0" w:rsidR="00CD5904" w:rsidRPr="00783571" w:rsidRDefault="00CD5904" w:rsidP="007F4338">
            <w:pPr>
              <w:pStyle w:val="Tabletext0"/>
              <w:spacing w:before="20" w:after="20" w:line="240" w:lineRule="auto"/>
              <w:jc w:val="right"/>
              <w:rPr>
                <w:rFonts w:ascii="Verdana" w:hAnsi="Verdana"/>
                <w:sz w:val="18"/>
                <w:szCs w:val="18"/>
              </w:rPr>
            </w:pPr>
            <w:r w:rsidRPr="00783571">
              <w:rPr>
                <w:rFonts w:ascii="Verdana" w:hAnsi="Verdana"/>
                <w:sz w:val="18"/>
                <w:szCs w:val="18"/>
              </w:rPr>
              <w:t>215,534,336</w:t>
            </w:r>
          </w:p>
        </w:tc>
        <w:tc>
          <w:tcPr>
            <w:tcW w:w="1811" w:type="dxa"/>
            <w:tcBorders>
              <w:top w:val="single" w:sz="4" w:space="0" w:color="808080" w:themeColor="background1" w:themeShade="80"/>
              <w:bottom w:val="single" w:sz="4" w:space="0" w:color="808080" w:themeColor="background1" w:themeShade="80"/>
            </w:tcBorders>
            <w:shd w:val="clear" w:color="auto" w:fill="auto"/>
            <w:noWrap/>
            <w:hideMark/>
          </w:tcPr>
          <w:p w14:paraId="683094AA" w14:textId="6A0782B4"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U.S. Census Bureau (2010)</w:t>
            </w:r>
          </w:p>
        </w:tc>
      </w:tr>
      <w:tr w:rsidR="00CD5904" w:rsidRPr="00783571" w14:paraId="4A8BFA30"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hideMark/>
          </w:tcPr>
          <w:p w14:paraId="40AD300A" w14:textId="77777777" w:rsidR="00CD5904" w:rsidRPr="00783571" w:rsidRDefault="00CD5904" w:rsidP="007F4338">
            <w:pPr>
              <w:pStyle w:val="Tabletextindented"/>
              <w:spacing w:before="20" w:after="20" w:line="240" w:lineRule="auto"/>
              <w:rPr>
                <w:rFonts w:ascii="Verdana" w:hAnsi="Verdana"/>
                <w:sz w:val="18"/>
                <w:szCs w:val="18"/>
              </w:rPr>
            </w:pPr>
            <w:r w:rsidRPr="00783571">
              <w:rPr>
                <w:rFonts w:ascii="Verdana" w:hAnsi="Verdana"/>
                <w:sz w:val="18"/>
                <w:szCs w:val="18"/>
              </w:rPr>
              <w:t>HET</w:t>
            </w:r>
          </w:p>
        </w:tc>
        <w:tc>
          <w:tcPr>
            <w:tcW w:w="1343" w:type="dxa"/>
            <w:tcBorders>
              <w:top w:val="single" w:sz="4" w:space="0" w:color="808080" w:themeColor="background1" w:themeShade="80"/>
              <w:bottom w:val="single" w:sz="4" w:space="0" w:color="808080" w:themeColor="background1" w:themeShade="80"/>
            </w:tcBorders>
            <w:shd w:val="clear" w:color="auto" w:fill="auto"/>
            <w:noWrap/>
            <w:hideMark/>
          </w:tcPr>
          <w:p w14:paraId="4F18B65D"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43" w:type="dxa"/>
            <w:tcBorders>
              <w:top w:val="single" w:sz="4" w:space="0" w:color="808080" w:themeColor="background1" w:themeShade="80"/>
              <w:bottom w:val="single" w:sz="4" w:space="0" w:color="808080" w:themeColor="background1" w:themeShade="80"/>
            </w:tcBorders>
            <w:shd w:val="clear" w:color="auto" w:fill="auto"/>
            <w:noWrap/>
            <w:hideMark/>
          </w:tcPr>
          <w:p w14:paraId="0218F99C"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24" w:type="dxa"/>
            <w:gridSpan w:val="2"/>
            <w:tcBorders>
              <w:top w:val="single" w:sz="4" w:space="0" w:color="808080" w:themeColor="background1" w:themeShade="80"/>
              <w:bottom w:val="single" w:sz="4" w:space="0" w:color="808080" w:themeColor="background1" w:themeShade="80"/>
            </w:tcBorders>
            <w:shd w:val="clear" w:color="auto" w:fill="auto"/>
            <w:noWrap/>
            <w:hideMark/>
          </w:tcPr>
          <w:p w14:paraId="132C97C3"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422" w:type="dxa"/>
            <w:gridSpan w:val="3"/>
            <w:tcBorders>
              <w:top w:val="single" w:sz="4" w:space="0" w:color="808080" w:themeColor="background1" w:themeShade="80"/>
              <w:bottom w:val="single" w:sz="4" w:space="0" w:color="808080" w:themeColor="background1" w:themeShade="80"/>
            </w:tcBorders>
            <w:shd w:val="clear" w:color="auto" w:fill="auto"/>
            <w:noWrap/>
            <w:hideMark/>
          </w:tcPr>
          <w:p w14:paraId="30C6CF43" w14:textId="77777777" w:rsidR="00CD5904" w:rsidRPr="00783571" w:rsidRDefault="00CD5904" w:rsidP="007F4338">
            <w:pPr>
              <w:pStyle w:val="Tabletext0"/>
              <w:spacing w:before="20" w:after="20" w:line="240" w:lineRule="auto"/>
              <w:ind w:right="63"/>
              <w:jc w:val="right"/>
              <w:rPr>
                <w:rFonts w:ascii="Verdana" w:hAnsi="Verdana"/>
                <w:sz w:val="18"/>
                <w:szCs w:val="18"/>
              </w:rPr>
            </w:pPr>
          </w:p>
        </w:tc>
        <w:tc>
          <w:tcPr>
            <w:tcW w:w="1402" w:type="dxa"/>
            <w:gridSpan w:val="4"/>
            <w:tcBorders>
              <w:top w:val="single" w:sz="4" w:space="0" w:color="808080" w:themeColor="background1" w:themeShade="80"/>
              <w:bottom w:val="single" w:sz="4" w:space="0" w:color="808080" w:themeColor="background1" w:themeShade="80"/>
            </w:tcBorders>
            <w:shd w:val="clear" w:color="auto" w:fill="auto"/>
            <w:noWrap/>
            <w:hideMark/>
          </w:tcPr>
          <w:p w14:paraId="560A0964"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528" w:type="dxa"/>
            <w:tcBorders>
              <w:top w:val="single" w:sz="4" w:space="0" w:color="808080" w:themeColor="background1" w:themeShade="80"/>
              <w:bottom w:val="single" w:sz="4" w:space="0" w:color="808080" w:themeColor="background1" w:themeShade="80"/>
            </w:tcBorders>
            <w:shd w:val="clear" w:color="auto" w:fill="auto"/>
            <w:noWrap/>
            <w:hideMark/>
          </w:tcPr>
          <w:p w14:paraId="5A17292D"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31" w:type="dxa"/>
            <w:tcBorders>
              <w:top w:val="single" w:sz="4" w:space="0" w:color="808080" w:themeColor="background1" w:themeShade="80"/>
              <w:bottom w:val="single" w:sz="4" w:space="0" w:color="808080" w:themeColor="background1" w:themeShade="80"/>
            </w:tcBorders>
          </w:tcPr>
          <w:p w14:paraId="48B0A905" w14:textId="77777777" w:rsidR="00CD5904" w:rsidRPr="00783571" w:rsidRDefault="00CD5904" w:rsidP="007F4338">
            <w:pPr>
              <w:pStyle w:val="Tabletext0"/>
              <w:spacing w:before="20" w:after="20" w:line="240" w:lineRule="auto"/>
              <w:jc w:val="right"/>
              <w:rPr>
                <w:rFonts w:ascii="Verdana" w:hAnsi="Verdana"/>
                <w:sz w:val="18"/>
                <w:szCs w:val="18"/>
              </w:rPr>
            </w:pPr>
          </w:p>
        </w:tc>
        <w:tc>
          <w:tcPr>
            <w:tcW w:w="1811" w:type="dxa"/>
            <w:tcBorders>
              <w:top w:val="single" w:sz="4" w:space="0" w:color="808080" w:themeColor="background1" w:themeShade="80"/>
              <w:bottom w:val="single" w:sz="4" w:space="0" w:color="808080" w:themeColor="background1" w:themeShade="80"/>
            </w:tcBorders>
            <w:shd w:val="clear" w:color="auto" w:fill="auto"/>
            <w:noWrap/>
            <w:hideMark/>
          </w:tcPr>
          <w:p w14:paraId="45939A1C" w14:textId="2DD7BE6A" w:rsidR="00CD5904" w:rsidRPr="00783571" w:rsidRDefault="00CD5904" w:rsidP="007F4338">
            <w:pPr>
              <w:pStyle w:val="Tabletext0"/>
              <w:spacing w:before="20" w:after="20" w:line="240" w:lineRule="auto"/>
              <w:rPr>
                <w:rFonts w:ascii="Verdana" w:hAnsi="Verdana"/>
                <w:sz w:val="18"/>
                <w:szCs w:val="18"/>
              </w:rPr>
            </w:pPr>
          </w:p>
        </w:tc>
      </w:tr>
      <w:tr w:rsidR="001C5DC3" w:rsidRPr="00783571" w14:paraId="564DFF4A"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hideMark/>
          </w:tcPr>
          <w:p w14:paraId="7709F15B" w14:textId="77777777" w:rsidR="001C5DC3" w:rsidRPr="00783571" w:rsidRDefault="001C5DC3" w:rsidP="007F4338">
            <w:pPr>
              <w:pStyle w:val="Tabletextindented"/>
              <w:spacing w:before="20" w:after="20" w:line="240" w:lineRule="auto"/>
              <w:ind w:left="360"/>
              <w:rPr>
                <w:rFonts w:ascii="Verdana" w:hAnsi="Verdana"/>
                <w:sz w:val="18"/>
                <w:szCs w:val="18"/>
              </w:rPr>
            </w:pPr>
            <w:r w:rsidRPr="00783571">
              <w:rPr>
                <w:rFonts w:ascii="Verdana" w:hAnsi="Verdana"/>
                <w:sz w:val="18"/>
                <w:szCs w:val="18"/>
              </w:rPr>
              <w:t>High</w:t>
            </w:r>
          </w:p>
        </w:tc>
        <w:tc>
          <w:tcPr>
            <w:tcW w:w="1343" w:type="dxa"/>
            <w:tcBorders>
              <w:top w:val="single" w:sz="4" w:space="0" w:color="808080" w:themeColor="background1" w:themeShade="80"/>
              <w:bottom w:val="single" w:sz="4" w:space="0" w:color="808080" w:themeColor="background1" w:themeShade="80"/>
            </w:tcBorders>
            <w:shd w:val="clear" w:color="auto" w:fill="auto"/>
            <w:noWrap/>
          </w:tcPr>
          <w:p w14:paraId="537D1BCE" w14:textId="0A0B29F8" w:rsidR="001C5DC3" w:rsidRPr="00783571" w:rsidRDefault="001C5DC3"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2,698,746</w:t>
            </w:r>
          </w:p>
        </w:tc>
        <w:tc>
          <w:tcPr>
            <w:tcW w:w="1343" w:type="dxa"/>
            <w:tcBorders>
              <w:top w:val="single" w:sz="4" w:space="0" w:color="808080" w:themeColor="background1" w:themeShade="80"/>
              <w:bottom w:val="single" w:sz="4" w:space="0" w:color="808080" w:themeColor="background1" w:themeShade="80"/>
            </w:tcBorders>
            <w:shd w:val="clear" w:color="auto" w:fill="auto"/>
            <w:noWrap/>
          </w:tcPr>
          <w:p w14:paraId="01A08F79" w14:textId="1D520778" w:rsidR="001C5DC3" w:rsidRPr="00783571" w:rsidRDefault="001C5DC3"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1,895,579</w:t>
            </w:r>
          </w:p>
        </w:tc>
        <w:tc>
          <w:tcPr>
            <w:tcW w:w="1324" w:type="dxa"/>
            <w:gridSpan w:val="2"/>
            <w:tcBorders>
              <w:top w:val="single" w:sz="4" w:space="0" w:color="808080" w:themeColor="background1" w:themeShade="80"/>
              <w:bottom w:val="single" w:sz="4" w:space="0" w:color="808080" w:themeColor="background1" w:themeShade="80"/>
            </w:tcBorders>
            <w:shd w:val="clear" w:color="auto" w:fill="auto"/>
            <w:noWrap/>
          </w:tcPr>
          <w:p w14:paraId="07ACBC13" w14:textId="510C52D9" w:rsidR="001C5DC3" w:rsidRPr="00783571" w:rsidRDefault="001C5DC3"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1,120,531</w:t>
            </w:r>
          </w:p>
        </w:tc>
        <w:tc>
          <w:tcPr>
            <w:tcW w:w="1422" w:type="dxa"/>
            <w:gridSpan w:val="3"/>
            <w:tcBorders>
              <w:top w:val="single" w:sz="4" w:space="0" w:color="808080" w:themeColor="background1" w:themeShade="80"/>
              <w:bottom w:val="single" w:sz="4" w:space="0" w:color="808080" w:themeColor="background1" w:themeShade="80"/>
            </w:tcBorders>
            <w:shd w:val="clear" w:color="auto" w:fill="auto"/>
            <w:noWrap/>
          </w:tcPr>
          <w:p w14:paraId="08B7D157" w14:textId="20EB933A" w:rsidR="001C5DC3" w:rsidRPr="00783571" w:rsidRDefault="001C5DC3" w:rsidP="007F4338">
            <w:pPr>
              <w:pStyle w:val="Tabletext0"/>
              <w:spacing w:before="20" w:after="20" w:line="240" w:lineRule="auto"/>
              <w:ind w:right="63"/>
              <w:jc w:val="right"/>
              <w:rPr>
                <w:rFonts w:ascii="Verdana" w:hAnsi="Verdana"/>
                <w:sz w:val="18"/>
                <w:szCs w:val="18"/>
              </w:rPr>
            </w:pPr>
            <w:r w:rsidRPr="00783571">
              <w:rPr>
                <w:rFonts w:ascii="Verdana" w:hAnsi="Verdana"/>
                <w:sz w:val="18"/>
                <w:szCs w:val="18"/>
              </w:rPr>
              <w:t>2,367,723</w:t>
            </w:r>
          </w:p>
        </w:tc>
        <w:tc>
          <w:tcPr>
            <w:tcW w:w="1402" w:type="dxa"/>
            <w:gridSpan w:val="4"/>
            <w:tcBorders>
              <w:top w:val="single" w:sz="4" w:space="0" w:color="808080" w:themeColor="background1" w:themeShade="80"/>
              <w:bottom w:val="single" w:sz="4" w:space="0" w:color="808080" w:themeColor="background1" w:themeShade="80"/>
            </w:tcBorders>
            <w:shd w:val="clear" w:color="auto" w:fill="auto"/>
            <w:noWrap/>
          </w:tcPr>
          <w:p w14:paraId="0EE6AA92" w14:textId="11A6BB3D" w:rsidR="001C5DC3" w:rsidRPr="00783571" w:rsidRDefault="001C5DC3"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1,909,782</w:t>
            </w:r>
          </w:p>
        </w:tc>
        <w:tc>
          <w:tcPr>
            <w:tcW w:w="1528" w:type="dxa"/>
            <w:tcBorders>
              <w:top w:val="single" w:sz="4" w:space="0" w:color="808080" w:themeColor="background1" w:themeShade="80"/>
              <w:bottom w:val="single" w:sz="4" w:space="0" w:color="808080" w:themeColor="background1" w:themeShade="80"/>
            </w:tcBorders>
            <w:shd w:val="clear" w:color="auto" w:fill="auto"/>
            <w:noWrap/>
          </w:tcPr>
          <w:p w14:paraId="422A6876" w14:textId="2B910EE2" w:rsidR="001C5DC3" w:rsidRPr="00783571" w:rsidRDefault="001C5DC3"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1,063,334</w:t>
            </w:r>
          </w:p>
        </w:tc>
        <w:tc>
          <w:tcPr>
            <w:tcW w:w="1331" w:type="dxa"/>
            <w:tcBorders>
              <w:top w:val="single" w:sz="4" w:space="0" w:color="808080" w:themeColor="background1" w:themeShade="80"/>
              <w:bottom w:val="single" w:sz="4" w:space="0" w:color="808080" w:themeColor="background1" w:themeShade="80"/>
            </w:tcBorders>
          </w:tcPr>
          <w:p w14:paraId="0C880AB6" w14:textId="28EF23D4" w:rsidR="001C5DC3" w:rsidRPr="00783571" w:rsidDel="001E46A1" w:rsidRDefault="001C5DC3" w:rsidP="007F4338">
            <w:pPr>
              <w:pStyle w:val="Tabletext0"/>
              <w:spacing w:before="20" w:after="20" w:line="240" w:lineRule="auto"/>
              <w:jc w:val="right"/>
              <w:rPr>
                <w:rFonts w:ascii="Verdana" w:hAnsi="Verdana"/>
                <w:sz w:val="18"/>
                <w:szCs w:val="18"/>
              </w:rPr>
            </w:pPr>
            <w:r w:rsidRPr="00783571">
              <w:rPr>
                <w:rFonts w:ascii="Verdana" w:hAnsi="Verdana"/>
                <w:sz w:val="18"/>
                <w:szCs w:val="18"/>
              </w:rPr>
              <w:t>11,055,694</w:t>
            </w:r>
          </w:p>
        </w:tc>
        <w:tc>
          <w:tcPr>
            <w:tcW w:w="1811" w:type="dxa"/>
            <w:tcBorders>
              <w:top w:val="single" w:sz="4" w:space="0" w:color="808080" w:themeColor="background1" w:themeShade="80"/>
              <w:bottom w:val="single" w:sz="4" w:space="0" w:color="808080" w:themeColor="background1" w:themeShade="80"/>
            </w:tcBorders>
            <w:shd w:val="clear" w:color="auto" w:fill="auto"/>
            <w:noWrap/>
            <w:hideMark/>
          </w:tcPr>
          <w:p w14:paraId="6FF648A6" w14:textId="3DEAB0F7" w:rsidR="001C5DC3" w:rsidRPr="00783571" w:rsidRDefault="001C5DC3" w:rsidP="007F4338">
            <w:pPr>
              <w:pStyle w:val="Tabletext0"/>
              <w:spacing w:before="20" w:after="20" w:line="240" w:lineRule="auto"/>
              <w:rPr>
                <w:rFonts w:ascii="Verdana" w:hAnsi="Verdana"/>
                <w:sz w:val="18"/>
                <w:szCs w:val="18"/>
              </w:rPr>
            </w:pPr>
            <w:r w:rsidRPr="00783571">
              <w:rPr>
                <w:rFonts w:ascii="Verdana" w:hAnsi="Verdana"/>
                <w:sz w:val="18"/>
                <w:szCs w:val="18"/>
              </w:rPr>
              <w:t>Calculated</w:t>
            </w:r>
            <w:r w:rsidRPr="00783571">
              <w:rPr>
                <w:rFonts w:ascii="Verdana" w:hAnsi="Verdana"/>
                <w:sz w:val="18"/>
                <w:szCs w:val="18"/>
                <w:vertAlign w:val="superscript"/>
              </w:rPr>
              <w:t>f</w:t>
            </w:r>
          </w:p>
        </w:tc>
      </w:tr>
      <w:tr w:rsidR="001C5DC3" w:rsidRPr="00783571" w14:paraId="12449BEE"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hideMark/>
          </w:tcPr>
          <w:p w14:paraId="0947A4CF" w14:textId="77777777" w:rsidR="001C5DC3" w:rsidRPr="00783571" w:rsidRDefault="001C5DC3" w:rsidP="007F4338">
            <w:pPr>
              <w:pStyle w:val="Tabletextindented"/>
              <w:spacing w:before="20" w:after="20" w:line="240" w:lineRule="auto"/>
              <w:ind w:left="360"/>
              <w:rPr>
                <w:rFonts w:ascii="Verdana" w:hAnsi="Verdana"/>
                <w:sz w:val="18"/>
                <w:szCs w:val="18"/>
              </w:rPr>
            </w:pPr>
            <w:r w:rsidRPr="00783571">
              <w:rPr>
                <w:rFonts w:ascii="Verdana" w:hAnsi="Verdana"/>
                <w:sz w:val="18"/>
                <w:szCs w:val="18"/>
              </w:rPr>
              <w:t>Low</w:t>
            </w:r>
          </w:p>
        </w:tc>
        <w:tc>
          <w:tcPr>
            <w:tcW w:w="1343" w:type="dxa"/>
            <w:tcBorders>
              <w:top w:val="single" w:sz="4" w:space="0" w:color="808080" w:themeColor="background1" w:themeShade="80"/>
              <w:bottom w:val="single" w:sz="4" w:space="0" w:color="808080" w:themeColor="background1" w:themeShade="80"/>
            </w:tcBorders>
            <w:shd w:val="clear" w:color="auto" w:fill="auto"/>
            <w:noWrap/>
          </w:tcPr>
          <w:p w14:paraId="1C8A5465" w14:textId="793E3C60" w:rsidR="001C5DC3" w:rsidRPr="00783571" w:rsidRDefault="001C5DC3"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11,354,743</w:t>
            </w:r>
          </w:p>
        </w:tc>
        <w:tc>
          <w:tcPr>
            <w:tcW w:w="1343" w:type="dxa"/>
            <w:tcBorders>
              <w:top w:val="single" w:sz="4" w:space="0" w:color="808080" w:themeColor="background1" w:themeShade="80"/>
              <w:bottom w:val="single" w:sz="4" w:space="0" w:color="808080" w:themeColor="background1" w:themeShade="80"/>
            </w:tcBorders>
            <w:shd w:val="clear" w:color="auto" w:fill="auto"/>
            <w:noWrap/>
          </w:tcPr>
          <w:p w14:paraId="01D46D34" w14:textId="639F3033" w:rsidR="001C5DC3" w:rsidRPr="00783571" w:rsidRDefault="001C5DC3"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15,137,665</w:t>
            </w:r>
          </w:p>
        </w:tc>
        <w:tc>
          <w:tcPr>
            <w:tcW w:w="1324" w:type="dxa"/>
            <w:gridSpan w:val="2"/>
            <w:tcBorders>
              <w:top w:val="single" w:sz="4" w:space="0" w:color="808080" w:themeColor="background1" w:themeShade="80"/>
              <w:bottom w:val="single" w:sz="4" w:space="0" w:color="808080" w:themeColor="background1" w:themeShade="80"/>
            </w:tcBorders>
            <w:shd w:val="clear" w:color="auto" w:fill="auto"/>
            <w:noWrap/>
          </w:tcPr>
          <w:p w14:paraId="4D6E1472" w14:textId="6D0901FF" w:rsidR="001C5DC3" w:rsidRPr="00783571" w:rsidRDefault="001C5DC3"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75,730,031</w:t>
            </w:r>
          </w:p>
        </w:tc>
        <w:tc>
          <w:tcPr>
            <w:tcW w:w="1422" w:type="dxa"/>
            <w:gridSpan w:val="3"/>
            <w:tcBorders>
              <w:top w:val="single" w:sz="4" w:space="0" w:color="808080" w:themeColor="background1" w:themeShade="80"/>
              <w:bottom w:val="single" w:sz="4" w:space="0" w:color="808080" w:themeColor="background1" w:themeShade="80"/>
            </w:tcBorders>
            <w:shd w:val="clear" w:color="auto" w:fill="auto"/>
            <w:noWrap/>
          </w:tcPr>
          <w:p w14:paraId="131327DF" w14:textId="14057A09" w:rsidR="001C5DC3" w:rsidRPr="00783571" w:rsidRDefault="001C5DC3" w:rsidP="007F4338">
            <w:pPr>
              <w:pStyle w:val="Tabletext0"/>
              <w:spacing w:before="20" w:after="20" w:line="240" w:lineRule="auto"/>
              <w:ind w:right="63"/>
              <w:jc w:val="right"/>
              <w:rPr>
                <w:rFonts w:ascii="Verdana" w:hAnsi="Verdana"/>
                <w:sz w:val="18"/>
                <w:szCs w:val="18"/>
              </w:rPr>
            </w:pPr>
            <w:r w:rsidRPr="00783571">
              <w:rPr>
                <w:rFonts w:ascii="Verdana" w:hAnsi="Verdana"/>
                <w:sz w:val="18"/>
                <w:szCs w:val="18"/>
              </w:rPr>
              <w:t>9,980,377</w:t>
            </w:r>
          </w:p>
        </w:tc>
        <w:tc>
          <w:tcPr>
            <w:tcW w:w="1402" w:type="dxa"/>
            <w:gridSpan w:val="4"/>
            <w:tcBorders>
              <w:top w:val="single" w:sz="4" w:space="0" w:color="808080" w:themeColor="background1" w:themeShade="80"/>
              <w:bottom w:val="single" w:sz="4" w:space="0" w:color="808080" w:themeColor="background1" w:themeShade="80"/>
            </w:tcBorders>
            <w:shd w:val="clear" w:color="auto" w:fill="auto"/>
            <w:noWrap/>
          </w:tcPr>
          <w:p w14:paraId="60ED40F2" w14:textId="4FE3261E" w:rsidR="001C5DC3" w:rsidRPr="00783571" w:rsidRDefault="001C5DC3"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15,323,332</w:t>
            </w:r>
          </w:p>
        </w:tc>
        <w:tc>
          <w:tcPr>
            <w:tcW w:w="1528" w:type="dxa"/>
            <w:tcBorders>
              <w:top w:val="single" w:sz="4" w:space="0" w:color="808080" w:themeColor="background1" w:themeShade="80"/>
              <w:bottom w:val="single" w:sz="4" w:space="0" w:color="808080" w:themeColor="background1" w:themeShade="80"/>
            </w:tcBorders>
            <w:shd w:val="clear" w:color="auto" w:fill="auto"/>
            <w:noWrap/>
          </w:tcPr>
          <w:p w14:paraId="08E160D4" w14:textId="497157E5" w:rsidR="001C5DC3" w:rsidRPr="00783571" w:rsidRDefault="001C5DC3"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72,151,391</w:t>
            </w:r>
          </w:p>
        </w:tc>
        <w:tc>
          <w:tcPr>
            <w:tcW w:w="1331" w:type="dxa"/>
            <w:tcBorders>
              <w:top w:val="single" w:sz="4" w:space="0" w:color="808080" w:themeColor="background1" w:themeShade="80"/>
              <w:bottom w:val="single" w:sz="4" w:space="0" w:color="808080" w:themeColor="background1" w:themeShade="80"/>
            </w:tcBorders>
          </w:tcPr>
          <w:p w14:paraId="26186DA4" w14:textId="1C45B6F9" w:rsidR="001C5DC3" w:rsidRPr="00783571" w:rsidDel="001E46A1" w:rsidRDefault="001C5DC3" w:rsidP="007F4338">
            <w:pPr>
              <w:pStyle w:val="Tabletext0"/>
              <w:spacing w:before="20" w:after="20" w:line="240" w:lineRule="auto"/>
              <w:jc w:val="right"/>
              <w:rPr>
                <w:rFonts w:ascii="Verdana" w:hAnsi="Verdana"/>
                <w:sz w:val="18"/>
                <w:szCs w:val="18"/>
              </w:rPr>
            </w:pPr>
            <w:r w:rsidRPr="00783571">
              <w:rPr>
                <w:rFonts w:ascii="Verdana" w:hAnsi="Verdana"/>
                <w:sz w:val="18"/>
                <w:szCs w:val="18"/>
              </w:rPr>
              <w:t>199,677,539</w:t>
            </w:r>
          </w:p>
        </w:tc>
        <w:tc>
          <w:tcPr>
            <w:tcW w:w="1811" w:type="dxa"/>
            <w:tcBorders>
              <w:top w:val="single" w:sz="4" w:space="0" w:color="808080" w:themeColor="background1" w:themeShade="80"/>
              <w:bottom w:val="single" w:sz="4" w:space="0" w:color="808080" w:themeColor="background1" w:themeShade="80"/>
            </w:tcBorders>
            <w:shd w:val="clear" w:color="auto" w:fill="auto"/>
            <w:noWrap/>
            <w:hideMark/>
          </w:tcPr>
          <w:p w14:paraId="494C617C" w14:textId="2729D547" w:rsidR="001C5DC3" w:rsidRPr="00783571" w:rsidRDefault="001C5DC3" w:rsidP="007F4338">
            <w:pPr>
              <w:pStyle w:val="Tabletext0"/>
              <w:spacing w:before="20" w:after="20" w:line="240" w:lineRule="auto"/>
              <w:rPr>
                <w:rFonts w:ascii="Verdana" w:hAnsi="Verdana"/>
                <w:sz w:val="18"/>
                <w:szCs w:val="18"/>
              </w:rPr>
            </w:pPr>
            <w:r w:rsidRPr="00783571">
              <w:rPr>
                <w:rFonts w:ascii="Verdana" w:hAnsi="Verdana"/>
                <w:sz w:val="18"/>
                <w:szCs w:val="18"/>
              </w:rPr>
              <w:t>Calculated</w:t>
            </w:r>
            <w:r w:rsidRPr="00783571">
              <w:rPr>
                <w:rFonts w:ascii="Verdana" w:hAnsi="Verdana"/>
                <w:sz w:val="18"/>
                <w:szCs w:val="18"/>
                <w:vertAlign w:val="superscript"/>
              </w:rPr>
              <w:t>g</w:t>
            </w:r>
          </w:p>
        </w:tc>
      </w:tr>
      <w:tr w:rsidR="00CD5904" w:rsidRPr="00783571" w14:paraId="61D4E940" w14:textId="77777777" w:rsidTr="0016571A">
        <w:tc>
          <w:tcPr>
            <w:tcW w:w="1698" w:type="dxa"/>
            <w:tcBorders>
              <w:top w:val="single" w:sz="4" w:space="0" w:color="808080" w:themeColor="background1" w:themeShade="80"/>
              <w:bottom w:val="single" w:sz="6" w:space="0" w:color="808080" w:themeColor="background1" w:themeShade="80"/>
            </w:tcBorders>
            <w:shd w:val="clear" w:color="auto" w:fill="auto"/>
            <w:noWrap/>
            <w:hideMark/>
          </w:tcPr>
          <w:p w14:paraId="6D1EB0AE" w14:textId="0E97A911" w:rsidR="00CD5904" w:rsidRPr="00783571" w:rsidRDefault="00CD5904" w:rsidP="007F4338">
            <w:pPr>
              <w:pStyle w:val="Tabletextindented"/>
              <w:spacing w:before="20" w:after="20" w:line="240" w:lineRule="auto"/>
              <w:rPr>
                <w:rFonts w:ascii="Verdana" w:hAnsi="Verdana"/>
                <w:sz w:val="18"/>
                <w:szCs w:val="18"/>
              </w:rPr>
            </w:pPr>
            <w:r w:rsidRPr="00783571">
              <w:rPr>
                <w:rFonts w:ascii="Verdana" w:hAnsi="Verdana"/>
                <w:sz w:val="18"/>
                <w:szCs w:val="18"/>
              </w:rPr>
              <w:t>PWID</w:t>
            </w:r>
          </w:p>
        </w:tc>
        <w:tc>
          <w:tcPr>
            <w:tcW w:w="1343" w:type="dxa"/>
            <w:tcBorders>
              <w:top w:val="single" w:sz="4" w:space="0" w:color="808080" w:themeColor="background1" w:themeShade="80"/>
              <w:bottom w:val="single" w:sz="6" w:space="0" w:color="808080" w:themeColor="background1" w:themeShade="80"/>
            </w:tcBorders>
            <w:shd w:val="clear" w:color="auto" w:fill="auto"/>
            <w:noWrap/>
            <w:hideMark/>
          </w:tcPr>
          <w:p w14:paraId="4D6CFE64"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43" w:type="dxa"/>
            <w:tcBorders>
              <w:top w:val="single" w:sz="4" w:space="0" w:color="808080" w:themeColor="background1" w:themeShade="80"/>
              <w:bottom w:val="single" w:sz="6" w:space="0" w:color="808080" w:themeColor="background1" w:themeShade="80"/>
            </w:tcBorders>
            <w:shd w:val="clear" w:color="auto" w:fill="auto"/>
            <w:noWrap/>
            <w:hideMark/>
          </w:tcPr>
          <w:p w14:paraId="696833D8"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24" w:type="dxa"/>
            <w:gridSpan w:val="2"/>
            <w:tcBorders>
              <w:top w:val="single" w:sz="4" w:space="0" w:color="808080" w:themeColor="background1" w:themeShade="80"/>
              <w:bottom w:val="single" w:sz="6" w:space="0" w:color="808080" w:themeColor="background1" w:themeShade="80"/>
            </w:tcBorders>
            <w:shd w:val="clear" w:color="auto" w:fill="auto"/>
            <w:noWrap/>
            <w:hideMark/>
          </w:tcPr>
          <w:p w14:paraId="5D99C66D"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422" w:type="dxa"/>
            <w:gridSpan w:val="3"/>
            <w:tcBorders>
              <w:top w:val="single" w:sz="4" w:space="0" w:color="808080" w:themeColor="background1" w:themeShade="80"/>
              <w:bottom w:val="single" w:sz="6" w:space="0" w:color="808080" w:themeColor="background1" w:themeShade="80"/>
            </w:tcBorders>
            <w:shd w:val="clear" w:color="auto" w:fill="auto"/>
            <w:noWrap/>
            <w:hideMark/>
          </w:tcPr>
          <w:p w14:paraId="6F5E1F15" w14:textId="77777777" w:rsidR="00CD5904" w:rsidRPr="00783571" w:rsidRDefault="00CD5904" w:rsidP="007F4338">
            <w:pPr>
              <w:pStyle w:val="Tabletext0"/>
              <w:spacing w:before="20" w:after="20" w:line="240" w:lineRule="auto"/>
              <w:ind w:right="63"/>
              <w:jc w:val="right"/>
              <w:rPr>
                <w:rFonts w:ascii="Verdana" w:hAnsi="Verdana"/>
                <w:sz w:val="18"/>
                <w:szCs w:val="18"/>
              </w:rPr>
            </w:pPr>
          </w:p>
        </w:tc>
        <w:tc>
          <w:tcPr>
            <w:tcW w:w="1402" w:type="dxa"/>
            <w:gridSpan w:val="4"/>
            <w:tcBorders>
              <w:top w:val="single" w:sz="4" w:space="0" w:color="808080" w:themeColor="background1" w:themeShade="80"/>
              <w:bottom w:val="single" w:sz="6" w:space="0" w:color="808080" w:themeColor="background1" w:themeShade="80"/>
            </w:tcBorders>
            <w:shd w:val="clear" w:color="auto" w:fill="auto"/>
            <w:noWrap/>
            <w:hideMark/>
          </w:tcPr>
          <w:p w14:paraId="08DB6085"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528" w:type="dxa"/>
            <w:tcBorders>
              <w:top w:val="single" w:sz="4" w:space="0" w:color="808080" w:themeColor="background1" w:themeShade="80"/>
              <w:bottom w:val="single" w:sz="6" w:space="0" w:color="808080" w:themeColor="background1" w:themeShade="80"/>
            </w:tcBorders>
            <w:shd w:val="clear" w:color="auto" w:fill="auto"/>
            <w:noWrap/>
            <w:hideMark/>
          </w:tcPr>
          <w:p w14:paraId="63127367"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31" w:type="dxa"/>
            <w:tcBorders>
              <w:top w:val="single" w:sz="4" w:space="0" w:color="808080" w:themeColor="background1" w:themeShade="80"/>
              <w:bottom w:val="single" w:sz="6" w:space="0" w:color="808080" w:themeColor="background1" w:themeShade="80"/>
            </w:tcBorders>
          </w:tcPr>
          <w:p w14:paraId="45D59EBB" w14:textId="77777777" w:rsidR="00CD5904" w:rsidRPr="00783571" w:rsidRDefault="00CD5904" w:rsidP="007F4338">
            <w:pPr>
              <w:pStyle w:val="Tabletext0"/>
              <w:spacing w:before="20" w:after="20" w:line="240" w:lineRule="auto"/>
              <w:jc w:val="right"/>
              <w:rPr>
                <w:rFonts w:ascii="Verdana" w:hAnsi="Verdana"/>
                <w:sz w:val="18"/>
                <w:szCs w:val="18"/>
              </w:rPr>
            </w:pPr>
          </w:p>
        </w:tc>
        <w:tc>
          <w:tcPr>
            <w:tcW w:w="1811" w:type="dxa"/>
            <w:tcBorders>
              <w:top w:val="single" w:sz="4" w:space="0" w:color="808080" w:themeColor="background1" w:themeShade="80"/>
              <w:bottom w:val="single" w:sz="6" w:space="0" w:color="808080" w:themeColor="background1" w:themeShade="80"/>
            </w:tcBorders>
            <w:shd w:val="clear" w:color="auto" w:fill="auto"/>
            <w:noWrap/>
            <w:hideMark/>
          </w:tcPr>
          <w:p w14:paraId="55E2333F" w14:textId="1232E706" w:rsidR="00CD5904" w:rsidRPr="00783571" w:rsidRDefault="00CD5904" w:rsidP="007F4338">
            <w:pPr>
              <w:pStyle w:val="Tabletext0"/>
              <w:spacing w:before="20" w:after="20" w:line="240" w:lineRule="auto"/>
              <w:rPr>
                <w:rFonts w:ascii="Verdana" w:hAnsi="Verdana"/>
                <w:sz w:val="18"/>
                <w:szCs w:val="18"/>
              </w:rPr>
            </w:pPr>
          </w:p>
        </w:tc>
      </w:tr>
      <w:tr w:rsidR="00CD5904" w:rsidRPr="00783571" w14:paraId="03A5F9C7" w14:textId="77777777" w:rsidTr="0016571A">
        <w:tc>
          <w:tcPr>
            <w:tcW w:w="1698" w:type="dxa"/>
            <w:tcBorders>
              <w:top w:val="single" w:sz="6" w:space="0" w:color="808080" w:themeColor="background1" w:themeShade="80"/>
              <w:bottom w:val="single" w:sz="6" w:space="0" w:color="808080" w:themeColor="background1" w:themeShade="80"/>
            </w:tcBorders>
            <w:shd w:val="clear" w:color="auto" w:fill="auto"/>
            <w:noWrap/>
            <w:hideMark/>
          </w:tcPr>
          <w:p w14:paraId="400535A2" w14:textId="77777777" w:rsidR="00CD5904" w:rsidRPr="00783571" w:rsidRDefault="00CD5904" w:rsidP="007F4338">
            <w:pPr>
              <w:pStyle w:val="Tabletextindented"/>
              <w:spacing w:before="20" w:after="20" w:line="240" w:lineRule="auto"/>
              <w:ind w:left="360"/>
              <w:rPr>
                <w:rFonts w:ascii="Verdana" w:hAnsi="Verdana"/>
                <w:sz w:val="18"/>
                <w:szCs w:val="18"/>
              </w:rPr>
            </w:pPr>
          </w:p>
        </w:tc>
        <w:tc>
          <w:tcPr>
            <w:tcW w:w="1343" w:type="dxa"/>
            <w:tcBorders>
              <w:top w:val="single" w:sz="6" w:space="0" w:color="808080" w:themeColor="background1" w:themeShade="80"/>
              <w:bottom w:val="single" w:sz="6" w:space="0" w:color="808080" w:themeColor="background1" w:themeShade="80"/>
            </w:tcBorders>
            <w:shd w:val="clear" w:color="auto" w:fill="auto"/>
            <w:noWrap/>
          </w:tcPr>
          <w:p w14:paraId="22E76B95"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58,342</w:t>
            </w:r>
          </w:p>
        </w:tc>
        <w:tc>
          <w:tcPr>
            <w:tcW w:w="1343" w:type="dxa"/>
            <w:tcBorders>
              <w:top w:val="single" w:sz="6" w:space="0" w:color="808080" w:themeColor="background1" w:themeShade="80"/>
              <w:bottom w:val="single" w:sz="6" w:space="0" w:color="808080" w:themeColor="background1" w:themeShade="80"/>
            </w:tcBorders>
            <w:shd w:val="clear" w:color="auto" w:fill="auto"/>
            <w:noWrap/>
          </w:tcPr>
          <w:p w14:paraId="231703E7"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28,882</w:t>
            </w:r>
          </w:p>
        </w:tc>
        <w:tc>
          <w:tcPr>
            <w:tcW w:w="1324" w:type="dxa"/>
            <w:gridSpan w:val="2"/>
            <w:tcBorders>
              <w:top w:val="single" w:sz="6" w:space="0" w:color="808080" w:themeColor="background1" w:themeShade="80"/>
              <w:bottom w:val="single" w:sz="6" w:space="0" w:color="808080" w:themeColor="background1" w:themeShade="80"/>
            </w:tcBorders>
            <w:shd w:val="clear" w:color="auto" w:fill="auto"/>
            <w:noWrap/>
          </w:tcPr>
          <w:p w14:paraId="44FD876A"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139,922</w:t>
            </w:r>
          </w:p>
        </w:tc>
        <w:tc>
          <w:tcPr>
            <w:tcW w:w="1422" w:type="dxa"/>
            <w:gridSpan w:val="3"/>
            <w:tcBorders>
              <w:top w:val="single" w:sz="6" w:space="0" w:color="808080" w:themeColor="background1" w:themeShade="80"/>
              <w:bottom w:val="single" w:sz="6" w:space="0" w:color="808080" w:themeColor="background1" w:themeShade="80"/>
            </w:tcBorders>
            <w:shd w:val="clear" w:color="auto" w:fill="auto"/>
            <w:noWrap/>
          </w:tcPr>
          <w:p w14:paraId="4D40C6D2" w14:textId="77777777" w:rsidR="00CD5904" w:rsidRPr="00783571" w:rsidRDefault="00CD5904" w:rsidP="007F4338">
            <w:pPr>
              <w:pStyle w:val="Tabletext0"/>
              <w:spacing w:before="20" w:after="20" w:line="240" w:lineRule="auto"/>
              <w:ind w:right="63"/>
              <w:jc w:val="right"/>
              <w:rPr>
                <w:rFonts w:ascii="Verdana" w:hAnsi="Verdana"/>
                <w:sz w:val="18"/>
                <w:szCs w:val="18"/>
              </w:rPr>
            </w:pPr>
            <w:r w:rsidRPr="00783571">
              <w:rPr>
                <w:rFonts w:ascii="Verdana" w:hAnsi="Verdana"/>
                <w:sz w:val="18"/>
                <w:szCs w:val="18"/>
              </w:rPr>
              <w:t>99,280</w:t>
            </w:r>
          </w:p>
        </w:tc>
        <w:tc>
          <w:tcPr>
            <w:tcW w:w="1402" w:type="dxa"/>
            <w:gridSpan w:val="4"/>
            <w:tcBorders>
              <w:top w:val="single" w:sz="6" w:space="0" w:color="808080" w:themeColor="background1" w:themeShade="80"/>
              <w:bottom w:val="single" w:sz="6" w:space="0" w:color="808080" w:themeColor="background1" w:themeShade="80"/>
            </w:tcBorders>
            <w:shd w:val="clear" w:color="auto" w:fill="auto"/>
            <w:noWrap/>
          </w:tcPr>
          <w:p w14:paraId="491853E9"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49,148</w:t>
            </w:r>
          </w:p>
        </w:tc>
        <w:tc>
          <w:tcPr>
            <w:tcW w:w="1528" w:type="dxa"/>
            <w:tcBorders>
              <w:top w:val="single" w:sz="6" w:space="0" w:color="808080" w:themeColor="background1" w:themeShade="80"/>
              <w:bottom w:val="single" w:sz="6" w:space="0" w:color="808080" w:themeColor="background1" w:themeShade="80"/>
            </w:tcBorders>
            <w:shd w:val="clear" w:color="auto" w:fill="auto"/>
            <w:noWrap/>
          </w:tcPr>
          <w:p w14:paraId="4557E185"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238,103</w:t>
            </w:r>
          </w:p>
        </w:tc>
        <w:tc>
          <w:tcPr>
            <w:tcW w:w="1331" w:type="dxa"/>
            <w:tcBorders>
              <w:top w:val="single" w:sz="6" w:space="0" w:color="808080" w:themeColor="background1" w:themeShade="80"/>
              <w:bottom w:val="single" w:sz="6" w:space="0" w:color="808080" w:themeColor="background1" w:themeShade="80"/>
            </w:tcBorders>
          </w:tcPr>
          <w:p w14:paraId="7679AEBA" w14:textId="0EDC8E17" w:rsidR="00CD5904" w:rsidRPr="00783571" w:rsidDel="001E46A1" w:rsidRDefault="00CD5904" w:rsidP="007F4338">
            <w:pPr>
              <w:pStyle w:val="Tabletext0"/>
              <w:spacing w:before="20" w:after="20" w:line="240" w:lineRule="auto"/>
              <w:jc w:val="right"/>
              <w:rPr>
                <w:rFonts w:ascii="Verdana" w:hAnsi="Verdana"/>
                <w:sz w:val="18"/>
                <w:szCs w:val="18"/>
              </w:rPr>
            </w:pPr>
            <w:r w:rsidRPr="00783571">
              <w:rPr>
                <w:rFonts w:ascii="Verdana" w:hAnsi="Verdana"/>
                <w:sz w:val="18"/>
                <w:szCs w:val="18"/>
              </w:rPr>
              <w:t>613,667</w:t>
            </w:r>
          </w:p>
        </w:tc>
        <w:tc>
          <w:tcPr>
            <w:tcW w:w="1811" w:type="dxa"/>
            <w:tcBorders>
              <w:top w:val="single" w:sz="6" w:space="0" w:color="808080" w:themeColor="background1" w:themeShade="80"/>
              <w:bottom w:val="single" w:sz="6" w:space="0" w:color="808080" w:themeColor="background1" w:themeShade="80"/>
            </w:tcBorders>
            <w:shd w:val="clear" w:color="auto" w:fill="auto"/>
            <w:noWrap/>
            <w:hideMark/>
          </w:tcPr>
          <w:p w14:paraId="577376EB" w14:textId="7804F02E" w:rsidR="00CD5904" w:rsidRPr="00783571" w:rsidRDefault="00977D61" w:rsidP="007F4338">
            <w:pPr>
              <w:pStyle w:val="Tabletext0"/>
              <w:spacing w:before="20" w:after="20" w:line="240" w:lineRule="auto"/>
              <w:rPr>
                <w:rFonts w:ascii="Verdana" w:hAnsi="Verdana"/>
                <w:sz w:val="18"/>
                <w:szCs w:val="18"/>
              </w:rPr>
            </w:pPr>
            <w:r w:rsidRPr="00783571">
              <w:rPr>
                <w:rFonts w:ascii="Verdana" w:hAnsi="Verdana"/>
                <w:sz w:val="18"/>
                <w:szCs w:val="18"/>
              </w:rPr>
              <w:t>Calculated</w:t>
            </w:r>
            <w:r w:rsidRPr="00783571">
              <w:rPr>
                <w:rFonts w:ascii="Verdana" w:hAnsi="Verdana"/>
                <w:sz w:val="18"/>
                <w:szCs w:val="18"/>
                <w:vertAlign w:val="superscript"/>
              </w:rPr>
              <w:t>h</w:t>
            </w:r>
          </w:p>
        </w:tc>
      </w:tr>
      <w:tr w:rsidR="00CD5904" w:rsidRPr="00783571" w14:paraId="3A74140F" w14:textId="77777777" w:rsidTr="0016571A">
        <w:tc>
          <w:tcPr>
            <w:tcW w:w="1698" w:type="dxa"/>
            <w:tcBorders>
              <w:top w:val="single" w:sz="6" w:space="0" w:color="808080" w:themeColor="background1" w:themeShade="80"/>
              <w:bottom w:val="single" w:sz="4" w:space="0" w:color="808080" w:themeColor="background1" w:themeShade="80"/>
            </w:tcBorders>
            <w:shd w:val="clear" w:color="auto" w:fill="auto"/>
            <w:noWrap/>
            <w:hideMark/>
          </w:tcPr>
          <w:p w14:paraId="116C0A0F" w14:textId="77777777" w:rsidR="00CD5904" w:rsidRPr="00783571" w:rsidRDefault="00CD5904" w:rsidP="007F4338">
            <w:pPr>
              <w:pStyle w:val="Tabletextindented"/>
              <w:spacing w:before="20" w:after="20" w:line="240" w:lineRule="auto"/>
              <w:rPr>
                <w:rFonts w:ascii="Verdana" w:hAnsi="Verdana"/>
                <w:sz w:val="18"/>
                <w:szCs w:val="18"/>
              </w:rPr>
            </w:pPr>
            <w:r w:rsidRPr="00783571">
              <w:rPr>
                <w:rFonts w:ascii="Verdana" w:hAnsi="Verdana"/>
                <w:sz w:val="18"/>
                <w:szCs w:val="18"/>
              </w:rPr>
              <w:t>MSM</w:t>
            </w:r>
          </w:p>
        </w:tc>
        <w:tc>
          <w:tcPr>
            <w:tcW w:w="1343" w:type="dxa"/>
            <w:tcBorders>
              <w:top w:val="single" w:sz="6" w:space="0" w:color="808080" w:themeColor="background1" w:themeShade="80"/>
              <w:bottom w:val="single" w:sz="4" w:space="0" w:color="808080" w:themeColor="background1" w:themeShade="80"/>
            </w:tcBorders>
            <w:shd w:val="clear" w:color="auto" w:fill="auto"/>
            <w:noWrap/>
            <w:hideMark/>
          </w:tcPr>
          <w:p w14:paraId="78CA8EDA"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43" w:type="dxa"/>
            <w:tcBorders>
              <w:top w:val="single" w:sz="6" w:space="0" w:color="808080" w:themeColor="background1" w:themeShade="80"/>
              <w:bottom w:val="single" w:sz="4" w:space="0" w:color="808080" w:themeColor="background1" w:themeShade="80"/>
            </w:tcBorders>
            <w:shd w:val="clear" w:color="auto" w:fill="auto"/>
            <w:noWrap/>
            <w:hideMark/>
          </w:tcPr>
          <w:p w14:paraId="0DD74440"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24" w:type="dxa"/>
            <w:gridSpan w:val="2"/>
            <w:tcBorders>
              <w:top w:val="single" w:sz="6" w:space="0" w:color="808080" w:themeColor="background1" w:themeShade="80"/>
              <w:bottom w:val="single" w:sz="4" w:space="0" w:color="808080" w:themeColor="background1" w:themeShade="80"/>
            </w:tcBorders>
            <w:shd w:val="clear" w:color="auto" w:fill="auto"/>
            <w:noWrap/>
            <w:hideMark/>
          </w:tcPr>
          <w:p w14:paraId="1661F2E4"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422" w:type="dxa"/>
            <w:gridSpan w:val="3"/>
            <w:tcBorders>
              <w:top w:val="single" w:sz="6" w:space="0" w:color="808080" w:themeColor="background1" w:themeShade="80"/>
              <w:bottom w:val="single" w:sz="4" w:space="0" w:color="808080" w:themeColor="background1" w:themeShade="80"/>
            </w:tcBorders>
            <w:shd w:val="clear" w:color="auto" w:fill="auto"/>
            <w:noWrap/>
            <w:hideMark/>
          </w:tcPr>
          <w:p w14:paraId="46AFCBAD" w14:textId="77777777" w:rsidR="00CD5904" w:rsidRPr="00783571" w:rsidRDefault="00CD5904" w:rsidP="007F4338">
            <w:pPr>
              <w:pStyle w:val="Tabletext0"/>
              <w:spacing w:before="20" w:after="20" w:line="240" w:lineRule="auto"/>
              <w:ind w:right="63"/>
              <w:jc w:val="right"/>
              <w:rPr>
                <w:rFonts w:ascii="Verdana" w:hAnsi="Verdana"/>
                <w:sz w:val="18"/>
                <w:szCs w:val="18"/>
              </w:rPr>
            </w:pPr>
          </w:p>
        </w:tc>
        <w:tc>
          <w:tcPr>
            <w:tcW w:w="1402" w:type="dxa"/>
            <w:gridSpan w:val="4"/>
            <w:tcBorders>
              <w:top w:val="single" w:sz="6" w:space="0" w:color="808080" w:themeColor="background1" w:themeShade="80"/>
              <w:bottom w:val="single" w:sz="4" w:space="0" w:color="808080" w:themeColor="background1" w:themeShade="80"/>
            </w:tcBorders>
            <w:shd w:val="clear" w:color="auto" w:fill="auto"/>
            <w:noWrap/>
            <w:hideMark/>
          </w:tcPr>
          <w:p w14:paraId="61258430"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528" w:type="dxa"/>
            <w:tcBorders>
              <w:top w:val="single" w:sz="6" w:space="0" w:color="808080" w:themeColor="background1" w:themeShade="80"/>
              <w:bottom w:val="single" w:sz="4" w:space="0" w:color="808080" w:themeColor="background1" w:themeShade="80"/>
            </w:tcBorders>
            <w:shd w:val="clear" w:color="auto" w:fill="auto"/>
            <w:noWrap/>
            <w:hideMark/>
          </w:tcPr>
          <w:p w14:paraId="774D0531"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31" w:type="dxa"/>
            <w:tcBorders>
              <w:top w:val="single" w:sz="6" w:space="0" w:color="808080" w:themeColor="background1" w:themeShade="80"/>
              <w:bottom w:val="single" w:sz="4" w:space="0" w:color="808080" w:themeColor="background1" w:themeShade="80"/>
            </w:tcBorders>
          </w:tcPr>
          <w:p w14:paraId="37A9F844" w14:textId="77777777" w:rsidR="00CD5904" w:rsidRPr="00783571" w:rsidRDefault="00CD5904" w:rsidP="007F4338">
            <w:pPr>
              <w:pStyle w:val="Tabletext0"/>
              <w:spacing w:before="20" w:after="20" w:line="240" w:lineRule="auto"/>
              <w:jc w:val="right"/>
              <w:rPr>
                <w:rFonts w:ascii="Verdana" w:hAnsi="Verdana"/>
                <w:sz w:val="18"/>
                <w:szCs w:val="18"/>
              </w:rPr>
            </w:pPr>
          </w:p>
        </w:tc>
        <w:tc>
          <w:tcPr>
            <w:tcW w:w="1811" w:type="dxa"/>
            <w:tcBorders>
              <w:top w:val="single" w:sz="6" w:space="0" w:color="808080" w:themeColor="background1" w:themeShade="80"/>
              <w:bottom w:val="single" w:sz="4" w:space="0" w:color="808080" w:themeColor="background1" w:themeShade="80"/>
            </w:tcBorders>
            <w:shd w:val="clear" w:color="auto" w:fill="auto"/>
            <w:noWrap/>
            <w:hideMark/>
          </w:tcPr>
          <w:p w14:paraId="60CD2E3F" w14:textId="35311972" w:rsidR="00CD5904" w:rsidRPr="00783571" w:rsidRDefault="00CD5904" w:rsidP="007F4338">
            <w:pPr>
              <w:pStyle w:val="Tabletext0"/>
              <w:spacing w:before="20" w:after="20" w:line="240" w:lineRule="auto"/>
              <w:rPr>
                <w:rFonts w:ascii="Verdana" w:hAnsi="Verdana"/>
                <w:sz w:val="18"/>
                <w:szCs w:val="18"/>
              </w:rPr>
            </w:pPr>
          </w:p>
        </w:tc>
      </w:tr>
      <w:tr w:rsidR="00CD5904" w:rsidRPr="00783571" w14:paraId="3A333227"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hideMark/>
          </w:tcPr>
          <w:p w14:paraId="12324FE1" w14:textId="77777777" w:rsidR="00CD5904" w:rsidRPr="00783571" w:rsidRDefault="00CD5904" w:rsidP="007F4338">
            <w:pPr>
              <w:pStyle w:val="Tabletextindented"/>
              <w:spacing w:before="20" w:after="20" w:line="240" w:lineRule="auto"/>
              <w:ind w:left="360"/>
              <w:rPr>
                <w:rFonts w:ascii="Verdana" w:hAnsi="Verdana"/>
                <w:sz w:val="18"/>
                <w:szCs w:val="18"/>
              </w:rPr>
            </w:pPr>
            <w:r w:rsidRPr="00783571">
              <w:rPr>
                <w:rFonts w:ascii="Verdana" w:hAnsi="Verdana"/>
                <w:sz w:val="18"/>
                <w:szCs w:val="18"/>
              </w:rPr>
              <w:t>Overall</w:t>
            </w:r>
          </w:p>
        </w:tc>
        <w:tc>
          <w:tcPr>
            <w:tcW w:w="1343" w:type="dxa"/>
            <w:tcBorders>
              <w:top w:val="single" w:sz="4" w:space="0" w:color="808080" w:themeColor="background1" w:themeShade="80"/>
              <w:bottom w:val="single" w:sz="4" w:space="0" w:color="808080" w:themeColor="background1" w:themeShade="80"/>
            </w:tcBorders>
            <w:shd w:val="clear" w:color="auto" w:fill="auto"/>
            <w:noWrap/>
            <w:hideMark/>
          </w:tcPr>
          <w:p w14:paraId="2F2F28B5"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43" w:type="dxa"/>
            <w:tcBorders>
              <w:top w:val="single" w:sz="4" w:space="0" w:color="808080" w:themeColor="background1" w:themeShade="80"/>
              <w:bottom w:val="single" w:sz="4" w:space="0" w:color="808080" w:themeColor="background1" w:themeShade="80"/>
            </w:tcBorders>
            <w:shd w:val="clear" w:color="auto" w:fill="auto"/>
            <w:noWrap/>
            <w:hideMark/>
          </w:tcPr>
          <w:p w14:paraId="3F39638C"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24" w:type="dxa"/>
            <w:gridSpan w:val="2"/>
            <w:tcBorders>
              <w:top w:val="single" w:sz="4" w:space="0" w:color="808080" w:themeColor="background1" w:themeShade="80"/>
              <w:bottom w:val="single" w:sz="4" w:space="0" w:color="808080" w:themeColor="background1" w:themeShade="80"/>
            </w:tcBorders>
            <w:shd w:val="clear" w:color="auto" w:fill="auto"/>
            <w:noWrap/>
            <w:hideMark/>
          </w:tcPr>
          <w:p w14:paraId="17ACC9C1"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422" w:type="dxa"/>
            <w:gridSpan w:val="3"/>
            <w:tcBorders>
              <w:top w:val="single" w:sz="4" w:space="0" w:color="808080" w:themeColor="background1" w:themeShade="80"/>
              <w:bottom w:val="single" w:sz="4" w:space="0" w:color="808080" w:themeColor="background1" w:themeShade="80"/>
            </w:tcBorders>
            <w:shd w:val="clear" w:color="auto" w:fill="auto"/>
            <w:noWrap/>
          </w:tcPr>
          <w:p w14:paraId="5AC4A70F" w14:textId="77777777" w:rsidR="00CD5904" w:rsidRPr="00783571" w:rsidRDefault="00CD5904" w:rsidP="007F4338">
            <w:pPr>
              <w:pStyle w:val="Tabletext0"/>
              <w:spacing w:before="20" w:after="20" w:line="240" w:lineRule="auto"/>
              <w:ind w:right="63"/>
              <w:jc w:val="right"/>
              <w:rPr>
                <w:rFonts w:ascii="Verdana" w:hAnsi="Verdana"/>
                <w:sz w:val="18"/>
                <w:szCs w:val="18"/>
              </w:rPr>
            </w:pPr>
            <w:r w:rsidRPr="00783571">
              <w:rPr>
                <w:rFonts w:ascii="Verdana" w:hAnsi="Verdana"/>
                <w:sz w:val="18"/>
                <w:szCs w:val="18"/>
              </w:rPr>
              <w:t>505,149</w:t>
            </w:r>
          </w:p>
        </w:tc>
        <w:tc>
          <w:tcPr>
            <w:tcW w:w="1402" w:type="dxa"/>
            <w:gridSpan w:val="4"/>
            <w:tcBorders>
              <w:top w:val="single" w:sz="4" w:space="0" w:color="808080" w:themeColor="background1" w:themeShade="80"/>
              <w:bottom w:val="single" w:sz="4" w:space="0" w:color="808080" w:themeColor="background1" w:themeShade="80"/>
            </w:tcBorders>
            <w:shd w:val="clear" w:color="auto" w:fill="auto"/>
            <w:noWrap/>
          </w:tcPr>
          <w:p w14:paraId="4549E242"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701,361</w:t>
            </w:r>
          </w:p>
        </w:tc>
        <w:tc>
          <w:tcPr>
            <w:tcW w:w="1528" w:type="dxa"/>
            <w:tcBorders>
              <w:top w:val="single" w:sz="4" w:space="0" w:color="808080" w:themeColor="background1" w:themeShade="80"/>
              <w:bottom w:val="single" w:sz="4" w:space="0" w:color="808080" w:themeColor="background1" w:themeShade="80"/>
            </w:tcBorders>
            <w:shd w:val="clear" w:color="auto" w:fill="auto"/>
            <w:noWrap/>
          </w:tcPr>
          <w:p w14:paraId="3E79E8D3"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2,980,916</w:t>
            </w:r>
          </w:p>
        </w:tc>
        <w:tc>
          <w:tcPr>
            <w:tcW w:w="1331" w:type="dxa"/>
            <w:tcBorders>
              <w:top w:val="single" w:sz="4" w:space="0" w:color="808080" w:themeColor="background1" w:themeShade="80"/>
              <w:bottom w:val="single" w:sz="4" w:space="0" w:color="808080" w:themeColor="background1" w:themeShade="80"/>
            </w:tcBorders>
          </w:tcPr>
          <w:p w14:paraId="14F2B268" w14:textId="3E43B636" w:rsidR="00CD5904" w:rsidRPr="00783571" w:rsidDel="001E46A1" w:rsidRDefault="00CD5904" w:rsidP="007F4338">
            <w:pPr>
              <w:pStyle w:val="Tabletext0"/>
              <w:spacing w:before="20" w:after="20" w:line="240" w:lineRule="auto"/>
              <w:jc w:val="right"/>
              <w:rPr>
                <w:rFonts w:ascii="Verdana" w:hAnsi="Verdana"/>
                <w:sz w:val="18"/>
                <w:szCs w:val="18"/>
              </w:rPr>
            </w:pPr>
            <w:r w:rsidRPr="00783571">
              <w:rPr>
                <w:rFonts w:ascii="Verdana" w:hAnsi="Verdana"/>
                <w:sz w:val="18"/>
                <w:szCs w:val="18"/>
              </w:rPr>
              <w:t>4,187,426</w:t>
            </w:r>
          </w:p>
        </w:tc>
        <w:tc>
          <w:tcPr>
            <w:tcW w:w="1811" w:type="dxa"/>
            <w:tcBorders>
              <w:top w:val="single" w:sz="4" w:space="0" w:color="808080" w:themeColor="background1" w:themeShade="80"/>
              <w:bottom w:val="single" w:sz="4" w:space="0" w:color="808080" w:themeColor="background1" w:themeShade="80"/>
            </w:tcBorders>
            <w:shd w:val="clear" w:color="auto" w:fill="auto"/>
            <w:noWrap/>
            <w:hideMark/>
          </w:tcPr>
          <w:p w14:paraId="65E5C13D" w14:textId="57B0D6FA" w:rsidR="00CD5904" w:rsidRPr="00783571" w:rsidRDefault="00977D61" w:rsidP="007F4338">
            <w:pPr>
              <w:pStyle w:val="Tabletext0"/>
              <w:spacing w:before="20" w:after="20" w:line="240" w:lineRule="auto"/>
              <w:rPr>
                <w:rFonts w:ascii="Verdana" w:hAnsi="Verdana"/>
                <w:sz w:val="18"/>
                <w:szCs w:val="18"/>
              </w:rPr>
            </w:pPr>
            <w:r w:rsidRPr="00783571">
              <w:rPr>
                <w:rFonts w:ascii="Verdana" w:hAnsi="Verdana"/>
                <w:sz w:val="18"/>
                <w:szCs w:val="18"/>
              </w:rPr>
              <w:t>Calculated</w:t>
            </w:r>
            <w:r w:rsidRPr="00783571">
              <w:rPr>
                <w:rFonts w:ascii="Verdana" w:hAnsi="Verdana"/>
                <w:sz w:val="18"/>
                <w:szCs w:val="18"/>
                <w:vertAlign w:val="superscript"/>
              </w:rPr>
              <w:t>i</w:t>
            </w:r>
          </w:p>
        </w:tc>
      </w:tr>
      <w:tr w:rsidR="00CD5904" w:rsidRPr="00783571" w14:paraId="154A98DD"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hideMark/>
          </w:tcPr>
          <w:p w14:paraId="5917D8B5" w14:textId="77777777" w:rsidR="00CD5904" w:rsidRPr="00783571" w:rsidRDefault="00CD5904" w:rsidP="007F4338">
            <w:pPr>
              <w:pStyle w:val="Tabletextindented"/>
              <w:spacing w:before="20" w:after="20" w:line="240" w:lineRule="auto"/>
              <w:ind w:left="360"/>
              <w:rPr>
                <w:rFonts w:ascii="Verdana" w:hAnsi="Verdana"/>
                <w:sz w:val="18"/>
                <w:szCs w:val="18"/>
              </w:rPr>
            </w:pPr>
            <w:r w:rsidRPr="00783571">
              <w:rPr>
                <w:rFonts w:ascii="Verdana" w:hAnsi="Verdana"/>
                <w:sz w:val="18"/>
                <w:szCs w:val="18"/>
              </w:rPr>
              <w:t>High</w:t>
            </w:r>
          </w:p>
        </w:tc>
        <w:tc>
          <w:tcPr>
            <w:tcW w:w="1343" w:type="dxa"/>
            <w:tcBorders>
              <w:top w:val="single" w:sz="4" w:space="0" w:color="808080" w:themeColor="background1" w:themeShade="80"/>
              <w:bottom w:val="single" w:sz="4" w:space="0" w:color="808080" w:themeColor="background1" w:themeShade="80"/>
            </w:tcBorders>
            <w:shd w:val="clear" w:color="auto" w:fill="auto"/>
            <w:noWrap/>
          </w:tcPr>
          <w:p w14:paraId="02E19018"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43" w:type="dxa"/>
            <w:tcBorders>
              <w:top w:val="single" w:sz="4" w:space="0" w:color="808080" w:themeColor="background1" w:themeShade="80"/>
              <w:bottom w:val="single" w:sz="4" w:space="0" w:color="808080" w:themeColor="background1" w:themeShade="80"/>
            </w:tcBorders>
            <w:shd w:val="clear" w:color="auto" w:fill="auto"/>
            <w:noWrap/>
          </w:tcPr>
          <w:p w14:paraId="22619142"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24" w:type="dxa"/>
            <w:gridSpan w:val="2"/>
            <w:tcBorders>
              <w:top w:val="single" w:sz="4" w:space="0" w:color="808080" w:themeColor="background1" w:themeShade="80"/>
              <w:bottom w:val="single" w:sz="4" w:space="0" w:color="808080" w:themeColor="background1" w:themeShade="80"/>
            </w:tcBorders>
            <w:shd w:val="clear" w:color="auto" w:fill="auto"/>
            <w:noWrap/>
          </w:tcPr>
          <w:p w14:paraId="140E4EB9"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422" w:type="dxa"/>
            <w:gridSpan w:val="3"/>
            <w:tcBorders>
              <w:top w:val="single" w:sz="4" w:space="0" w:color="808080" w:themeColor="background1" w:themeShade="80"/>
              <w:bottom w:val="single" w:sz="4" w:space="0" w:color="808080" w:themeColor="background1" w:themeShade="80"/>
            </w:tcBorders>
            <w:shd w:val="clear" w:color="auto" w:fill="auto"/>
            <w:noWrap/>
          </w:tcPr>
          <w:p w14:paraId="03EECD1A" w14:textId="77777777" w:rsidR="00CD5904" w:rsidRPr="00783571" w:rsidRDefault="00CD5904" w:rsidP="007F4338">
            <w:pPr>
              <w:pStyle w:val="Tabletext0"/>
              <w:spacing w:before="20" w:after="20" w:line="240" w:lineRule="auto"/>
              <w:ind w:right="63"/>
              <w:jc w:val="right"/>
              <w:rPr>
                <w:rFonts w:ascii="Verdana" w:hAnsi="Verdana"/>
                <w:sz w:val="18"/>
                <w:szCs w:val="18"/>
              </w:rPr>
            </w:pPr>
            <w:r w:rsidRPr="00783571">
              <w:rPr>
                <w:rFonts w:ascii="Verdana" w:hAnsi="Verdana"/>
                <w:sz w:val="18"/>
                <w:szCs w:val="18"/>
              </w:rPr>
              <w:t>350,573</w:t>
            </w:r>
          </w:p>
        </w:tc>
        <w:tc>
          <w:tcPr>
            <w:tcW w:w="1402" w:type="dxa"/>
            <w:gridSpan w:val="4"/>
            <w:tcBorders>
              <w:top w:val="single" w:sz="4" w:space="0" w:color="808080" w:themeColor="background1" w:themeShade="80"/>
              <w:bottom w:val="single" w:sz="4" w:space="0" w:color="808080" w:themeColor="background1" w:themeShade="80"/>
            </w:tcBorders>
            <w:shd w:val="clear" w:color="auto" w:fill="auto"/>
            <w:noWrap/>
          </w:tcPr>
          <w:p w14:paraId="7B3F1344"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486,745</w:t>
            </w:r>
          </w:p>
        </w:tc>
        <w:tc>
          <w:tcPr>
            <w:tcW w:w="1528" w:type="dxa"/>
            <w:tcBorders>
              <w:top w:val="single" w:sz="4" w:space="0" w:color="808080" w:themeColor="background1" w:themeShade="80"/>
              <w:bottom w:val="single" w:sz="4" w:space="0" w:color="808080" w:themeColor="background1" w:themeShade="80"/>
            </w:tcBorders>
            <w:shd w:val="clear" w:color="auto" w:fill="auto"/>
            <w:noWrap/>
          </w:tcPr>
          <w:p w14:paraId="3DD31A14"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2,068,756</w:t>
            </w:r>
          </w:p>
        </w:tc>
        <w:tc>
          <w:tcPr>
            <w:tcW w:w="1331" w:type="dxa"/>
            <w:tcBorders>
              <w:top w:val="single" w:sz="4" w:space="0" w:color="808080" w:themeColor="background1" w:themeShade="80"/>
              <w:bottom w:val="single" w:sz="4" w:space="0" w:color="808080" w:themeColor="background1" w:themeShade="80"/>
            </w:tcBorders>
          </w:tcPr>
          <w:p w14:paraId="15F153BA" w14:textId="46B215C0" w:rsidR="00CD5904" w:rsidRPr="00783571" w:rsidDel="001E46A1" w:rsidRDefault="00CD5904" w:rsidP="007F4338">
            <w:pPr>
              <w:pStyle w:val="Tabletext0"/>
              <w:spacing w:before="20" w:after="20" w:line="240" w:lineRule="auto"/>
              <w:jc w:val="right"/>
              <w:rPr>
                <w:rFonts w:ascii="Verdana" w:hAnsi="Verdana"/>
                <w:sz w:val="18"/>
                <w:szCs w:val="18"/>
              </w:rPr>
            </w:pPr>
            <w:r w:rsidRPr="00783571">
              <w:rPr>
                <w:rFonts w:ascii="Verdana" w:hAnsi="Verdana"/>
                <w:sz w:val="18"/>
                <w:szCs w:val="18"/>
              </w:rPr>
              <w:t>2,906,074</w:t>
            </w:r>
          </w:p>
        </w:tc>
        <w:tc>
          <w:tcPr>
            <w:tcW w:w="1811" w:type="dxa"/>
            <w:tcBorders>
              <w:top w:val="single" w:sz="4" w:space="0" w:color="808080" w:themeColor="background1" w:themeShade="80"/>
              <w:bottom w:val="single" w:sz="4" w:space="0" w:color="808080" w:themeColor="background1" w:themeShade="80"/>
            </w:tcBorders>
            <w:shd w:val="clear" w:color="auto" w:fill="auto"/>
            <w:noWrap/>
            <w:hideMark/>
          </w:tcPr>
          <w:p w14:paraId="669C4D33" w14:textId="0684F6AC" w:rsidR="00CD5904" w:rsidRPr="00783571" w:rsidRDefault="00977D61" w:rsidP="007F4338">
            <w:pPr>
              <w:pStyle w:val="Tabletext0"/>
              <w:spacing w:before="20" w:after="20" w:line="240" w:lineRule="auto"/>
              <w:rPr>
                <w:rFonts w:ascii="Verdana" w:hAnsi="Verdana"/>
                <w:sz w:val="18"/>
                <w:szCs w:val="18"/>
              </w:rPr>
            </w:pPr>
            <w:r w:rsidRPr="00783571">
              <w:rPr>
                <w:rFonts w:ascii="Verdana" w:hAnsi="Verdana"/>
                <w:sz w:val="18"/>
                <w:szCs w:val="18"/>
              </w:rPr>
              <w:t>Calculated</w:t>
            </w:r>
            <w:r w:rsidRPr="00783571">
              <w:rPr>
                <w:rFonts w:ascii="Verdana" w:hAnsi="Verdana"/>
                <w:sz w:val="18"/>
                <w:szCs w:val="18"/>
                <w:vertAlign w:val="superscript"/>
              </w:rPr>
              <w:t>d</w:t>
            </w:r>
          </w:p>
        </w:tc>
      </w:tr>
      <w:tr w:rsidR="00CD5904" w:rsidRPr="00783571" w14:paraId="4F01E08F" w14:textId="77777777" w:rsidTr="0016571A">
        <w:tc>
          <w:tcPr>
            <w:tcW w:w="1698" w:type="dxa"/>
            <w:tcBorders>
              <w:top w:val="single" w:sz="4" w:space="0" w:color="808080" w:themeColor="background1" w:themeShade="80"/>
              <w:bottom w:val="single" w:sz="4" w:space="0" w:color="808080" w:themeColor="background1" w:themeShade="80"/>
            </w:tcBorders>
            <w:shd w:val="clear" w:color="auto" w:fill="auto"/>
            <w:noWrap/>
            <w:hideMark/>
          </w:tcPr>
          <w:p w14:paraId="69D70902" w14:textId="77777777" w:rsidR="00CD5904" w:rsidRPr="00783571" w:rsidRDefault="00CD5904" w:rsidP="007F4338">
            <w:pPr>
              <w:pStyle w:val="Tabletextindented"/>
              <w:spacing w:before="20" w:after="20" w:line="240" w:lineRule="auto"/>
              <w:ind w:left="360"/>
              <w:rPr>
                <w:rFonts w:ascii="Verdana" w:hAnsi="Verdana"/>
                <w:sz w:val="18"/>
                <w:szCs w:val="18"/>
              </w:rPr>
            </w:pPr>
            <w:r w:rsidRPr="00783571">
              <w:rPr>
                <w:rFonts w:ascii="Verdana" w:hAnsi="Verdana"/>
                <w:sz w:val="18"/>
                <w:szCs w:val="18"/>
              </w:rPr>
              <w:t>Low</w:t>
            </w:r>
          </w:p>
        </w:tc>
        <w:tc>
          <w:tcPr>
            <w:tcW w:w="1343" w:type="dxa"/>
            <w:tcBorders>
              <w:top w:val="single" w:sz="4" w:space="0" w:color="808080" w:themeColor="background1" w:themeShade="80"/>
              <w:bottom w:val="single" w:sz="4" w:space="0" w:color="808080" w:themeColor="background1" w:themeShade="80"/>
            </w:tcBorders>
            <w:shd w:val="clear" w:color="auto" w:fill="auto"/>
            <w:noWrap/>
            <w:hideMark/>
          </w:tcPr>
          <w:p w14:paraId="798190CD"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43" w:type="dxa"/>
            <w:tcBorders>
              <w:top w:val="single" w:sz="4" w:space="0" w:color="808080" w:themeColor="background1" w:themeShade="80"/>
              <w:bottom w:val="single" w:sz="4" w:space="0" w:color="808080" w:themeColor="background1" w:themeShade="80"/>
            </w:tcBorders>
            <w:shd w:val="clear" w:color="auto" w:fill="auto"/>
            <w:noWrap/>
            <w:hideMark/>
          </w:tcPr>
          <w:p w14:paraId="7A9D0B12"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324" w:type="dxa"/>
            <w:gridSpan w:val="2"/>
            <w:tcBorders>
              <w:top w:val="single" w:sz="4" w:space="0" w:color="808080" w:themeColor="background1" w:themeShade="80"/>
              <w:bottom w:val="single" w:sz="4" w:space="0" w:color="808080" w:themeColor="background1" w:themeShade="80"/>
            </w:tcBorders>
            <w:shd w:val="clear" w:color="auto" w:fill="auto"/>
            <w:noWrap/>
            <w:hideMark/>
          </w:tcPr>
          <w:p w14:paraId="75BEA274" w14:textId="77777777" w:rsidR="00CD5904" w:rsidRPr="00783571" w:rsidRDefault="00CD5904" w:rsidP="007F4338">
            <w:pPr>
              <w:pStyle w:val="Tabletext0"/>
              <w:spacing w:before="20" w:after="20" w:line="240" w:lineRule="auto"/>
              <w:ind w:right="134"/>
              <w:jc w:val="right"/>
              <w:rPr>
                <w:rFonts w:ascii="Verdana" w:hAnsi="Verdana"/>
                <w:sz w:val="18"/>
                <w:szCs w:val="18"/>
              </w:rPr>
            </w:pPr>
          </w:p>
        </w:tc>
        <w:tc>
          <w:tcPr>
            <w:tcW w:w="1422" w:type="dxa"/>
            <w:gridSpan w:val="3"/>
            <w:tcBorders>
              <w:top w:val="single" w:sz="4" w:space="0" w:color="808080" w:themeColor="background1" w:themeShade="80"/>
              <w:bottom w:val="single" w:sz="4" w:space="0" w:color="808080" w:themeColor="background1" w:themeShade="80"/>
            </w:tcBorders>
            <w:shd w:val="clear" w:color="auto" w:fill="auto"/>
            <w:noWrap/>
          </w:tcPr>
          <w:p w14:paraId="2D6B3227" w14:textId="77777777" w:rsidR="00CD5904" w:rsidRPr="00783571" w:rsidRDefault="00CD5904" w:rsidP="007F4338">
            <w:pPr>
              <w:pStyle w:val="Tabletext0"/>
              <w:spacing w:before="20" w:after="20" w:line="240" w:lineRule="auto"/>
              <w:ind w:right="63"/>
              <w:jc w:val="right"/>
              <w:rPr>
                <w:rFonts w:ascii="Verdana" w:hAnsi="Verdana"/>
                <w:sz w:val="18"/>
                <w:szCs w:val="18"/>
              </w:rPr>
            </w:pPr>
            <w:r w:rsidRPr="00783571">
              <w:rPr>
                <w:rFonts w:ascii="Verdana" w:hAnsi="Verdana"/>
                <w:sz w:val="18"/>
                <w:szCs w:val="18"/>
              </w:rPr>
              <w:t>154,575</w:t>
            </w:r>
          </w:p>
        </w:tc>
        <w:tc>
          <w:tcPr>
            <w:tcW w:w="1402" w:type="dxa"/>
            <w:gridSpan w:val="4"/>
            <w:tcBorders>
              <w:top w:val="single" w:sz="4" w:space="0" w:color="808080" w:themeColor="background1" w:themeShade="80"/>
              <w:bottom w:val="single" w:sz="4" w:space="0" w:color="808080" w:themeColor="background1" w:themeShade="80"/>
            </w:tcBorders>
            <w:shd w:val="clear" w:color="auto" w:fill="auto"/>
            <w:noWrap/>
          </w:tcPr>
          <w:p w14:paraId="046FDF4F"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214,617</w:t>
            </w:r>
          </w:p>
        </w:tc>
        <w:tc>
          <w:tcPr>
            <w:tcW w:w="1528" w:type="dxa"/>
            <w:tcBorders>
              <w:top w:val="single" w:sz="4" w:space="0" w:color="808080" w:themeColor="background1" w:themeShade="80"/>
              <w:bottom w:val="single" w:sz="4" w:space="0" w:color="808080" w:themeColor="background1" w:themeShade="80"/>
            </w:tcBorders>
            <w:shd w:val="clear" w:color="auto" w:fill="auto"/>
            <w:noWrap/>
          </w:tcPr>
          <w:p w14:paraId="52D684B5" w14:textId="77777777" w:rsidR="00CD5904" w:rsidRPr="00783571" w:rsidRDefault="00CD5904" w:rsidP="007F4338">
            <w:pPr>
              <w:pStyle w:val="Tabletext0"/>
              <w:spacing w:before="20" w:after="20" w:line="240" w:lineRule="auto"/>
              <w:ind w:right="134"/>
              <w:jc w:val="right"/>
              <w:rPr>
                <w:rFonts w:ascii="Verdana" w:hAnsi="Verdana"/>
                <w:sz w:val="18"/>
                <w:szCs w:val="18"/>
              </w:rPr>
            </w:pPr>
            <w:r w:rsidRPr="00783571">
              <w:rPr>
                <w:rFonts w:ascii="Verdana" w:hAnsi="Verdana"/>
                <w:sz w:val="18"/>
                <w:szCs w:val="18"/>
              </w:rPr>
              <w:t>912,160</w:t>
            </w:r>
          </w:p>
        </w:tc>
        <w:tc>
          <w:tcPr>
            <w:tcW w:w="1331" w:type="dxa"/>
            <w:tcBorders>
              <w:top w:val="single" w:sz="4" w:space="0" w:color="808080" w:themeColor="background1" w:themeShade="80"/>
              <w:bottom w:val="single" w:sz="4" w:space="0" w:color="808080" w:themeColor="background1" w:themeShade="80"/>
            </w:tcBorders>
          </w:tcPr>
          <w:p w14:paraId="53AF29E1" w14:textId="38F94250" w:rsidR="00CD5904" w:rsidRPr="00783571" w:rsidDel="001E46A1" w:rsidRDefault="00CD5904" w:rsidP="007F4338">
            <w:pPr>
              <w:pStyle w:val="Tabletext0"/>
              <w:spacing w:before="20" w:after="20" w:line="240" w:lineRule="auto"/>
              <w:jc w:val="right"/>
              <w:rPr>
                <w:rFonts w:ascii="Verdana" w:hAnsi="Verdana"/>
                <w:sz w:val="18"/>
                <w:szCs w:val="18"/>
              </w:rPr>
            </w:pPr>
            <w:r w:rsidRPr="00783571">
              <w:rPr>
                <w:rFonts w:ascii="Verdana" w:hAnsi="Verdana"/>
                <w:sz w:val="18"/>
                <w:szCs w:val="18"/>
              </w:rPr>
              <w:t>1,281,352</w:t>
            </w:r>
          </w:p>
        </w:tc>
        <w:tc>
          <w:tcPr>
            <w:tcW w:w="1811" w:type="dxa"/>
            <w:tcBorders>
              <w:top w:val="single" w:sz="4" w:space="0" w:color="808080" w:themeColor="background1" w:themeShade="80"/>
              <w:bottom w:val="single" w:sz="4" w:space="0" w:color="808080" w:themeColor="background1" w:themeShade="80"/>
            </w:tcBorders>
            <w:shd w:val="clear" w:color="auto" w:fill="auto"/>
            <w:noWrap/>
            <w:hideMark/>
          </w:tcPr>
          <w:p w14:paraId="0AADF7A3" w14:textId="021333CD" w:rsidR="00CD5904" w:rsidRPr="00783571" w:rsidRDefault="00977D61" w:rsidP="007F4338">
            <w:pPr>
              <w:pStyle w:val="Tabletext0"/>
              <w:spacing w:before="20" w:after="20" w:line="240" w:lineRule="auto"/>
              <w:rPr>
                <w:rFonts w:ascii="Verdana" w:hAnsi="Verdana"/>
                <w:sz w:val="18"/>
                <w:szCs w:val="18"/>
              </w:rPr>
            </w:pPr>
            <w:r w:rsidRPr="00783571">
              <w:rPr>
                <w:rFonts w:ascii="Verdana" w:hAnsi="Verdana"/>
                <w:sz w:val="18"/>
                <w:szCs w:val="18"/>
              </w:rPr>
              <w:t>Calculated</w:t>
            </w:r>
            <w:r w:rsidRPr="00783571">
              <w:rPr>
                <w:rFonts w:ascii="Verdana" w:hAnsi="Verdana"/>
                <w:sz w:val="18"/>
                <w:szCs w:val="18"/>
                <w:vertAlign w:val="superscript"/>
              </w:rPr>
              <w:t>j</w:t>
            </w:r>
          </w:p>
        </w:tc>
      </w:tr>
      <w:tr w:rsidR="00CD5904" w:rsidRPr="00783571" w14:paraId="1B6B9ABE" w14:textId="77777777" w:rsidTr="0016571A">
        <w:tc>
          <w:tcPr>
            <w:tcW w:w="6509" w:type="dxa"/>
            <w:gridSpan w:val="7"/>
            <w:tcBorders>
              <w:top w:val="single" w:sz="4" w:space="0" w:color="808080" w:themeColor="background1" w:themeShade="80"/>
              <w:bottom w:val="single" w:sz="4" w:space="0" w:color="808080" w:themeColor="background1" w:themeShade="80"/>
            </w:tcBorders>
          </w:tcPr>
          <w:p w14:paraId="0317A9A8" w14:textId="37B0EBEB"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Relative HIV prevalence for high- vs. low-risk levels</w:t>
            </w:r>
          </w:p>
        </w:tc>
        <w:tc>
          <w:tcPr>
            <w:tcW w:w="6693" w:type="dxa"/>
            <w:gridSpan w:val="8"/>
            <w:tcBorders>
              <w:top w:val="single" w:sz="4" w:space="0" w:color="808080" w:themeColor="background1" w:themeShade="80"/>
              <w:bottom w:val="single" w:sz="4" w:space="0" w:color="808080" w:themeColor="background1" w:themeShade="80"/>
            </w:tcBorders>
            <w:shd w:val="clear" w:color="auto" w:fill="auto"/>
            <w:noWrap/>
            <w:hideMark/>
          </w:tcPr>
          <w:p w14:paraId="1610BE92" w14:textId="4E2E7FEC" w:rsidR="00CD5904" w:rsidRPr="00783571" w:rsidRDefault="00CD5904" w:rsidP="007F4338">
            <w:pPr>
              <w:pStyle w:val="Tabletext0"/>
              <w:spacing w:before="20" w:after="20" w:line="240" w:lineRule="auto"/>
              <w:rPr>
                <w:rFonts w:ascii="Verdana" w:hAnsi="Verdana"/>
                <w:sz w:val="18"/>
                <w:szCs w:val="18"/>
              </w:rPr>
            </w:pPr>
          </w:p>
        </w:tc>
      </w:tr>
      <w:tr w:rsidR="00CD5904" w:rsidRPr="00783571" w14:paraId="54BB16A5" w14:textId="77777777" w:rsidTr="0016571A">
        <w:tc>
          <w:tcPr>
            <w:tcW w:w="1698" w:type="dxa"/>
            <w:tcBorders>
              <w:top w:val="single" w:sz="4" w:space="0" w:color="808080" w:themeColor="background1" w:themeShade="80"/>
              <w:bottom w:val="single" w:sz="6" w:space="0" w:color="000000"/>
            </w:tcBorders>
            <w:shd w:val="clear" w:color="auto" w:fill="auto"/>
            <w:noWrap/>
            <w:hideMark/>
          </w:tcPr>
          <w:p w14:paraId="0A1C2B3E" w14:textId="77777777" w:rsidR="00CD5904" w:rsidRPr="00783571" w:rsidRDefault="00CD5904" w:rsidP="007F4338">
            <w:pPr>
              <w:pStyle w:val="Tabletextindented"/>
              <w:spacing w:before="20" w:after="20" w:line="240" w:lineRule="auto"/>
              <w:rPr>
                <w:rFonts w:ascii="Verdana" w:hAnsi="Verdana"/>
                <w:sz w:val="18"/>
                <w:szCs w:val="18"/>
              </w:rPr>
            </w:pPr>
            <w:r w:rsidRPr="00783571">
              <w:rPr>
                <w:rFonts w:ascii="Verdana" w:hAnsi="Verdana"/>
                <w:sz w:val="18"/>
                <w:szCs w:val="18"/>
              </w:rPr>
              <w:t>MSM</w:t>
            </w:r>
          </w:p>
        </w:tc>
        <w:tc>
          <w:tcPr>
            <w:tcW w:w="8362" w:type="dxa"/>
            <w:gridSpan w:val="12"/>
            <w:tcBorders>
              <w:top w:val="single" w:sz="4" w:space="0" w:color="808080" w:themeColor="background1" w:themeShade="80"/>
              <w:bottom w:val="single" w:sz="6" w:space="0" w:color="000000"/>
            </w:tcBorders>
            <w:shd w:val="clear" w:color="auto" w:fill="auto"/>
            <w:noWrap/>
            <w:hideMark/>
          </w:tcPr>
          <w:p w14:paraId="75B3902F" w14:textId="6EE136F6" w:rsidR="00CD5904" w:rsidRPr="00783571" w:rsidRDefault="00CD5904" w:rsidP="007F4338">
            <w:pPr>
              <w:pStyle w:val="Tabletext0"/>
              <w:spacing w:before="20" w:after="20" w:line="240" w:lineRule="auto"/>
              <w:rPr>
                <w:rFonts w:ascii="Verdana" w:hAnsi="Verdana"/>
                <w:sz w:val="18"/>
                <w:szCs w:val="18"/>
              </w:rPr>
            </w:pPr>
            <w:r w:rsidRPr="00783571">
              <w:rPr>
                <w:rFonts w:ascii="Verdana" w:hAnsi="Verdana"/>
                <w:sz w:val="18"/>
                <w:szCs w:val="18"/>
              </w:rPr>
              <w:t>---------------------------------------------7.43-------------------------------------------------</w:t>
            </w:r>
          </w:p>
        </w:tc>
        <w:tc>
          <w:tcPr>
            <w:tcW w:w="1331" w:type="dxa"/>
            <w:tcBorders>
              <w:top w:val="single" w:sz="4" w:space="0" w:color="808080" w:themeColor="background1" w:themeShade="80"/>
              <w:bottom w:val="single" w:sz="6" w:space="0" w:color="000000"/>
            </w:tcBorders>
          </w:tcPr>
          <w:p w14:paraId="10E93284" w14:textId="617D1860" w:rsidR="00CD5904" w:rsidRPr="00783571" w:rsidDel="001E46A1" w:rsidRDefault="00A410B5" w:rsidP="007F4338">
            <w:pPr>
              <w:pStyle w:val="Tabletext0"/>
              <w:spacing w:before="20" w:after="20" w:line="240" w:lineRule="auto"/>
              <w:jc w:val="center"/>
              <w:rPr>
                <w:rFonts w:ascii="Verdana" w:hAnsi="Verdana"/>
                <w:sz w:val="18"/>
                <w:szCs w:val="18"/>
              </w:rPr>
            </w:pPr>
            <w:r w:rsidRPr="00783571">
              <w:rPr>
                <w:rFonts w:ascii="Verdana" w:hAnsi="Verdana"/>
                <w:sz w:val="18"/>
                <w:szCs w:val="18"/>
              </w:rPr>
              <w:t>N/A</w:t>
            </w:r>
          </w:p>
        </w:tc>
        <w:tc>
          <w:tcPr>
            <w:tcW w:w="1811" w:type="dxa"/>
            <w:tcBorders>
              <w:top w:val="single" w:sz="4" w:space="0" w:color="808080" w:themeColor="background1" w:themeShade="80"/>
              <w:bottom w:val="single" w:sz="6" w:space="0" w:color="000000"/>
            </w:tcBorders>
            <w:shd w:val="clear" w:color="auto" w:fill="auto"/>
            <w:noWrap/>
            <w:hideMark/>
          </w:tcPr>
          <w:p w14:paraId="04AF50CA" w14:textId="65606301" w:rsidR="00CD5904" w:rsidRPr="00783571" w:rsidRDefault="00977D61" w:rsidP="007F4338">
            <w:pPr>
              <w:pStyle w:val="Tabletext0"/>
              <w:spacing w:before="20" w:after="20" w:line="240" w:lineRule="auto"/>
              <w:rPr>
                <w:rFonts w:ascii="Verdana" w:hAnsi="Verdana"/>
                <w:sz w:val="18"/>
                <w:szCs w:val="18"/>
              </w:rPr>
            </w:pPr>
            <w:r w:rsidRPr="00783571">
              <w:rPr>
                <w:rFonts w:ascii="Verdana" w:hAnsi="Verdana"/>
                <w:sz w:val="18"/>
                <w:szCs w:val="18"/>
              </w:rPr>
              <w:t>Assumption</w:t>
            </w:r>
            <w:r w:rsidRPr="00783571">
              <w:rPr>
                <w:rFonts w:ascii="Verdana" w:hAnsi="Verdana"/>
                <w:sz w:val="18"/>
                <w:szCs w:val="18"/>
                <w:vertAlign w:val="superscript"/>
              </w:rPr>
              <w:t>k</w:t>
            </w:r>
          </w:p>
        </w:tc>
      </w:tr>
    </w:tbl>
    <w:p w14:paraId="286099CD" w14:textId="77777777" w:rsidR="005F3906" w:rsidRPr="00783571" w:rsidRDefault="005F3906" w:rsidP="00072F57">
      <w:pPr>
        <w:pStyle w:val="Tablecont"/>
      </w:pPr>
      <w:r w:rsidRPr="00783571">
        <w:t>(continued)</w:t>
      </w:r>
    </w:p>
    <w:p w14:paraId="1CF9097E" w14:textId="11D7A5F7" w:rsidR="005F3906" w:rsidRPr="00783571" w:rsidRDefault="004F4E6D" w:rsidP="00260D8A">
      <w:pPr>
        <w:pStyle w:val="TableTitlecont"/>
        <w:spacing w:before="0" w:after="100"/>
        <w:ind w:left="1530"/>
      </w:pPr>
      <w:r w:rsidRPr="00783571">
        <w:t>Table 4.</w:t>
      </w:r>
      <w:r w:rsidR="005F3906" w:rsidRPr="00783571">
        <w:t>1.</w:t>
      </w:r>
      <w:r w:rsidR="005F3906" w:rsidRPr="00783571">
        <w:tab/>
        <w:t xml:space="preserve">Percentage </w:t>
      </w:r>
      <w:r w:rsidR="006B24BF" w:rsidRPr="00783571">
        <w:t xml:space="preserve">PWID </w:t>
      </w:r>
      <w:r w:rsidR="005F3906" w:rsidRPr="00783571">
        <w:t>and MSM, Initial Population Size, HIV Prevalence of High- Versus Low-Risk Levels, HIV Prevalence, and Percentage High Risk</w:t>
      </w:r>
      <w:r w:rsidR="00F64950" w:rsidRPr="00783571">
        <w:t xml:space="preserve"> in Initial Population</w:t>
      </w:r>
      <w:r w:rsidR="005F3906" w:rsidRPr="00783571">
        <w:t xml:space="preserve"> (continued)</w:t>
      </w:r>
    </w:p>
    <w:tbl>
      <w:tblPr>
        <w:tblW w:w="4991"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2058"/>
        <w:gridCol w:w="1396"/>
        <w:gridCol w:w="1399"/>
        <w:gridCol w:w="1452"/>
        <w:gridCol w:w="1350"/>
        <w:gridCol w:w="1399"/>
        <w:gridCol w:w="1483"/>
        <w:gridCol w:w="2400"/>
      </w:tblGrid>
      <w:tr w:rsidR="005F3906" w:rsidRPr="00783571" w14:paraId="224DD50C" w14:textId="77777777" w:rsidTr="0016571A">
        <w:trPr>
          <w:tblHeader/>
        </w:trPr>
        <w:tc>
          <w:tcPr>
            <w:tcW w:w="2096" w:type="dxa"/>
            <w:vMerge w:val="restart"/>
            <w:tcBorders>
              <w:top w:val="single" w:sz="12" w:space="0" w:color="000000"/>
              <w:bottom w:val="single" w:sz="6" w:space="0" w:color="auto"/>
            </w:tcBorders>
            <w:shd w:val="clear" w:color="auto" w:fill="auto"/>
            <w:noWrap/>
            <w:vAlign w:val="bottom"/>
            <w:hideMark/>
          </w:tcPr>
          <w:p w14:paraId="18EDED35" w14:textId="77777777" w:rsidR="005F3906" w:rsidRPr="00783571" w:rsidRDefault="00C52864" w:rsidP="00B70295">
            <w:pPr>
              <w:pStyle w:val="TableHeaders"/>
              <w:keepNext/>
              <w:spacing w:before="10" w:after="10"/>
            </w:pPr>
            <w:r w:rsidRPr="00783571">
              <w:t>Parameter</w:t>
            </w:r>
          </w:p>
        </w:tc>
        <w:tc>
          <w:tcPr>
            <w:tcW w:w="4320" w:type="dxa"/>
            <w:gridSpan w:val="3"/>
            <w:tcBorders>
              <w:top w:val="single" w:sz="12" w:space="0" w:color="000000"/>
              <w:bottom w:val="single" w:sz="6" w:space="0" w:color="auto"/>
            </w:tcBorders>
            <w:shd w:val="clear" w:color="auto" w:fill="auto"/>
            <w:noWrap/>
            <w:vAlign w:val="bottom"/>
            <w:hideMark/>
          </w:tcPr>
          <w:p w14:paraId="7AB1DA33" w14:textId="77777777" w:rsidR="005F3906" w:rsidRPr="00783571" w:rsidRDefault="005F3906" w:rsidP="00B70295">
            <w:pPr>
              <w:pStyle w:val="TableHeaders"/>
              <w:keepNext/>
              <w:spacing w:before="10" w:after="10"/>
            </w:pPr>
            <w:r w:rsidRPr="00783571">
              <w:t>Female</w:t>
            </w:r>
          </w:p>
        </w:tc>
        <w:tc>
          <w:tcPr>
            <w:tcW w:w="4305" w:type="dxa"/>
            <w:gridSpan w:val="3"/>
            <w:tcBorders>
              <w:top w:val="single" w:sz="12" w:space="0" w:color="000000"/>
              <w:bottom w:val="single" w:sz="6" w:space="0" w:color="auto"/>
            </w:tcBorders>
            <w:shd w:val="clear" w:color="auto" w:fill="auto"/>
            <w:noWrap/>
            <w:vAlign w:val="bottom"/>
            <w:hideMark/>
          </w:tcPr>
          <w:p w14:paraId="140CCF77" w14:textId="77777777" w:rsidR="005F3906" w:rsidRPr="00783571" w:rsidRDefault="005F3906" w:rsidP="00B70295">
            <w:pPr>
              <w:pStyle w:val="TableHeaders"/>
              <w:keepNext/>
              <w:spacing w:before="10" w:after="10"/>
            </w:pPr>
            <w:r w:rsidRPr="00783571">
              <w:t>Male</w:t>
            </w:r>
          </w:p>
        </w:tc>
        <w:tc>
          <w:tcPr>
            <w:tcW w:w="2445" w:type="dxa"/>
            <w:vMerge w:val="restart"/>
            <w:tcBorders>
              <w:top w:val="single" w:sz="12" w:space="0" w:color="000000"/>
              <w:bottom w:val="single" w:sz="6" w:space="0" w:color="000000"/>
            </w:tcBorders>
            <w:shd w:val="clear" w:color="auto" w:fill="auto"/>
            <w:noWrap/>
            <w:vAlign w:val="bottom"/>
            <w:hideMark/>
          </w:tcPr>
          <w:p w14:paraId="4A7FC24D" w14:textId="77777777" w:rsidR="005F3906" w:rsidRPr="00783571" w:rsidRDefault="005F3906" w:rsidP="00B70295">
            <w:pPr>
              <w:pStyle w:val="TableHeaders"/>
              <w:keepNext/>
              <w:spacing w:before="10" w:after="10"/>
            </w:pPr>
            <w:r w:rsidRPr="00783571">
              <w:t>Source</w:t>
            </w:r>
          </w:p>
        </w:tc>
      </w:tr>
      <w:tr w:rsidR="005F3906" w:rsidRPr="00783571" w14:paraId="7A52AF9D" w14:textId="77777777" w:rsidTr="0016571A">
        <w:trPr>
          <w:tblHeader/>
        </w:trPr>
        <w:tc>
          <w:tcPr>
            <w:tcW w:w="2096" w:type="dxa"/>
            <w:vMerge/>
            <w:tcBorders>
              <w:top w:val="single" w:sz="6" w:space="0" w:color="000000"/>
              <w:bottom w:val="single" w:sz="6" w:space="0" w:color="auto"/>
            </w:tcBorders>
            <w:shd w:val="clear" w:color="auto" w:fill="auto"/>
            <w:noWrap/>
            <w:vAlign w:val="bottom"/>
            <w:hideMark/>
          </w:tcPr>
          <w:p w14:paraId="1EF2F55E" w14:textId="77777777" w:rsidR="005F3906" w:rsidRPr="00783571" w:rsidRDefault="005F3906" w:rsidP="00B70295">
            <w:pPr>
              <w:pStyle w:val="TableHeaders"/>
              <w:keepNext/>
              <w:spacing w:before="10" w:after="10"/>
            </w:pPr>
          </w:p>
        </w:tc>
        <w:tc>
          <w:tcPr>
            <w:tcW w:w="1420" w:type="dxa"/>
            <w:tcBorders>
              <w:top w:val="single" w:sz="6" w:space="0" w:color="auto"/>
              <w:bottom w:val="single" w:sz="6" w:space="0" w:color="auto"/>
            </w:tcBorders>
            <w:shd w:val="clear" w:color="auto" w:fill="auto"/>
            <w:noWrap/>
            <w:vAlign w:val="bottom"/>
            <w:hideMark/>
          </w:tcPr>
          <w:p w14:paraId="69BBDFFA" w14:textId="77777777" w:rsidR="005F3906" w:rsidRPr="00783571" w:rsidRDefault="005F3906" w:rsidP="00B70295">
            <w:pPr>
              <w:pStyle w:val="TableHeaders"/>
              <w:keepNext/>
              <w:spacing w:before="10" w:after="10"/>
            </w:pPr>
            <w:r w:rsidRPr="00783571">
              <w:t>Black</w:t>
            </w:r>
          </w:p>
        </w:tc>
        <w:tc>
          <w:tcPr>
            <w:tcW w:w="1423" w:type="dxa"/>
            <w:tcBorders>
              <w:top w:val="single" w:sz="6" w:space="0" w:color="auto"/>
              <w:bottom w:val="single" w:sz="6" w:space="0" w:color="auto"/>
            </w:tcBorders>
            <w:shd w:val="clear" w:color="auto" w:fill="auto"/>
            <w:noWrap/>
            <w:vAlign w:val="bottom"/>
            <w:hideMark/>
          </w:tcPr>
          <w:p w14:paraId="678C68F0" w14:textId="77777777" w:rsidR="005F3906" w:rsidRPr="00783571" w:rsidRDefault="005F3906" w:rsidP="00B70295">
            <w:pPr>
              <w:pStyle w:val="TableHeaders"/>
              <w:keepNext/>
              <w:spacing w:before="10" w:after="10"/>
            </w:pPr>
            <w:r w:rsidRPr="00783571">
              <w:t>Hispanic</w:t>
            </w:r>
          </w:p>
        </w:tc>
        <w:tc>
          <w:tcPr>
            <w:tcW w:w="1477" w:type="dxa"/>
            <w:tcBorders>
              <w:top w:val="single" w:sz="6" w:space="0" w:color="auto"/>
              <w:bottom w:val="single" w:sz="6" w:space="0" w:color="auto"/>
            </w:tcBorders>
            <w:shd w:val="clear" w:color="auto" w:fill="auto"/>
            <w:noWrap/>
            <w:vAlign w:val="bottom"/>
            <w:hideMark/>
          </w:tcPr>
          <w:p w14:paraId="10A2A757" w14:textId="77777777" w:rsidR="005F3906" w:rsidRPr="00783571" w:rsidRDefault="005F3906" w:rsidP="00B70295">
            <w:pPr>
              <w:pStyle w:val="TableHeaders"/>
              <w:keepNext/>
              <w:spacing w:before="10" w:after="10"/>
            </w:pPr>
            <w:r w:rsidRPr="00783571">
              <w:t>Other</w:t>
            </w:r>
          </w:p>
        </w:tc>
        <w:tc>
          <w:tcPr>
            <w:tcW w:w="1373" w:type="dxa"/>
            <w:tcBorders>
              <w:top w:val="single" w:sz="6" w:space="0" w:color="auto"/>
              <w:bottom w:val="single" w:sz="6" w:space="0" w:color="auto"/>
            </w:tcBorders>
            <w:shd w:val="clear" w:color="auto" w:fill="auto"/>
            <w:noWrap/>
            <w:vAlign w:val="bottom"/>
            <w:hideMark/>
          </w:tcPr>
          <w:p w14:paraId="4AFA7A83" w14:textId="77777777" w:rsidR="005F3906" w:rsidRPr="00783571" w:rsidRDefault="005F3906" w:rsidP="00B70295">
            <w:pPr>
              <w:pStyle w:val="TableHeaders"/>
              <w:keepNext/>
              <w:spacing w:before="10" w:after="10"/>
            </w:pPr>
            <w:r w:rsidRPr="00783571">
              <w:t>Black</w:t>
            </w:r>
          </w:p>
        </w:tc>
        <w:tc>
          <w:tcPr>
            <w:tcW w:w="1423" w:type="dxa"/>
            <w:tcBorders>
              <w:top w:val="single" w:sz="6" w:space="0" w:color="auto"/>
              <w:bottom w:val="single" w:sz="6" w:space="0" w:color="auto"/>
            </w:tcBorders>
            <w:shd w:val="clear" w:color="auto" w:fill="auto"/>
            <w:noWrap/>
            <w:vAlign w:val="bottom"/>
            <w:hideMark/>
          </w:tcPr>
          <w:p w14:paraId="063ADF7E" w14:textId="77777777" w:rsidR="005F3906" w:rsidRPr="00783571" w:rsidRDefault="005F3906" w:rsidP="00B70295">
            <w:pPr>
              <w:pStyle w:val="TableHeaders"/>
              <w:keepNext/>
              <w:spacing w:before="10" w:after="10"/>
            </w:pPr>
            <w:r w:rsidRPr="00783571">
              <w:t>Hispanic</w:t>
            </w:r>
          </w:p>
        </w:tc>
        <w:tc>
          <w:tcPr>
            <w:tcW w:w="1509" w:type="dxa"/>
            <w:tcBorders>
              <w:top w:val="single" w:sz="6" w:space="0" w:color="auto"/>
              <w:bottom w:val="single" w:sz="6" w:space="0" w:color="auto"/>
            </w:tcBorders>
            <w:shd w:val="clear" w:color="auto" w:fill="auto"/>
            <w:noWrap/>
            <w:vAlign w:val="bottom"/>
            <w:hideMark/>
          </w:tcPr>
          <w:p w14:paraId="1B9C8778" w14:textId="77777777" w:rsidR="005F3906" w:rsidRPr="00783571" w:rsidRDefault="005F3906" w:rsidP="00B70295">
            <w:pPr>
              <w:pStyle w:val="TableHeaders"/>
              <w:keepNext/>
              <w:spacing w:before="10" w:after="10"/>
            </w:pPr>
            <w:r w:rsidRPr="00783571">
              <w:t>Other</w:t>
            </w:r>
          </w:p>
        </w:tc>
        <w:tc>
          <w:tcPr>
            <w:tcW w:w="2445" w:type="dxa"/>
            <w:vMerge/>
            <w:tcBorders>
              <w:top w:val="single" w:sz="6" w:space="0" w:color="000000"/>
              <w:bottom w:val="single" w:sz="6" w:space="0" w:color="auto"/>
            </w:tcBorders>
            <w:shd w:val="clear" w:color="auto" w:fill="auto"/>
            <w:noWrap/>
            <w:vAlign w:val="bottom"/>
            <w:hideMark/>
          </w:tcPr>
          <w:p w14:paraId="5F05BDE4" w14:textId="77777777" w:rsidR="005F3906" w:rsidRPr="00783571" w:rsidRDefault="005F3906" w:rsidP="00B70295">
            <w:pPr>
              <w:pStyle w:val="TableHeaders"/>
              <w:keepNext/>
              <w:spacing w:before="10" w:after="10"/>
            </w:pPr>
          </w:p>
        </w:tc>
      </w:tr>
      <w:tr w:rsidR="00382287" w:rsidRPr="00783571" w14:paraId="07B1E84C" w14:textId="77777777" w:rsidTr="0016571A">
        <w:tc>
          <w:tcPr>
            <w:tcW w:w="13166" w:type="dxa"/>
            <w:gridSpan w:val="8"/>
            <w:tcBorders>
              <w:top w:val="nil"/>
              <w:bottom w:val="single" w:sz="4" w:space="0" w:color="808080" w:themeColor="background1" w:themeShade="80"/>
            </w:tcBorders>
            <w:shd w:val="clear" w:color="auto" w:fill="auto"/>
            <w:noWrap/>
            <w:hideMark/>
          </w:tcPr>
          <w:p w14:paraId="5128076E" w14:textId="77777777" w:rsidR="00382287" w:rsidRPr="00783571" w:rsidRDefault="00382287" w:rsidP="00B70295">
            <w:pPr>
              <w:pStyle w:val="Tabletext0"/>
              <w:keepNext/>
              <w:spacing w:before="10" w:after="10" w:line="240" w:lineRule="auto"/>
              <w:rPr>
                <w:rFonts w:ascii="Verdana" w:hAnsi="Verdana"/>
                <w:sz w:val="18"/>
                <w:szCs w:val="18"/>
              </w:rPr>
            </w:pPr>
            <w:r w:rsidRPr="00783571">
              <w:rPr>
                <w:rFonts w:ascii="Verdana" w:hAnsi="Verdana"/>
                <w:sz w:val="18"/>
                <w:szCs w:val="18"/>
              </w:rPr>
              <w:t>HIV prevalence</w:t>
            </w:r>
          </w:p>
        </w:tc>
      </w:tr>
      <w:tr w:rsidR="00382287" w:rsidRPr="00783571" w14:paraId="2EA8AB5B" w14:textId="77777777" w:rsidTr="0016571A">
        <w:tc>
          <w:tcPr>
            <w:tcW w:w="2096" w:type="dxa"/>
            <w:tcBorders>
              <w:top w:val="single" w:sz="4" w:space="0" w:color="808080" w:themeColor="background1" w:themeShade="80"/>
              <w:bottom w:val="single" w:sz="4" w:space="0" w:color="808080" w:themeColor="background1" w:themeShade="80"/>
            </w:tcBorders>
            <w:shd w:val="clear" w:color="auto" w:fill="auto"/>
            <w:noWrap/>
            <w:hideMark/>
          </w:tcPr>
          <w:p w14:paraId="4F295D36" w14:textId="77777777" w:rsidR="00382287" w:rsidRPr="00783571" w:rsidRDefault="00382287" w:rsidP="00B70295">
            <w:pPr>
              <w:pStyle w:val="Tabletextindented"/>
              <w:keepNext/>
              <w:spacing w:before="10" w:after="10" w:line="240" w:lineRule="auto"/>
              <w:rPr>
                <w:rFonts w:ascii="Verdana" w:hAnsi="Verdana"/>
                <w:sz w:val="18"/>
                <w:szCs w:val="18"/>
              </w:rPr>
            </w:pPr>
            <w:r w:rsidRPr="00783571">
              <w:rPr>
                <w:rFonts w:ascii="Verdana" w:hAnsi="Verdana"/>
                <w:sz w:val="18"/>
                <w:szCs w:val="18"/>
              </w:rPr>
              <w:t>HET</w:t>
            </w:r>
          </w:p>
        </w:tc>
        <w:tc>
          <w:tcPr>
            <w:tcW w:w="1420" w:type="dxa"/>
            <w:tcBorders>
              <w:top w:val="single" w:sz="4" w:space="0" w:color="808080" w:themeColor="background1" w:themeShade="80"/>
              <w:bottom w:val="single" w:sz="4" w:space="0" w:color="808080" w:themeColor="background1" w:themeShade="80"/>
            </w:tcBorders>
            <w:shd w:val="clear" w:color="auto" w:fill="auto"/>
            <w:noWrap/>
          </w:tcPr>
          <w:p w14:paraId="00E9C3E7" w14:textId="77777777" w:rsidR="00382287" w:rsidRPr="00783571" w:rsidRDefault="00382287" w:rsidP="00B70295">
            <w:pPr>
              <w:pStyle w:val="Tabletext0"/>
              <w:keepNext/>
              <w:spacing w:before="10" w:after="10" w:line="240" w:lineRule="auto"/>
              <w:ind w:right="134"/>
              <w:jc w:val="right"/>
              <w:rPr>
                <w:rFonts w:ascii="Verdana" w:hAnsi="Verdana"/>
                <w:sz w:val="18"/>
                <w:szCs w:val="18"/>
              </w:rPr>
            </w:pPr>
          </w:p>
        </w:tc>
        <w:tc>
          <w:tcPr>
            <w:tcW w:w="1423" w:type="dxa"/>
            <w:tcBorders>
              <w:top w:val="single" w:sz="4" w:space="0" w:color="808080" w:themeColor="background1" w:themeShade="80"/>
              <w:bottom w:val="single" w:sz="4" w:space="0" w:color="808080" w:themeColor="background1" w:themeShade="80"/>
            </w:tcBorders>
            <w:shd w:val="clear" w:color="auto" w:fill="auto"/>
            <w:noWrap/>
          </w:tcPr>
          <w:p w14:paraId="230D1BE2" w14:textId="77777777" w:rsidR="00382287" w:rsidRPr="00783571" w:rsidRDefault="00382287" w:rsidP="00B70295">
            <w:pPr>
              <w:pStyle w:val="Tabletext0"/>
              <w:keepNext/>
              <w:spacing w:before="10" w:after="10" w:line="240" w:lineRule="auto"/>
              <w:ind w:right="134"/>
              <w:jc w:val="right"/>
              <w:rPr>
                <w:rFonts w:ascii="Verdana" w:hAnsi="Verdana"/>
                <w:sz w:val="18"/>
                <w:szCs w:val="18"/>
              </w:rPr>
            </w:pPr>
          </w:p>
        </w:tc>
        <w:tc>
          <w:tcPr>
            <w:tcW w:w="1477" w:type="dxa"/>
            <w:tcBorders>
              <w:top w:val="single" w:sz="4" w:space="0" w:color="808080" w:themeColor="background1" w:themeShade="80"/>
              <w:bottom w:val="single" w:sz="4" w:space="0" w:color="808080" w:themeColor="background1" w:themeShade="80"/>
            </w:tcBorders>
            <w:shd w:val="clear" w:color="auto" w:fill="auto"/>
            <w:noWrap/>
          </w:tcPr>
          <w:p w14:paraId="48F371F6" w14:textId="77777777" w:rsidR="00382287" w:rsidRPr="00783571" w:rsidRDefault="00382287" w:rsidP="00B70295">
            <w:pPr>
              <w:pStyle w:val="Tabletext0"/>
              <w:keepNext/>
              <w:spacing w:before="10" w:after="10" w:line="240" w:lineRule="auto"/>
              <w:ind w:right="134"/>
              <w:jc w:val="right"/>
              <w:rPr>
                <w:rFonts w:ascii="Verdana" w:hAnsi="Verdana"/>
                <w:sz w:val="18"/>
                <w:szCs w:val="18"/>
              </w:rPr>
            </w:pPr>
          </w:p>
        </w:tc>
        <w:tc>
          <w:tcPr>
            <w:tcW w:w="1373" w:type="dxa"/>
            <w:tcBorders>
              <w:top w:val="single" w:sz="4" w:space="0" w:color="808080" w:themeColor="background1" w:themeShade="80"/>
              <w:bottom w:val="single" w:sz="4" w:space="0" w:color="808080" w:themeColor="background1" w:themeShade="80"/>
            </w:tcBorders>
            <w:shd w:val="clear" w:color="auto" w:fill="auto"/>
            <w:noWrap/>
          </w:tcPr>
          <w:p w14:paraId="3E67CCF0" w14:textId="77777777" w:rsidR="00382287" w:rsidRPr="00783571" w:rsidRDefault="00382287" w:rsidP="00B70295">
            <w:pPr>
              <w:pStyle w:val="Tabletext0"/>
              <w:keepNext/>
              <w:spacing w:before="10" w:after="10" w:line="240" w:lineRule="auto"/>
              <w:ind w:right="134"/>
              <w:jc w:val="right"/>
              <w:rPr>
                <w:rFonts w:ascii="Verdana" w:hAnsi="Verdana"/>
                <w:sz w:val="18"/>
                <w:szCs w:val="18"/>
              </w:rPr>
            </w:pPr>
          </w:p>
        </w:tc>
        <w:tc>
          <w:tcPr>
            <w:tcW w:w="1423" w:type="dxa"/>
            <w:tcBorders>
              <w:top w:val="single" w:sz="4" w:space="0" w:color="808080" w:themeColor="background1" w:themeShade="80"/>
              <w:bottom w:val="single" w:sz="4" w:space="0" w:color="808080" w:themeColor="background1" w:themeShade="80"/>
            </w:tcBorders>
            <w:shd w:val="clear" w:color="auto" w:fill="auto"/>
            <w:noWrap/>
          </w:tcPr>
          <w:p w14:paraId="2F2DD7D3" w14:textId="77777777" w:rsidR="00382287" w:rsidRPr="00783571" w:rsidRDefault="00382287" w:rsidP="00B70295">
            <w:pPr>
              <w:pStyle w:val="Tabletext0"/>
              <w:keepNext/>
              <w:spacing w:before="10" w:after="10" w:line="240" w:lineRule="auto"/>
              <w:ind w:right="134"/>
              <w:jc w:val="right"/>
              <w:rPr>
                <w:rFonts w:ascii="Verdana" w:hAnsi="Verdana"/>
                <w:sz w:val="18"/>
                <w:szCs w:val="18"/>
              </w:rPr>
            </w:pPr>
          </w:p>
        </w:tc>
        <w:tc>
          <w:tcPr>
            <w:tcW w:w="1509" w:type="dxa"/>
            <w:tcBorders>
              <w:top w:val="single" w:sz="4" w:space="0" w:color="808080" w:themeColor="background1" w:themeShade="80"/>
              <w:bottom w:val="single" w:sz="4" w:space="0" w:color="808080" w:themeColor="background1" w:themeShade="80"/>
            </w:tcBorders>
            <w:shd w:val="clear" w:color="auto" w:fill="auto"/>
            <w:noWrap/>
          </w:tcPr>
          <w:p w14:paraId="0CBD7BD1" w14:textId="77777777" w:rsidR="00382287" w:rsidRPr="00783571" w:rsidRDefault="00382287" w:rsidP="00B70295">
            <w:pPr>
              <w:pStyle w:val="Tabletext0"/>
              <w:keepNext/>
              <w:spacing w:before="10" w:after="10" w:line="240" w:lineRule="auto"/>
              <w:ind w:right="134"/>
              <w:jc w:val="right"/>
              <w:rPr>
                <w:rFonts w:ascii="Verdana" w:hAnsi="Verdana"/>
                <w:sz w:val="18"/>
                <w:szCs w:val="18"/>
              </w:rPr>
            </w:pPr>
          </w:p>
        </w:tc>
        <w:tc>
          <w:tcPr>
            <w:tcW w:w="2445" w:type="dxa"/>
            <w:tcBorders>
              <w:top w:val="single" w:sz="4" w:space="0" w:color="808080" w:themeColor="background1" w:themeShade="80"/>
              <w:bottom w:val="single" w:sz="4" w:space="0" w:color="808080" w:themeColor="background1" w:themeShade="80"/>
            </w:tcBorders>
            <w:shd w:val="clear" w:color="auto" w:fill="auto"/>
            <w:noWrap/>
            <w:hideMark/>
          </w:tcPr>
          <w:p w14:paraId="5C43C350" w14:textId="77777777" w:rsidR="00382287" w:rsidRPr="00783571" w:rsidRDefault="00382287" w:rsidP="00B70295">
            <w:pPr>
              <w:pStyle w:val="Tabletext0"/>
              <w:keepNext/>
              <w:spacing w:before="10" w:after="10" w:line="240" w:lineRule="auto"/>
              <w:rPr>
                <w:rFonts w:ascii="Verdana" w:hAnsi="Verdana" w:cs="Calibri"/>
                <w:b/>
                <w:bCs/>
                <w:color w:val="000000"/>
                <w:sz w:val="18"/>
                <w:szCs w:val="18"/>
              </w:rPr>
            </w:pPr>
          </w:p>
        </w:tc>
      </w:tr>
      <w:tr w:rsidR="00382287" w:rsidRPr="00783571" w14:paraId="2FB83E4E" w14:textId="77777777" w:rsidTr="0016571A">
        <w:tc>
          <w:tcPr>
            <w:tcW w:w="2096" w:type="dxa"/>
            <w:tcBorders>
              <w:top w:val="single" w:sz="4" w:space="0" w:color="808080" w:themeColor="background1" w:themeShade="80"/>
              <w:bottom w:val="single" w:sz="4" w:space="0" w:color="808080" w:themeColor="background1" w:themeShade="80"/>
            </w:tcBorders>
            <w:shd w:val="clear" w:color="auto" w:fill="auto"/>
            <w:noWrap/>
            <w:hideMark/>
          </w:tcPr>
          <w:p w14:paraId="17C28CFD" w14:textId="77777777" w:rsidR="00382287" w:rsidRPr="00783571" w:rsidRDefault="00382287" w:rsidP="00B70295">
            <w:pPr>
              <w:pStyle w:val="Tabletextindented"/>
              <w:spacing w:before="10" w:after="10" w:line="240" w:lineRule="auto"/>
              <w:ind w:left="360"/>
              <w:rPr>
                <w:rFonts w:ascii="Verdana" w:hAnsi="Verdana"/>
                <w:sz w:val="18"/>
                <w:szCs w:val="18"/>
              </w:rPr>
            </w:pPr>
            <w:r w:rsidRPr="00783571">
              <w:rPr>
                <w:rFonts w:ascii="Verdana" w:hAnsi="Verdana"/>
                <w:sz w:val="18"/>
                <w:szCs w:val="18"/>
              </w:rPr>
              <w:t>High</w:t>
            </w:r>
          </w:p>
        </w:tc>
        <w:tc>
          <w:tcPr>
            <w:tcW w:w="1420" w:type="dxa"/>
            <w:tcBorders>
              <w:top w:val="single" w:sz="4" w:space="0" w:color="808080" w:themeColor="background1" w:themeShade="80"/>
              <w:bottom w:val="single" w:sz="4" w:space="0" w:color="808080" w:themeColor="background1" w:themeShade="80"/>
            </w:tcBorders>
            <w:shd w:val="clear" w:color="auto" w:fill="auto"/>
            <w:noWrap/>
          </w:tcPr>
          <w:p w14:paraId="1DA791F7"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4.582%</w:t>
            </w:r>
          </w:p>
        </w:tc>
        <w:tc>
          <w:tcPr>
            <w:tcW w:w="1423" w:type="dxa"/>
            <w:tcBorders>
              <w:top w:val="single" w:sz="4" w:space="0" w:color="808080" w:themeColor="background1" w:themeShade="80"/>
              <w:bottom w:val="single" w:sz="4" w:space="0" w:color="808080" w:themeColor="background1" w:themeShade="80"/>
            </w:tcBorders>
            <w:shd w:val="clear" w:color="auto" w:fill="auto"/>
            <w:noWrap/>
          </w:tcPr>
          <w:p w14:paraId="40977238"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1.644%</w:t>
            </w:r>
          </w:p>
        </w:tc>
        <w:tc>
          <w:tcPr>
            <w:tcW w:w="1477" w:type="dxa"/>
            <w:tcBorders>
              <w:top w:val="single" w:sz="4" w:space="0" w:color="808080" w:themeColor="background1" w:themeShade="80"/>
              <w:bottom w:val="single" w:sz="4" w:space="0" w:color="808080" w:themeColor="background1" w:themeShade="80"/>
            </w:tcBorders>
            <w:shd w:val="clear" w:color="auto" w:fill="auto"/>
            <w:noWrap/>
          </w:tcPr>
          <w:p w14:paraId="0D059EBF"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0.707%</w:t>
            </w:r>
          </w:p>
        </w:tc>
        <w:tc>
          <w:tcPr>
            <w:tcW w:w="1373" w:type="dxa"/>
            <w:tcBorders>
              <w:top w:val="single" w:sz="4" w:space="0" w:color="808080" w:themeColor="background1" w:themeShade="80"/>
              <w:bottom w:val="single" w:sz="4" w:space="0" w:color="808080" w:themeColor="background1" w:themeShade="80"/>
            </w:tcBorders>
            <w:shd w:val="clear" w:color="auto" w:fill="auto"/>
            <w:noWrap/>
          </w:tcPr>
          <w:p w14:paraId="2BA7B50B"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2.862%</w:t>
            </w:r>
          </w:p>
        </w:tc>
        <w:tc>
          <w:tcPr>
            <w:tcW w:w="1423" w:type="dxa"/>
            <w:tcBorders>
              <w:top w:val="single" w:sz="4" w:space="0" w:color="808080" w:themeColor="background1" w:themeShade="80"/>
              <w:bottom w:val="single" w:sz="4" w:space="0" w:color="808080" w:themeColor="background1" w:themeShade="80"/>
            </w:tcBorders>
            <w:shd w:val="clear" w:color="auto" w:fill="auto"/>
            <w:noWrap/>
          </w:tcPr>
          <w:p w14:paraId="5BD92E8D"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0.731%</w:t>
            </w:r>
          </w:p>
        </w:tc>
        <w:tc>
          <w:tcPr>
            <w:tcW w:w="1509" w:type="dxa"/>
            <w:tcBorders>
              <w:top w:val="single" w:sz="4" w:space="0" w:color="808080" w:themeColor="background1" w:themeShade="80"/>
              <w:bottom w:val="single" w:sz="4" w:space="0" w:color="808080" w:themeColor="background1" w:themeShade="80"/>
            </w:tcBorders>
            <w:shd w:val="clear" w:color="auto" w:fill="auto"/>
            <w:noWrap/>
          </w:tcPr>
          <w:p w14:paraId="35DBC2F8"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0.378%</w:t>
            </w:r>
          </w:p>
        </w:tc>
        <w:tc>
          <w:tcPr>
            <w:tcW w:w="2445" w:type="dxa"/>
            <w:tcBorders>
              <w:top w:val="single" w:sz="4" w:space="0" w:color="808080" w:themeColor="background1" w:themeShade="80"/>
              <w:bottom w:val="single" w:sz="4" w:space="0" w:color="808080" w:themeColor="background1" w:themeShade="80"/>
            </w:tcBorders>
            <w:shd w:val="clear" w:color="auto" w:fill="auto"/>
            <w:noWrap/>
            <w:hideMark/>
          </w:tcPr>
          <w:p w14:paraId="4AD38593" w14:textId="3DC2F7F4" w:rsidR="00382287" w:rsidRPr="00783571" w:rsidRDefault="0013027E" w:rsidP="00977D61">
            <w:pPr>
              <w:pStyle w:val="Tabletext0"/>
              <w:spacing w:before="10" w:after="10" w:line="240" w:lineRule="auto"/>
              <w:rPr>
                <w:rFonts w:ascii="Verdana" w:hAnsi="Verdana"/>
                <w:sz w:val="18"/>
                <w:szCs w:val="18"/>
              </w:rPr>
            </w:pPr>
            <w:r w:rsidRPr="00783571">
              <w:rPr>
                <w:rFonts w:ascii="Verdana" w:hAnsi="Verdana"/>
                <w:sz w:val="18"/>
                <w:szCs w:val="18"/>
              </w:rPr>
              <w:t>CDC (2012</w:t>
            </w:r>
            <w:r w:rsidR="008935CC" w:rsidRPr="00783571">
              <w:rPr>
                <w:rFonts w:ascii="Verdana" w:hAnsi="Verdana"/>
                <w:sz w:val="18"/>
                <w:szCs w:val="18"/>
              </w:rPr>
              <w:t>b)</w:t>
            </w:r>
            <w:r w:rsidR="00977D61" w:rsidRPr="00783571">
              <w:rPr>
                <w:rFonts w:ascii="Verdana" w:hAnsi="Verdana"/>
                <w:sz w:val="18"/>
                <w:szCs w:val="18"/>
                <w:vertAlign w:val="superscript"/>
              </w:rPr>
              <w:t>l</w:t>
            </w:r>
          </w:p>
        </w:tc>
      </w:tr>
      <w:tr w:rsidR="00382287" w:rsidRPr="00783571" w14:paraId="0B49457E" w14:textId="77777777" w:rsidTr="0016571A">
        <w:tc>
          <w:tcPr>
            <w:tcW w:w="2096" w:type="dxa"/>
            <w:tcBorders>
              <w:top w:val="single" w:sz="4" w:space="0" w:color="808080" w:themeColor="background1" w:themeShade="80"/>
              <w:bottom w:val="single" w:sz="4" w:space="0" w:color="808080" w:themeColor="background1" w:themeShade="80"/>
            </w:tcBorders>
            <w:shd w:val="clear" w:color="auto" w:fill="auto"/>
            <w:noWrap/>
            <w:hideMark/>
          </w:tcPr>
          <w:p w14:paraId="4A3B1160" w14:textId="77777777" w:rsidR="00382287" w:rsidRPr="00783571" w:rsidRDefault="00382287" w:rsidP="00B70295">
            <w:pPr>
              <w:pStyle w:val="Tabletextindented"/>
              <w:spacing w:before="10" w:after="10" w:line="240" w:lineRule="auto"/>
              <w:ind w:left="360"/>
              <w:rPr>
                <w:rFonts w:ascii="Verdana" w:hAnsi="Verdana"/>
                <w:sz w:val="18"/>
                <w:szCs w:val="18"/>
              </w:rPr>
            </w:pPr>
            <w:r w:rsidRPr="00783571">
              <w:rPr>
                <w:rFonts w:ascii="Verdana" w:hAnsi="Verdana"/>
                <w:sz w:val="18"/>
                <w:szCs w:val="18"/>
              </w:rPr>
              <w:t>Low</w:t>
            </w:r>
          </w:p>
        </w:tc>
        <w:tc>
          <w:tcPr>
            <w:tcW w:w="1420" w:type="dxa"/>
            <w:tcBorders>
              <w:top w:val="single" w:sz="4" w:space="0" w:color="808080" w:themeColor="background1" w:themeShade="80"/>
              <w:bottom w:val="single" w:sz="4" w:space="0" w:color="808080" w:themeColor="background1" w:themeShade="80"/>
            </w:tcBorders>
            <w:shd w:val="clear" w:color="auto" w:fill="auto"/>
            <w:noWrap/>
          </w:tcPr>
          <w:p w14:paraId="57165DF3"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0.222%</w:t>
            </w:r>
          </w:p>
        </w:tc>
        <w:tc>
          <w:tcPr>
            <w:tcW w:w="1423" w:type="dxa"/>
            <w:tcBorders>
              <w:top w:val="single" w:sz="4" w:space="0" w:color="808080" w:themeColor="background1" w:themeShade="80"/>
              <w:bottom w:val="single" w:sz="4" w:space="0" w:color="808080" w:themeColor="background1" w:themeShade="80"/>
            </w:tcBorders>
            <w:shd w:val="clear" w:color="auto" w:fill="auto"/>
            <w:noWrap/>
          </w:tcPr>
          <w:p w14:paraId="101F1776"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0.080%</w:t>
            </w:r>
          </w:p>
        </w:tc>
        <w:tc>
          <w:tcPr>
            <w:tcW w:w="1477" w:type="dxa"/>
            <w:tcBorders>
              <w:top w:val="single" w:sz="4" w:space="0" w:color="808080" w:themeColor="background1" w:themeShade="80"/>
              <w:bottom w:val="single" w:sz="4" w:space="0" w:color="808080" w:themeColor="background1" w:themeShade="80"/>
            </w:tcBorders>
            <w:shd w:val="clear" w:color="auto" w:fill="auto"/>
            <w:noWrap/>
          </w:tcPr>
          <w:p w14:paraId="13D3B7BA"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0.034%</w:t>
            </w:r>
          </w:p>
        </w:tc>
        <w:tc>
          <w:tcPr>
            <w:tcW w:w="1373" w:type="dxa"/>
            <w:tcBorders>
              <w:top w:val="single" w:sz="4" w:space="0" w:color="808080" w:themeColor="background1" w:themeShade="80"/>
              <w:bottom w:val="single" w:sz="4" w:space="0" w:color="808080" w:themeColor="background1" w:themeShade="80"/>
            </w:tcBorders>
            <w:shd w:val="clear" w:color="auto" w:fill="auto"/>
            <w:noWrap/>
          </w:tcPr>
          <w:p w14:paraId="3C3C1457"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0.139%</w:t>
            </w:r>
          </w:p>
        </w:tc>
        <w:tc>
          <w:tcPr>
            <w:tcW w:w="1423" w:type="dxa"/>
            <w:tcBorders>
              <w:top w:val="single" w:sz="4" w:space="0" w:color="808080" w:themeColor="background1" w:themeShade="80"/>
              <w:bottom w:val="single" w:sz="4" w:space="0" w:color="808080" w:themeColor="background1" w:themeShade="80"/>
            </w:tcBorders>
            <w:shd w:val="clear" w:color="auto" w:fill="auto"/>
            <w:noWrap/>
          </w:tcPr>
          <w:p w14:paraId="67E5292A"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0.035%</w:t>
            </w:r>
          </w:p>
        </w:tc>
        <w:tc>
          <w:tcPr>
            <w:tcW w:w="1509" w:type="dxa"/>
            <w:tcBorders>
              <w:top w:val="single" w:sz="4" w:space="0" w:color="808080" w:themeColor="background1" w:themeShade="80"/>
              <w:bottom w:val="single" w:sz="4" w:space="0" w:color="808080" w:themeColor="background1" w:themeShade="80"/>
            </w:tcBorders>
            <w:shd w:val="clear" w:color="auto" w:fill="auto"/>
            <w:noWrap/>
          </w:tcPr>
          <w:p w14:paraId="5D692F1C"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0.018%</w:t>
            </w:r>
          </w:p>
        </w:tc>
        <w:tc>
          <w:tcPr>
            <w:tcW w:w="2445" w:type="dxa"/>
            <w:tcBorders>
              <w:top w:val="single" w:sz="4" w:space="0" w:color="808080" w:themeColor="background1" w:themeShade="80"/>
              <w:bottom w:val="single" w:sz="4" w:space="0" w:color="808080" w:themeColor="background1" w:themeShade="80"/>
            </w:tcBorders>
            <w:shd w:val="clear" w:color="auto" w:fill="auto"/>
            <w:noWrap/>
            <w:hideMark/>
          </w:tcPr>
          <w:p w14:paraId="274132DE" w14:textId="7BAF1644" w:rsidR="00382287" w:rsidRPr="00783571" w:rsidRDefault="00382287" w:rsidP="00977D61">
            <w:pPr>
              <w:pStyle w:val="Tabletext0"/>
              <w:spacing w:before="10" w:after="10" w:line="240" w:lineRule="auto"/>
              <w:rPr>
                <w:rFonts w:ascii="Verdana" w:hAnsi="Verdana" w:cs="Calibri"/>
                <w:color w:val="000000"/>
                <w:sz w:val="18"/>
                <w:szCs w:val="18"/>
              </w:rPr>
            </w:pPr>
            <w:r w:rsidRPr="00783571">
              <w:rPr>
                <w:rFonts w:ascii="Verdana" w:hAnsi="Verdana"/>
                <w:sz w:val="18"/>
                <w:szCs w:val="18"/>
              </w:rPr>
              <w:t>CDC (201</w:t>
            </w:r>
            <w:r w:rsidR="0013027E" w:rsidRPr="00783571">
              <w:rPr>
                <w:rFonts w:ascii="Verdana" w:hAnsi="Verdana"/>
                <w:sz w:val="18"/>
                <w:szCs w:val="18"/>
              </w:rPr>
              <w:t>2</w:t>
            </w:r>
            <w:r w:rsidR="00D63BB9" w:rsidRPr="00783571">
              <w:rPr>
                <w:rFonts w:ascii="Verdana" w:hAnsi="Verdana"/>
                <w:sz w:val="18"/>
                <w:szCs w:val="18"/>
              </w:rPr>
              <w:t>b</w:t>
            </w:r>
            <w:r w:rsidRPr="00783571">
              <w:rPr>
                <w:rFonts w:ascii="Verdana" w:hAnsi="Verdana"/>
                <w:sz w:val="18"/>
                <w:szCs w:val="18"/>
              </w:rPr>
              <w:t>)</w:t>
            </w:r>
            <w:r w:rsidR="00977D61" w:rsidRPr="00783571">
              <w:rPr>
                <w:rFonts w:ascii="Verdana" w:hAnsi="Verdana"/>
                <w:sz w:val="18"/>
                <w:szCs w:val="18"/>
                <w:vertAlign w:val="superscript"/>
              </w:rPr>
              <w:t>l</w:t>
            </w:r>
          </w:p>
        </w:tc>
      </w:tr>
      <w:tr w:rsidR="00382287" w:rsidRPr="00783571" w14:paraId="69B7FEC4" w14:textId="77777777" w:rsidTr="0016571A">
        <w:tc>
          <w:tcPr>
            <w:tcW w:w="2096" w:type="dxa"/>
            <w:tcBorders>
              <w:top w:val="single" w:sz="4" w:space="0" w:color="808080" w:themeColor="background1" w:themeShade="80"/>
              <w:bottom w:val="single" w:sz="4" w:space="0" w:color="808080" w:themeColor="background1" w:themeShade="80"/>
            </w:tcBorders>
            <w:shd w:val="clear" w:color="auto" w:fill="auto"/>
            <w:noWrap/>
            <w:hideMark/>
          </w:tcPr>
          <w:p w14:paraId="14FBBA42" w14:textId="4C40ED96" w:rsidR="00382287" w:rsidRPr="00783571" w:rsidRDefault="00F77D76" w:rsidP="00B70295">
            <w:pPr>
              <w:pStyle w:val="Tabletextindented"/>
              <w:spacing w:before="10" w:after="10" w:line="240" w:lineRule="auto"/>
              <w:rPr>
                <w:rFonts w:ascii="Verdana" w:hAnsi="Verdana"/>
                <w:sz w:val="18"/>
                <w:szCs w:val="18"/>
              </w:rPr>
            </w:pPr>
            <w:r w:rsidRPr="00783571">
              <w:rPr>
                <w:rFonts w:ascii="Verdana" w:hAnsi="Verdana"/>
                <w:sz w:val="18"/>
                <w:szCs w:val="18"/>
              </w:rPr>
              <w:t>PWID</w:t>
            </w:r>
          </w:p>
        </w:tc>
        <w:tc>
          <w:tcPr>
            <w:tcW w:w="1420" w:type="dxa"/>
            <w:tcBorders>
              <w:top w:val="single" w:sz="4" w:space="0" w:color="808080" w:themeColor="background1" w:themeShade="80"/>
              <w:bottom w:val="single" w:sz="4" w:space="0" w:color="808080" w:themeColor="background1" w:themeShade="80"/>
            </w:tcBorders>
            <w:shd w:val="clear" w:color="auto" w:fill="auto"/>
            <w:noWrap/>
            <w:hideMark/>
          </w:tcPr>
          <w:p w14:paraId="18253465"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23" w:type="dxa"/>
            <w:tcBorders>
              <w:top w:val="single" w:sz="4" w:space="0" w:color="808080" w:themeColor="background1" w:themeShade="80"/>
              <w:bottom w:val="single" w:sz="4" w:space="0" w:color="808080" w:themeColor="background1" w:themeShade="80"/>
            </w:tcBorders>
            <w:shd w:val="clear" w:color="auto" w:fill="auto"/>
            <w:noWrap/>
            <w:hideMark/>
          </w:tcPr>
          <w:p w14:paraId="6657C5EE"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77" w:type="dxa"/>
            <w:tcBorders>
              <w:top w:val="single" w:sz="4" w:space="0" w:color="808080" w:themeColor="background1" w:themeShade="80"/>
              <w:bottom w:val="single" w:sz="4" w:space="0" w:color="808080" w:themeColor="background1" w:themeShade="80"/>
            </w:tcBorders>
            <w:shd w:val="clear" w:color="auto" w:fill="auto"/>
            <w:noWrap/>
            <w:hideMark/>
          </w:tcPr>
          <w:p w14:paraId="505120FD"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373" w:type="dxa"/>
            <w:tcBorders>
              <w:top w:val="single" w:sz="4" w:space="0" w:color="808080" w:themeColor="background1" w:themeShade="80"/>
              <w:bottom w:val="single" w:sz="4" w:space="0" w:color="808080" w:themeColor="background1" w:themeShade="80"/>
            </w:tcBorders>
            <w:shd w:val="clear" w:color="auto" w:fill="auto"/>
            <w:noWrap/>
            <w:hideMark/>
          </w:tcPr>
          <w:p w14:paraId="536B6878"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23" w:type="dxa"/>
            <w:tcBorders>
              <w:top w:val="single" w:sz="4" w:space="0" w:color="808080" w:themeColor="background1" w:themeShade="80"/>
              <w:bottom w:val="single" w:sz="4" w:space="0" w:color="808080" w:themeColor="background1" w:themeShade="80"/>
            </w:tcBorders>
            <w:shd w:val="clear" w:color="auto" w:fill="auto"/>
            <w:noWrap/>
            <w:hideMark/>
          </w:tcPr>
          <w:p w14:paraId="5A93A646"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509" w:type="dxa"/>
            <w:tcBorders>
              <w:top w:val="single" w:sz="4" w:space="0" w:color="808080" w:themeColor="background1" w:themeShade="80"/>
              <w:bottom w:val="single" w:sz="4" w:space="0" w:color="808080" w:themeColor="background1" w:themeShade="80"/>
            </w:tcBorders>
            <w:shd w:val="clear" w:color="auto" w:fill="auto"/>
            <w:noWrap/>
            <w:hideMark/>
          </w:tcPr>
          <w:p w14:paraId="6D5EADBC"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2445" w:type="dxa"/>
            <w:tcBorders>
              <w:top w:val="single" w:sz="4" w:space="0" w:color="808080" w:themeColor="background1" w:themeShade="80"/>
              <w:bottom w:val="single" w:sz="4" w:space="0" w:color="808080" w:themeColor="background1" w:themeShade="80"/>
            </w:tcBorders>
            <w:shd w:val="clear" w:color="auto" w:fill="auto"/>
            <w:noWrap/>
            <w:hideMark/>
          </w:tcPr>
          <w:p w14:paraId="643BEB1F" w14:textId="77777777" w:rsidR="00382287" w:rsidRPr="00783571" w:rsidRDefault="00382287" w:rsidP="00B70295">
            <w:pPr>
              <w:pStyle w:val="Tabletext0"/>
              <w:spacing w:before="10" w:after="10" w:line="240" w:lineRule="auto"/>
              <w:rPr>
                <w:rFonts w:ascii="Verdana" w:hAnsi="Verdana" w:cs="Calibri"/>
                <w:b/>
                <w:bCs/>
                <w:color w:val="000000"/>
                <w:sz w:val="18"/>
                <w:szCs w:val="18"/>
              </w:rPr>
            </w:pPr>
          </w:p>
        </w:tc>
      </w:tr>
      <w:tr w:rsidR="00382287" w:rsidRPr="00783571" w14:paraId="7DA89E38" w14:textId="77777777" w:rsidTr="0016571A">
        <w:tc>
          <w:tcPr>
            <w:tcW w:w="2096" w:type="dxa"/>
            <w:tcBorders>
              <w:top w:val="single" w:sz="4" w:space="0" w:color="808080" w:themeColor="background1" w:themeShade="80"/>
              <w:bottom w:val="single" w:sz="4" w:space="0" w:color="808080" w:themeColor="background1" w:themeShade="80"/>
            </w:tcBorders>
            <w:shd w:val="clear" w:color="auto" w:fill="auto"/>
            <w:noWrap/>
            <w:hideMark/>
          </w:tcPr>
          <w:p w14:paraId="52B5A4BB" w14:textId="77777777" w:rsidR="00382287" w:rsidRPr="00783571" w:rsidRDefault="00382287" w:rsidP="00B70295">
            <w:pPr>
              <w:pStyle w:val="Tabletextindented"/>
              <w:spacing w:before="10" w:after="10" w:line="240" w:lineRule="auto"/>
              <w:ind w:left="360"/>
              <w:rPr>
                <w:rFonts w:ascii="Verdana" w:hAnsi="Verdana"/>
                <w:sz w:val="18"/>
                <w:szCs w:val="18"/>
              </w:rPr>
            </w:pPr>
            <w:r w:rsidRPr="00783571">
              <w:rPr>
                <w:rFonts w:ascii="Verdana" w:hAnsi="Verdana"/>
                <w:sz w:val="18"/>
                <w:szCs w:val="18"/>
              </w:rPr>
              <w:t>High</w:t>
            </w:r>
          </w:p>
        </w:tc>
        <w:tc>
          <w:tcPr>
            <w:tcW w:w="1420" w:type="dxa"/>
            <w:tcBorders>
              <w:top w:val="single" w:sz="4" w:space="0" w:color="808080" w:themeColor="background1" w:themeShade="80"/>
              <w:bottom w:val="single" w:sz="4" w:space="0" w:color="808080" w:themeColor="background1" w:themeShade="80"/>
            </w:tcBorders>
            <w:shd w:val="clear" w:color="auto" w:fill="auto"/>
            <w:noWrap/>
          </w:tcPr>
          <w:p w14:paraId="1D7D799F"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85.000%</w:t>
            </w:r>
          </w:p>
        </w:tc>
        <w:tc>
          <w:tcPr>
            <w:tcW w:w="1423" w:type="dxa"/>
            <w:tcBorders>
              <w:top w:val="single" w:sz="4" w:space="0" w:color="808080" w:themeColor="background1" w:themeShade="80"/>
              <w:bottom w:val="single" w:sz="4" w:space="0" w:color="808080" w:themeColor="background1" w:themeShade="80"/>
            </w:tcBorders>
            <w:shd w:val="clear" w:color="auto" w:fill="auto"/>
            <w:noWrap/>
          </w:tcPr>
          <w:p w14:paraId="71AF7A83" w14:textId="77777777" w:rsidR="00382287" w:rsidRPr="00783571" w:rsidRDefault="00C16388"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60.618%</w:t>
            </w:r>
          </w:p>
        </w:tc>
        <w:tc>
          <w:tcPr>
            <w:tcW w:w="1477" w:type="dxa"/>
            <w:tcBorders>
              <w:top w:val="single" w:sz="4" w:space="0" w:color="808080" w:themeColor="background1" w:themeShade="80"/>
              <w:bottom w:val="single" w:sz="4" w:space="0" w:color="808080" w:themeColor="background1" w:themeShade="80"/>
            </w:tcBorders>
            <w:shd w:val="clear" w:color="auto" w:fill="auto"/>
            <w:noWrap/>
          </w:tcPr>
          <w:p w14:paraId="73FBE4CE" w14:textId="77777777" w:rsidR="00382287" w:rsidRPr="00783571" w:rsidRDefault="00C16388"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7.443%</w:t>
            </w:r>
          </w:p>
        </w:tc>
        <w:tc>
          <w:tcPr>
            <w:tcW w:w="1373" w:type="dxa"/>
            <w:tcBorders>
              <w:top w:val="single" w:sz="4" w:space="0" w:color="808080" w:themeColor="background1" w:themeShade="80"/>
              <w:bottom w:val="single" w:sz="4" w:space="0" w:color="808080" w:themeColor="background1" w:themeShade="80"/>
            </w:tcBorders>
            <w:shd w:val="clear" w:color="auto" w:fill="auto"/>
            <w:noWrap/>
          </w:tcPr>
          <w:p w14:paraId="21859E5C"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78.772%</w:t>
            </w:r>
          </w:p>
        </w:tc>
        <w:tc>
          <w:tcPr>
            <w:tcW w:w="1423" w:type="dxa"/>
            <w:tcBorders>
              <w:top w:val="single" w:sz="4" w:space="0" w:color="808080" w:themeColor="background1" w:themeShade="80"/>
              <w:bottom w:val="single" w:sz="4" w:space="0" w:color="808080" w:themeColor="background1" w:themeShade="80"/>
            </w:tcBorders>
            <w:shd w:val="clear" w:color="auto" w:fill="auto"/>
            <w:noWrap/>
          </w:tcPr>
          <w:p w14:paraId="1E18FC13"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56.177%</w:t>
            </w:r>
          </w:p>
        </w:tc>
        <w:tc>
          <w:tcPr>
            <w:tcW w:w="1509" w:type="dxa"/>
            <w:tcBorders>
              <w:top w:val="single" w:sz="4" w:space="0" w:color="808080" w:themeColor="background1" w:themeShade="80"/>
              <w:bottom w:val="single" w:sz="4" w:space="0" w:color="808080" w:themeColor="background1" w:themeShade="80"/>
            </w:tcBorders>
            <w:shd w:val="clear" w:color="auto" w:fill="auto"/>
            <w:noWrap/>
          </w:tcPr>
          <w:p w14:paraId="3F8B37C6"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6.897%</w:t>
            </w:r>
          </w:p>
        </w:tc>
        <w:tc>
          <w:tcPr>
            <w:tcW w:w="2445" w:type="dxa"/>
            <w:tcBorders>
              <w:top w:val="single" w:sz="4" w:space="0" w:color="808080" w:themeColor="background1" w:themeShade="80"/>
              <w:bottom w:val="single" w:sz="4" w:space="0" w:color="808080" w:themeColor="background1" w:themeShade="80"/>
            </w:tcBorders>
            <w:shd w:val="clear" w:color="auto" w:fill="auto"/>
            <w:noWrap/>
            <w:hideMark/>
          </w:tcPr>
          <w:p w14:paraId="5AE77CB9" w14:textId="06F62B9D" w:rsidR="00382287" w:rsidRPr="00783571" w:rsidRDefault="00382287" w:rsidP="00977D61">
            <w:pPr>
              <w:pStyle w:val="Tabletext0"/>
              <w:spacing w:before="10" w:after="10" w:line="240" w:lineRule="auto"/>
              <w:rPr>
                <w:rFonts w:ascii="Verdana" w:hAnsi="Verdana"/>
                <w:sz w:val="18"/>
                <w:szCs w:val="18"/>
              </w:rPr>
            </w:pPr>
            <w:r w:rsidRPr="00783571">
              <w:rPr>
                <w:rFonts w:ascii="Verdana" w:hAnsi="Verdana"/>
                <w:sz w:val="18"/>
                <w:szCs w:val="18"/>
              </w:rPr>
              <w:t>CDC (201</w:t>
            </w:r>
            <w:r w:rsidR="0013027E" w:rsidRPr="00783571">
              <w:rPr>
                <w:rFonts w:ascii="Verdana" w:hAnsi="Verdana"/>
                <w:sz w:val="18"/>
                <w:szCs w:val="18"/>
              </w:rPr>
              <w:t>2</w:t>
            </w:r>
            <w:r w:rsidR="00D63BB9" w:rsidRPr="00783571">
              <w:rPr>
                <w:rFonts w:ascii="Verdana" w:hAnsi="Verdana"/>
                <w:sz w:val="18"/>
                <w:szCs w:val="18"/>
              </w:rPr>
              <w:t>b</w:t>
            </w:r>
            <w:r w:rsidRPr="00783571">
              <w:rPr>
                <w:rFonts w:ascii="Verdana" w:hAnsi="Verdana"/>
                <w:sz w:val="18"/>
                <w:szCs w:val="18"/>
              </w:rPr>
              <w:t>)</w:t>
            </w:r>
            <w:r w:rsidR="00977D61" w:rsidRPr="00783571">
              <w:rPr>
                <w:rFonts w:ascii="Verdana" w:hAnsi="Verdana"/>
                <w:sz w:val="18"/>
                <w:szCs w:val="18"/>
                <w:vertAlign w:val="superscript"/>
              </w:rPr>
              <w:t>l</w:t>
            </w:r>
          </w:p>
        </w:tc>
      </w:tr>
      <w:tr w:rsidR="00382287" w:rsidRPr="00783571" w14:paraId="3305013B" w14:textId="77777777" w:rsidTr="0016571A">
        <w:tc>
          <w:tcPr>
            <w:tcW w:w="2096" w:type="dxa"/>
            <w:tcBorders>
              <w:top w:val="single" w:sz="4" w:space="0" w:color="808080" w:themeColor="background1" w:themeShade="80"/>
              <w:bottom w:val="single" w:sz="4" w:space="0" w:color="808080" w:themeColor="background1" w:themeShade="80"/>
            </w:tcBorders>
            <w:shd w:val="clear" w:color="auto" w:fill="auto"/>
            <w:noWrap/>
            <w:hideMark/>
          </w:tcPr>
          <w:p w14:paraId="48CAC274" w14:textId="77777777" w:rsidR="00382287" w:rsidRPr="00783571" w:rsidRDefault="00382287" w:rsidP="00B70295">
            <w:pPr>
              <w:pStyle w:val="Tabletextindented"/>
              <w:spacing w:before="10" w:after="10" w:line="240" w:lineRule="auto"/>
              <w:rPr>
                <w:rFonts w:ascii="Verdana" w:hAnsi="Verdana"/>
                <w:sz w:val="18"/>
                <w:szCs w:val="18"/>
              </w:rPr>
            </w:pPr>
            <w:r w:rsidRPr="00783571">
              <w:rPr>
                <w:rFonts w:ascii="Verdana" w:hAnsi="Verdana"/>
                <w:sz w:val="18"/>
                <w:szCs w:val="18"/>
              </w:rPr>
              <w:t>MSM</w:t>
            </w:r>
          </w:p>
        </w:tc>
        <w:tc>
          <w:tcPr>
            <w:tcW w:w="1420" w:type="dxa"/>
            <w:tcBorders>
              <w:top w:val="single" w:sz="4" w:space="0" w:color="808080" w:themeColor="background1" w:themeShade="80"/>
              <w:bottom w:val="single" w:sz="4" w:space="0" w:color="808080" w:themeColor="background1" w:themeShade="80"/>
            </w:tcBorders>
            <w:shd w:val="clear" w:color="auto" w:fill="auto"/>
            <w:noWrap/>
            <w:hideMark/>
          </w:tcPr>
          <w:p w14:paraId="2592BC93"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23" w:type="dxa"/>
            <w:tcBorders>
              <w:top w:val="single" w:sz="4" w:space="0" w:color="808080" w:themeColor="background1" w:themeShade="80"/>
              <w:bottom w:val="single" w:sz="4" w:space="0" w:color="808080" w:themeColor="background1" w:themeShade="80"/>
            </w:tcBorders>
            <w:shd w:val="clear" w:color="auto" w:fill="auto"/>
            <w:noWrap/>
            <w:hideMark/>
          </w:tcPr>
          <w:p w14:paraId="0959247A"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77" w:type="dxa"/>
            <w:tcBorders>
              <w:top w:val="single" w:sz="4" w:space="0" w:color="808080" w:themeColor="background1" w:themeShade="80"/>
              <w:bottom w:val="single" w:sz="4" w:space="0" w:color="808080" w:themeColor="background1" w:themeShade="80"/>
            </w:tcBorders>
            <w:shd w:val="clear" w:color="auto" w:fill="auto"/>
            <w:noWrap/>
            <w:hideMark/>
          </w:tcPr>
          <w:p w14:paraId="3BD92454"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373" w:type="dxa"/>
            <w:tcBorders>
              <w:top w:val="single" w:sz="4" w:space="0" w:color="808080" w:themeColor="background1" w:themeShade="80"/>
              <w:bottom w:val="single" w:sz="4" w:space="0" w:color="808080" w:themeColor="background1" w:themeShade="80"/>
            </w:tcBorders>
            <w:shd w:val="clear" w:color="auto" w:fill="auto"/>
            <w:noWrap/>
            <w:hideMark/>
          </w:tcPr>
          <w:p w14:paraId="14537359"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23" w:type="dxa"/>
            <w:tcBorders>
              <w:top w:val="single" w:sz="4" w:space="0" w:color="808080" w:themeColor="background1" w:themeShade="80"/>
              <w:bottom w:val="single" w:sz="4" w:space="0" w:color="808080" w:themeColor="background1" w:themeShade="80"/>
            </w:tcBorders>
            <w:shd w:val="clear" w:color="auto" w:fill="auto"/>
            <w:noWrap/>
            <w:hideMark/>
          </w:tcPr>
          <w:p w14:paraId="607CE616"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509" w:type="dxa"/>
            <w:tcBorders>
              <w:top w:val="single" w:sz="4" w:space="0" w:color="808080" w:themeColor="background1" w:themeShade="80"/>
              <w:bottom w:val="single" w:sz="4" w:space="0" w:color="808080" w:themeColor="background1" w:themeShade="80"/>
            </w:tcBorders>
            <w:shd w:val="clear" w:color="auto" w:fill="auto"/>
            <w:noWrap/>
            <w:hideMark/>
          </w:tcPr>
          <w:p w14:paraId="3293C225"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2445" w:type="dxa"/>
            <w:tcBorders>
              <w:top w:val="single" w:sz="4" w:space="0" w:color="808080" w:themeColor="background1" w:themeShade="80"/>
              <w:bottom w:val="single" w:sz="4" w:space="0" w:color="808080" w:themeColor="background1" w:themeShade="80"/>
            </w:tcBorders>
            <w:shd w:val="clear" w:color="auto" w:fill="auto"/>
            <w:noWrap/>
            <w:hideMark/>
          </w:tcPr>
          <w:p w14:paraId="698BCB59" w14:textId="77777777" w:rsidR="00382287" w:rsidRPr="00783571" w:rsidRDefault="00382287" w:rsidP="00B70295">
            <w:pPr>
              <w:pStyle w:val="Tabletext0"/>
              <w:spacing w:before="10" w:after="10" w:line="240" w:lineRule="auto"/>
              <w:rPr>
                <w:rFonts w:ascii="Verdana" w:hAnsi="Verdana" w:cs="Calibri"/>
                <w:b/>
                <w:bCs/>
                <w:color w:val="000000"/>
                <w:sz w:val="18"/>
                <w:szCs w:val="18"/>
              </w:rPr>
            </w:pPr>
          </w:p>
        </w:tc>
      </w:tr>
      <w:tr w:rsidR="00382287" w:rsidRPr="00783571" w14:paraId="3B58BBBC" w14:textId="77777777" w:rsidTr="0016571A">
        <w:tc>
          <w:tcPr>
            <w:tcW w:w="2096" w:type="dxa"/>
            <w:tcBorders>
              <w:top w:val="single" w:sz="4" w:space="0" w:color="808080" w:themeColor="background1" w:themeShade="80"/>
              <w:bottom w:val="single" w:sz="4" w:space="0" w:color="808080" w:themeColor="background1" w:themeShade="80"/>
            </w:tcBorders>
            <w:shd w:val="clear" w:color="auto" w:fill="auto"/>
            <w:noWrap/>
            <w:hideMark/>
          </w:tcPr>
          <w:p w14:paraId="620CFD7D" w14:textId="77777777" w:rsidR="00382287" w:rsidRPr="00783571" w:rsidRDefault="00382287" w:rsidP="00B70295">
            <w:pPr>
              <w:pStyle w:val="Tabletextindented"/>
              <w:spacing w:before="10" w:after="10" w:line="240" w:lineRule="auto"/>
              <w:ind w:left="360"/>
              <w:rPr>
                <w:rFonts w:ascii="Verdana" w:hAnsi="Verdana"/>
                <w:sz w:val="18"/>
                <w:szCs w:val="18"/>
              </w:rPr>
            </w:pPr>
            <w:r w:rsidRPr="00783571">
              <w:rPr>
                <w:rFonts w:ascii="Verdana" w:hAnsi="Verdana"/>
                <w:sz w:val="18"/>
                <w:szCs w:val="18"/>
              </w:rPr>
              <w:t>Overall</w:t>
            </w:r>
          </w:p>
        </w:tc>
        <w:tc>
          <w:tcPr>
            <w:tcW w:w="1420" w:type="dxa"/>
            <w:tcBorders>
              <w:top w:val="single" w:sz="4" w:space="0" w:color="808080" w:themeColor="background1" w:themeShade="80"/>
              <w:bottom w:val="single" w:sz="4" w:space="0" w:color="808080" w:themeColor="background1" w:themeShade="80"/>
            </w:tcBorders>
            <w:shd w:val="clear" w:color="auto" w:fill="auto"/>
            <w:noWrap/>
            <w:hideMark/>
          </w:tcPr>
          <w:p w14:paraId="27658213"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23" w:type="dxa"/>
            <w:tcBorders>
              <w:top w:val="single" w:sz="4" w:space="0" w:color="808080" w:themeColor="background1" w:themeShade="80"/>
              <w:bottom w:val="single" w:sz="4" w:space="0" w:color="808080" w:themeColor="background1" w:themeShade="80"/>
            </w:tcBorders>
            <w:shd w:val="clear" w:color="auto" w:fill="auto"/>
            <w:noWrap/>
            <w:hideMark/>
          </w:tcPr>
          <w:p w14:paraId="7C3BC853"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77" w:type="dxa"/>
            <w:tcBorders>
              <w:top w:val="single" w:sz="4" w:space="0" w:color="808080" w:themeColor="background1" w:themeShade="80"/>
              <w:bottom w:val="single" w:sz="4" w:space="0" w:color="808080" w:themeColor="background1" w:themeShade="80"/>
            </w:tcBorders>
            <w:shd w:val="clear" w:color="auto" w:fill="auto"/>
            <w:noWrap/>
            <w:hideMark/>
          </w:tcPr>
          <w:p w14:paraId="1C81058D"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373" w:type="dxa"/>
            <w:tcBorders>
              <w:top w:val="single" w:sz="4" w:space="0" w:color="808080" w:themeColor="background1" w:themeShade="80"/>
              <w:bottom w:val="single" w:sz="4" w:space="0" w:color="808080" w:themeColor="background1" w:themeShade="80"/>
            </w:tcBorders>
            <w:shd w:val="clear" w:color="auto" w:fill="auto"/>
            <w:noWrap/>
          </w:tcPr>
          <w:p w14:paraId="1CBEAD32"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29.882%</w:t>
            </w:r>
          </w:p>
        </w:tc>
        <w:tc>
          <w:tcPr>
            <w:tcW w:w="1423" w:type="dxa"/>
            <w:tcBorders>
              <w:top w:val="single" w:sz="4" w:space="0" w:color="808080" w:themeColor="background1" w:themeShade="80"/>
              <w:bottom w:val="single" w:sz="4" w:space="0" w:color="808080" w:themeColor="background1" w:themeShade="80"/>
            </w:tcBorders>
            <w:shd w:val="clear" w:color="auto" w:fill="auto"/>
            <w:noWrap/>
          </w:tcPr>
          <w:p w14:paraId="5A0708C4"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14.863%</w:t>
            </w:r>
          </w:p>
        </w:tc>
        <w:tc>
          <w:tcPr>
            <w:tcW w:w="1509" w:type="dxa"/>
            <w:tcBorders>
              <w:top w:val="single" w:sz="4" w:space="0" w:color="808080" w:themeColor="background1" w:themeShade="80"/>
              <w:bottom w:val="single" w:sz="4" w:space="0" w:color="808080" w:themeColor="background1" w:themeShade="80"/>
            </w:tcBorders>
            <w:shd w:val="clear" w:color="auto" w:fill="auto"/>
            <w:noWrap/>
          </w:tcPr>
          <w:p w14:paraId="5AE82A7B"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10.817%</w:t>
            </w:r>
          </w:p>
        </w:tc>
        <w:tc>
          <w:tcPr>
            <w:tcW w:w="2445" w:type="dxa"/>
            <w:tcBorders>
              <w:top w:val="single" w:sz="4" w:space="0" w:color="808080" w:themeColor="background1" w:themeShade="80"/>
              <w:bottom w:val="single" w:sz="4" w:space="0" w:color="808080" w:themeColor="background1" w:themeShade="80"/>
            </w:tcBorders>
            <w:shd w:val="clear" w:color="auto" w:fill="auto"/>
            <w:noWrap/>
            <w:hideMark/>
          </w:tcPr>
          <w:p w14:paraId="17B2A460" w14:textId="2CF3D1B8" w:rsidR="00382287" w:rsidRPr="00783571" w:rsidRDefault="00382287" w:rsidP="00977D61">
            <w:pPr>
              <w:pStyle w:val="Tabletext0"/>
              <w:spacing w:before="10" w:after="10" w:line="240" w:lineRule="auto"/>
              <w:rPr>
                <w:rFonts w:ascii="Verdana" w:hAnsi="Verdana"/>
                <w:sz w:val="18"/>
                <w:szCs w:val="18"/>
              </w:rPr>
            </w:pPr>
            <w:r w:rsidRPr="00783571">
              <w:rPr>
                <w:rFonts w:ascii="Verdana" w:hAnsi="Verdana"/>
                <w:sz w:val="18"/>
                <w:szCs w:val="18"/>
              </w:rPr>
              <w:t>CDC (201</w:t>
            </w:r>
            <w:r w:rsidR="0013027E" w:rsidRPr="00783571">
              <w:rPr>
                <w:rFonts w:ascii="Verdana" w:hAnsi="Verdana"/>
                <w:sz w:val="18"/>
                <w:szCs w:val="18"/>
              </w:rPr>
              <w:t>2</w:t>
            </w:r>
            <w:r w:rsidR="00D63BB9" w:rsidRPr="00783571">
              <w:rPr>
                <w:rFonts w:ascii="Verdana" w:hAnsi="Verdana"/>
                <w:sz w:val="18"/>
                <w:szCs w:val="18"/>
              </w:rPr>
              <w:t>b</w:t>
            </w:r>
            <w:r w:rsidRPr="00783571">
              <w:rPr>
                <w:rFonts w:ascii="Verdana" w:hAnsi="Verdana"/>
                <w:sz w:val="18"/>
                <w:szCs w:val="18"/>
              </w:rPr>
              <w:t>)</w:t>
            </w:r>
            <w:r w:rsidR="00977D61" w:rsidRPr="00783571">
              <w:rPr>
                <w:rFonts w:ascii="Verdana" w:hAnsi="Verdana"/>
                <w:sz w:val="18"/>
                <w:szCs w:val="18"/>
                <w:vertAlign w:val="superscript"/>
              </w:rPr>
              <w:t>l</w:t>
            </w:r>
          </w:p>
        </w:tc>
      </w:tr>
      <w:tr w:rsidR="00382287" w:rsidRPr="00783571" w14:paraId="6C1E40EA" w14:textId="77777777" w:rsidTr="0016571A">
        <w:tc>
          <w:tcPr>
            <w:tcW w:w="2096" w:type="dxa"/>
            <w:tcBorders>
              <w:top w:val="single" w:sz="4" w:space="0" w:color="808080" w:themeColor="background1" w:themeShade="80"/>
              <w:bottom w:val="single" w:sz="4" w:space="0" w:color="808080" w:themeColor="background1" w:themeShade="80"/>
            </w:tcBorders>
            <w:shd w:val="clear" w:color="auto" w:fill="auto"/>
            <w:noWrap/>
            <w:hideMark/>
          </w:tcPr>
          <w:p w14:paraId="5626F25D" w14:textId="77777777" w:rsidR="00382287" w:rsidRPr="00783571" w:rsidRDefault="00382287" w:rsidP="00B70295">
            <w:pPr>
              <w:pStyle w:val="Tabletextindented"/>
              <w:spacing w:before="10" w:after="10" w:line="240" w:lineRule="auto"/>
              <w:ind w:left="360"/>
              <w:rPr>
                <w:rFonts w:ascii="Verdana" w:hAnsi="Verdana"/>
                <w:sz w:val="18"/>
                <w:szCs w:val="18"/>
              </w:rPr>
            </w:pPr>
            <w:r w:rsidRPr="00783571">
              <w:rPr>
                <w:rFonts w:ascii="Verdana" w:hAnsi="Verdana"/>
                <w:sz w:val="18"/>
                <w:szCs w:val="18"/>
              </w:rPr>
              <w:t>High</w:t>
            </w:r>
          </w:p>
        </w:tc>
        <w:tc>
          <w:tcPr>
            <w:tcW w:w="1420" w:type="dxa"/>
            <w:tcBorders>
              <w:top w:val="single" w:sz="4" w:space="0" w:color="808080" w:themeColor="background1" w:themeShade="80"/>
              <w:bottom w:val="single" w:sz="4" w:space="0" w:color="808080" w:themeColor="background1" w:themeShade="80"/>
            </w:tcBorders>
            <w:shd w:val="clear" w:color="auto" w:fill="auto"/>
            <w:noWrap/>
            <w:hideMark/>
          </w:tcPr>
          <w:p w14:paraId="2F2CB62C"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23" w:type="dxa"/>
            <w:tcBorders>
              <w:top w:val="single" w:sz="4" w:space="0" w:color="808080" w:themeColor="background1" w:themeShade="80"/>
              <w:bottom w:val="single" w:sz="4" w:space="0" w:color="808080" w:themeColor="background1" w:themeShade="80"/>
            </w:tcBorders>
            <w:shd w:val="clear" w:color="auto" w:fill="auto"/>
            <w:noWrap/>
            <w:hideMark/>
          </w:tcPr>
          <w:p w14:paraId="61558E66"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77" w:type="dxa"/>
            <w:tcBorders>
              <w:top w:val="single" w:sz="4" w:space="0" w:color="808080" w:themeColor="background1" w:themeShade="80"/>
              <w:bottom w:val="single" w:sz="4" w:space="0" w:color="808080" w:themeColor="background1" w:themeShade="80"/>
            </w:tcBorders>
            <w:shd w:val="clear" w:color="auto" w:fill="auto"/>
            <w:noWrap/>
            <w:hideMark/>
          </w:tcPr>
          <w:p w14:paraId="2A44C5C8"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373" w:type="dxa"/>
            <w:tcBorders>
              <w:top w:val="single" w:sz="4" w:space="0" w:color="808080" w:themeColor="background1" w:themeShade="80"/>
              <w:bottom w:val="single" w:sz="4" w:space="0" w:color="808080" w:themeColor="background1" w:themeShade="80"/>
            </w:tcBorders>
            <w:shd w:val="clear" w:color="auto" w:fill="auto"/>
            <w:noWrap/>
          </w:tcPr>
          <w:p w14:paraId="2B64649F"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40.645%</w:t>
            </w:r>
          </w:p>
        </w:tc>
        <w:tc>
          <w:tcPr>
            <w:tcW w:w="1423" w:type="dxa"/>
            <w:tcBorders>
              <w:top w:val="single" w:sz="4" w:space="0" w:color="808080" w:themeColor="background1" w:themeShade="80"/>
              <w:bottom w:val="single" w:sz="4" w:space="0" w:color="808080" w:themeColor="background1" w:themeShade="80"/>
            </w:tcBorders>
            <w:shd w:val="clear" w:color="auto" w:fill="auto"/>
            <w:noWrap/>
          </w:tcPr>
          <w:p w14:paraId="4574EEDE"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20.217%</w:t>
            </w:r>
          </w:p>
        </w:tc>
        <w:tc>
          <w:tcPr>
            <w:tcW w:w="1509" w:type="dxa"/>
            <w:tcBorders>
              <w:top w:val="single" w:sz="4" w:space="0" w:color="808080" w:themeColor="background1" w:themeShade="80"/>
              <w:bottom w:val="single" w:sz="4" w:space="0" w:color="808080" w:themeColor="background1" w:themeShade="80"/>
            </w:tcBorders>
            <w:shd w:val="clear" w:color="auto" w:fill="auto"/>
            <w:noWrap/>
          </w:tcPr>
          <w:p w14:paraId="31FCA2F3"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14.714%</w:t>
            </w:r>
          </w:p>
        </w:tc>
        <w:tc>
          <w:tcPr>
            <w:tcW w:w="2445" w:type="dxa"/>
            <w:tcBorders>
              <w:top w:val="single" w:sz="4" w:space="0" w:color="808080" w:themeColor="background1" w:themeShade="80"/>
              <w:bottom w:val="single" w:sz="4" w:space="0" w:color="808080" w:themeColor="background1" w:themeShade="80"/>
            </w:tcBorders>
            <w:shd w:val="clear" w:color="auto" w:fill="auto"/>
            <w:noWrap/>
            <w:hideMark/>
          </w:tcPr>
          <w:p w14:paraId="4404181F" w14:textId="3402071A" w:rsidR="00382287" w:rsidRPr="00783571" w:rsidRDefault="00977D61" w:rsidP="00977D61">
            <w:pPr>
              <w:pStyle w:val="Tabletext0"/>
              <w:spacing w:before="10" w:after="10" w:line="240" w:lineRule="auto"/>
              <w:rPr>
                <w:rFonts w:ascii="Verdana" w:hAnsi="Verdana" w:cs="Calibri"/>
                <w:color w:val="000000"/>
                <w:sz w:val="18"/>
                <w:szCs w:val="18"/>
              </w:rPr>
            </w:pPr>
            <w:r w:rsidRPr="00783571">
              <w:rPr>
                <w:rFonts w:ascii="Verdana" w:hAnsi="Verdana"/>
                <w:sz w:val="18"/>
                <w:szCs w:val="18"/>
              </w:rPr>
              <w:t>Calculated</w:t>
            </w:r>
            <w:r w:rsidRPr="00783571">
              <w:rPr>
                <w:rFonts w:ascii="Verdana" w:hAnsi="Verdana"/>
                <w:sz w:val="18"/>
                <w:szCs w:val="18"/>
                <w:vertAlign w:val="superscript"/>
              </w:rPr>
              <w:t>m</w:t>
            </w:r>
          </w:p>
        </w:tc>
      </w:tr>
      <w:tr w:rsidR="00382287" w:rsidRPr="00783571" w14:paraId="09BDFBA7" w14:textId="77777777" w:rsidTr="0016571A">
        <w:tc>
          <w:tcPr>
            <w:tcW w:w="2096" w:type="dxa"/>
            <w:tcBorders>
              <w:top w:val="single" w:sz="4" w:space="0" w:color="808080" w:themeColor="background1" w:themeShade="80"/>
              <w:bottom w:val="single" w:sz="12" w:space="0" w:color="auto"/>
            </w:tcBorders>
            <w:shd w:val="clear" w:color="auto" w:fill="auto"/>
            <w:noWrap/>
            <w:hideMark/>
          </w:tcPr>
          <w:p w14:paraId="5FAD412D" w14:textId="77777777" w:rsidR="00382287" w:rsidRPr="00783571" w:rsidRDefault="00382287" w:rsidP="00B70295">
            <w:pPr>
              <w:pStyle w:val="Tabletextindented"/>
              <w:spacing w:before="10" w:after="10" w:line="240" w:lineRule="auto"/>
              <w:ind w:left="360"/>
              <w:rPr>
                <w:rFonts w:ascii="Verdana" w:hAnsi="Verdana"/>
                <w:sz w:val="18"/>
                <w:szCs w:val="18"/>
              </w:rPr>
            </w:pPr>
            <w:r w:rsidRPr="00783571">
              <w:rPr>
                <w:rFonts w:ascii="Verdana" w:hAnsi="Verdana"/>
                <w:sz w:val="18"/>
                <w:szCs w:val="18"/>
              </w:rPr>
              <w:t>Low</w:t>
            </w:r>
          </w:p>
        </w:tc>
        <w:tc>
          <w:tcPr>
            <w:tcW w:w="1420" w:type="dxa"/>
            <w:tcBorders>
              <w:top w:val="single" w:sz="4" w:space="0" w:color="808080" w:themeColor="background1" w:themeShade="80"/>
              <w:bottom w:val="single" w:sz="12" w:space="0" w:color="auto"/>
            </w:tcBorders>
            <w:shd w:val="clear" w:color="auto" w:fill="auto"/>
            <w:noWrap/>
            <w:hideMark/>
          </w:tcPr>
          <w:p w14:paraId="14AA320B"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23" w:type="dxa"/>
            <w:tcBorders>
              <w:top w:val="single" w:sz="4" w:space="0" w:color="808080" w:themeColor="background1" w:themeShade="80"/>
              <w:bottom w:val="single" w:sz="12" w:space="0" w:color="auto"/>
            </w:tcBorders>
            <w:shd w:val="clear" w:color="auto" w:fill="auto"/>
            <w:noWrap/>
            <w:hideMark/>
          </w:tcPr>
          <w:p w14:paraId="604E898A"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477" w:type="dxa"/>
            <w:tcBorders>
              <w:top w:val="single" w:sz="4" w:space="0" w:color="808080" w:themeColor="background1" w:themeShade="80"/>
              <w:bottom w:val="single" w:sz="12" w:space="0" w:color="auto"/>
            </w:tcBorders>
            <w:shd w:val="clear" w:color="auto" w:fill="auto"/>
            <w:noWrap/>
            <w:hideMark/>
          </w:tcPr>
          <w:p w14:paraId="3FFF6027" w14:textId="77777777" w:rsidR="00382287" w:rsidRPr="00783571" w:rsidRDefault="00382287" w:rsidP="00B70295">
            <w:pPr>
              <w:pStyle w:val="Tabletext0"/>
              <w:spacing w:before="10" w:after="10" w:line="240" w:lineRule="auto"/>
              <w:ind w:right="134"/>
              <w:jc w:val="right"/>
              <w:rPr>
                <w:rFonts w:ascii="Verdana" w:hAnsi="Verdana"/>
                <w:sz w:val="18"/>
                <w:szCs w:val="18"/>
              </w:rPr>
            </w:pPr>
          </w:p>
        </w:tc>
        <w:tc>
          <w:tcPr>
            <w:tcW w:w="1373" w:type="dxa"/>
            <w:tcBorders>
              <w:top w:val="single" w:sz="4" w:space="0" w:color="808080" w:themeColor="background1" w:themeShade="80"/>
              <w:bottom w:val="single" w:sz="12" w:space="0" w:color="auto"/>
            </w:tcBorders>
            <w:shd w:val="clear" w:color="auto" w:fill="auto"/>
            <w:noWrap/>
          </w:tcPr>
          <w:p w14:paraId="43189D06"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5.470%</w:t>
            </w:r>
          </w:p>
        </w:tc>
        <w:tc>
          <w:tcPr>
            <w:tcW w:w="1423" w:type="dxa"/>
            <w:tcBorders>
              <w:top w:val="single" w:sz="4" w:space="0" w:color="808080" w:themeColor="background1" w:themeShade="80"/>
              <w:bottom w:val="single" w:sz="12" w:space="0" w:color="auto"/>
            </w:tcBorders>
            <w:shd w:val="clear" w:color="auto" w:fill="auto"/>
            <w:noWrap/>
          </w:tcPr>
          <w:p w14:paraId="224CB564"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2.721%</w:t>
            </w:r>
          </w:p>
        </w:tc>
        <w:tc>
          <w:tcPr>
            <w:tcW w:w="1509" w:type="dxa"/>
            <w:tcBorders>
              <w:top w:val="single" w:sz="4" w:space="0" w:color="808080" w:themeColor="background1" w:themeShade="80"/>
              <w:bottom w:val="single" w:sz="12" w:space="0" w:color="auto"/>
            </w:tcBorders>
            <w:shd w:val="clear" w:color="auto" w:fill="auto"/>
            <w:noWrap/>
          </w:tcPr>
          <w:p w14:paraId="73D7785E" w14:textId="77777777" w:rsidR="00382287" w:rsidRPr="00783571" w:rsidRDefault="001005C1" w:rsidP="00B70295">
            <w:pPr>
              <w:pStyle w:val="Tabletext0"/>
              <w:spacing w:before="10" w:after="10" w:line="240" w:lineRule="auto"/>
              <w:ind w:right="134"/>
              <w:jc w:val="right"/>
              <w:rPr>
                <w:rFonts w:ascii="Verdana" w:hAnsi="Verdana"/>
                <w:sz w:val="18"/>
                <w:szCs w:val="18"/>
              </w:rPr>
            </w:pPr>
            <w:r w:rsidRPr="00783571">
              <w:rPr>
                <w:rFonts w:ascii="Verdana" w:hAnsi="Verdana"/>
                <w:sz w:val="18"/>
                <w:szCs w:val="18"/>
              </w:rPr>
              <w:t>1.980%</w:t>
            </w:r>
          </w:p>
        </w:tc>
        <w:tc>
          <w:tcPr>
            <w:tcW w:w="2445" w:type="dxa"/>
            <w:tcBorders>
              <w:top w:val="single" w:sz="4" w:space="0" w:color="808080" w:themeColor="background1" w:themeShade="80"/>
              <w:bottom w:val="single" w:sz="12" w:space="0" w:color="auto"/>
            </w:tcBorders>
            <w:shd w:val="clear" w:color="auto" w:fill="auto"/>
            <w:noWrap/>
            <w:hideMark/>
          </w:tcPr>
          <w:p w14:paraId="2C31B373" w14:textId="78751945" w:rsidR="00382287" w:rsidRPr="00783571" w:rsidRDefault="00977D61" w:rsidP="00977D61">
            <w:pPr>
              <w:pStyle w:val="Tabletext0"/>
              <w:spacing w:before="10" w:after="10" w:line="240" w:lineRule="auto"/>
              <w:rPr>
                <w:rFonts w:ascii="Verdana" w:hAnsi="Verdana" w:cs="Calibri"/>
                <w:color w:val="000000"/>
                <w:sz w:val="18"/>
                <w:szCs w:val="18"/>
              </w:rPr>
            </w:pPr>
            <w:r w:rsidRPr="00783571">
              <w:rPr>
                <w:rFonts w:ascii="Verdana" w:hAnsi="Verdana"/>
                <w:sz w:val="18"/>
                <w:szCs w:val="18"/>
              </w:rPr>
              <w:t>Calculated</w:t>
            </w:r>
            <w:r w:rsidRPr="00783571">
              <w:rPr>
                <w:rFonts w:ascii="Verdana" w:hAnsi="Verdana"/>
                <w:sz w:val="18"/>
                <w:szCs w:val="18"/>
                <w:vertAlign w:val="superscript"/>
              </w:rPr>
              <w:t>m</w:t>
            </w:r>
          </w:p>
        </w:tc>
      </w:tr>
    </w:tbl>
    <w:p w14:paraId="4D9B767B" w14:textId="49F1F800" w:rsidR="00382287" w:rsidRPr="00783571" w:rsidRDefault="00D4774B" w:rsidP="0016571A">
      <w:pPr>
        <w:pStyle w:val="Source3"/>
      </w:pPr>
      <w:r w:rsidRPr="00783571">
        <w:t xml:space="preserve">Note: </w:t>
      </w:r>
      <w:r w:rsidR="00382287" w:rsidRPr="00783571">
        <w:t>CDC</w:t>
      </w:r>
      <w:r w:rsidR="00E628BE" w:rsidRPr="00783571">
        <w:t> = </w:t>
      </w:r>
      <w:r w:rsidR="00382287" w:rsidRPr="00783571">
        <w:t>Centers for Disease Control and Prevention; HET</w:t>
      </w:r>
      <w:r w:rsidR="00E628BE" w:rsidRPr="00783571">
        <w:t> = </w:t>
      </w:r>
      <w:r w:rsidR="00382287" w:rsidRPr="00783571">
        <w:t>heterosexual; HIV</w:t>
      </w:r>
      <w:r w:rsidR="00E628BE" w:rsidRPr="00783571">
        <w:t> = </w:t>
      </w:r>
      <w:r w:rsidR="00382287" w:rsidRPr="00783571">
        <w:t>human immunodeficiency virus; MSM</w:t>
      </w:r>
      <w:r w:rsidR="00E628BE" w:rsidRPr="00783571">
        <w:t> = </w:t>
      </w:r>
      <w:r w:rsidR="00382287" w:rsidRPr="00783571">
        <w:t>men who have sex with men</w:t>
      </w:r>
      <w:r w:rsidR="00AF4912" w:rsidRPr="00783571">
        <w:t xml:space="preserve">; </w:t>
      </w:r>
      <w:r w:rsidR="00A410B5" w:rsidRPr="00783571">
        <w:t>N/A</w:t>
      </w:r>
      <w:r w:rsidR="00E628BE" w:rsidRPr="00783571">
        <w:t> = </w:t>
      </w:r>
      <w:r w:rsidR="00CD5904" w:rsidRPr="00783571">
        <w:t xml:space="preserve">not applicable; </w:t>
      </w:r>
      <w:r w:rsidR="00AF4912" w:rsidRPr="00783571">
        <w:t>NHBS</w:t>
      </w:r>
      <w:r w:rsidR="00E628BE" w:rsidRPr="00783571">
        <w:t> = </w:t>
      </w:r>
      <w:r w:rsidR="00AF4912" w:rsidRPr="00783571">
        <w:t>National HIV Behavioral Surveillance</w:t>
      </w:r>
      <w:r w:rsidR="00F77D76" w:rsidRPr="00783571">
        <w:t>; PWID</w:t>
      </w:r>
      <w:r w:rsidR="00E628BE" w:rsidRPr="00783571">
        <w:t> = </w:t>
      </w:r>
      <w:r w:rsidR="00F77D76" w:rsidRPr="00783571">
        <w:t>people who inject drugs</w:t>
      </w:r>
    </w:p>
    <w:p w14:paraId="41FBC15F" w14:textId="77777777" w:rsidR="001F5372" w:rsidRPr="00783571" w:rsidRDefault="00977D61" w:rsidP="0016571A">
      <w:pPr>
        <w:pStyle w:val="Source3"/>
      </w:pPr>
      <w:r w:rsidRPr="00783571">
        <w:rPr>
          <w:vertAlign w:val="superscript"/>
        </w:rPr>
        <w:t>a</w:t>
      </w:r>
      <w:r w:rsidRPr="00783571">
        <w:rPr>
          <w:vertAlign w:val="subscript"/>
        </w:rPr>
        <w:t xml:space="preserve"> </w:t>
      </w:r>
      <w:r w:rsidRPr="00783571">
        <w:t>Estimate reflects injection drug use in past 12 months.</w:t>
      </w:r>
    </w:p>
    <w:p w14:paraId="26CF84A4" w14:textId="77777777" w:rsidR="001F5372" w:rsidRPr="00783571" w:rsidRDefault="00977D61" w:rsidP="0016571A">
      <w:pPr>
        <w:pStyle w:val="Source3"/>
      </w:pPr>
      <w:r w:rsidRPr="00783571">
        <w:rPr>
          <w:vertAlign w:val="superscript"/>
        </w:rPr>
        <w:t>b</w:t>
      </w:r>
      <w:r w:rsidRPr="00783571">
        <w:rPr>
          <w:vertAlign w:val="subscript"/>
        </w:rPr>
        <w:t xml:space="preserve"> </w:t>
      </w:r>
      <w:r w:rsidR="00485F08" w:rsidRPr="00783571">
        <w:t xml:space="preserve">Estimate reflects MSM </w:t>
      </w:r>
      <w:r w:rsidR="00C07FDC" w:rsidRPr="00783571">
        <w:t xml:space="preserve">risk </w:t>
      </w:r>
      <w:r w:rsidR="00485F08" w:rsidRPr="00783571">
        <w:t>behavior</w:t>
      </w:r>
      <w:r w:rsidR="00C07FDC" w:rsidRPr="00783571">
        <w:t>s</w:t>
      </w:r>
      <w:r w:rsidR="00485F08" w:rsidRPr="00783571">
        <w:t xml:space="preserve"> in past 5 years. Note that the percentage with MSM behaviors in the past year was reported as 2.9% in</w:t>
      </w:r>
      <w:r w:rsidR="00995229" w:rsidRPr="00783571">
        <w:t xml:space="preserve"> </w:t>
      </w:r>
      <w:r w:rsidR="00485F08" w:rsidRPr="00783571">
        <w:t>Purcell et al. (2012)</w:t>
      </w:r>
      <w:r w:rsidR="00C07FDC" w:rsidRPr="00783571">
        <w:t>.</w:t>
      </w:r>
    </w:p>
    <w:p w14:paraId="38497F23" w14:textId="723643AF" w:rsidR="00124A14" w:rsidRPr="00783571" w:rsidRDefault="00977D61" w:rsidP="0016571A">
      <w:pPr>
        <w:pStyle w:val="Source3"/>
      </w:pPr>
      <w:r w:rsidRPr="00783571">
        <w:rPr>
          <w:vertAlign w:val="subscript"/>
        </w:rPr>
        <w:t>c</w:t>
      </w:r>
      <w:r w:rsidR="00485F08" w:rsidRPr="00783571">
        <w:rPr>
          <w:vertAlign w:val="subscript"/>
        </w:rPr>
        <w:t xml:space="preserve"> </w:t>
      </w:r>
      <w:r w:rsidR="00124A14" w:rsidRPr="00783571">
        <w:t>All PWID assumed to be high risk.</w:t>
      </w:r>
    </w:p>
    <w:p w14:paraId="5D6DF5A0" w14:textId="0C597EAB" w:rsidR="00124A14" w:rsidRPr="00783571" w:rsidRDefault="00977D61" w:rsidP="0016571A">
      <w:pPr>
        <w:pStyle w:val="Source3"/>
        <w:rPr>
          <w:vertAlign w:val="subscript"/>
        </w:rPr>
      </w:pPr>
      <w:r w:rsidRPr="00783571">
        <w:rPr>
          <w:vertAlign w:val="superscript"/>
        </w:rPr>
        <w:t>d</w:t>
      </w:r>
      <w:r w:rsidRPr="00783571">
        <w:t xml:space="preserve"> </w:t>
      </w:r>
      <w:r w:rsidR="00124A14" w:rsidRPr="00783571">
        <w:t>Identified high-risk MSM based on criteria for PrEP eligibility</w:t>
      </w:r>
      <w:r w:rsidR="00D213D3" w:rsidRPr="00783571">
        <w:t xml:space="preserve"> </w:t>
      </w:r>
      <w:r w:rsidR="00E012C8" w:rsidRPr="00783571">
        <w:t>using</w:t>
      </w:r>
      <w:r w:rsidR="00D213D3" w:rsidRPr="00783571">
        <w:t xml:space="preserve"> 2008 NHBS MSM cycle 2 data. Among MSM aged 18</w:t>
      </w:r>
      <w:r w:rsidR="001B1470" w:rsidRPr="00783571">
        <w:t xml:space="preserve"> to </w:t>
      </w:r>
      <w:r w:rsidR="00D213D3" w:rsidRPr="00783571">
        <w:t xml:space="preserve">64 who reported at least one occasion of anal sex in the past 12 months (regardless of HIV status), we used the following criteria </w:t>
      </w:r>
      <w:r w:rsidR="006705F3" w:rsidRPr="00783571">
        <w:t>to identify those at high risk:</w:t>
      </w:r>
      <w:r w:rsidR="00D213D3" w:rsidRPr="00783571">
        <w:t xml:space="preserve"> </w:t>
      </w:r>
      <w:r w:rsidR="00124A14" w:rsidRPr="00783571">
        <w:t xml:space="preserve">not in a monogamous partnership with another susceptible man </w:t>
      </w:r>
      <w:r w:rsidR="00D213D3" w:rsidRPr="00783571">
        <w:t>and</w:t>
      </w:r>
      <w:r w:rsidR="00124A14" w:rsidRPr="00783571">
        <w:t xml:space="preserve"> at least one of the following</w:t>
      </w:r>
      <w:r w:rsidR="00E012C8" w:rsidRPr="00783571">
        <w:t xml:space="preserve"> </w:t>
      </w:r>
      <w:r w:rsidR="001B1470" w:rsidRPr="00783571">
        <w:t>three</w:t>
      </w:r>
      <w:r w:rsidR="00E012C8" w:rsidRPr="00783571">
        <w:t xml:space="preserve"> risk behaviors</w:t>
      </w:r>
      <w:r w:rsidR="00D213D3" w:rsidRPr="00783571">
        <w:t xml:space="preserve">: had </w:t>
      </w:r>
      <w:r w:rsidR="00124A14" w:rsidRPr="00783571">
        <w:t xml:space="preserve">unprotected anal sex in past 12 months, last partner was </w:t>
      </w:r>
      <w:r w:rsidR="005F5C70" w:rsidRPr="00783571">
        <w:t>HIV-infected</w:t>
      </w:r>
      <w:r w:rsidR="00124A14" w:rsidRPr="00783571">
        <w:t xml:space="preserve"> or unknown</w:t>
      </w:r>
      <w:r w:rsidR="00D213D3" w:rsidRPr="00783571">
        <w:t xml:space="preserve"> status</w:t>
      </w:r>
      <w:r w:rsidR="00124A14" w:rsidRPr="00783571">
        <w:t xml:space="preserve">, </w:t>
      </w:r>
      <w:r w:rsidR="00D213D3" w:rsidRPr="00783571">
        <w:t xml:space="preserve">or had </w:t>
      </w:r>
      <w:r w:rsidR="00124A14" w:rsidRPr="00783571">
        <w:t xml:space="preserve">any sexually transmitted </w:t>
      </w:r>
      <w:r w:rsidR="00B30A8B" w:rsidRPr="00783571">
        <w:t xml:space="preserve">infection </w:t>
      </w:r>
      <w:r w:rsidR="00124A14" w:rsidRPr="00783571">
        <w:t xml:space="preserve">diagnosed or reported in past 12 months. In the NHBS analysis, </w:t>
      </w:r>
      <w:r w:rsidR="005F5C70" w:rsidRPr="00783571">
        <w:t>HIV-infected</w:t>
      </w:r>
      <w:r w:rsidR="00124A14" w:rsidRPr="00783571">
        <w:t xml:space="preserve"> individuals were not eligible to receive PrEP but were included in the high-risk MSM population if they met at least one of the criteria. Number of high-risk MSM calculated as total MSM multiplied by the percentage of MSM population at high-risk.</w:t>
      </w:r>
    </w:p>
    <w:p w14:paraId="2728CE63" w14:textId="2025491B" w:rsidR="004F4E6D" w:rsidRPr="00783571" w:rsidRDefault="00977D61" w:rsidP="0016571A">
      <w:pPr>
        <w:pStyle w:val="Source3"/>
      </w:pPr>
      <w:r w:rsidRPr="00783571">
        <w:rPr>
          <w:vertAlign w:val="superscript"/>
        </w:rPr>
        <w:t>e</w:t>
      </w:r>
      <w:r w:rsidRPr="00783571">
        <w:t xml:space="preserve"> </w:t>
      </w:r>
      <w:r w:rsidR="006934C5" w:rsidRPr="00783571">
        <w:t xml:space="preserve">Proportions in each race/sex category were based on median proportions of </w:t>
      </w:r>
      <w:r w:rsidR="00F77D76" w:rsidRPr="00783571">
        <w:t>PWID</w:t>
      </w:r>
      <w:r w:rsidR="006934C5" w:rsidRPr="00783571">
        <w:t xml:space="preserve"> in each category reported by C</w:t>
      </w:r>
      <w:r w:rsidR="00256551" w:rsidRPr="00783571">
        <w:t>ooper et al. (2005)</w:t>
      </w:r>
      <w:r w:rsidR="006934C5" w:rsidRPr="00783571">
        <w:t>. However, because those</w:t>
      </w:r>
      <w:r w:rsidR="00256551" w:rsidRPr="00783571">
        <w:t xml:space="preserve"> medians did not sum to 100</w:t>
      </w:r>
      <w:r w:rsidR="006934C5" w:rsidRPr="00783571">
        <w:t xml:space="preserve">, we proportionally adjusted </w:t>
      </w:r>
      <w:r w:rsidR="00256551" w:rsidRPr="00783571">
        <w:t xml:space="preserve">the </w:t>
      </w:r>
      <w:r w:rsidR="006934C5" w:rsidRPr="00783571">
        <w:t xml:space="preserve">sizes of the </w:t>
      </w:r>
      <w:r w:rsidR="00256551" w:rsidRPr="00783571">
        <w:t xml:space="preserve">Black and Hispanic populations </w:t>
      </w:r>
      <w:r w:rsidR="006934C5" w:rsidRPr="00783571">
        <w:t>so that the total proportions</w:t>
      </w:r>
      <w:r w:rsidR="00256551" w:rsidRPr="00783571">
        <w:t xml:space="preserve"> summed to 100%</w:t>
      </w:r>
      <w:r w:rsidR="000C1AB9" w:rsidRPr="00783571">
        <w:t>.</w:t>
      </w:r>
    </w:p>
    <w:p w14:paraId="3099BBC7" w14:textId="77777777" w:rsidR="0016571A" w:rsidRPr="00783571" w:rsidRDefault="0016571A" w:rsidP="0016571A">
      <w:pPr>
        <w:pStyle w:val="TableTitlecont"/>
        <w:spacing w:before="0" w:after="100"/>
        <w:ind w:left="1530"/>
      </w:pPr>
      <w:r w:rsidRPr="00783571">
        <w:t>Table 4.1.</w:t>
      </w:r>
      <w:r w:rsidRPr="00783571">
        <w:tab/>
        <w:t>Percentage PWID and MSM, Initial Population Size, HIV Prevalence of High- Versus Low-Risk Levels, HIV Prevalence, and Percentage High Risk in Initial Population (continued)</w:t>
      </w:r>
    </w:p>
    <w:p w14:paraId="596EE293" w14:textId="1FED99D9" w:rsidR="0016571A" w:rsidRPr="00783571" w:rsidRDefault="00977D61" w:rsidP="0016571A">
      <w:pPr>
        <w:pStyle w:val="Source3"/>
      </w:pPr>
      <w:r w:rsidRPr="00783571">
        <w:rPr>
          <w:vertAlign w:val="superscript"/>
        </w:rPr>
        <w:t xml:space="preserve">f </w:t>
      </w:r>
      <w:r w:rsidR="00FC5221" w:rsidRPr="00783571">
        <w:t xml:space="preserve">Estimated number of </w:t>
      </w:r>
      <w:r w:rsidR="00382287" w:rsidRPr="00783571">
        <w:t xml:space="preserve">high-risk HETs </w:t>
      </w:r>
      <w:r w:rsidR="00FC5221" w:rsidRPr="00783571">
        <w:t>using</w:t>
      </w:r>
      <w:r w:rsidR="00D03A31" w:rsidRPr="00783571">
        <w:t xml:space="preserve"> unpublished 2007-2011 Census tract data from the American Community Survey (A. Hutchinson, personal communication, June 25, 2014)</w:t>
      </w:r>
      <w:r w:rsidR="00FC5221" w:rsidRPr="00783571">
        <w:t xml:space="preserve">. </w:t>
      </w:r>
      <w:r w:rsidR="00582873" w:rsidRPr="00783571">
        <w:t>We started by obtaining population data for NHBS-HET 2010 metropolitan statistical areas (MSAs)</w:t>
      </w:r>
      <w:r w:rsidR="00864DFE" w:rsidRPr="00783571">
        <w:t xml:space="preserve"> (Sionean </w:t>
      </w:r>
      <w:r w:rsidR="00377525" w:rsidRPr="00783571">
        <w:t>et al.,</w:t>
      </w:r>
      <w:r w:rsidR="00864DFE" w:rsidRPr="00783571">
        <w:t xml:space="preserve"> 2010)</w:t>
      </w:r>
      <w:r w:rsidR="00582873" w:rsidRPr="00783571">
        <w:t xml:space="preserve">. The following </w:t>
      </w:r>
      <w:r w:rsidR="0007563D" w:rsidRPr="00783571">
        <w:t xml:space="preserve">19 </w:t>
      </w:r>
      <w:r w:rsidR="00582873" w:rsidRPr="00783571">
        <w:t>MSAs were included:</w:t>
      </w:r>
      <w:r w:rsidR="0007563D" w:rsidRPr="00783571">
        <w:t xml:space="preserve"> Boston, Nassau-Suffolk Counties, New York City, Newark, Philadelphia, Atlanta, Baltimore, Dallas, Houston, Miami, New Orleans, Washington DC, Chicago, Detroit, Denver, Los Angeles, San Diego, San Francisco, and Seattle.</w:t>
      </w:r>
      <w:r w:rsidR="00582873" w:rsidRPr="00783571">
        <w:t xml:space="preserve"> </w:t>
      </w:r>
      <w:r w:rsidR="00FC5221" w:rsidRPr="00783571">
        <w:t xml:space="preserve">High-risk HETs were </w:t>
      </w:r>
      <w:r w:rsidR="0007563D" w:rsidRPr="00783571">
        <w:t xml:space="preserve">then </w:t>
      </w:r>
      <w:r w:rsidR="00FC5221" w:rsidRPr="00783571">
        <w:t xml:space="preserve">defined </w:t>
      </w:r>
      <w:r w:rsidR="00382287" w:rsidRPr="00783571">
        <w:t xml:space="preserve">as </w:t>
      </w:r>
      <w:r w:rsidR="00C52864" w:rsidRPr="00783571">
        <w:t xml:space="preserve">the </w:t>
      </w:r>
      <w:r w:rsidR="00582873" w:rsidRPr="00783571">
        <w:t xml:space="preserve">estimated </w:t>
      </w:r>
      <w:r w:rsidR="00C52864" w:rsidRPr="00783571">
        <w:t xml:space="preserve">population from census tracts that were </w:t>
      </w:r>
      <w:r w:rsidR="00653EE7" w:rsidRPr="00783571">
        <w:t>majority minority</w:t>
      </w:r>
      <w:r w:rsidR="00582873" w:rsidRPr="00783571">
        <w:t xml:space="preserve"> (&lt;50% white)</w:t>
      </w:r>
      <w:r w:rsidR="00C52864" w:rsidRPr="00783571">
        <w:t>, high poverty</w:t>
      </w:r>
      <w:r w:rsidR="00582873" w:rsidRPr="00783571">
        <w:t xml:space="preserve"> (&gt;20% in poverty)</w:t>
      </w:r>
      <w:r w:rsidR="00C52864" w:rsidRPr="00783571">
        <w:t xml:space="preserve">, </w:t>
      </w:r>
      <w:r w:rsidR="00582873" w:rsidRPr="00783571">
        <w:t xml:space="preserve">and </w:t>
      </w:r>
      <w:r w:rsidR="00C52864" w:rsidRPr="00783571">
        <w:t>urban areas, as identified by</w:t>
      </w:r>
      <w:r w:rsidR="006B24BF" w:rsidRPr="00783571">
        <w:t xml:space="preserve"> </w:t>
      </w:r>
      <w:r w:rsidR="005267B7" w:rsidRPr="00783571">
        <w:t>Rural-Urban Commuting Area codes</w:t>
      </w:r>
      <w:r w:rsidR="0007563D" w:rsidRPr="00783571">
        <w:t xml:space="preserve"> of </w:t>
      </w:r>
      <w:r w:rsidR="00E012C8" w:rsidRPr="00783571">
        <w:t xml:space="preserve">primary = </w:t>
      </w:r>
      <w:r w:rsidR="0007563D" w:rsidRPr="00783571">
        <w:t>1</w:t>
      </w:r>
      <w:r w:rsidR="00E012C8" w:rsidRPr="00783571">
        <w:t xml:space="preserve"> and secondary = 1</w:t>
      </w:r>
      <w:r w:rsidR="00C52864" w:rsidRPr="00783571">
        <w:t>. To limit the</w:t>
      </w:r>
      <w:r w:rsidR="00E012C8" w:rsidRPr="00783571">
        <w:t>se</w:t>
      </w:r>
      <w:r w:rsidR="00C52864" w:rsidRPr="00783571">
        <w:t xml:space="preserve"> census tract population sizes to </w:t>
      </w:r>
      <w:r w:rsidR="00D51793" w:rsidRPr="00783571">
        <w:t>HETs</w:t>
      </w:r>
      <w:r w:rsidR="00C52864" w:rsidRPr="00783571">
        <w:t xml:space="preserve">, we reduced the </w:t>
      </w:r>
      <w:r w:rsidR="0007563D" w:rsidRPr="00783571">
        <w:t xml:space="preserve">total </w:t>
      </w:r>
      <w:r w:rsidR="00C52864" w:rsidRPr="00783571">
        <w:t>population sizes by 4.7%</w:t>
      </w:r>
      <w:r w:rsidR="0007563D" w:rsidRPr="00783571">
        <w:t xml:space="preserve"> for men (to reflect 4.4% MSM and 0.3% PWID) and 0.3% for women (to reflect 0.3% PWID), the </w:t>
      </w:r>
      <w:r w:rsidR="00C52864" w:rsidRPr="00783571">
        <w:t>estimated proportion</w:t>
      </w:r>
      <w:r w:rsidR="0007563D" w:rsidRPr="00783571">
        <w:t>s</w:t>
      </w:r>
      <w:r w:rsidR="00C52864" w:rsidRPr="00783571">
        <w:t xml:space="preserve"> of the population that </w:t>
      </w:r>
      <w:r w:rsidR="0007563D" w:rsidRPr="00783571">
        <w:t xml:space="preserve">were </w:t>
      </w:r>
      <w:r w:rsidR="00C52864" w:rsidRPr="00783571">
        <w:t xml:space="preserve">MSM or </w:t>
      </w:r>
      <w:r w:rsidR="00F77D76" w:rsidRPr="00783571">
        <w:t>PWID</w:t>
      </w:r>
      <w:r w:rsidR="00C52864" w:rsidRPr="00783571">
        <w:t xml:space="preserve"> </w:t>
      </w:r>
      <w:r w:rsidR="0007563D" w:rsidRPr="00783571">
        <w:t xml:space="preserve">in </w:t>
      </w:r>
      <w:r w:rsidR="00C52864" w:rsidRPr="00783571">
        <w:t xml:space="preserve">large central </w:t>
      </w:r>
      <w:r w:rsidR="00C10C15" w:rsidRPr="00783571">
        <w:t>metropolitan urban areas (Oster</w:t>
      </w:r>
      <w:r w:rsidR="00C52864" w:rsidRPr="00783571">
        <w:t xml:space="preserve"> et al.</w:t>
      </w:r>
      <w:r w:rsidR="00C10C15" w:rsidRPr="00783571">
        <w:t>,</w:t>
      </w:r>
      <w:r w:rsidR="00C52864" w:rsidRPr="00783571">
        <w:t xml:space="preserve"> </w:t>
      </w:r>
      <w:r w:rsidR="000C08BE" w:rsidRPr="00783571">
        <w:t>2015</w:t>
      </w:r>
      <w:r w:rsidR="00C52864" w:rsidRPr="00783571">
        <w:t>).</w:t>
      </w:r>
      <w:r w:rsidR="00E012C8" w:rsidRPr="00783571">
        <w:t xml:space="preserve"> We then included </w:t>
      </w:r>
      <w:r w:rsidR="00017354" w:rsidRPr="00783571">
        <w:t xml:space="preserve">in the model </w:t>
      </w:r>
      <w:r w:rsidR="00E012C8" w:rsidRPr="00783571">
        <w:t xml:space="preserve">only the fraction of the HET population that is sexually active (84.1%), based on </w:t>
      </w:r>
      <w:r w:rsidR="00017354" w:rsidRPr="00783571">
        <w:t xml:space="preserve">reports of </w:t>
      </w:r>
      <w:r w:rsidR="00E012C8" w:rsidRPr="00783571">
        <w:t>sex with opposite sex partner in past year, as estimated in Oster et al.</w:t>
      </w:r>
      <w:r w:rsidR="00017354" w:rsidRPr="00783571">
        <w:t xml:space="preserve"> (</w:t>
      </w:r>
      <w:r w:rsidR="00E012C8" w:rsidRPr="00783571">
        <w:t>2014</w:t>
      </w:r>
      <w:r w:rsidR="00017354" w:rsidRPr="00783571">
        <w:t>)</w:t>
      </w:r>
      <w:r w:rsidR="00E012C8" w:rsidRPr="00783571">
        <w:t>.</w:t>
      </w:r>
    </w:p>
    <w:p w14:paraId="560E96D5" w14:textId="77777777" w:rsidR="0016571A" w:rsidRPr="00783571" w:rsidRDefault="00977D61" w:rsidP="0016571A">
      <w:pPr>
        <w:pStyle w:val="Source3"/>
      </w:pPr>
      <w:r w:rsidRPr="00783571">
        <w:rPr>
          <w:vertAlign w:val="superscript"/>
        </w:rPr>
        <w:t>g</w:t>
      </w:r>
      <w:r w:rsidRPr="00783571" w:rsidDel="00124A14">
        <w:rPr>
          <w:vertAlign w:val="superscript"/>
        </w:rPr>
        <w:t xml:space="preserve"> </w:t>
      </w:r>
      <w:r w:rsidR="00382287" w:rsidRPr="00783571">
        <w:t xml:space="preserve">Calculated as the total U.S. population by subgroup </w:t>
      </w:r>
      <w:r w:rsidR="008F514F" w:rsidRPr="00783571">
        <w:t xml:space="preserve">net of </w:t>
      </w:r>
      <w:r w:rsidR="00382287" w:rsidRPr="00783571">
        <w:t xml:space="preserve">the population sizes of </w:t>
      </w:r>
      <w:r w:rsidR="00F77D76" w:rsidRPr="00783571">
        <w:t>PWID</w:t>
      </w:r>
      <w:r w:rsidR="00382287" w:rsidRPr="00783571">
        <w:t>, MSM, and high-risk HETs</w:t>
      </w:r>
      <w:r w:rsidR="00017354" w:rsidRPr="00783571">
        <w:t xml:space="preserve"> (not just sexually active high-risk HETs)</w:t>
      </w:r>
      <w:r w:rsidR="00382287" w:rsidRPr="00783571">
        <w:t>.</w:t>
      </w:r>
      <w:r w:rsidR="00017354" w:rsidRPr="00783571">
        <w:t xml:space="preserve"> The sexually active portion of the low-risk heterosexual population was calculated by applying the fraction of the HET population that is sexually active (84.1%), based on reports of sex with opposite partner in past year, as estimated in Oster et al. (2014).</w:t>
      </w:r>
    </w:p>
    <w:p w14:paraId="5E815A5B" w14:textId="0DF6F480" w:rsidR="00382287" w:rsidRPr="00783571" w:rsidRDefault="00977D61" w:rsidP="0016571A">
      <w:pPr>
        <w:pStyle w:val="Source3"/>
      </w:pPr>
      <w:r w:rsidRPr="00783571">
        <w:rPr>
          <w:vertAlign w:val="superscript"/>
        </w:rPr>
        <w:t>h</w:t>
      </w:r>
      <w:r w:rsidRPr="00783571" w:rsidDel="00124A14">
        <w:rPr>
          <w:vertAlign w:val="superscript"/>
        </w:rPr>
        <w:t xml:space="preserve"> </w:t>
      </w:r>
      <w:r w:rsidR="00382287" w:rsidRPr="00783571">
        <w:t xml:space="preserve">Calculated as total U.S. population, by sex and race or ethnicity, multiplied by the percentage of the adult population that is </w:t>
      </w:r>
      <w:r w:rsidR="00F77D76" w:rsidRPr="00783571">
        <w:t>PWID</w:t>
      </w:r>
      <w:r w:rsidR="00382287" w:rsidRPr="00783571">
        <w:t>.</w:t>
      </w:r>
    </w:p>
    <w:p w14:paraId="23742D7A" w14:textId="34B3DEA0" w:rsidR="00382287" w:rsidRPr="00783571" w:rsidRDefault="00977D61" w:rsidP="0016571A">
      <w:pPr>
        <w:pStyle w:val="Source3"/>
      </w:pPr>
      <w:r w:rsidRPr="00783571">
        <w:rPr>
          <w:vertAlign w:val="superscript"/>
        </w:rPr>
        <w:t>i</w:t>
      </w:r>
      <w:r w:rsidRPr="00783571" w:rsidDel="00124A14">
        <w:rPr>
          <w:vertAlign w:val="superscript"/>
        </w:rPr>
        <w:t xml:space="preserve"> </w:t>
      </w:r>
      <w:r w:rsidR="00382287" w:rsidRPr="00783571">
        <w:t>Calculated as total U.S. population</w:t>
      </w:r>
      <w:r w:rsidR="00D51793" w:rsidRPr="00783571">
        <w:t xml:space="preserve"> of</w:t>
      </w:r>
      <w:r w:rsidR="00382287" w:rsidRPr="00783571">
        <w:t xml:space="preserve"> men, by race or ethnicity, multiplied by the percentage of the male population that is MSM.</w:t>
      </w:r>
    </w:p>
    <w:p w14:paraId="1DDEA958" w14:textId="16CFEF2E" w:rsidR="004F4E6D" w:rsidRPr="00783571" w:rsidRDefault="00977D61" w:rsidP="0016571A">
      <w:pPr>
        <w:pStyle w:val="Source3"/>
      </w:pPr>
      <w:r w:rsidRPr="00783571">
        <w:rPr>
          <w:vertAlign w:val="superscript"/>
        </w:rPr>
        <w:t>j</w:t>
      </w:r>
      <w:r w:rsidRPr="00783571" w:rsidDel="00124A14">
        <w:rPr>
          <w:vertAlign w:val="superscript"/>
        </w:rPr>
        <w:t xml:space="preserve"> </w:t>
      </w:r>
      <w:r w:rsidR="00382287" w:rsidRPr="00783571">
        <w:t xml:space="preserve">Calculated as total MSM </w:t>
      </w:r>
      <w:r w:rsidR="00017354" w:rsidRPr="00783571">
        <w:t xml:space="preserve">population </w:t>
      </w:r>
      <w:r w:rsidR="00382287" w:rsidRPr="00783571">
        <w:t xml:space="preserve">multiplied by (1 </w:t>
      </w:r>
      <w:r w:rsidR="001F5372" w:rsidRPr="00783571">
        <w:t>−</w:t>
      </w:r>
      <w:r w:rsidR="00382287" w:rsidRPr="00783571">
        <w:t xml:space="preserve"> percentage of MSM </w:t>
      </w:r>
      <w:r w:rsidR="00895F69" w:rsidRPr="00783571">
        <w:t xml:space="preserve">population at </w:t>
      </w:r>
      <w:r w:rsidR="00382287" w:rsidRPr="00783571">
        <w:t>high</w:t>
      </w:r>
      <w:r w:rsidR="006B24BF" w:rsidRPr="00783571">
        <w:t xml:space="preserve"> </w:t>
      </w:r>
      <w:r w:rsidR="00382287" w:rsidRPr="00783571">
        <w:t>risk).</w:t>
      </w:r>
    </w:p>
    <w:p w14:paraId="7CFDE23D" w14:textId="4E0E39E5" w:rsidR="00D321DB" w:rsidRPr="00783571" w:rsidRDefault="00977D61" w:rsidP="0016571A">
      <w:pPr>
        <w:pStyle w:val="Source3"/>
      </w:pPr>
      <w:r w:rsidRPr="00783571">
        <w:rPr>
          <w:vertAlign w:val="superscript"/>
        </w:rPr>
        <w:t>k</w:t>
      </w:r>
      <w:r w:rsidRPr="00783571" w:rsidDel="001E46A1">
        <w:rPr>
          <w:vertAlign w:val="superscript"/>
        </w:rPr>
        <w:t xml:space="preserve"> </w:t>
      </w:r>
      <w:r w:rsidR="00BD73CF" w:rsidRPr="00783571">
        <w:t>CDC used the model described in Sorensen et al. (2012), which included MSM only and assumed that 50% of MSM were high</w:t>
      </w:r>
      <w:r w:rsidR="006B24BF" w:rsidRPr="00783571">
        <w:t xml:space="preserve"> </w:t>
      </w:r>
      <w:r w:rsidR="00BD73CF" w:rsidRPr="00783571">
        <w:t xml:space="preserve">risk, to calculate HIV incidence by risk level. They found that the relative </w:t>
      </w:r>
      <w:r w:rsidR="00C13452" w:rsidRPr="00783571">
        <w:t xml:space="preserve">prevalence </w:t>
      </w:r>
      <w:r w:rsidR="00D321DB" w:rsidRPr="00783571">
        <w:t>for high- vs. low-risk MSM</w:t>
      </w:r>
      <w:r w:rsidR="00BD73CF" w:rsidRPr="00783571">
        <w:t xml:space="preserve"> was</w:t>
      </w:r>
      <w:r w:rsidR="00D321DB" w:rsidRPr="00783571">
        <w:t xml:space="preserve"> 7.43.</w:t>
      </w:r>
    </w:p>
    <w:p w14:paraId="32DD2676" w14:textId="4F3F1D22" w:rsidR="00382287" w:rsidRPr="00783571" w:rsidRDefault="00977D61" w:rsidP="0016571A">
      <w:pPr>
        <w:pStyle w:val="Source3"/>
      </w:pPr>
      <w:r w:rsidRPr="00783571">
        <w:rPr>
          <w:vertAlign w:val="superscript"/>
        </w:rPr>
        <w:t>l</w:t>
      </w:r>
      <w:r w:rsidRPr="00783571" w:rsidDel="001E46A1">
        <w:rPr>
          <w:vertAlign w:val="superscript"/>
        </w:rPr>
        <w:t xml:space="preserve"> </w:t>
      </w:r>
      <w:r w:rsidR="000C77F6" w:rsidRPr="00783571">
        <w:t>Surveillance data (CDC, 2012b) reported number of prevalent cases. Model required prevalence as percentage of the population. Percentages w</w:t>
      </w:r>
      <w:r w:rsidR="000C1AB9" w:rsidRPr="00783571">
        <w:t xml:space="preserve">ere </w:t>
      </w:r>
      <w:r w:rsidR="00382287" w:rsidRPr="00783571">
        <w:t xml:space="preserve">set so that the </w:t>
      </w:r>
      <w:r w:rsidR="000C77F6" w:rsidRPr="00783571">
        <w:t>prevalent cases</w:t>
      </w:r>
      <w:r w:rsidR="00382287" w:rsidRPr="00783571">
        <w:t xml:space="preserve"> by race</w:t>
      </w:r>
      <w:r w:rsidR="00352A22" w:rsidRPr="00783571">
        <w:t>/ethnicity</w:t>
      </w:r>
      <w:r w:rsidR="00382287" w:rsidRPr="00783571">
        <w:t>, transmission group, and sex</w:t>
      </w:r>
      <w:r w:rsidR="000C5C78" w:rsidRPr="00783571">
        <w:t xml:space="preserve"> in the initial modeled population</w:t>
      </w:r>
      <w:r w:rsidR="00382287" w:rsidRPr="00783571">
        <w:t xml:space="preserve"> </w:t>
      </w:r>
      <w:r w:rsidR="00B30A8B" w:rsidRPr="00783571">
        <w:t xml:space="preserve">matched </w:t>
      </w:r>
      <w:r w:rsidR="000C5C78" w:rsidRPr="00783571">
        <w:t>those</w:t>
      </w:r>
      <w:r w:rsidR="000C1AB9" w:rsidRPr="00783571">
        <w:t xml:space="preserve"> </w:t>
      </w:r>
      <w:r w:rsidR="000C5C78" w:rsidRPr="00783571">
        <w:t>reported in surveillance data</w:t>
      </w:r>
      <w:r w:rsidR="00382287" w:rsidRPr="00783571">
        <w:t>.</w:t>
      </w:r>
    </w:p>
    <w:p w14:paraId="0B3A39C6" w14:textId="434D83CF" w:rsidR="00382287" w:rsidRPr="00783571" w:rsidRDefault="00977D61" w:rsidP="0016571A">
      <w:pPr>
        <w:pStyle w:val="Source3"/>
      </w:pPr>
      <w:r w:rsidRPr="00783571">
        <w:rPr>
          <w:vertAlign w:val="superscript"/>
        </w:rPr>
        <w:t xml:space="preserve">m </w:t>
      </w:r>
      <w:r w:rsidR="00382287" w:rsidRPr="00783571">
        <w:t>Calculated as the risk for high-risk MSM divided by the relative HIV prevalence</w:t>
      </w:r>
      <w:r w:rsidR="00B70295" w:rsidRPr="00783571">
        <w:t xml:space="preserve"> for high- versus low-risk MSM.</w:t>
      </w:r>
    </w:p>
    <w:p w14:paraId="39892C93" w14:textId="77777777" w:rsidR="00AA77D8" w:rsidRPr="00783571" w:rsidRDefault="00AA77D8" w:rsidP="00B70295">
      <w:pPr>
        <w:pStyle w:val="Source2"/>
        <w:spacing w:before="0"/>
      </w:pPr>
    </w:p>
    <w:p w14:paraId="53C72ABC" w14:textId="77777777" w:rsidR="004557C4" w:rsidRPr="00783571" w:rsidRDefault="004557C4" w:rsidP="005F3906">
      <w:pPr>
        <w:pStyle w:val="TableTitle"/>
        <w:sectPr w:rsidR="004557C4" w:rsidRPr="00783571" w:rsidSect="00EA6FDC">
          <w:headerReference w:type="even" r:id="rId33"/>
          <w:headerReference w:type="default" r:id="rId34"/>
          <w:footerReference w:type="even" r:id="rId35"/>
          <w:footerReference w:type="default" r:id="rId36"/>
          <w:endnotePr>
            <w:numFmt w:val="decimal"/>
          </w:endnotePr>
          <w:pgSz w:w="15840" w:h="12240" w:orient="landscape"/>
          <w:pgMar w:top="1440" w:right="1440" w:bottom="1440" w:left="1440" w:header="720" w:footer="720" w:gutter="0"/>
          <w:pgNumType w:chapStyle="1"/>
          <w:cols w:space="720"/>
          <w:docGrid w:linePitch="360"/>
        </w:sectPr>
      </w:pPr>
    </w:p>
    <w:p w14:paraId="1ABF44EB" w14:textId="3B0C5564" w:rsidR="00382287" w:rsidRPr="00783571" w:rsidRDefault="004F4E6D" w:rsidP="000C5C78">
      <w:pPr>
        <w:pStyle w:val="TableTitle"/>
      </w:pPr>
      <w:bookmarkStart w:id="13" w:name="_Toc510104014"/>
      <w:r w:rsidRPr="00783571">
        <w:t>Table 4.</w:t>
      </w:r>
      <w:r w:rsidR="00382287" w:rsidRPr="00783571">
        <w:t>2</w:t>
      </w:r>
      <w:r w:rsidR="005F3906" w:rsidRPr="00783571">
        <w:t>.</w:t>
      </w:r>
      <w:r w:rsidR="005F3906" w:rsidRPr="00783571">
        <w:tab/>
      </w:r>
      <w:r w:rsidR="00382287" w:rsidRPr="00783571">
        <w:t xml:space="preserve">Distribution </w:t>
      </w:r>
      <w:r w:rsidR="000C5C78" w:rsidRPr="00783571">
        <w:t xml:space="preserve">of Initial Population (2006) </w:t>
      </w:r>
      <w:r w:rsidR="00382287" w:rsidRPr="00783571">
        <w:t xml:space="preserve">across Age Groups, Percentage Circumcised, and Percentage of </w:t>
      </w:r>
      <w:r w:rsidR="000D5EB4" w:rsidRPr="00783571">
        <w:t>E</w:t>
      </w:r>
      <w:r w:rsidR="000C5C78" w:rsidRPr="00783571">
        <w:t xml:space="preserve">ach Transmission Group </w:t>
      </w:r>
      <w:r w:rsidR="00382287" w:rsidRPr="00783571">
        <w:t>Sexually Active</w:t>
      </w:r>
      <w:bookmarkEnd w:id="13"/>
    </w:p>
    <w:tbl>
      <w:tblPr>
        <w:tblW w:w="5000" w:type="pct"/>
        <w:tblInd w:w="-9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3768"/>
        <w:gridCol w:w="1156"/>
        <w:gridCol w:w="4436"/>
      </w:tblGrid>
      <w:tr w:rsidR="00382287" w:rsidRPr="00783571" w14:paraId="2D601B68" w14:textId="77777777" w:rsidTr="00260D8A">
        <w:trPr>
          <w:tblHeader/>
        </w:trPr>
        <w:tc>
          <w:tcPr>
            <w:tcW w:w="3768" w:type="dxa"/>
            <w:tcBorders>
              <w:top w:val="single" w:sz="12" w:space="0" w:color="000000"/>
              <w:bottom w:val="single" w:sz="6" w:space="0" w:color="auto"/>
            </w:tcBorders>
            <w:shd w:val="clear" w:color="auto" w:fill="auto"/>
            <w:noWrap/>
            <w:vAlign w:val="bottom"/>
            <w:hideMark/>
          </w:tcPr>
          <w:p w14:paraId="36C39DF3" w14:textId="77777777" w:rsidR="00382287" w:rsidRPr="00783571" w:rsidRDefault="00382287" w:rsidP="00AA77D8">
            <w:pPr>
              <w:pStyle w:val="TableHeaders"/>
              <w:spacing w:before="20" w:after="20"/>
            </w:pPr>
            <w:r w:rsidRPr="00783571">
              <w:t>Parameter</w:t>
            </w:r>
          </w:p>
        </w:tc>
        <w:tc>
          <w:tcPr>
            <w:tcW w:w="1156" w:type="dxa"/>
            <w:tcBorders>
              <w:top w:val="single" w:sz="12" w:space="0" w:color="000000"/>
              <w:bottom w:val="single" w:sz="6" w:space="0" w:color="auto"/>
            </w:tcBorders>
            <w:shd w:val="clear" w:color="auto" w:fill="auto"/>
            <w:noWrap/>
            <w:vAlign w:val="bottom"/>
            <w:hideMark/>
          </w:tcPr>
          <w:p w14:paraId="098F3E0F" w14:textId="77777777" w:rsidR="00382287" w:rsidRPr="00783571" w:rsidRDefault="00382287" w:rsidP="00AA77D8">
            <w:pPr>
              <w:pStyle w:val="TableHeaders"/>
              <w:spacing w:before="20" w:after="20"/>
            </w:pPr>
            <w:r w:rsidRPr="00783571">
              <w:t>Value</w:t>
            </w:r>
          </w:p>
        </w:tc>
        <w:tc>
          <w:tcPr>
            <w:tcW w:w="4436" w:type="dxa"/>
            <w:tcBorders>
              <w:top w:val="single" w:sz="12" w:space="0" w:color="000000"/>
              <w:bottom w:val="single" w:sz="6" w:space="0" w:color="auto"/>
            </w:tcBorders>
            <w:shd w:val="clear" w:color="auto" w:fill="auto"/>
            <w:noWrap/>
            <w:vAlign w:val="bottom"/>
            <w:hideMark/>
          </w:tcPr>
          <w:p w14:paraId="574C8390" w14:textId="77777777" w:rsidR="00382287" w:rsidRPr="00783571" w:rsidRDefault="00382287" w:rsidP="00AA77D8">
            <w:pPr>
              <w:pStyle w:val="TableHeaders"/>
              <w:spacing w:before="20" w:after="20"/>
            </w:pPr>
            <w:r w:rsidRPr="00783571">
              <w:t>Source</w:t>
            </w:r>
          </w:p>
        </w:tc>
      </w:tr>
      <w:tr w:rsidR="005928B9" w:rsidRPr="00783571" w14:paraId="64D03D05" w14:textId="77777777" w:rsidTr="00260D8A">
        <w:tc>
          <w:tcPr>
            <w:tcW w:w="9360" w:type="dxa"/>
            <w:gridSpan w:val="3"/>
            <w:tcBorders>
              <w:top w:val="single" w:sz="6" w:space="0" w:color="auto"/>
              <w:bottom w:val="single" w:sz="4" w:space="0" w:color="808080" w:themeColor="background1" w:themeShade="80"/>
            </w:tcBorders>
            <w:shd w:val="clear" w:color="auto" w:fill="auto"/>
            <w:noWrap/>
            <w:hideMark/>
          </w:tcPr>
          <w:p w14:paraId="5B08346E" w14:textId="77777777" w:rsidR="005928B9" w:rsidRPr="00783571" w:rsidRDefault="005928B9" w:rsidP="00AA77D8">
            <w:pPr>
              <w:pStyle w:val="TableText"/>
              <w:spacing w:before="20" w:after="20"/>
            </w:pPr>
            <w:r w:rsidRPr="00783571">
              <w:t>Distribution of initial population by disease stage, by age groups (years)</w:t>
            </w:r>
          </w:p>
        </w:tc>
      </w:tr>
      <w:tr w:rsidR="00B717E6" w:rsidRPr="00783571" w14:paraId="5EC51121" w14:textId="77777777" w:rsidTr="00260D8A">
        <w:tc>
          <w:tcPr>
            <w:tcW w:w="9360" w:type="dxa"/>
            <w:gridSpan w:val="3"/>
            <w:tcBorders>
              <w:top w:val="single" w:sz="4" w:space="0" w:color="808080" w:themeColor="background1" w:themeShade="80"/>
              <w:bottom w:val="single" w:sz="4" w:space="0" w:color="808080" w:themeColor="background1" w:themeShade="80"/>
            </w:tcBorders>
            <w:shd w:val="clear" w:color="auto" w:fill="auto"/>
            <w:noWrap/>
          </w:tcPr>
          <w:p w14:paraId="23C1D996" w14:textId="77388562" w:rsidR="00B717E6" w:rsidRPr="00783571" w:rsidRDefault="00891907" w:rsidP="00AA77D8">
            <w:pPr>
              <w:pStyle w:val="TableText"/>
              <w:spacing w:before="20" w:after="20"/>
            </w:pPr>
            <w:r w:rsidRPr="00783571">
              <w:t>Uninfected and a</w:t>
            </w:r>
            <w:r w:rsidR="00B717E6" w:rsidRPr="00783571">
              <w:t>cute</w:t>
            </w:r>
          </w:p>
        </w:tc>
      </w:tr>
      <w:tr w:rsidR="00382287" w:rsidRPr="00783571" w14:paraId="431C83E8"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hideMark/>
          </w:tcPr>
          <w:p w14:paraId="492EFD53" w14:textId="77777777" w:rsidR="00382287" w:rsidRPr="00783571" w:rsidRDefault="00382287" w:rsidP="00AA77D8">
            <w:pPr>
              <w:pStyle w:val="TableText"/>
              <w:spacing w:before="20" w:after="20"/>
              <w:ind w:left="270"/>
            </w:pPr>
            <w:r w:rsidRPr="00783571">
              <w:t>13</w:t>
            </w:r>
            <w:r w:rsidR="008E0A3C" w:rsidRPr="00783571">
              <w:t>–</w:t>
            </w:r>
            <w:r w:rsidRPr="00783571">
              <w:t>17</w:t>
            </w:r>
          </w:p>
        </w:tc>
        <w:tc>
          <w:tcPr>
            <w:tcW w:w="1156" w:type="dxa"/>
            <w:tcBorders>
              <w:top w:val="single" w:sz="4" w:space="0" w:color="808080" w:themeColor="background1" w:themeShade="80"/>
              <w:bottom w:val="single" w:sz="4" w:space="0" w:color="808080" w:themeColor="background1" w:themeShade="80"/>
            </w:tcBorders>
            <w:shd w:val="clear" w:color="auto" w:fill="auto"/>
            <w:noWrap/>
            <w:hideMark/>
          </w:tcPr>
          <w:p w14:paraId="2AB926EE" w14:textId="77777777" w:rsidR="00382287" w:rsidRPr="00783571" w:rsidRDefault="00382287" w:rsidP="00AA77D8">
            <w:pPr>
              <w:pStyle w:val="TableTextDec"/>
              <w:tabs>
                <w:tab w:val="clear" w:pos="1015"/>
                <w:tab w:val="decimal" w:pos="545"/>
              </w:tabs>
              <w:spacing w:before="20" w:after="20"/>
            </w:pPr>
            <w:r w:rsidRPr="00783571">
              <w:t>9.9%</w:t>
            </w:r>
          </w:p>
        </w:tc>
        <w:tc>
          <w:tcPr>
            <w:tcW w:w="4436" w:type="dxa"/>
            <w:vMerge w:val="restart"/>
            <w:tcBorders>
              <w:top w:val="single" w:sz="4" w:space="0" w:color="808080" w:themeColor="background1" w:themeShade="80"/>
              <w:bottom w:val="single" w:sz="4" w:space="0" w:color="808080" w:themeColor="background1" w:themeShade="80"/>
            </w:tcBorders>
            <w:shd w:val="clear" w:color="auto" w:fill="auto"/>
            <w:noWrap/>
            <w:hideMark/>
          </w:tcPr>
          <w:p w14:paraId="1C1740C5" w14:textId="77777777" w:rsidR="00382287" w:rsidRPr="00783571" w:rsidRDefault="002C3C88" w:rsidP="00AA77D8">
            <w:pPr>
              <w:pStyle w:val="TableText"/>
              <w:spacing w:before="20" w:after="20"/>
            </w:pPr>
            <w:r w:rsidRPr="00783571">
              <w:t xml:space="preserve">Distribution of general population, per </w:t>
            </w:r>
            <w:r w:rsidR="00382287" w:rsidRPr="00783571">
              <w:t>U.S. Census Bureau (2010)</w:t>
            </w:r>
          </w:p>
        </w:tc>
      </w:tr>
      <w:tr w:rsidR="00382287" w:rsidRPr="00783571" w14:paraId="4F408A2F"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hideMark/>
          </w:tcPr>
          <w:p w14:paraId="37FD39EB" w14:textId="77777777" w:rsidR="00382287" w:rsidRPr="00783571" w:rsidRDefault="00382287" w:rsidP="00AA77D8">
            <w:pPr>
              <w:pStyle w:val="TableText"/>
              <w:spacing w:before="20" w:after="20"/>
              <w:ind w:left="270"/>
            </w:pPr>
            <w:r w:rsidRPr="00783571">
              <w:t>18</w:t>
            </w:r>
            <w:r w:rsidR="008E0A3C" w:rsidRPr="00783571">
              <w:t>–</w:t>
            </w:r>
            <w:r w:rsidRPr="00783571">
              <w:t>24</w:t>
            </w:r>
          </w:p>
        </w:tc>
        <w:tc>
          <w:tcPr>
            <w:tcW w:w="1156" w:type="dxa"/>
            <w:tcBorders>
              <w:top w:val="single" w:sz="4" w:space="0" w:color="808080" w:themeColor="background1" w:themeShade="80"/>
              <w:bottom w:val="single" w:sz="4" w:space="0" w:color="808080" w:themeColor="background1" w:themeShade="80"/>
            </w:tcBorders>
            <w:shd w:val="clear" w:color="auto" w:fill="auto"/>
            <w:noWrap/>
            <w:hideMark/>
          </w:tcPr>
          <w:p w14:paraId="08A3AFA9" w14:textId="77777777" w:rsidR="00382287" w:rsidRPr="00783571" w:rsidRDefault="00382287" w:rsidP="00AA77D8">
            <w:pPr>
              <w:pStyle w:val="TableTextDec"/>
              <w:tabs>
                <w:tab w:val="clear" w:pos="1015"/>
                <w:tab w:val="decimal" w:pos="545"/>
              </w:tabs>
              <w:spacing w:before="20" w:after="20"/>
            </w:pPr>
            <w:r w:rsidRPr="00783571">
              <w:t>14.2%</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hideMark/>
          </w:tcPr>
          <w:p w14:paraId="0A969E38" w14:textId="77777777" w:rsidR="00382287" w:rsidRPr="00783571" w:rsidRDefault="00382287" w:rsidP="00AA77D8">
            <w:pPr>
              <w:pStyle w:val="TableText"/>
              <w:spacing w:before="20" w:after="20"/>
            </w:pPr>
          </w:p>
        </w:tc>
      </w:tr>
      <w:tr w:rsidR="00382287" w:rsidRPr="00783571" w14:paraId="5F8B14C4"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hideMark/>
          </w:tcPr>
          <w:p w14:paraId="7A01FD9E" w14:textId="77777777" w:rsidR="00382287" w:rsidRPr="00783571" w:rsidRDefault="00382287" w:rsidP="00AA77D8">
            <w:pPr>
              <w:pStyle w:val="TableText"/>
              <w:spacing w:before="20" w:after="20"/>
              <w:ind w:left="270"/>
            </w:pPr>
            <w:r w:rsidRPr="00783571">
              <w:t>25</w:t>
            </w:r>
            <w:r w:rsidR="008E0A3C" w:rsidRPr="00783571">
              <w:t>–</w:t>
            </w:r>
            <w:r w:rsidRPr="00783571">
              <w:t>34</w:t>
            </w:r>
          </w:p>
        </w:tc>
        <w:tc>
          <w:tcPr>
            <w:tcW w:w="1156" w:type="dxa"/>
            <w:tcBorders>
              <w:top w:val="single" w:sz="4" w:space="0" w:color="808080" w:themeColor="background1" w:themeShade="80"/>
              <w:bottom w:val="single" w:sz="4" w:space="0" w:color="808080" w:themeColor="background1" w:themeShade="80"/>
            </w:tcBorders>
            <w:shd w:val="clear" w:color="auto" w:fill="auto"/>
            <w:noWrap/>
            <w:hideMark/>
          </w:tcPr>
          <w:p w14:paraId="396BA0B8" w14:textId="77777777" w:rsidR="00382287" w:rsidRPr="00783571" w:rsidRDefault="00382287" w:rsidP="00AA77D8">
            <w:pPr>
              <w:pStyle w:val="TableTextDec"/>
              <w:tabs>
                <w:tab w:val="clear" w:pos="1015"/>
                <w:tab w:val="decimal" w:pos="545"/>
              </w:tabs>
              <w:spacing w:before="20" w:after="20"/>
            </w:pPr>
            <w:r w:rsidRPr="00783571">
              <w:t>19.1%</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hideMark/>
          </w:tcPr>
          <w:p w14:paraId="7101724E" w14:textId="77777777" w:rsidR="00382287" w:rsidRPr="00783571" w:rsidRDefault="00382287" w:rsidP="00AA77D8">
            <w:pPr>
              <w:pStyle w:val="TableText"/>
              <w:spacing w:before="20" w:after="20"/>
            </w:pPr>
          </w:p>
        </w:tc>
      </w:tr>
      <w:tr w:rsidR="00382287" w:rsidRPr="00783571" w14:paraId="27101819"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hideMark/>
          </w:tcPr>
          <w:p w14:paraId="75A89BE9" w14:textId="77777777" w:rsidR="00382287" w:rsidRPr="00783571" w:rsidRDefault="00382287" w:rsidP="00AA77D8">
            <w:pPr>
              <w:pStyle w:val="TableText"/>
              <w:spacing w:before="20" w:after="20"/>
              <w:ind w:left="270"/>
            </w:pPr>
            <w:r w:rsidRPr="00783571">
              <w:t>35</w:t>
            </w:r>
            <w:r w:rsidR="008E0A3C" w:rsidRPr="00783571">
              <w:t>–</w:t>
            </w:r>
            <w:r w:rsidRPr="00783571">
              <w:t>44</w:t>
            </w:r>
          </w:p>
        </w:tc>
        <w:tc>
          <w:tcPr>
            <w:tcW w:w="1156" w:type="dxa"/>
            <w:tcBorders>
              <w:top w:val="single" w:sz="4" w:space="0" w:color="808080" w:themeColor="background1" w:themeShade="80"/>
              <w:bottom w:val="single" w:sz="4" w:space="0" w:color="808080" w:themeColor="background1" w:themeShade="80"/>
            </w:tcBorders>
            <w:shd w:val="clear" w:color="auto" w:fill="auto"/>
            <w:noWrap/>
            <w:hideMark/>
          </w:tcPr>
          <w:p w14:paraId="60722B62" w14:textId="77777777" w:rsidR="00382287" w:rsidRPr="00783571" w:rsidRDefault="00382287" w:rsidP="00AA77D8">
            <w:pPr>
              <w:pStyle w:val="TableTextDec"/>
              <w:tabs>
                <w:tab w:val="clear" w:pos="1015"/>
                <w:tab w:val="decimal" w:pos="545"/>
              </w:tabs>
              <w:spacing w:before="20" w:after="20"/>
            </w:pPr>
            <w:r w:rsidRPr="00783571">
              <w:t>19.1%</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hideMark/>
          </w:tcPr>
          <w:p w14:paraId="16F7449E" w14:textId="77777777" w:rsidR="00382287" w:rsidRPr="00783571" w:rsidRDefault="00382287" w:rsidP="00AA77D8">
            <w:pPr>
              <w:pStyle w:val="TableText"/>
              <w:spacing w:before="20" w:after="20"/>
            </w:pPr>
          </w:p>
        </w:tc>
      </w:tr>
      <w:tr w:rsidR="00382287" w:rsidRPr="00783571" w14:paraId="25DFA671"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hideMark/>
          </w:tcPr>
          <w:p w14:paraId="2F79417D" w14:textId="77777777" w:rsidR="00382287" w:rsidRPr="00783571" w:rsidRDefault="00382287" w:rsidP="00AA77D8">
            <w:pPr>
              <w:pStyle w:val="TableText"/>
              <w:spacing w:before="20" w:after="20"/>
              <w:ind w:left="270"/>
            </w:pPr>
            <w:r w:rsidRPr="00783571">
              <w:t>45</w:t>
            </w:r>
            <w:r w:rsidR="008E0A3C" w:rsidRPr="00783571">
              <w:t>–</w:t>
            </w:r>
            <w:r w:rsidRPr="00783571">
              <w:t>64</w:t>
            </w:r>
          </w:p>
        </w:tc>
        <w:tc>
          <w:tcPr>
            <w:tcW w:w="1156" w:type="dxa"/>
            <w:tcBorders>
              <w:top w:val="single" w:sz="4" w:space="0" w:color="808080" w:themeColor="background1" w:themeShade="80"/>
              <w:bottom w:val="single" w:sz="4" w:space="0" w:color="808080" w:themeColor="background1" w:themeShade="80"/>
            </w:tcBorders>
            <w:shd w:val="clear" w:color="auto" w:fill="auto"/>
            <w:noWrap/>
            <w:hideMark/>
          </w:tcPr>
          <w:p w14:paraId="59D21A0C" w14:textId="77777777" w:rsidR="00382287" w:rsidRPr="00783571" w:rsidRDefault="00382287" w:rsidP="00AA77D8">
            <w:pPr>
              <w:pStyle w:val="TableTextDec"/>
              <w:tabs>
                <w:tab w:val="clear" w:pos="1015"/>
                <w:tab w:val="decimal" w:pos="545"/>
              </w:tabs>
              <w:spacing w:before="20" w:after="20"/>
            </w:pPr>
            <w:r w:rsidRPr="00783571">
              <w:t>37.8%</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hideMark/>
          </w:tcPr>
          <w:p w14:paraId="6C3E1CB1" w14:textId="77777777" w:rsidR="00382287" w:rsidRPr="00783571" w:rsidRDefault="00382287" w:rsidP="00AA77D8">
            <w:pPr>
              <w:pStyle w:val="TableText"/>
              <w:spacing w:before="20" w:after="20"/>
            </w:pPr>
          </w:p>
        </w:tc>
      </w:tr>
      <w:tr w:rsidR="00B717E6" w:rsidRPr="00783571" w14:paraId="4CE1E341" w14:textId="77777777" w:rsidTr="00260D8A">
        <w:tc>
          <w:tcPr>
            <w:tcW w:w="4924" w:type="dxa"/>
            <w:gridSpan w:val="2"/>
            <w:tcBorders>
              <w:top w:val="single" w:sz="4" w:space="0" w:color="808080" w:themeColor="background1" w:themeShade="80"/>
              <w:bottom w:val="single" w:sz="4" w:space="0" w:color="808080" w:themeColor="background1" w:themeShade="80"/>
            </w:tcBorders>
            <w:shd w:val="clear" w:color="auto" w:fill="auto"/>
            <w:noWrap/>
          </w:tcPr>
          <w:p w14:paraId="10010582" w14:textId="77777777" w:rsidR="00B717E6" w:rsidRPr="00783571" w:rsidRDefault="00B717E6" w:rsidP="00AA77D8">
            <w:pPr>
              <w:pStyle w:val="TableTextDec"/>
              <w:tabs>
                <w:tab w:val="clear" w:pos="1015"/>
                <w:tab w:val="decimal" w:pos="545"/>
              </w:tabs>
              <w:spacing w:before="20" w:after="20"/>
            </w:pPr>
            <w:r w:rsidRPr="00783571">
              <w:t>CD4 &gt; 500</w:t>
            </w:r>
          </w:p>
        </w:tc>
        <w:tc>
          <w:tcPr>
            <w:tcW w:w="4436" w:type="dxa"/>
            <w:vMerge w:val="restart"/>
            <w:tcBorders>
              <w:top w:val="single" w:sz="4" w:space="0" w:color="808080" w:themeColor="background1" w:themeShade="80"/>
              <w:bottom w:val="single" w:sz="4" w:space="0" w:color="808080" w:themeColor="background1" w:themeShade="80"/>
            </w:tcBorders>
            <w:shd w:val="clear" w:color="auto" w:fill="auto"/>
            <w:noWrap/>
          </w:tcPr>
          <w:p w14:paraId="123D1882" w14:textId="4ACAA3DD" w:rsidR="00B717E6" w:rsidRPr="00783571" w:rsidRDefault="002C3C88" w:rsidP="00AA77D8">
            <w:pPr>
              <w:pStyle w:val="TableText"/>
              <w:spacing w:before="20" w:after="20"/>
            </w:pPr>
            <w:r w:rsidRPr="00783571">
              <w:t>Age distribution of individuals with new HIV infections in 2007, as reported in</w:t>
            </w:r>
            <w:r w:rsidR="00B717E6" w:rsidRPr="00783571">
              <w:t xml:space="preserve"> CDC (2012</w:t>
            </w:r>
            <w:r w:rsidR="008132AB" w:rsidRPr="00783571">
              <w:t>a</w:t>
            </w:r>
            <w:r w:rsidR="00B717E6" w:rsidRPr="00783571">
              <w:t>)</w:t>
            </w:r>
          </w:p>
        </w:tc>
      </w:tr>
      <w:tr w:rsidR="009A3200" w:rsidRPr="00783571" w14:paraId="282D60AE"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10D81F04" w14:textId="77777777" w:rsidR="009A3200" w:rsidRPr="00783571" w:rsidRDefault="009A3200" w:rsidP="00AA77D8">
            <w:pPr>
              <w:pStyle w:val="TableText"/>
              <w:spacing w:before="20" w:after="20"/>
              <w:ind w:left="270"/>
            </w:pPr>
            <w:r w:rsidRPr="00783571">
              <w:t>13–17</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4E2A8D3B" w14:textId="77777777" w:rsidR="009A3200" w:rsidRPr="00783571" w:rsidRDefault="009A3200" w:rsidP="00AA77D8">
            <w:pPr>
              <w:pStyle w:val="TableTextDec"/>
              <w:tabs>
                <w:tab w:val="clear" w:pos="1015"/>
                <w:tab w:val="decimal" w:pos="545"/>
              </w:tabs>
              <w:spacing w:before="20" w:after="20"/>
            </w:pPr>
            <w:r w:rsidRPr="00783571">
              <w:t>8.5%</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5178F3CA" w14:textId="77777777" w:rsidR="009A3200" w:rsidRPr="00783571" w:rsidRDefault="009A3200" w:rsidP="00AA77D8">
            <w:pPr>
              <w:pStyle w:val="TableText"/>
              <w:spacing w:before="20" w:after="20"/>
            </w:pPr>
          </w:p>
        </w:tc>
      </w:tr>
      <w:tr w:rsidR="009A3200" w:rsidRPr="00783571" w14:paraId="02AA50CD"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6FE2B3F2" w14:textId="77777777" w:rsidR="009A3200" w:rsidRPr="00783571" w:rsidRDefault="009A3200" w:rsidP="00AA77D8">
            <w:pPr>
              <w:pStyle w:val="TableText"/>
              <w:spacing w:before="20" w:after="20"/>
              <w:ind w:left="270"/>
            </w:pPr>
            <w:r w:rsidRPr="00783571">
              <w:t>18–24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671E48B7" w14:textId="77777777" w:rsidR="009A3200" w:rsidRPr="00783571" w:rsidRDefault="009A3200" w:rsidP="00AA77D8">
            <w:pPr>
              <w:pStyle w:val="TableTextDec"/>
              <w:tabs>
                <w:tab w:val="clear" w:pos="1015"/>
                <w:tab w:val="decimal" w:pos="545"/>
              </w:tabs>
              <w:spacing w:before="20" w:after="20"/>
            </w:pPr>
            <w:r w:rsidRPr="00783571">
              <w:t>11.8%</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0FD893C9" w14:textId="77777777" w:rsidR="009A3200" w:rsidRPr="00783571" w:rsidRDefault="009A3200" w:rsidP="00AA77D8">
            <w:pPr>
              <w:pStyle w:val="TableText"/>
              <w:spacing w:before="20" w:after="20"/>
            </w:pPr>
          </w:p>
        </w:tc>
      </w:tr>
      <w:tr w:rsidR="009A3200" w:rsidRPr="00783571" w14:paraId="32A77496"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5AEA8696" w14:textId="77777777" w:rsidR="009A3200" w:rsidRPr="00783571" w:rsidRDefault="009A3200" w:rsidP="00AA77D8">
            <w:pPr>
              <w:pStyle w:val="TableText"/>
              <w:spacing w:before="20" w:after="20"/>
              <w:ind w:left="270"/>
            </w:pPr>
            <w:r w:rsidRPr="00783571">
              <w:t>25–34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723A1896" w14:textId="77777777" w:rsidR="009A3200" w:rsidRPr="00783571" w:rsidRDefault="009A3200" w:rsidP="00AA77D8">
            <w:pPr>
              <w:pStyle w:val="TableTextDec"/>
              <w:tabs>
                <w:tab w:val="clear" w:pos="1015"/>
                <w:tab w:val="decimal" w:pos="545"/>
              </w:tabs>
              <w:spacing w:before="20" w:after="20"/>
            </w:pPr>
            <w:r w:rsidRPr="00783571">
              <w:t>30.5%</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39CE1925" w14:textId="77777777" w:rsidR="009A3200" w:rsidRPr="00783571" w:rsidRDefault="009A3200" w:rsidP="00AA77D8">
            <w:pPr>
              <w:pStyle w:val="TableText"/>
              <w:spacing w:before="20" w:after="20"/>
            </w:pPr>
          </w:p>
        </w:tc>
      </w:tr>
      <w:tr w:rsidR="009A3200" w:rsidRPr="00783571" w14:paraId="12822B70"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5D3077A8" w14:textId="77777777" w:rsidR="009A3200" w:rsidRPr="00783571" w:rsidRDefault="009A3200" w:rsidP="00AA77D8">
            <w:pPr>
              <w:pStyle w:val="TableText"/>
              <w:spacing w:before="20" w:after="20"/>
              <w:ind w:left="270"/>
            </w:pPr>
            <w:r w:rsidRPr="00783571">
              <w:t>35–44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276B47B7" w14:textId="77777777" w:rsidR="009A3200" w:rsidRPr="00783571" w:rsidRDefault="009A3200" w:rsidP="00AA77D8">
            <w:pPr>
              <w:pStyle w:val="TableTextDec"/>
              <w:tabs>
                <w:tab w:val="clear" w:pos="1015"/>
                <w:tab w:val="decimal" w:pos="545"/>
              </w:tabs>
              <w:spacing w:before="20" w:after="20"/>
            </w:pPr>
            <w:r w:rsidRPr="00783571">
              <w:t>28.9%</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59AB0F98" w14:textId="77777777" w:rsidR="009A3200" w:rsidRPr="00783571" w:rsidRDefault="009A3200" w:rsidP="00AA77D8">
            <w:pPr>
              <w:pStyle w:val="TableText"/>
              <w:spacing w:before="20" w:after="20"/>
            </w:pPr>
          </w:p>
        </w:tc>
      </w:tr>
      <w:tr w:rsidR="009A3200" w:rsidRPr="00783571" w14:paraId="17FF3313"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26C92CC6" w14:textId="77777777" w:rsidR="009A3200" w:rsidRPr="00783571" w:rsidRDefault="009A3200" w:rsidP="00AA77D8">
            <w:pPr>
              <w:pStyle w:val="TableText"/>
              <w:spacing w:before="20" w:after="20"/>
              <w:ind w:left="270"/>
            </w:pPr>
            <w:r w:rsidRPr="00783571">
              <w:t>45–64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0EC76D8B" w14:textId="77777777" w:rsidR="009A3200" w:rsidRPr="00783571" w:rsidRDefault="009A3200" w:rsidP="00AA77D8">
            <w:pPr>
              <w:pStyle w:val="TableTextDec"/>
              <w:tabs>
                <w:tab w:val="clear" w:pos="1015"/>
                <w:tab w:val="decimal" w:pos="545"/>
              </w:tabs>
              <w:spacing w:before="20" w:after="20"/>
            </w:pPr>
            <w:r w:rsidRPr="00783571">
              <w:t>20.3%</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13C21729" w14:textId="77777777" w:rsidR="009A3200" w:rsidRPr="00783571" w:rsidRDefault="009A3200" w:rsidP="00AA77D8">
            <w:pPr>
              <w:pStyle w:val="TableText"/>
              <w:spacing w:before="20" w:after="20"/>
            </w:pPr>
          </w:p>
        </w:tc>
      </w:tr>
      <w:tr w:rsidR="00B717E6" w:rsidRPr="00783571" w14:paraId="6C6733A4" w14:textId="77777777" w:rsidTr="00260D8A">
        <w:tc>
          <w:tcPr>
            <w:tcW w:w="4924" w:type="dxa"/>
            <w:gridSpan w:val="2"/>
            <w:tcBorders>
              <w:top w:val="single" w:sz="4" w:space="0" w:color="808080" w:themeColor="background1" w:themeShade="80"/>
              <w:bottom w:val="single" w:sz="4" w:space="0" w:color="808080" w:themeColor="background1" w:themeShade="80"/>
            </w:tcBorders>
            <w:shd w:val="clear" w:color="auto" w:fill="auto"/>
            <w:noWrap/>
          </w:tcPr>
          <w:p w14:paraId="345715B4" w14:textId="4188BB40" w:rsidR="00B717E6" w:rsidRPr="00783571" w:rsidRDefault="00B717E6" w:rsidP="00AA77D8">
            <w:pPr>
              <w:pStyle w:val="TableTextDec"/>
              <w:tabs>
                <w:tab w:val="clear" w:pos="1015"/>
                <w:tab w:val="decimal" w:pos="545"/>
              </w:tabs>
              <w:spacing w:before="20" w:after="20"/>
            </w:pPr>
            <w:r w:rsidRPr="00783571">
              <w:t>CD4 200</w:t>
            </w:r>
            <w:r w:rsidR="006B24BF" w:rsidRPr="00783571">
              <w:t>–</w:t>
            </w:r>
            <w:r w:rsidRPr="00783571">
              <w:t>350 and 350</w:t>
            </w:r>
            <w:r w:rsidR="006B24BF" w:rsidRPr="00783571">
              <w:t>–</w:t>
            </w:r>
            <w:r w:rsidRPr="00783571">
              <w:t>500</w:t>
            </w:r>
          </w:p>
        </w:tc>
        <w:tc>
          <w:tcPr>
            <w:tcW w:w="4436" w:type="dxa"/>
            <w:vMerge w:val="restart"/>
            <w:tcBorders>
              <w:top w:val="single" w:sz="4" w:space="0" w:color="808080" w:themeColor="background1" w:themeShade="80"/>
              <w:bottom w:val="single" w:sz="4" w:space="0" w:color="808080" w:themeColor="background1" w:themeShade="80"/>
            </w:tcBorders>
            <w:shd w:val="clear" w:color="auto" w:fill="auto"/>
            <w:noWrap/>
          </w:tcPr>
          <w:p w14:paraId="0BE85DE8" w14:textId="521FD7A9" w:rsidR="00B717E6" w:rsidRPr="00783571" w:rsidRDefault="00BA194E" w:rsidP="00AA77D8">
            <w:pPr>
              <w:pStyle w:val="TableText"/>
              <w:spacing w:before="20" w:after="20"/>
            </w:pPr>
            <w:r w:rsidRPr="00783571">
              <w:t>Calculated as estimated distribution across age groups of PLWH who do not have AIDS, as measured by total HIV prevalence in 2008, by age group (</w:t>
            </w:r>
            <w:r w:rsidR="00B717E6" w:rsidRPr="00783571">
              <w:t>CDC</w:t>
            </w:r>
            <w:r w:rsidR="007A0278" w:rsidRPr="00783571">
              <w:t>,</w:t>
            </w:r>
            <w:r w:rsidR="00AD04D3" w:rsidRPr="00783571">
              <w:t xml:space="preserve"> </w:t>
            </w:r>
            <w:r w:rsidR="00B717E6" w:rsidRPr="00783571">
              <w:t>2012</w:t>
            </w:r>
            <w:r w:rsidRPr="00783571">
              <w:t xml:space="preserve">), minus total number of people living with AIDS, by age group, in 2007 </w:t>
            </w:r>
            <w:r w:rsidR="007A0278" w:rsidRPr="00783571">
              <w:t>(</w:t>
            </w:r>
            <w:r w:rsidR="00B717E6" w:rsidRPr="00783571">
              <w:t>CDC</w:t>
            </w:r>
            <w:r w:rsidR="007A0278" w:rsidRPr="00783571">
              <w:t xml:space="preserve">, </w:t>
            </w:r>
            <w:r w:rsidR="008935CC" w:rsidRPr="00783571">
              <w:t>2009)</w:t>
            </w:r>
          </w:p>
        </w:tc>
      </w:tr>
      <w:tr w:rsidR="009A3200" w:rsidRPr="00783571" w14:paraId="3B416B66"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4E351AC8" w14:textId="77777777" w:rsidR="009A3200" w:rsidRPr="00783571" w:rsidRDefault="009A3200" w:rsidP="00AA77D8">
            <w:pPr>
              <w:pStyle w:val="TableText"/>
              <w:spacing w:before="20" w:after="20"/>
              <w:ind w:left="270"/>
            </w:pPr>
            <w:r w:rsidRPr="00783571">
              <w:t>13–17</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66513C67" w14:textId="77777777" w:rsidR="009A3200" w:rsidRPr="00783571" w:rsidRDefault="009A3200" w:rsidP="00AA77D8">
            <w:pPr>
              <w:pStyle w:val="TableTextDec"/>
              <w:tabs>
                <w:tab w:val="clear" w:pos="1015"/>
                <w:tab w:val="decimal" w:pos="545"/>
              </w:tabs>
              <w:spacing w:before="20" w:after="20"/>
            </w:pPr>
            <w:r w:rsidRPr="00783571">
              <w:t>3.9%</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55871BC6" w14:textId="77777777" w:rsidR="009A3200" w:rsidRPr="00783571" w:rsidRDefault="009A3200" w:rsidP="00AA77D8">
            <w:pPr>
              <w:pStyle w:val="TableText"/>
              <w:spacing w:before="20" w:after="20"/>
            </w:pPr>
          </w:p>
        </w:tc>
      </w:tr>
      <w:tr w:rsidR="009A3200" w:rsidRPr="00783571" w14:paraId="0EA3D7F8"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57C1F42E" w14:textId="77777777" w:rsidR="009A3200" w:rsidRPr="00783571" w:rsidRDefault="009A3200" w:rsidP="00AA77D8">
            <w:pPr>
              <w:pStyle w:val="TableText"/>
              <w:spacing w:before="20" w:after="20"/>
              <w:ind w:left="270"/>
            </w:pPr>
            <w:r w:rsidRPr="00783571">
              <w:t>18–24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46C17788" w14:textId="77777777" w:rsidR="009A3200" w:rsidRPr="00783571" w:rsidRDefault="009A3200" w:rsidP="00AA77D8">
            <w:pPr>
              <w:pStyle w:val="TableTextDec"/>
              <w:tabs>
                <w:tab w:val="clear" w:pos="1015"/>
                <w:tab w:val="decimal" w:pos="545"/>
              </w:tabs>
              <w:spacing w:before="20" w:after="20"/>
            </w:pPr>
            <w:r w:rsidRPr="00783571">
              <w:t>5.1%</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071368B0" w14:textId="77777777" w:rsidR="009A3200" w:rsidRPr="00783571" w:rsidRDefault="009A3200" w:rsidP="00AA77D8">
            <w:pPr>
              <w:pStyle w:val="TableText"/>
              <w:spacing w:before="20" w:after="20"/>
            </w:pPr>
          </w:p>
        </w:tc>
      </w:tr>
      <w:tr w:rsidR="009A3200" w:rsidRPr="00783571" w14:paraId="62BB6343"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3EA10921" w14:textId="77777777" w:rsidR="009A3200" w:rsidRPr="00783571" w:rsidRDefault="009A3200" w:rsidP="00AA77D8">
            <w:pPr>
              <w:pStyle w:val="TableText"/>
              <w:spacing w:before="20" w:after="20"/>
              <w:ind w:left="270"/>
            </w:pPr>
            <w:r w:rsidRPr="00783571">
              <w:t>25–34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42E80E21" w14:textId="77777777" w:rsidR="009A3200" w:rsidRPr="00783571" w:rsidRDefault="009A3200" w:rsidP="00AA77D8">
            <w:pPr>
              <w:pStyle w:val="TableTextDec"/>
              <w:tabs>
                <w:tab w:val="clear" w:pos="1015"/>
                <w:tab w:val="decimal" w:pos="545"/>
              </w:tabs>
              <w:spacing w:before="20" w:after="20"/>
            </w:pPr>
            <w:r w:rsidRPr="00783571">
              <w:t>20.4%</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5B72EB58" w14:textId="77777777" w:rsidR="009A3200" w:rsidRPr="00783571" w:rsidRDefault="009A3200" w:rsidP="00AA77D8">
            <w:pPr>
              <w:pStyle w:val="TableText"/>
              <w:spacing w:before="20" w:after="20"/>
            </w:pPr>
          </w:p>
        </w:tc>
      </w:tr>
      <w:tr w:rsidR="009A3200" w:rsidRPr="00783571" w14:paraId="2161E764"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49DBE871" w14:textId="77777777" w:rsidR="009A3200" w:rsidRPr="00783571" w:rsidRDefault="009A3200" w:rsidP="00AA77D8">
            <w:pPr>
              <w:pStyle w:val="TableText"/>
              <w:spacing w:before="20" w:after="20"/>
              <w:ind w:left="270"/>
            </w:pPr>
            <w:r w:rsidRPr="00783571">
              <w:t>35–44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14710E7F" w14:textId="77777777" w:rsidR="009A3200" w:rsidRPr="00783571" w:rsidRDefault="009A3200" w:rsidP="00AA77D8">
            <w:pPr>
              <w:pStyle w:val="TableTextDec"/>
              <w:tabs>
                <w:tab w:val="clear" w:pos="1015"/>
                <w:tab w:val="decimal" w:pos="545"/>
              </w:tabs>
              <w:spacing w:before="20" w:after="20"/>
            </w:pPr>
            <w:r w:rsidRPr="00783571">
              <w:t>30.7%</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5045D0A3" w14:textId="77777777" w:rsidR="009A3200" w:rsidRPr="00783571" w:rsidRDefault="009A3200" w:rsidP="00AA77D8">
            <w:pPr>
              <w:pStyle w:val="TableText"/>
              <w:spacing w:before="20" w:after="20"/>
            </w:pPr>
          </w:p>
        </w:tc>
      </w:tr>
      <w:tr w:rsidR="009A3200" w:rsidRPr="00783571" w14:paraId="1C72E992"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43F6A991" w14:textId="77777777" w:rsidR="009A3200" w:rsidRPr="00783571" w:rsidRDefault="009A3200" w:rsidP="00AA77D8">
            <w:pPr>
              <w:pStyle w:val="TableText"/>
              <w:spacing w:before="20" w:after="20"/>
              <w:ind w:left="270"/>
            </w:pPr>
            <w:r w:rsidRPr="00783571">
              <w:t>45–64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68D3E907" w14:textId="77777777" w:rsidR="009A3200" w:rsidRPr="00783571" w:rsidRDefault="009A3200" w:rsidP="00AA77D8">
            <w:pPr>
              <w:pStyle w:val="TableTextDec"/>
              <w:tabs>
                <w:tab w:val="clear" w:pos="1015"/>
                <w:tab w:val="decimal" w:pos="545"/>
              </w:tabs>
              <w:spacing w:before="20" w:after="20"/>
            </w:pPr>
            <w:r w:rsidRPr="00783571">
              <w:t>40.0%</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249FAB14" w14:textId="77777777" w:rsidR="009A3200" w:rsidRPr="00783571" w:rsidRDefault="009A3200" w:rsidP="00AA77D8">
            <w:pPr>
              <w:pStyle w:val="TableText"/>
              <w:spacing w:before="20" w:after="20"/>
            </w:pPr>
          </w:p>
        </w:tc>
      </w:tr>
      <w:tr w:rsidR="00B717E6" w:rsidRPr="00783571" w14:paraId="78AD64DD" w14:textId="77777777" w:rsidTr="00260D8A">
        <w:tc>
          <w:tcPr>
            <w:tcW w:w="4924" w:type="dxa"/>
            <w:gridSpan w:val="2"/>
            <w:tcBorders>
              <w:top w:val="single" w:sz="4" w:space="0" w:color="808080" w:themeColor="background1" w:themeShade="80"/>
              <w:bottom w:val="single" w:sz="4" w:space="0" w:color="808080" w:themeColor="background1" w:themeShade="80"/>
            </w:tcBorders>
            <w:shd w:val="clear" w:color="auto" w:fill="auto"/>
            <w:noWrap/>
          </w:tcPr>
          <w:p w14:paraId="7F774E91" w14:textId="77777777" w:rsidR="00B717E6" w:rsidRPr="00783571" w:rsidRDefault="00B717E6" w:rsidP="00AA77D8">
            <w:pPr>
              <w:pStyle w:val="TableTextDec"/>
              <w:tabs>
                <w:tab w:val="clear" w:pos="1015"/>
                <w:tab w:val="decimal" w:pos="545"/>
              </w:tabs>
              <w:spacing w:before="20" w:after="20"/>
            </w:pPr>
            <w:r w:rsidRPr="00783571">
              <w:t>CD4 &lt; 200</w:t>
            </w:r>
          </w:p>
        </w:tc>
        <w:tc>
          <w:tcPr>
            <w:tcW w:w="4436" w:type="dxa"/>
            <w:vMerge w:val="restart"/>
            <w:tcBorders>
              <w:top w:val="single" w:sz="4" w:space="0" w:color="808080" w:themeColor="background1" w:themeShade="80"/>
              <w:bottom w:val="single" w:sz="4" w:space="0" w:color="808080" w:themeColor="background1" w:themeShade="80"/>
            </w:tcBorders>
            <w:shd w:val="clear" w:color="auto" w:fill="auto"/>
            <w:noWrap/>
          </w:tcPr>
          <w:p w14:paraId="1F0E0A49" w14:textId="77777777" w:rsidR="00B717E6" w:rsidRPr="00783571" w:rsidRDefault="00BA194E" w:rsidP="00AA77D8">
            <w:pPr>
              <w:pStyle w:val="TableText"/>
              <w:spacing w:before="20" w:after="20"/>
            </w:pPr>
            <w:r w:rsidRPr="00783571">
              <w:t xml:space="preserve">Age distribution of people living with AIDS, as reported in </w:t>
            </w:r>
            <w:r w:rsidR="00B717E6" w:rsidRPr="00783571">
              <w:t>CDC (200</w:t>
            </w:r>
            <w:r w:rsidR="008935CC" w:rsidRPr="00783571">
              <w:t>9</w:t>
            </w:r>
            <w:r w:rsidR="00B717E6" w:rsidRPr="00783571">
              <w:t>)</w:t>
            </w:r>
          </w:p>
        </w:tc>
      </w:tr>
      <w:tr w:rsidR="009A3200" w:rsidRPr="00783571" w14:paraId="0BBB7CB1"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2F036407" w14:textId="77777777" w:rsidR="009A3200" w:rsidRPr="00783571" w:rsidRDefault="009A3200" w:rsidP="00AA77D8">
            <w:pPr>
              <w:pStyle w:val="TableText"/>
              <w:spacing w:before="20" w:after="20"/>
              <w:ind w:left="270"/>
            </w:pPr>
            <w:r w:rsidRPr="00783571">
              <w:t>13–17</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30213031" w14:textId="77777777" w:rsidR="009A3200" w:rsidRPr="00783571" w:rsidRDefault="009A3200" w:rsidP="00AA77D8">
            <w:pPr>
              <w:pStyle w:val="TableTextDec"/>
              <w:tabs>
                <w:tab w:val="clear" w:pos="1015"/>
                <w:tab w:val="decimal" w:pos="545"/>
              </w:tabs>
              <w:spacing w:before="20" w:after="20"/>
            </w:pPr>
            <w:r w:rsidRPr="00783571">
              <w:t>0.6%</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0442A4DE" w14:textId="77777777" w:rsidR="009A3200" w:rsidRPr="00783571" w:rsidRDefault="009A3200" w:rsidP="00AA77D8">
            <w:pPr>
              <w:pStyle w:val="TableText"/>
              <w:spacing w:before="20" w:after="20"/>
            </w:pPr>
          </w:p>
        </w:tc>
      </w:tr>
      <w:tr w:rsidR="009A3200" w:rsidRPr="00783571" w14:paraId="686546F5"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32AB53F0" w14:textId="77777777" w:rsidR="009A3200" w:rsidRPr="00783571" w:rsidRDefault="009A3200" w:rsidP="00AA77D8">
            <w:pPr>
              <w:pStyle w:val="TableText"/>
              <w:spacing w:before="20" w:after="20"/>
              <w:ind w:left="270"/>
            </w:pPr>
            <w:r w:rsidRPr="00783571">
              <w:t>18–24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71BFFC85" w14:textId="77777777" w:rsidR="009A3200" w:rsidRPr="00783571" w:rsidRDefault="009A3200" w:rsidP="00AA77D8">
            <w:pPr>
              <w:pStyle w:val="TableTextDec"/>
              <w:tabs>
                <w:tab w:val="clear" w:pos="1015"/>
                <w:tab w:val="decimal" w:pos="545"/>
              </w:tabs>
              <w:spacing w:before="20" w:after="20"/>
            </w:pPr>
            <w:r w:rsidRPr="00783571">
              <w:t>1.5%</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6D476E74" w14:textId="77777777" w:rsidR="009A3200" w:rsidRPr="00783571" w:rsidRDefault="009A3200" w:rsidP="00AA77D8">
            <w:pPr>
              <w:pStyle w:val="TableText"/>
              <w:spacing w:before="20" w:after="20"/>
            </w:pPr>
          </w:p>
        </w:tc>
      </w:tr>
      <w:tr w:rsidR="009A3200" w:rsidRPr="00783571" w14:paraId="1A25F924"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106017B9" w14:textId="77777777" w:rsidR="009A3200" w:rsidRPr="00783571" w:rsidRDefault="009A3200" w:rsidP="00AA77D8">
            <w:pPr>
              <w:pStyle w:val="TableText"/>
              <w:spacing w:before="20" w:after="20"/>
              <w:ind w:left="270"/>
            </w:pPr>
            <w:r w:rsidRPr="00783571">
              <w:t>25–34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517ACB34" w14:textId="77777777" w:rsidR="009A3200" w:rsidRPr="00783571" w:rsidRDefault="009A3200" w:rsidP="00AA77D8">
            <w:pPr>
              <w:pStyle w:val="TableTextDec"/>
              <w:tabs>
                <w:tab w:val="clear" w:pos="1015"/>
                <w:tab w:val="decimal" w:pos="545"/>
              </w:tabs>
              <w:spacing w:before="20" w:after="20"/>
            </w:pPr>
            <w:r w:rsidRPr="00783571">
              <w:t>9.8%</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6ED2702A" w14:textId="77777777" w:rsidR="009A3200" w:rsidRPr="00783571" w:rsidRDefault="009A3200" w:rsidP="00AA77D8">
            <w:pPr>
              <w:pStyle w:val="TableText"/>
              <w:spacing w:before="20" w:after="20"/>
            </w:pPr>
          </w:p>
        </w:tc>
      </w:tr>
      <w:tr w:rsidR="009A3200" w:rsidRPr="00783571" w14:paraId="2DC8FFAC"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3DD3938C" w14:textId="77777777" w:rsidR="009A3200" w:rsidRPr="00783571" w:rsidRDefault="009A3200" w:rsidP="00AA77D8">
            <w:pPr>
              <w:pStyle w:val="TableText"/>
              <w:spacing w:before="20" w:after="20"/>
              <w:ind w:left="270"/>
            </w:pPr>
            <w:r w:rsidRPr="00783571">
              <w:t>35–44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78D047E9" w14:textId="77777777" w:rsidR="009A3200" w:rsidRPr="00783571" w:rsidRDefault="009A3200" w:rsidP="00AA77D8">
            <w:pPr>
              <w:pStyle w:val="TableTextDec"/>
              <w:tabs>
                <w:tab w:val="clear" w:pos="1015"/>
                <w:tab w:val="decimal" w:pos="545"/>
              </w:tabs>
              <w:spacing w:before="20" w:after="20"/>
            </w:pPr>
            <w:r w:rsidRPr="00783571">
              <w:t>34.3%</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69639E9E" w14:textId="77777777" w:rsidR="009A3200" w:rsidRPr="00783571" w:rsidRDefault="009A3200" w:rsidP="00AA77D8">
            <w:pPr>
              <w:pStyle w:val="TableText"/>
              <w:spacing w:before="20" w:after="20"/>
            </w:pPr>
          </w:p>
        </w:tc>
      </w:tr>
      <w:tr w:rsidR="009A3200" w:rsidRPr="00783571" w14:paraId="35807D46"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13052F05" w14:textId="77777777" w:rsidR="009A3200" w:rsidRPr="00783571" w:rsidRDefault="009A3200" w:rsidP="00AA77D8">
            <w:pPr>
              <w:pStyle w:val="TableText"/>
              <w:spacing w:before="20" w:after="20"/>
              <w:ind w:left="270"/>
            </w:pPr>
            <w:r w:rsidRPr="00783571">
              <w:t>45–64</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48E99BDF" w14:textId="77777777" w:rsidR="009A3200" w:rsidRPr="00783571" w:rsidRDefault="009A3200" w:rsidP="00AA77D8">
            <w:pPr>
              <w:pStyle w:val="TableTextDec"/>
              <w:tabs>
                <w:tab w:val="clear" w:pos="1015"/>
                <w:tab w:val="decimal" w:pos="545"/>
              </w:tabs>
              <w:spacing w:before="20" w:after="20"/>
            </w:pPr>
            <w:r w:rsidRPr="00783571">
              <w:t>53.8%</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450D97AC" w14:textId="77777777" w:rsidR="009A3200" w:rsidRPr="00783571" w:rsidRDefault="009A3200" w:rsidP="00AA77D8">
            <w:pPr>
              <w:pStyle w:val="TableText"/>
              <w:spacing w:before="20" w:after="20"/>
            </w:pPr>
          </w:p>
        </w:tc>
      </w:tr>
      <w:tr w:rsidR="005928B9" w:rsidRPr="00783571" w14:paraId="080D420F" w14:textId="77777777" w:rsidTr="00260D8A">
        <w:trPr>
          <w:trHeight w:val="63"/>
        </w:trPr>
        <w:tc>
          <w:tcPr>
            <w:tcW w:w="3768" w:type="dxa"/>
            <w:tcBorders>
              <w:top w:val="single" w:sz="4" w:space="0" w:color="808080" w:themeColor="background1" w:themeShade="80"/>
              <w:bottom w:val="single" w:sz="4" w:space="0" w:color="808080" w:themeColor="background1" w:themeShade="80"/>
            </w:tcBorders>
            <w:shd w:val="clear" w:color="auto" w:fill="auto"/>
            <w:noWrap/>
            <w:hideMark/>
          </w:tcPr>
          <w:p w14:paraId="1D52AD77" w14:textId="77777777" w:rsidR="005928B9" w:rsidRPr="00783571" w:rsidRDefault="005928B9" w:rsidP="00AA77D8">
            <w:pPr>
              <w:pStyle w:val="TableText"/>
              <w:spacing w:before="20" w:after="20"/>
            </w:pPr>
            <w:r w:rsidRPr="00783571">
              <w:t>Percentage of males circumcised, by race/ethnicity</w:t>
            </w:r>
          </w:p>
        </w:tc>
        <w:tc>
          <w:tcPr>
            <w:tcW w:w="1156" w:type="dxa"/>
            <w:tcBorders>
              <w:top w:val="single" w:sz="4" w:space="0" w:color="808080" w:themeColor="background1" w:themeShade="80"/>
              <w:bottom w:val="single" w:sz="4" w:space="0" w:color="808080" w:themeColor="background1" w:themeShade="80"/>
            </w:tcBorders>
            <w:shd w:val="clear" w:color="auto" w:fill="auto"/>
            <w:noWrap/>
            <w:hideMark/>
          </w:tcPr>
          <w:p w14:paraId="07D56934" w14:textId="77777777" w:rsidR="005928B9" w:rsidRPr="00783571" w:rsidRDefault="005928B9" w:rsidP="00AA77D8">
            <w:pPr>
              <w:pStyle w:val="TableText"/>
              <w:spacing w:before="20" w:after="20"/>
            </w:pPr>
          </w:p>
        </w:tc>
        <w:tc>
          <w:tcPr>
            <w:tcW w:w="4436" w:type="dxa"/>
            <w:vMerge w:val="restart"/>
            <w:tcBorders>
              <w:top w:val="single" w:sz="4" w:space="0" w:color="808080" w:themeColor="background1" w:themeShade="80"/>
              <w:bottom w:val="single" w:sz="4" w:space="0" w:color="808080" w:themeColor="background1" w:themeShade="80"/>
            </w:tcBorders>
            <w:shd w:val="clear" w:color="auto" w:fill="auto"/>
            <w:noWrap/>
            <w:hideMark/>
          </w:tcPr>
          <w:p w14:paraId="2131A17F" w14:textId="77777777" w:rsidR="005928B9" w:rsidRPr="00783571" w:rsidRDefault="005928B9" w:rsidP="00AA77D8">
            <w:pPr>
              <w:pStyle w:val="TableText"/>
              <w:spacing w:before="20" w:after="20"/>
            </w:pPr>
            <w:r w:rsidRPr="00783571">
              <w:t>Introcaso et al. (2013)</w:t>
            </w:r>
          </w:p>
        </w:tc>
      </w:tr>
      <w:tr w:rsidR="005928B9" w:rsidRPr="00783571" w14:paraId="62339250"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7FABE069" w14:textId="77777777" w:rsidR="005928B9" w:rsidRPr="00783571" w:rsidRDefault="005928B9" w:rsidP="00AA77D8">
            <w:pPr>
              <w:pStyle w:val="TableText"/>
              <w:spacing w:before="20" w:after="20"/>
              <w:ind w:left="270"/>
            </w:pPr>
            <w:r w:rsidRPr="00783571">
              <w:t>Black</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7FCD075D" w14:textId="77777777" w:rsidR="005928B9" w:rsidRPr="00783571" w:rsidRDefault="005928B9" w:rsidP="00AA77D8">
            <w:pPr>
              <w:pStyle w:val="TableTextDec"/>
              <w:tabs>
                <w:tab w:val="clear" w:pos="1015"/>
                <w:tab w:val="decimal" w:pos="545"/>
              </w:tabs>
              <w:spacing w:before="20" w:after="20"/>
            </w:pPr>
            <w:r w:rsidRPr="00783571">
              <w:t>75.7%</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77A07849" w14:textId="77777777" w:rsidR="005928B9" w:rsidRPr="00783571" w:rsidRDefault="005928B9" w:rsidP="00AA77D8">
            <w:pPr>
              <w:pStyle w:val="TableText"/>
              <w:spacing w:before="20" w:after="20"/>
            </w:pPr>
          </w:p>
        </w:tc>
      </w:tr>
      <w:tr w:rsidR="005928B9" w:rsidRPr="00783571" w14:paraId="27C71BE9"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6F80E266" w14:textId="77777777" w:rsidR="005928B9" w:rsidRPr="00783571" w:rsidRDefault="005928B9" w:rsidP="00AA77D8">
            <w:pPr>
              <w:pStyle w:val="TableText"/>
              <w:spacing w:before="20" w:after="20"/>
              <w:ind w:left="270"/>
            </w:pPr>
            <w:r w:rsidRPr="00783571">
              <w:t>Hispanic/Latino</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3E7A4D01" w14:textId="77777777" w:rsidR="005928B9" w:rsidRPr="00783571" w:rsidRDefault="005928B9" w:rsidP="00AA77D8">
            <w:pPr>
              <w:pStyle w:val="TableTextDec"/>
              <w:tabs>
                <w:tab w:val="clear" w:pos="1015"/>
                <w:tab w:val="decimal" w:pos="545"/>
              </w:tabs>
              <w:spacing w:before="20" w:after="20"/>
            </w:pPr>
            <w:r w:rsidRPr="00783571">
              <w:t>44.0%</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74E8F335" w14:textId="77777777" w:rsidR="005928B9" w:rsidRPr="00783571" w:rsidRDefault="005928B9" w:rsidP="00AA77D8">
            <w:pPr>
              <w:pStyle w:val="TableText"/>
              <w:spacing w:before="20" w:after="20"/>
            </w:pPr>
          </w:p>
        </w:tc>
      </w:tr>
      <w:tr w:rsidR="005928B9" w:rsidRPr="00783571" w14:paraId="2C08921D"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1C86839A" w14:textId="77777777" w:rsidR="005928B9" w:rsidRPr="00783571" w:rsidRDefault="005928B9" w:rsidP="00AA77D8">
            <w:pPr>
              <w:pStyle w:val="TableText"/>
              <w:spacing w:before="20" w:after="20"/>
              <w:ind w:left="270"/>
            </w:pPr>
            <w:r w:rsidRPr="00783571">
              <w:t>Other</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6F736922" w14:textId="77777777" w:rsidR="005928B9" w:rsidRPr="00783571" w:rsidRDefault="005928B9" w:rsidP="00AA77D8">
            <w:pPr>
              <w:pStyle w:val="TableTextDec"/>
              <w:tabs>
                <w:tab w:val="clear" w:pos="1015"/>
                <w:tab w:val="decimal" w:pos="545"/>
              </w:tabs>
              <w:spacing w:before="20" w:after="20"/>
            </w:pPr>
            <w:r w:rsidRPr="00783571">
              <w:t>90.8%</w:t>
            </w:r>
          </w:p>
        </w:tc>
        <w:tc>
          <w:tcPr>
            <w:tcW w:w="4436" w:type="dxa"/>
            <w:vMerge/>
            <w:tcBorders>
              <w:top w:val="single" w:sz="4" w:space="0" w:color="808080" w:themeColor="background1" w:themeShade="80"/>
              <w:bottom w:val="single" w:sz="4" w:space="0" w:color="808080" w:themeColor="background1" w:themeShade="80"/>
            </w:tcBorders>
            <w:shd w:val="clear" w:color="auto" w:fill="auto"/>
            <w:noWrap/>
          </w:tcPr>
          <w:p w14:paraId="3995346A" w14:textId="77777777" w:rsidR="005928B9" w:rsidRPr="00783571" w:rsidRDefault="005928B9" w:rsidP="00AA77D8">
            <w:pPr>
              <w:pStyle w:val="TableText"/>
              <w:spacing w:before="20" w:after="20"/>
            </w:pPr>
          </w:p>
        </w:tc>
      </w:tr>
      <w:tr w:rsidR="000C5C78" w:rsidRPr="00783571" w14:paraId="30232E40" w14:textId="77777777" w:rsidTr="00260D8A">
        <w:tc>
          <w:tcPr>
            <w:tcW w:w="9360" w:type="dxa"/>
            <w:gridSpan w:val="3"/>
            <w:tcBorders>
              <w:top w:val="single" w:sz="4" w:space="0" w:color="808080" w:themeColor="background1" w:themeShade="80"/>
              <w:bottom w:val="single" w:sz="4" w:space="0" w:color="808080" w:themeColor="background1" w:themeShade="80"/>
            </w:tcBorders>
            <w:shd w:val="clear" w:color="auto" w:fill="auto"/>
            <w:noWrap/>
          </w:tcPr>
          <w:p w14:paraId="52555ED0" w14:textId="052EDC27" w:rsidR="000C5C78" w:rsidRPr="00783571" w:rsidRDefault="000C5C78" w:rsidP="00AA77D8">
            <w:pPr>
              <w:pStyle w:val="TableText"/>
              <w:spacing w:before="20" w:after="20"/>
            </w:pPr>
            <w:r w:rsidRPr="00783571">
              <w:t>Percentage of population sexually active, by transmission risk group</w:t>
            </w:r>
          </w:p>
        </w:tc>
      </w:tr>
      <w:tr w:rsidR="000C5C78" w:rsidRPr="00783571" w14:paraId="4B1BA8DE"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5F0516AC" w14:textId="29C4BC66" w:rsidR="000C5C78" w:rsidRPr="00783571" w:rsidRDefault="000C5C78" w:rsidP="00AA77D8">
            <w:pPr>
              <w:pStyle w:val="TableText"/>
              <w:spacing w:before="20" w:after="20"/>
              <w:ind w:left="270"/>
            </w:pPr>
            <w:r w:rsidRPr="00783571">
              <w:t>HET</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61439BB3" w14:textId="40ECBCE0" w:rsidR="000C5C78" w:rsidRPr="00783571" w:rsidRDefault="000C5C78" w:rsidP="00AA77D8">
            <w:pPr>
              <w:pStyle w:val="TableTextDec"/>
              <w:tabs>
                <w:tab w:val="clear" w:pos="1015"/>
                <w:tab w:val="decimal" w:pos="545"/>
              </w:tabs>
              <w:spacing w:before="20" w:after="20"/>
            </w:pPr>
            <w:r w:rsidRPr="00783571">
              <w:t>84.1%</w:t>
            </w:r>
          </w:p>
        </w:tc>
        <w:tc>
          <w:tcPr>
            <w:tcW w:w="4436" w:type="dxa"/>
            <w:tcBorders>
              <w:top w:val="single" w:sz="4" w:space="0" w:color="808080" w:themeColor="background1" w:themeShade="80"/>
              <w:bottom w:val="single" w:sz="4" w:space="0" w:color="808080" w:themeColor="background1" w:themeShade="80"/>
            </w:tcBorders>
            <w:shd w:val="clear" w:color="auto" w:fill="auto"/>
            <w:noWrap/>
          </w:tcPr>
          <w:p w14:paraId="79B90C59" w14:textId="38E2D4F7" w:rsidR="000C5C78" w:rsidRPr="00783571" w:rsidRDefault="000C5C78" w:rsidP="00AA77D8">
            <w:pPr>
              <w:pStyle w:val="TableText"/>
              <w:spacing w:before="20" w:after="20"/>
            </w:pPr>
            <w:r w:rsidRPr="00783571">
              <w:t xml:space="preserve">CDC unpublished data (Oster et al., </w:t>
            </w:r>
            <w:r w:rsidR="00C64024" w:rsidRPr="00783571">
              <w:t>2014</w:t>
            </w:r>
            <w:r w:rsidRPr="00783571">
              <w:t>)</w:t>
            </w:r>
            <w:r w:rsidR="003D04E4" w:rsidRPr="00783571">
              <w:rPr>
                <w:vertAlign w:val="superscript"/>
              </w:rPr>
              <w:t>a</w:t>
            </w:r>
            <w:r w:rsidRPr="00783571">
              <w:t xml:space="preserve"> based on NHANES 1999–2010.</w:t>
            </w:r>
          </w:p>
        </w:tc>
      </w:tr>
      <w:tr w:rsidR="000C5C78" w:rsidRPr="00783571" w14:paraId="5734E47A" w14:textId="77777777" w:rsidTr="00260D8A">
        <w:tc>
          <w:tcPr>
            <w:tcW w:w="3768" w:type="dxa"/>
            <w:tcBorders>
              <w:top w:val="single" w:sz="4" w:space="0" w:color="808080" w:themeColor="background1" w:themeShade="80"/>
              <w:bottom w:val="single" w:sz="4" w:space="0" w:color="808080" w:themeColor="background1" w:themeShade="80"/>
            </w:tcBorders>
            <w:shd w:val="clear" w:color="auto" w:fill="auto"/>
            <w:noWrap/>
          </w:tcPr>
          <w:p w14:paraId="51E5713B" w14:textId="293F895F" w:rsidR="000C5C78" w:rsidRPr="00783571" w:rsidRDefault="000C5C78" w:rsidP="00AA77D8">
            <w:pPr>
              <w:pStyle w:val="TableText"/>
              <w:spacing w:before="20" w:after="20"/>
              <w:ind w:left="270"/>
            </w:pPr>
            <w:r w:rsidRPr="00783571">
              <w:t>MSM</w:t>
            </w:r>
          </w:p>
        </w:tc>
        <w:tc>
          <w:tcPr>
            <w:tcW w:w="1156" w:type="dxa"/>
            <w:tcBorders>
              <w:top w:val="single" w:sz="4" w:space="0" w:color="808080" w:themeColor="background1" w:themeShade="80"/>
              <w:bottom w:val="single" w:sz="4" w:space="0" w:color="808080" w:themeColor="background1" w:themeShade="80"/>
            </w:tcBorders>
            <w:shd w:val="clear" w:color="auto" w:fill="auto"/>
            <w:noWrap/>
          </w:tcPr>
          <w:p w14:paraId="6A35C1F1" w14:textId="33D7B9C7" w:rsidR="000C5C78" w:rsidRPr="00783571" w:rsidRDefault="000C5C78" w:rsidP="00AA77D8">
            <w:pPr>
              <w:pStyle w:val="TableTextDec"/>
              <w:tabs>
                <w:tab w:val="clear" w:pos="1015"/>
                <w:tab w:val="decimal" w:pos="545"/>
              </w:tabs>
              <w:spacing w:before="20" w:after="20"/>
            </w:pPr>
            <w:r w:rsidRPr="00783571">
              <w:t>100%</w:t>
            </w:r>
          </w:p>
        </w:tc>
        <w:tc>
          <w:tcPr>
            <w:tcW w:w="4436" w:type="dxa"/>
            <w:tcBorders>
              <w:top w:val="single" w:sz="4" w:space="0" w:color="808080" w:themeColor="background1" w:themeShade="80"/>
              <w:bottom w:val="single" w:sz="4" w:space="0" w:color="808080" w:themeColor="background1" w:themeShade="80"/>
            </w:tcBorders>
            <w:shd w:val="clear" w:color="auto" w:fill="auto"/>
            <w:noWrap/>
          </w:tcPr>
          <w:p w14:paraId="2B5E2EC4" w14:textId="5491DEC4" w:rsidR="000C5C78" w:rsidRPr="00783571" w:rsidRDefault="000C5C78" w:rsidP="00AA77D8">
            <w:pPr>
              <w:pStyle w:val="TableText"/>
              <w:spacing w:before="20" w:after="20"/>
            </w:pPr>
            <w:r w:rsidRPr="00783571">
              <w:t>Assumption</w:t>
            </w:r>
          </w:p>
        </w:tc>
      </w:tr>
      <w:tr w:rsidR="000C5C78" w:rsidRPr="00783571" w14:paraId="1583AED9" w14:textId="77777777" w:rsidTr="00260D8A">
        <w:tc>
          <w:tcPr>
            <w:tcW w:w="3768" w:type="dxa"/>
            <w:tcBorders>
              <w:top w:val="single" w:sz="4" w:space="0" w:color="808080" w:themeColor="background1" w:themeShade="80"/>
              <w:bottom w:val="single" w:sz="12" w:space="0" w:color="000000"/>
            </w:tcBorders>
            <w:shd w:val="clear" w:color="auto" w:fill="auto"/>
            <w:noWrap/>
          </w:tcPr>
          <w:p w14:paraId="379B2B91" w14:textId="7BE4F8BA" w:rsidR="000C5C78" w:rsidRPr="00783571" w:rsidRDefault="000C5C78" w:rsidP="00AA77D8">
            <w:pPr>
              <w:pStyle w:val="TableText"/>
              <w:spacing w:before="20" w:after="20"/>
              <w:ind w:left="270"/>
            </w:pPr>
            <w:r w:rsidRPr="00783571">
              <w:t>PWID</w:t>
            </w:r>
          </w:p>
        </w:tc>
        <w:tc>
          <w:tcPr>
            <w:tcW w:w="1156" w:type="dxa"/>
            <w:tcBorders>
              <w:top w:val="single" w:sz="4" w:space="0" w:color="808080" w:themeColor="background1" w:themeShade="80"/>
              <w:bottom w:val="single" w:sz="12" w:space="0" w:color="000000"/>
            </w:tcBorders>
            <w:shd w:val="clear" w:color="auto" w:fill="auto"/>
            <w:noWrap/>
          </w:tcPr>
          <w:p w14:paraId="56E33816" w14:textId="45C02E4E" w:rsidR="000C5C78" w:rsidRPr="00783571" w:rsidRDefault="000C5C78" w:rsidP="00AA77D8">
            <w:pPr>
              <w:pStyle w:val="TableTextDec"/>
              <w:tabs>
                <w:tab w:val="clear" w:pos="1015"/>
                <w:tab w:val="decimal" w:pos="545"/>
              </w:tabs>
              <w:spacing w:before="20" w:after="20"/>
            </w:pPr>
            <w:r w:rsidRPr="00783571">
              <w:t>100%</w:t>
            </w:r>
          </w:p>
        </w:tc>
        <w:tc>
          <w:tcPr>
            <w:tcW w:w="4436" w:type="dxa"/>
            <w:tcBorders>
              <w:top w:val="single" w:sz="4" w:space="0" w:color="808080" w:themeColor="background1" w:themeShade="80"/>
              <w:bottom w:val="single" w:sz="12" w:space="0" w:color="000000"/>
            </w:tcBorders>
            <w:shd w:val="clear" w:color="auto" w:fill="auto"/>
            <w:noWrap/>
          </w:tcPr>
          <w:p w14:paraId="65EB78BC" w14:textId="10BBC96E" w:rsidR="000C5C78" w:rsidRPr="00783571" w:rsidRDefault="000C5C78" w:rsidP="00AA77D8">
            <w:pPr>
              <w:pStyle w:val="TableText"/>
              <w:spacing w:before="20" w:after="20"/>
            </w:pPr>
            <w:r w:rsidRPr="00783571">
              <w:t>Assumption</w:t>
            </w:r>
          </w:p>
        </w:tc>
      </w:tr>
    </w:tbl>
    <w:p w14:paraId="50B21B2D" w14:textId="2DDBA489" w:rsidR="00382287" w:rsidRPr="00783571" w:rsidRDefault="00D4774B" w:rsidP="00F82809">
      <w:pPr>
        <w:pStyle w:val="Source2"/>
      </w:pPr>
      <w:r w:rsidRPr="00783571">
        <w:t xml:space="preserve">Note: </w:t>
      </w:r>
      <w:r w:rsidR="00382287" w:rsidRPr="00783571">
        <w:t>ART</w:t>
      </w:r>
      <w:r w:rsidR="00E628BE" w:rsidRPr="00783571">
        <w:t> = </w:t>
      </w:r>
      <w:r w:rsidR="00382287" w:rsidRPr="00783571">
        <w:t>antiretroviral therapy; HET</w:t>
      </w:r>
      <w:r w:rsidR="00E628BE" w:rsidRPr="00783571">
        <w:t> = </w:t>
      </w:r>
      <w:r w:rsidR="00382287" w:rsidRPr="00783571">
        <w:t>heterosexual; HIV</w:t>
      </w:r>
      <w:r w:rsidR="00E628BE" w:rsidRPr="00783571">
        <w:t> = </w:t>
      </w:r>
      <w:r w:rsidR="00382287" w:rsidRPr="00783571">
        <w:t>human immunodeficiency virus</w:t>
      </w:r>
      <w:r w:rsidR="006E2C52" w:rsidRPr="00783571">
        <w:t>; NHANES</w:t>
      </w:r>
      <w:r w:rsidR="00E628BE" w:rsidRPr="00783571">
        <w:t> = </w:t>
      </w:r>
      <w:r w:rsidR="006E2C52" w:rsidRPr="00783571">
        <w:t>National health and Nutrition Examination Survey</w:t>
      </w:r>
      <w:r w:rsidR="00BA194E" w:rsidRPr="00783571">
        <w:t>; PLWH</w:t>
      </w:r>
      <w:r w:rsidR="00E628BE" w:rsidRPr="00783571">
        <w:t> = </w:t>
      </w:r>
      <w:r w:rsidR="00BA194E" w:rsidRPr="00783571">
        <w:t>p</w:t>
      </w:r>
      <w:r w:rsidR="00F77D76" w:rsidRPr="00783571">
        <w:t>eople</w:t>
      </w:r>
      <w:r w:rsidR="00BA194E" w:rsidRPr="00783571">
        <w:t xml:space="preserve"> living with HIV</w:t>
      </w:r>
    </w:p>
    <w:p w14:paraId="638E618F" w14:textId="77777777" w:rsidR="0016571A" w:rsidRPr="00783571" w:rsidRDefault="003D04E4" w:rsidP="00155468">
      <w:pPr>
        <w:pStyle w:val="Source4"/>
      </w:pPr>
      <w:r w:rsidRPr="00783571">
        <w:rPr>
          <w:vertAlign w:val="superscript"/>
        </w:rPr>
        <w:t>a</w:t>
      </w:r>
      <w:r w:rsidRPr="00783571">
        <w:t xml:space="preserve"> </w:t>
      </w:r>
      <w:r w:rsidR="00FF5BE6" w:rsidRPr="00783571">
        <w:t xml:space="preserve">Fraction of never-MSM and never-PWID who reported an opposite sex partner in the past year; estimated among adults </w:t>
      </w:r>
      <w:r w:rsidR="00891907" w:rsidRPr="00783571">
        <w:t xml:space="preserve">aged </w:t>
      </w:r>
      <w:r w:rsidR="00FF5BE6" w:rsidRPr="00783571">
        <w:t>18 to 59.</w:t>
      </w:r>
    </w:p>
    <w:p w14:paraId="57FE7451" w14:textId="70240104" w:rsidR="00382287" w:rsidRPr="00783571" w:rsidRDefault="004F4E6D" w:rsidP="004557C4">
      <w:pPr>
        <w:pStyle w:val="TableTitle"/>
      </w:pPr>
      <w:bookmarkStart w:id="14" w:name="_Toc510104015"/>
      <w:r w:rsidRPr="00783571">
        <w:t>Table 4.</w:t>
      </w:r>
      <w:r w:rsidR="00382287" w:rsidRPr="00783571">
        <w:t>3</w:t>
      </w:r>
      <w:r w:rsidR="004557C4" w:rsidRPr="00783571">
        <w:t>.</w:t>
      </w:r>
      <w:r w:rsidR="004557C4" w:rsidRPr="00783571">
        <w:tab/>
      </w:r>
      <w:r w:rsidR="00382287" w:rsidRPr="00783571">
        <w:t>Distribution of Initial</w:t>
      </w:r>
      <w:r w:rsidR="00E631C3" w:rsidRPr="00783571">
        <w:t xml:space="preserve"> HIV-I</w:t>
      </w:r>
      <w:r w:rsidR="00382287" w:rsidRPr="00783571">
        <w:t>nfected Population across Continuum-of-Care Stages by Race/Ethnicity</w:t>
      </w:r>
      <w:r w:rsidR="000C5C78" w:rsidRPr="00783571">
        <w:t xml:space="preserve"> (2006)</w:t>
      </w:r>
      <w:bookmarkEnd w:id="14"/>
    </w:p>
    <w:tbl>
      <w:tblPr>
        <w:tblW w:w="9360" w:type="dxa"/>
        <w:tblBorders>
          <w:top w:val="single" w:sz="12" w:space="0" w:color="000000"/>
          <w:bottom w:val="single" w:sz="12" w:space="0" w:color="000000"/>
          <w:insideH w:val="single" w:sz="2" w:space="0" w:color="DDDDDD"/>
        </w:tblBorders>
        <w:tblLayout w:type="fixed"/>
        <w:tblCellMar>
          <w:left w:w="58" w:type="dxa"/>
          <w:right w:w="58" w:type="dxa"/>
        </w:tblCellMar>
        <w:tblLook w:val="04A0" w:firstRow="1" w:lastRow="0" w:firstColumn="1" w:lastColumn="0" w:noHBand="0" w:noVBand="1"/>
      </w:tblPr>
      <w:tblGrid>
        <w:gridCol w:w="2070"/>
        <w:gridCol w:w="1080"/>
        <w:gridCol w:w="1170"/>
        <w:gridCol w:w="1080"/>
        <w:gridCol w:w="3954"/>
        <w:gridCol w:w="6"/>
      </w:tblGrid>
      <w:tr w:rsidR="00382287" w:rsidRPr="00783571" w14:paraId="3D5D081C" w14:textId="77777777" w:rsidTr="00155468">
        <w:trPr>
          <w:gridAfter w:val="1"/>
          <w:wAfter w:w="6" w:type="dxa"/>
          <w:tblHeader/>
        </w:trPr>
        <w:tc>
          <w:tcPr>
            <w:tcW w:w="2070" w:type="dxa"/>
            <w:tcBorders>
              <w:top w:val="single" w:sz="12" w:space="0" w:color="000000"/>
              <w:bottom w:val="single" w:sz="6" w:space="0" w:color="auto"/>
            </w:tcBorders>
            <w:shd w:val="clear" w:color="auto" w:fill="auto"/>
            <w:noWrap/>
            <w:vAlign w:val="bottom"/>
            <w:hideMark/>
          </w:tcPr>
          <w:p w14:paraId="57C126CF" w14:textId="77777777" w:rsidR="00382287" w:rsidRPr="00783571" w:rsidRDefault="00BA76A6" w:rsidP="00AA77D8">
            <w:pPr>
              <w:pStyle w:val="TableHeaders"/>
            </w:pPr>
            <w:r w:rsidRPr="00783571">
              <w:t xml:space="preserve">Continuum-of-Care </w:t>
            </w:r>
            <w:r w:rsidR="003B19DD" w:rsidRPr="00783571">
              <w:t>Stage</w:t>
            </w:r>
          </w:p>
        </w:tc>
        <w:tc>
          <w:tcPr>
            <w:tcW w:w="1080" w:type="dxa"/>
            <w:tcBorders>
              <w:top w:val="single" w:sz="12" w:space="0" w:color="000000"/>
              <w:bottom w:val="single" w:sz="6" w:space="0" w:color="auto"/>
            </w:tcBorders>
            <w:shd w:val="clear" w:color="auto" w:fill="auto"/>
            <w:vAlign w:val="bottom"/>
          </w:tcPr>
          <w:p w14:paraId="27FAB5CF" w14:textId="77777777" w:rsidR="00382287" w:rsidRPr="00783571" w:rsidRDefault="00382287" w:rsidP="00AA77D8">
            <w:pPr>
              <w:pStyle w:val="TableHeaders"/>
            </w:pPr>
            <w:r w:rsidRPr="00783571">
              <w:t>Black</w:t>
            </w:r>
          </w:p>
        </w:tc>
        <w:tc>
          <w:tcPr>
            <w:tcW w:w="1170" w:type="dxa"/>
            <w:tcBorders>
              <w:top w:val="single" w:sz="12" w:space="0" w:color="000000"/>
              <w:bottom w:val="single" w:sz="6" w:space="0" w:color="auto"/>
            </w:tcBorders>
            <w:shd w:val="clear" w:color="auto" w:fill="auto"/>
            <w:vAlign w:val="bottom"/>
          </w:tcPr>
          <w:p w14:paraId="581D7B2C" w14:textId="77777777" w:rsidR="00382287" w:rsidRPr="00783571" w:rsidRDefault="00382287" w:rsidP="00AA77D8">
            <w:pPr>
              <w:pStyle w:val="TableHeaders"/>
            </w:pPr>
            <w:r w:rsidRPr="00783571">
              <w:t>Hispanic/</w:t>
            </w:r>
            <w:r w:rsidR="006776CF" w:rsidRPr="00783571">
              <w:t xml:space="preserve"> </w:t>
            </w:r>
            <w:r w:rsidRPr="00783571">
              <w:t>Latino</w:t>
            </w:r>
          </w:p>
        </w:tc>
        <w:tc>
          <w:tcPr>
            <w:tcW w:w="1080" w:type="dxa"/>
            <w:tcBorders>
              <w:top w:val="single" w:sz="12" w:space="0" w:color="000000"/>
              <w:bottom w:val="single" w:sz="6" w:space="0" w:color="auto"/>
            </w:tcBorders>
            <w:shd w:val="clear" w:color="auto" w:fill="auto"/>
            <w:vAlign w:val="bottom"/>
          </w:tcPr>
          <w:p w14:paraId="7E0B30EE" w14:textId="77777777" w:rsidR="00382287" w:rsidRPr="00783571" w:rsidRDefault="00382287" w:rsidP="00AA77D8">
            <w:pPr>
              <w:pStyle w:val="TableHeaders"/>
            </w:pPr>
            <w:r w:rsidRPr="00783571">
              <w:t>Other</w:t>
            </w:r>
          </w:p>
        </w:tc>
        <w:tc>
          <w:tcPr>
            <w:tcW w:w="3954" w:type="dxa"/>
            <w:tcBorders>
              <w:top w:val="single" w:sz="12" w:space="0" w:color="000000"/>
              <w:bottom w:val="single" w:sz="6" w:space="0" w:color="auto"/>
            </w:tcBorders>
            <w:shd w:val="clear" w:color="auto" w:fill="auto"/>
            <w:noWrap/>
            <w:vAlign w:val="bottom"/>
            <w:hideMark/>
          </w:tcPr>
          <w:p w14:paraId="0E611486" w14:textId="77777777" w:rsidR="00382287" w:rsidRPr="00783571" w:rsidRDefault="00382287" w:rsidP="00AA77D8">
            <w:pPr>
              <w:pStyle w:val="TableHeaders"/>
            </w:pPr>
            <w:r w:rsidRPr="00783571">
              <w:t>Source</w:t>
            </w:r>
          </w:p>
        </w:tc>
      </w:tr>
      <w:tr w:rsidR="00040371" w:rsidRPr="00783571" w14:paraId="7E340FAE" w14:textId="77777777" w:rsidTr="00155468">
        <w:tc>
          <w:tcPr>
            <w:tcW w:w="2070" w:type="dxa"/>
            <w:tcBorders>
              <w:top w:val="single" w:sz="6" w:space="0" w:color="auto"/>
              <w:bottom w:val="single" w:sz="4" w:space="0" w:color="808080" w:themeColor="background1" w:themeShade="80"/>
            </w:tcBorders>
            <w:shd w:val="clear" w:color="auto" w:fill="auto"/>
            <w:noWrap/>
            <w:hideMark/>
          </w:tcPr>
          <w:p w14:paraId="350CF330" w14:textId="02BFA890" w:rsidR="00040371" w:rsidRPr="00783571" w:rsidRDefault="00642D3A" w:rsidP="005F5DDA">
            <w:pPr>
              <w:pStyle w:val="TableText"/>
            </w:pPr>
            <w:r w:rsidRPr="00783571">
              <w:t>Unaware (</w:t>
            </w:r>
            <w:r w:rsidRPr="00783571">
              <w:rPr>
                <w:i/>
                <w:iCs/>
              </w:rPr>
              <w:t>r</w:t>
            </w:r>
            <w:r w:rsidR="00E628BE" w:rsidRPr="00783571">
              <w:t> = </w:t>
            </w:r>
            <w:r w:rsidRPr="00783571">
              <w:t>1)</w:t>
            </w:r>
          </w:p>
        </w:tc>
        <w:tc>
          <w:tcPr>
            <w:tcW w:w="1080" w:type="dxa"/>
            <w:tcBorders>
              <w:top w:val="single" w:sz="6" w:space="0" w:color="auto"/>
              <w:bottom w:val="single" w:sz="4" w:space="0" w:color="808080" w:themeColor="background1" w:themeShade="80"/>
            </w:tcBorders>
          </w:tcPr>
          <w:p w14:paraId="4CDA4A2F" w14:textId="77777777" w:rsidR="00040371" w:rsidRPr="00783571" w:rsidRDefault="00040371" w:rsidP="004557C4">
            <w:pPr>
              <w:pStyle w:val="TableText"/>
              <w:jc w:val="center"/>
            </w:pPr>
            <w:r w:rsidRPr="00783571">
              <w:t>22.7%</w:t>
            </w:r>
          </w:p>
        </w:tc>
        <w:tc>
          <w:tcPr>
            <w:tcW w:w="1170" w:type="dxa"/>
            <w:tcBorders>
              <w:top w:val="single" w:sz="6" w:space="0" w:color="auto"/>
              <w:bottom w:val="single" w:sz="4" w:space="0" w:color="808080" w:themeColor="background1" w:themeShade="80"/>
            </w:tcBorders>
          </w:tcPr>
          <w:p w14:paraId="6D5CCD6E" w14:textId="77777777" w:rsidR="00040371" w:rsidRPr="00783571" w:rsidRDefault="00040371" w:rsidP="004557C4">
            <w:pPr>
              <w:pStyle w:val="TableText"/>
              <w:jc w:val="center"/>
            </w:pPr>
            <w:r w:rsidRPr="00783571">
              <w:t>23.3%</w:t>
            </w:r>
          </w:p>
        </w:tc>
        <w:tc>
          <w:tcPr>
            <w:tcW w:w="1080" w:type="dxa"/>
            <w:tcBorders>
              <w:top w:val="single" w:sz="6" w:space="0" w:color="auto"/>
              <w:bottom w:val="single" w:sz="4" w:space="0" w:color="808080" w:themeColor="background1" w:themeShade="80"/>
            </w:tcBorders>
          </w:tcPr>
          <w:p w14:paraId="1C41E56E" w14:textId="77777777" w:rsidR="00040371" w:rsidRPr="00783571" w:rsidRDefault="00040371" w:rsidP="004557C4">
            <w:pPr>
              <w:pStyle w:val="TableText"/>
              <w:jc w:val="center"/>
            </w:pPr>
            <w:r w:rsidRPr="00783571">
              <w:t>20.2%</w:t>
            </w:r>
          </w:p>
        </w:tc>
        <w:tc>
          <w:tcPr>
            <w:tcW w:w="3960" w:type="dxa"/>
            <w:gridSpan w:val="2"/>
            <w:vMerge w:val="restart"/>
            <w:tcBorders>
              <w:top w:val="single" w:sz="6" w:space="0" w:color="auto"/>
              <w:bottom w:val="single" w:sz="4" w:space="0" w:color="808080" w:themeColor="background1" w:themeShade="80"/>
            </w:tcBorders>
            <w:shd w:val="clear" w:color="auto" w:fill="auto"/>
            <w:noWrap/>
            <w:hideMark/>
          </w:tcPr>
          <w:p w14:paraId="270B792A" w14:textId="444FF909" w:rsidR="00040371" w:rsidRPr="00783571" w:rsidRDefault="00A15A22" w:rsidP="00A15A22">
            <w:pPr>
              <w:pStyle w:val="TableText"/>
            </w:pPr>
            <w:r w:rsidRPr="00783571">
              <w:t>Percentages in first three stages (</w:t>
            </w:r>
            <w:r w:rsidRPr="00783571">
              <w:rPr>
                <w:i/>
                <w:iCs/>
              </w:rPr>
              <w:t>r</w:t>
            </w:r>
            <w:r w:rsidR="00E628BE" w:rsidRPr="00783571">
              <w:t> = </w:t>
            </w:r>
            <w:r w:rsidRPr="00783571">
              <w:t>1 to 3) c</w:t>
            </w:r>
            <w:r w:rsidR="00040371" w:rsidRPr="00783571">
              <w:t>alculated from Gardner et al. (2011) and CDC (2013)</w:t>
            </w:r>
            <w:r w:rsidR="003F5A30" w:rsidRPr="00783571">
              <w:t>.</w:t>
            </w:r>
            <w:r w:rsidR="00040371" w:rsidRPr="00783571">
              <w:rPr>
                <w:vertAlign w:val="superscript"/>
              </w:rPr>
              <w:t>a</w:t>
            </w:r>
          </w:p>
        </w:tc>
      </w:tr>
      <w:tr w:rsidR="00040371" w:rsidRPr="00783571" w14:paraId="5E043A5E" w14:textId="77777777" w:rsidTr="00155468">
        <w:tc>
          <w:tcPr>
            <w:tcW w:w="2070" w:type="dxa"/>
            <w:tcBorders>
              <w:top w:val="single" w:sz="4" w:space="0" w:color="808080" w:themeColor="background1" w:themeShade="80"/>
              <w:bottom w:val="single" w:sz="4" w:space="0" w:color="808080" w:themeColor="background1" w:themeShade="80"/>
            </w:tcBorders>
            <w:shd w:val="clear" w:color="auto" w:fill="auto"/>
            <w:noWrap/>
            <w:hideMark/>
          </w:tcPr>
          <w:p w14:paraId="2E4A74BB" w14:textId="0E8614B9" w:rsidR="00040371" w:rsidRPr="00783571" w:rsidRDefault="00642D3A" w:rsidP="005F5DDA">
            <w:pPr>
              <w:pStyle w:val="TableText"/>
            </w:pPr>
            <w:r w:rsidRPr="00783571">
              <w:t>Aware (</w:t>
            </w:r>
            <w:r w:rsidRPr="00783571">
              <w:rPr>
                <w:i/>
                <w:iCs/>
              </w:rPr>
              <w:t>r</w:t>
            </w:r>
            <w:r w:rsidR="00E628BE" w:rsidRPr="00783571">
              <w:t> = </w:t>
            </w:r>
            <w:r w:rsidRPr="00783571">
              <w:t>2)</w:t>
            </w:r>
          </w:p>
        </w:tc>
        <w:tc>
          <w:tcPr>
            <w:tcW w:w="1080" w:type="dxa"/>
            <w:tcBorders>
              <w:top w:val="single" w:sz="4" w:space="0" w:color="808080" w:themeColor="background1" w:themeShade="80"/>
              <w:bottom w:val="single" w:sz="4" w:space="0" w:color="808080" w:themeColor="background1" w:themeShade="80"/>
            </w:tcBorders>
          </w:tcPr>
          <w:p w14:paraId="796D00C6" w14:textId="77777777" w:rsidR="00040371" w:rsidRPr="00783571" w:rsidRDefault="00040371" w:rsidP="004557C4">
            <w:pPr>
              <w:pStyle w:val="TableText"/>
              <w:jc w:val="center"/>
            </w:pPr>
            <w:r w:rsidRPr="00783571">
              <w:t>32.4%</w:t>
            </w:r>
          </w:p>
        </w:tc>
        <w:tc>
          <w:tcPr>
            <w:tcW w:w="1170" w:type="dxa"/>
            <w:tcBorders>
              <w:top w:val="single" w:sz="4" w:space="0" w:color="808080" w:themeColor="background1" w:themeShade="80"/>
              <w:bottom w:val="single" w:sz="4" w:space="0" w:color="808080" w:themeColor="background1" w:themeShade="80"/>
            </w:tcBorders>
          </w:tcPr>
          <w:p w14:paraId="65C399C6" w14:textId="77777777" w:rsidR="00040371" w:rsidRPr="00783571" w:rsidRDefault="00040371" w:rsidP="004557C4">
            <w:pPr>
              <w:pStyle w:val="TableText"/>
              <w:jc w:val="center"/>
            </w:pPr>
            <w:r w:rsidRPr="00783571">
              <w:t>30.5%</w:t>
            </w:r>
          </w:p>
        </w:tc>
        <w:tc>
          <w:tcPr>
            <w:tcW w:w="1080" w:type="dxa"/>
            <w:tcBorders>
              <w:top w:val="single" w:sz="4" w:space="0" w:color="808080" w:themeColor="background1" w:themeShade="80"/>
              <w:bottom w:val="single" w:sz="4" w:space="0" w:color="808080" w:themeColor="background1" w:themeShade="80"/>
            </w:tcBorders>
          </w:tcPr>
          <w:p w14:paraId="1BEF25DC" w14:textId="77777777" w:rsidR="00040371" w:rsidRPr="00783571" w:rsidRDefault="00040371" w:rsidP="004557C4">
            <w:pPr>
              <w:pStyle w:val="TableText"/>
              <w:jc w:val="center"/>
            </w:pPr>
            <w:r w:rsidRPr="00783571">
              <w:t>28.9%</w:t>
            </w:r>
          </w:p>
        </w:tc>
        <w:tc>
          <w:tcPr>
            <w:tcW w:w="3960" w:type="dxa"/>
            <w:gridSpan w:val="2"/>
            <w:vMerge/>
            <w:tcBorders>
              <w:top w:val="single" w:sz="4" w:space="0" w:color="808080" w:themeColor="background1" w:themeShade="80"/>
              <w:bottom w:val="single" w:sz="4" w:space="0" w:color="808080" w:themeColor="background1" w:themeShade="80"/>
            </w:tcBorders>
            <w:shd w:val="clear" w:color="auto" w:fill="auto"/>
            <w:noWrap/>
            <w:hideMark/>
          </w:tcPr>
          <w:p w14:paraId="408C3619" w14:textId="77777777" w:rsidR="00040371" w:rsidRPr="00783571" w:rsidRDefault="00040371" w:rsidP="00ED02F2">
            <w:pPr>
              <w:pStyle w:val="Tabletext0"/>
            </w:pPr>
          </w:p>
        </w:tc>
      </w:tr>
      <w:tr w:rsidR="00040371" w:rsidRPr="00783571" w14:paraId="7D32AC65" w14:textId="77777777" w:rsidTr="00155468">
        <w:tc>
          <w:tcPr>
            <w:tcW w:w="2070" w:type="dxa"/>
            <w:tcBorders>
              <w:top w:val="single" w:sz="4" w:space="0" w:color="808080" w:themeColor="background1" w:themeShade="80"/>
              <w:bottom w:val="single" w:sz="4" w:space="0" w:color="808080" w:themeColor="background1" w:themeShade="80"/>
            </w:tcBorders>
            <w:shd w:val="clear" w:color="auto" w:fill="auto"/>
            <w:noWrap/>
          </w:tcPr>
          <w:p w14:paraId="63400775" w14:textId="2B975346" w:rsidR="00040371" w:rsidRPr="00783571" w:rsidRDefault="009E34D9" w:rsidP="005F5DDA">
            <w:pPr>
              <w:pStyle w:val="TableText"/>
            </w:pPr>
            <w:r w:rsidRPr="00783571">
              <w:t>Linked to HIV care</w:t>
            </w:r>
            <w:r w:rsidR="00642D3A" w:rsidRPr="00783571">
              <w:t xml:space="preserve"> (</w:t>
            </w:r>
            <w:r w:rsidR="00642D3A" w:rsidRPr="00783571">
              <w:rPr>
                <w:i/>
                <w:iCs/>
              </w:rPr>
              <w:t>r</w:t>
            </w:r>
            <w:r w:rsidR="00E628BE" w:rsidRPr="00783571">
              <w:t> = </w:t>
            </w:r>
            <w:r w:rsidR="00642D3A" w:rsidRPr="00783571">
              <w:t>3)</w:t>
            </w:r>
          </w:p>
        </w:tc>
        <w:tc>
          <w:tcPr>
            <w:tcW w:w="1080" w:type="dxa"/>
            <w:tcBorders>
              <w:top w:val="single" w:sz="4" w:space="0" w:color="808080" w:themeColor="background1" w:themeShade="80"/>
              <w:bottom w:val="single" w:sz="4" w:space="0" w:color="808080" w:themeColor="background1" w:themeShade="80"/>
            </w:tcBorders>
          </w:tcPr>
          <w:p w14:paraId="2A6AEF25" w14:textId="77777777" w:rsidR="00040371" w:rsidRPr="00783571" w:rsidRDefault="00040371" w:rsidP="001A7FD1">
            <w:pPr>
              <w:pStyle w:val="TableText"/>
              <w:jc w:val="center"/>
            </w:pPr>
            <w:r w:rsidRPr="00783571">
              <w:t>24.4%</w:t>
            </w:r>
          </w:p>
        </w:tc>
        <w:tc>
          <w:tcPr>
            <w:tcW w:w="1170" w:type="dxa"/>
            <w:tcBorders>
              <w:top w:val="single" w:sz="4" w:space="0" w:color="808080" w:themeColor="background1" w:themeShade="80"/>
              <w:bottom w:val="single" w:sz="4" w:space="0" w:color="808080" w:themeColor="background1" w:themeShade="80"/>
            </w:tcBorders>
          </w:tcPr>
          <w:p w14:paraId="63651789" w14:textId="77777777" w:rsidR="00040371" w:rsidRPr="00783571" w:rsidRDefault="00040371" w:rsidP="001A7FD1">
            <w:pPr>
              <w:pStyle w:val="TableText"/>
              <w:jc w:val="center"/>
            </w:pPr>
            <w:r w:rsidRPr="00783571">
              <w:t>22.8%</w:t>
            </w:r>
          </w:p>
        </w:tc>
        <w:tc>
          <w:tcPr>
            <w:tcW w:w="1080" w:type="dxa"/>
            <w:tcBorders>
              <w:top w:val="single" w:sz="4" w:space="0" w:color="808080" w:themeColor="background1" w:themeShade="80"/>
              <w:bottom w:val="single" w:sz="4" w:space="0" w:color="808080" w:themeColor="background1" w:themeShade="80"/>
            </w:tcBorders>
          </w:tcPr>
          <w:p w14:paraId="3844CC58" w14:textId="77777777" w:rsidR="00040371" w:rsidRPr="00783571" w:rsidRDefault="00040371" w:rsidP="001A7FD1">
            <w:pPr>
              <w:pStyle w:val="TableText"/>
              <w:jc w:val="center"/>
            </w:pPr>
            <w:r w:rsidRPr="00783571">
              <w:t>26.6%</w:t>
            </w:r>
          </w:p>
        </w:tc>
        <w:tc>
          <w:tcPr>
            <w:tcW w:w="3960" w:type="dxa"/>
            <w:gridSpan w:val="2"/>
            <w:vMerge/>
            <w:tcBorders>
              <w:top w:val="single" w:sz="4" w:space="0" w:color="808080" w:themeColor="background1" w:themeShade="80"/>
              <w:bottom w:val="single" w:sz="4" w:space="0" w:color="808080" w:themeColor="background1" w:themeShade="80"/>
            </w:tcBorders>
            <w:shd w:val="clear" w:color="auto" w:fill="auto"/>
            <w:noWrap/>
            <w:hideMark/>
          </w:tcPr>
          <w:p w14:paraId="4260232F" w14:textId="77777777" w:rsidR="00040371" w:rsidRPr="00783571" w:rsidRDefault="00040371" w:rsidP="00ED02F2">
            <w:pPr>
              <w:pStyle w:val="Tabletext0"/>
            </w:pPr>
          </w:p>
        </w:tc>
      </w:tr>
      <w:tr w:rsidR="00040371" w:rsidRPr="00783571" w14:paraId="501B32D1" w14:textId="77777777" w:rsidTr="00155468">
        <w:tc>
          <w:tcPr>
            <w:tcW w:w="2070" w:type="dxa"/>
            <w:tcBorders>
              <w:top w:val="single" w:sz="4" w:space="0" w:color="808080" w:themeColor="background1" w:themeShade="80"/>
              <w:bottom w:val="single" w:sz="4" w:space="0" w:color="808080" w:themeColor="background1" w:themeShade="80"/>
            </w:tcBorders>
            <w:shd w:val="clear" w:color="auto" w:fill="auto"/>
            <w:noWrap/>
          </w:tcPr>
          <w:p w14:paraId="1C0C953B" w14:textId="4D6F436D" w:rsidR="00040371" w:rsidRPr="00783571" w:rsidRDefault="00040371" w:rsidP="005F5DDA">
            <w:pPr>
              <w:pStyle w:val="TableText"/>
            </w:pPr>
            <w:r w:rsidRPr="00783571">
              <w:t>ART</w:t>
            </w:r>
            <w:r w:rsidR="005F5DDA" w:rsidRPr="00783571">
              <w:t>-</w:t>
            </w:r>
            <w:r w:rsidRPr="00783571">
              <w:t>not</w:t>
            </w:r>
            <w:r w:rsidR="005F5DDA" w:rsidRPr="00783571">
              <w:t>-</w:t>
            </w:r>
            <w:r w:rsidRPr="00783571">
              <w:t>VLS</w:t>
            </w:r>
            <w:r w:rsidR="00642D3A" w:rsidRPr="00783571">
              <w:t xml:space="preserve"> (</w:t>
            </w:r>
            <w:r w:rsidR="00642D3A" w:rsidRPr="00783571">
              <w:rPr>
                <w:i/>
                <w:iCs/>
              </w:rPr>
              <w:t>r</w:t>
            </w:r>
            <w:r w:rsidR="00E628BE" w:rsidRPr="00783571">
              <w:t> = </w:t>
            </w:r>
            <w:r w:rsidR="00642D3A" w:rsidRPr="00783571">
              <w:t>4)</w:t>
            </w:r>
          </w:p>
        </w:tc>
        <w:tc>
          <w:tcPr>
            <w:tcW w:w="1080" w:type="dxa"/>
            <w:tcBorders>
              <w:top w:val="single" w:sz="4" w:space="0" w:color="808080" w:themeColor="background1" w:themeShade="80"/>
              <w:bottom w:val="single" w:sz="4" w:space="0" w:color="808080" w:themeColor="background1" w:themeShade="80"/>
            </w:tcBorders>
          </w:tcPr>
          <w:p w14:paraId="29C5B9B3" w14:textId="77777777" w:rsidR="00040371" w:rsidRPr="00783571" w:rsidRDefault="00040371" w:rsidP="004557C4">
            <w:pPr>
              <w:pStyle w:val="TableText"/>
              <w:jc w:val="center"/>
            </w:pPr>
            <w:r w:rsidRPr="00783571">
              <w:t>6.2%</w:t>
            </w:r>
          </w:p>
        </w:tc>
        <w:tc>
          <w:tcPr>
            <w:tcW w:w="1170" w:type="dxa"/>
            <w:tcBorders>
              <w:top w:val="single" w:sz="4" w:space="0" w:color="808080" w:themeColor="background1" w:themeShade="80"/>
              <w:bottom w:val="single" w:sz="4" w:space="0" w:color="808080" w:themeColor="background1" w:themeShade="80"/>
            </w:tcBorders>
          </w:tcPr>
          <w:p w14:paraId="2171C386" w14:textId="77777777" w:rsidR="00040371" w:rsidRPr="00783571" w:rsidRDefault="00040371" w:rsidP="001A7FD1">
            <w:pPr>
              <w:pStyle w:val="TableText"/>
              <w:jc w:val="center"/>
            </w:pPr>
            <w:r w:rsidRPr="00783571">
              <w:t>5.7%</w:t>
            </w:r>
          </w:p>
        </w:tc>
        <w:tc>
          <w:tcPr>
            <w:tcW w:w="1080" w:type="dxa"/>
            <w:tcBorders>
              <w:top w:val="single" w:sz="4" w:space="0" w:color="808080" w:themeColor="background1" w:themeShade="80"/>
              <w:bottom w:val="single" w:sz="4" w:space="0" w:color="808080" w:themeColor="background1" w:themeShade="80"/>
            </w:tcBorders>
          </w:tcPr>
          <w:p w14:paraId="2466A7B3" w14:textId="77777777" w:rsidR="00040371" w:rsidRPr="00783571" w:rsidRDefault="00040371" w:rsidP="001A7FD1">
            <w:pPr>
              <w:pStyle w:val="TableText"/>
              <w:jc w:val="center"/>
            </w:pPr>
            <w:r w:rsidRPr="00783571">
              <w:t>4.3%</w:t>
            </w:r>
          </w:p>
        </w:tc>
        <w:tc>
          <w:tcPr>
            <w:tcW w:w="3960" w:type="dxa"/>
            <w:gridSpan w:val="2"/>
            <w:tcBorders>
              <w:top w:val="single" w:sz="4" w:space="0" w:color="808080" w:themeColor="background1" w:themeShade="80"/>
              <w:bottom w:val="single" w:sz="4" w:space="0" w:color="808080" w:themeColor="background1" w:themeShade="80"/>
            </w:tcBorders>
            <w:shd w:val="clear" w:color="auto" w:fill="auto"/>
            <w:noWrap/>
            <w:hideMark/>
          </w:tcPr>
          <w:p w14:paraId="113C4477" w14:textId="2E8730DC" w:rsidR="00040371" w:rsidRPr="00783571" w:rsidRDefault="009A6905" w:rsidP="003F5A30">
            <w:pPr>
              <w:pStyle w:val="TableText"/>
            </w:pPr>
            <w:r w:rsidRPr="00783571">
              <w:t>Calculated from Gardner et al. (2011) and Hall et al. (2013)</w:t>
            </w:r>
            <w:r w:rsidR="003F5A30" w:rsidRPr="00783571">
              <w:t>.</w:t>
            </w:r>
            <w:r w:rsidRPr="00783571">
              <w:rPr>
                <w:vertAlign w:val="superscript"/>
              </w:rPr>
              <w:t>b</w:t>
            </w:r>
            <w:r w:rsidRPr="00783571">
              <w:rPr>
                <w:vertAlign w:val="subscript"/>
              </w:rPr>
              <w:softHyphen/>
            </w:r>
            <w:r w:rsidRPr="00783571">
              <w:t xml:space="preserve"> Gardner </w:t>
            </w:r>
            <w:r w:rsidR="006E6692" w:rsidRPr="00783571">
              <w:t xml:space="preserve">et al. </w:t>
            </w:r>
            <w:r w:rsidRPr="00783571">
              <w:t>report the percentage aware who are on treatment.</w:t>
            </w:r>
          </w:p>
        </w:tc>
      </w:tr>
      <w:tr w:rsidR="00040371" w:rsidRPr="00783571" w14:paraId="6F27D17A" w14:textId="77777777" w:rsidTr="00155468">
        <w:tc>
          <w:tcPr>
            <w:tcW w:w="2070" w:type="dxa"/>
            <w:tcBorders>
              <w:top w:val="single" w:sz="4" w:space="0" w:color="808080" w:themeColor="background1" w:themeShade="80"/>
              <w:bottom w:val="single" w:sz="12" w:space="0" w:color="auto"/>
            </w:tcBorders>
            <w:shd w:val="clear" w:color="auto" w:fill="auto"/>
            <w:noWrap/>
          </w:tcPr>
          <w:p w14:paraId="3E794E7F" w14:textId="1DE3E357" w:rsidR="00040371" w:rsidRPr="00783571" w:rsidRDefault="00040371" w:rsidP="004557C4">
            <w:pPr>
              <w:pStyle w:val="TableText"/>
            </w:pPr>
            <w:r w:rsidRPr="00783571">
              <w:t>VLS</w:t>
            </w:r>
            <w:r w:rsidR="00642D3A" w:rsidRPr="00783571">
              <w:t xml:space="preserve"> (</w:t>
            </w:r>
            <w:r w:rsidR="00642D3A" w:rsidRPr="00783571">
              <w:rPr>
                <w:i/>
                <w:iCs/>
              </w:rPr>
              <w:t>r</w:t>
            </w:r>
            <w:r w:rsidR="00E628BE" w:rsidRPr="00783571">
              <w:t> = </w:t>
            </w:r>
            <w:r w:rsidR="00642D3A" w:rsidRPr="00783571">
              <w:t>5)</w:t>
            </w:r>
          </w:p>
        </w:tc>
        <w:tc>
          <w:tcPr>
            <w:tcW w:w="1080" w:type="dxa"/>
            <w:tcBorders>
              <w:top w:val="single" w:sz="4" w:space="0" w:color="808080" w:themeColor="background1" w:themeShade="80"/>
              <w:bottom w:val="single" w:sz="12" w:space="0" w:color="auto"/>
            </w:tcBorders>
            <w:shd w:val="clear" w:color="auto" w:fill="auto"/>
          </w:tcPr>
          <w:p w14:paraId="4EC53E6B" w14:textId="77777777" w:rsidR="00040371" w:rsidRPr="00783571" w:rsidRDefault="00040371" w:rsidP="004557C4">
            <w:pPr>
              <w:pStyle w:val="TableText"/>
              <w:jc w:val="center"/>
            </w:pPr>
            <w:r w:rsidRPr="00783571">
              <w:t>14.3%</w:t>
            </w:r>
          </w:p>
        </w:tc>
        <w:tc>
          <w:tcPr>
            <w:tcW w:w="1170" w:type="dxa"/>
            <w:tcBorders>
              <w:top w:val="single" w:sz="4" w:space="0" w:color="808080" w:themeColor="background1" w:themeShade="80"/>
              <w:bottom w:val="single" w:sz="12" w:space="0" w:color="auto"/>
            </w:tcBorders>
            <w:shd w:val="clear" w:color="auto" w:fill="auto"/>
          </w:tcPr>
          <w:p w14:paraId="7FF8785E" w14:textId="77777777" w:rsidR="00040371" w:rsidRPr="00783571" w:rsidRDefault="00040371" w:rsidP="004557C4">
            <w:pPr>
              <w:pStyle w:val="TableText"/>
              <w:jc w:val="center"/>
            </w:pPr>
            <w:r w:rsidRPr="00783571">
              <w:t>17.8%</w:t>
            </w:r>
          </w:p>
        </w:tc>
        <w:tc>
          <w:tcPr>
            <w:tcW w:w="1080" w:type="dxa"/>
            <w:tcBorders>
              <w:top w:val="single" w:sz="4" w:space="0" w:color="808080" w:themeColor="background1" w:themeShade="80"/>
              <w:bottom w:val="single" w:sz="12" w:space="0" w:color="auto"/>
            </w:tcBorders>
            <w:shd w:val="clear" w:color="auto" w:fill="auto"/>
          </w:tcPr>
          <w:p w14:paraId="7A2EA4C2" w14:textId="77777777" w:rsidR="00040371" w:rsidRPr="00783571" w:rsidRDefault="00040371" w:rsidP="004557C4">
            <w:pPr>
              <w:pStyle w:val="TableText"/>
              <w:jc w:val="center"/>
            </w:pPr>
            <w:r w:rsidRPr="00783571">
              <w:t>20.1%</w:t>
            </w:r>
          </w:p>
        </w:tc>
        <w:tc>
          <w:tcPr>
            <w:tcW w:w="3960" w:type="dxa"/>
            <w:gridSpan w:val="2"/>
            <w:tcBorders>
              <w:top w:val="single" w:sz="4" w:space="0" w:color="808080" w:themeColor="background1" w:themeShade="80"/>
              <w:bottom w:val="single" w:sz="12" w:space="0" w:color="auto"/>
            </w:tcBorders>
            <w:shd w:val="clear" w:color="auto" w:fill="auto"/>
            <w:noWrap/>
          </w:tcPr>
          <w:p w14:paraId="6A7394FE" w14:textId="4B119620" w:rsidR="00040371" w:rsidRPr="00783571" w:rsidRDefault="009A6905" w:rsidP="009268A7">
            <w:pPr>
              <w:pStyle w:val="TableText"/>
            </w:pPr>
            <w:r w:rsidRPr="00783571">
              <w:t>Calculated from Gardner et al. (2011) and Hall et al. (2013)</w:t>
            </w:r>
            <w:r w:rsidR="003F5A30" w:rsidRPr="00783571">
              <w:t>.</w:t>
            </w:r>
            <w:r w:rsidRPr="00783571">
              <w:rPr>
                <w:vertAlign w:val="superscript"/>
              </w:rPr>
              <w:t>b</w:t>
            </w:r>
          </w:p>
        </w:tc>
      </w:tr>
    </w:tbl>
    <w:p w14:paraId="659C232A" w14:textId="586F4635" w:rsidR="00382287" w:rsidRPr="00783571" w:rsidRDefault="00D4774B" w:rsidP="00155468">
      <w:pPr>
        <w:pStyle w:val="Source2"/>
      </w:pPr>
      <w:r w:rsidRPr="00783571">
        <w:t xml:space="preserve">Note: </w:t>
      </w:r>
      <w:r w:rsidR="00382287" w:rsidRPr="00783571">
        <w:t>ART</w:t>
      </w:r>
      <w:r w:rsidR="00E628BE" w:rsidRPr="00783571">
        <w:t> = </w:t>
      </w:r>
      <w:r w:rsidR="00382287" w:rsidRPr="00783571">
        <w:t>antiretroviral therapy; HIV</w:t>
      </w:r>
      <w:r w:rsidR="00E628BE" w:rsidRPr="00783571">
        <w:t> = </w:t>
      </w:r>
      <w:r w:rsidR="00382287" w:rsidRPr="00783571">
        <w:t>human immunodeficiency virus</w:t>
      </w:r>
      <w:r w:rsidR="001A7FD1" w:rsidRPr="00783571">
        <w:t>; VLS</w:t>
      </w:r>
      <w:r w:rsidR="00E628BE" w:rsidRPr="00783571">
        <w:t> = </w:t>
      </w:r>
      <w:r w:rsidR="001A7FD1" w:rsidRPr="00783571">
        <w:t>viral load suppressed</w:t>
      </w:r>
    </w:p>
    <w:p w14:paraId="31FDE730" w14:textId="4F434F5D" w:rsidR="000F420A" w:rsidRPr="00783571" w:rsidRDefault="00F36478" w:rsidP="00155468">
      <w:pPr>
        <w:pStyle w:val="Source3"/>
      </w:pPr>
      <w:r w:rsidRPr="00783571">
        <w:rPr>
          <w:vertAlign w:val="superscript"/>
        </w:rPr>
        <w:t>a</w:t>
      </w:r>
      <w:r w:rsidR="00786610" w:rsidRPr="00783571">
        <w:rPr>
          <w:vertAlign w:val="superscript"/>
        </w:rPr>
        <w:t xml:space="preserve"> </w:t>
      </w:r>
      <w:r w:rsidR="00382287" w:rsidRPr="00783571">
        <w:t xml:space="preserve">Race-specific data were unavailable for 2006 and </w:t>
      </w:r>
      <w:r w:rsidR="00D4774B" w:rsidRPr="00783571">
        <w:t xml:space="preserve">were </w:t>
      </w:r>
      <w:r w:rsidR="00382287" w:rsidRPr="00783571">
        <w:t>calculated by applying the relative proportions of each race/ethnicity at each continuum-of-care stage in 2010 (CDC, 2013</w:t>
      </w:r>
      <w:r w:rsidR="00172A1C" w:rsidRPr="00783571">
        <w:t>a</w:t>
      </w:r>
      <w:r w:rsidR="00382287" w:rsidRPr="00783571">
        <w:t xml:space="preserve">) to the non-race specific distribution of </w:t>
      </w:r>
      <w:r w:rsidR="00323667" w:rsidRPr="00783571">
        <w:t xml:space="preserve">the </w:t>
      </w:r>
      <w:r w:rsidR="00382287" w:rsidRPr="00783571">
        <w:t xml:space="preserve">HIV-infected population reported by Gardner </w:t>
      </w:r>
      <w:r w:rsidR="00323667" w:rsidRPr="00783571">
        <w:t xml:space="preserve">et al. </w:t>
      </w:r>
      <w:r w:rsidR="00382287" w:rsidRPr="00783571">
        <w:t>(2011).</w:t>
      </w:r>
    </w:p>
    <w:p w14:paraId="749AE99C" w14:textId="77777777" w:rsidR="00040371" w:rsidRPr="00783571" w:rsidRDefault="00040371" w:rsidP="00155468">
      <w:pPr>
        <w:pStyle w:val="Source4"/>
      </w:pPr>
      <w:r w:rsidRPr="00783571">
        <w:rPr>
          <w:vertAlign w:val="superscript"/>
        </w:rPr>
        <w:t xml:space="preserve">b </w:t>
      </w:r>
      <w:r w:rsidRPr="00783571">
        <w:t>Race-specific data were unavailable for 2006 and were calculated by applying the relative proportions of each race/ethnicity at each continuum-of-care stage in 2009 (Hall et al., 2013) to the non-race specific distribution of the HIV-infected population reported by Gardner et al. (2011).</w:t>
      </w:r>
    </w:p>
    <w:p w14:paraId="60E23FD1" w14:textId="77777777" w:rsidR="002A08CE" w:rsidRPr="00783571" w:rsidRDefault="002A08CE">
      <w:pPr>
        <w:rPr>
          <w:b/>
        </w:rPr>
      </w:pPr>
      <w:r w:rsidRPr="00783571">
        <w:br w:type="page"/>
      </w:r>
    </w:p>
    <w:p w14:paraId="76010951" w14:textId="37D42765" w:rsidR="00382287" w:rsidRPr="00783571" w:rsidRDefault="00382287" w:rsidP="004557C4">
      <w:pPr>
        <w:pStyle w:val="TableTitle"/>
      </w:pPr>
      <w:bookmarkStart w:id="15" w:name="_Toc510104016"/>
      <w:r w:rsidRPr="00783571">
        <w:t xml:space="preserve">Table </w:t>
      </w:r>
      <w:r w:rsidR="00F36478" w:rsidRPr="00783571">
        <w:t>4</w:t>
      </w:r>
      <w:r w:rsidR="00740DFC" w:rsidRPr="00783571">
        <w:t>.</w:t>
      </w:r>
      <w:r w:rsidR="00A57EF2" w:rsidRPr="00783571">
        <w:t>4</w:t>
      </w:r>
      <w:r w:rsidR="004557C4" w:rsidRPr="00783571">
        <w:t>.</w:t>
      </w:r>
      <w:r w:rsidR="004557C4" w:rsidRPr="00783571">
        <w:tab/>
      </w:r>
      <w:r w:rsidR="00E631C3" w:rsidRPr="00783571">
        <w:t>Distribution of Initial HIV-I</w:t>
      </w:r>
      <w:r w:rsidRPr="00783571">
        <w:t>nfected Population across HIV Stages</w:t>
      </w:r>
      <w:r w:rsidR="00295112" w:rsidRPr="00783571">
        <w:t>, by Continuum-of-Care Stage</w:t>
      </w:r>
      <w:bookmarkEnd w:id="15"/>
    </w:p>
    <w:tbl>
      <w:tblPr>
        <w:tblW w:w="5000" w:type="pct"/>
        <w:tblInd w:w="-90" w:type="dxa"/>
        <w:tblBorders>
          <w:top w:val="single" w:sz="12" w:space="0" w:color="000000"/>
          <w:bottom w:val="single" w:sz="12" w:space="0" w:color="000000"/>
          <w:insideH w:val="single" w:sz="2" w:space="0" w:color="DDDDDD"/>
        </w:tblBorders>
        <w:tblLayout w:type="fixed"/>
        <w:tblCellMar>
          <w:left w:w="58" w:type="dxa"/>
          <w:right w:w="58" w:type="dxa"/>
        </w:tblCellMar>
        <w:tblLook w:val="04A0" w:firstRow="1" w:lastRow="0" w:firstColumn="1" w:lastColumn="0" w:noHBand="0" w:noVBand="1"/>
      </w:tblPr>
      <w:tblGrid>
        <w:gridCol w:w="1922"/>
        <w:gridCol w:w="1032"/>
        <w:gridCol w:w="1032"/>
        <w:gridCol w:w="1032"/>
        <w:gridCol w:w="1032"/>
        <w:gridCol w:w="1032"/>
        <w:gridCol w:w="2278"/>
      </w:tblGrid>
      <w:tr w:rsidR="006776CF" w:rsidRPr="00783571" w14:paraId="535A2E14" w14:textId="77777777" w:rsidTr="00260D8A">
        <w:trPr>
          <w:cantSplit/>
          <w:tblHeader/>
        </w:trPr>
        <w:tc>
          <w:tcPr>
            <w:tcW w:w="1922" w:type="dxa"/>
            <w:tcBorders>
              <w:top w:val="single" w:sz="12" w:space="0" w:color="000000"/>
              <w:bottom w:val="single" w:sz="2" w:space="0" w:color="auto"/>
            </w:tcBorders>
            <w:shd w:val="clear" w:color="auto" w:fill="auto"/>
            <w:noWrap/>
            <w:vAlign w:val="bottom"/>
            <w:hideMark/>
          </w:tcPr>
          <w:p w14:paraId="20CF6E2D" w14:textId="77777777" w:rsidR="00382287" w:rsidRPr="00783571" w:rsidRDefault="00BA76A6" w:rsidP="009508BA">
            <w:pPr>
              <w:pStyle w:val="TableHeaders"/>
              <w:keepNext/>
            </w:pPr>
            <w:r w:rsidRPr="00783571">
              <w:t xml:space="preserve">Continuum-of-Care </w:t>
            </w:r>
            <w:r w:rsidR="003B19DD" w:rsidRPr="00783571">
              <w:t>Stage</w:t>
            </w:r>
          </w:p>
        </w:tc>
        <w:tc>
          <w:tcPr>
            <w:tcW w:w="1032" w:type="dxa"/>
            <w:tcBorders>
              <w:top w:val="single" w:sz="12" w:space="0" w:color="000000"/>
              <w:bottom w:val="single" w:sz="2" w:space="0" w:color="auto"/>
            </w:tcBorders>
            <w:shd w:val="clear" w:color="auto" w:fill="auto"/>
            <w:noWrap/>
            <w:vAlign w:val="bottom"/>
            <w:hideMark/>
          </w:tcPr>
          <w:p w14:paraId="50C270AA" w14:textId="07FE34BE" w:rsidR="00382287" w:rsidRPr="00783571" w:rsidRDefault="00382287" w:rsidP="009508BA">
            <w:pPr>
              <w:pStyle w:val="TableHeaders"/>
              <w:keepNext/>
            </w:pPr>
            <w:r w:rsidRPr="00783571">
              <w:t>Acute</w:t>
            </w:r>
          </w:p>
        </w:tc>
        <w:tc>
          <w:tcPr>
            <w:tcW w:w="1032" w:type="dxa"/>
            <w:tcBorders>
              <w:top w:val="single" w:sz="12" w:space="0" w:color="000000"/>
              <w:bottom w:val="single" w:sz="2" w:space="0" w:color="auto"/>
            </w:tcBorders>
            <w:shd w:val="clear" w:color="auto" w:fill="auto"/>
            <w:noWrap/>
            <w:vAlign w:val="bottom"/>
            <w:hideMark/>
          </w:tcPr>
          <w:p w14:paraId="4E690C10" w14:textId="4AFDDAEA" w:rsidR="00382287" w:rsidRPr="00783571" w:rsidRDefault="00382287" w:rsidP="009508BA">
            <w:pPr>
              <w:pStyle w:val="TableHeaders"/>
              <w:keepNext/>
            </w:pPr>
            <w:r w:rsidRPr="00783571">
              <w:t xml:space="preserve">CD4 </w:t>
            </w:r>
            <w:r w:rsidR="00B70295" w:rsidRPr="00783571">
              <w:br/>
            </w:r>
            <w:r w:rsidRPr="00783571">
              <w:t>&gt; 500</w:t>
            </w:r>
          </w:p>
        </w:tc>
        <w:tc>
          <w:tcPr>
            <w:tcW w:w="1032" w:type="dxa"/>
            <w:tcBorders>
              <w:top w:val="single" w:sz="12" w:space="0" w:color="000000"/>
              <w:bottom w:val="single" w:sz="2" w:space="0" w:color="auto"/>
            </w:tcBorders>
            <w:shd w:val="clear" w:color="auto" w:fill="auto"/>
            <w:noWrap/>
            <w:vAlign w:val="bottom"/>
            <w:hideMark/>
          </w:tcPr>
          <w:p w14:paraId="2F00A7A4" w14:textId="77777777" w:rsidR="00382287" w:rsidRPr="00783571" w:rsidRDefault="00382287" w:rsidP="009508BA">
            <w:pPr>
              <w:pStyle w:val="TableHeaders"/>
              <w:keepNext/>
            </w:pPr>
            <w:r w:rsidRPr="00783571">
              <w:t>CD4 350</w:t>
            </w:r>
            <w:r w:rsidR="008E0A3C" w:rsidRPr="00783571">
              <w:t>–</w:t>
            </w:r>
            <w:r w:rsidRPr="00783571">
              <w:t>500</w:t>
            </w:r>
          </w:p>
        </w:tc>
        <w:tc>
          <w:tcPr>
            <w:tcW w:w="1032" w:type="dxa"/>
            <w:tcBorders>
              <w:top w:val="single" w:sz="12" w:space="0" w:color="000000"/>
              <w:bottom w:val="single" w:sz="2" w:space="0" w:color="auto"/>
            </w:tcBorders>
            <w:shd w:val="clear" w:color="auto" w:fill="auto"/>
            <w:noWrap/>
            <w:vAlign w:val="bottom"/>
            <w:hideMark/>
          </w:tcPr>
          <w:p w14:paraId="472C12A6" w14:textId="3E3A15AB" w:rsidR="00382287" w:rsidRPr="00783571" w:rsidRDefault="00382287" w:rsidP="009508BA">
            <w:pPr>
              <w:pStyle w:val="TableHeaders"/>
              <w:keepNext/>
            </w:pPr>
            <w:r w:rsidRPr="00783571">
              <w:t xml:space="preserve">CD4 </w:t>
            </w:r>
            <w:r w:rsidR="00B70295" w:rsidRPr="00783571">
              <w:br/>
            </w:r>
            <w:r w:rsidRPr="00783571">
              <w:t>200</w:t>
            </w:r>
            <w:r w:rsidR="008E0A3C" w:rsidRPr="00783571">
              <w:t>–</w:t>
            </w:r>
            <w:r w:rsidRPr="00783571">
              <w:t>350</w:t>
            </w:r>
          </w:p>
        </w:tc>
        <w:tc>
          <w:tcPr>
            <w:tcW w:w="1032" w:type="dxa"/>
            <w:tcBorders>
              <w:top w:val="single" w:sz="12" w:space="0" w:color="000000"/>
              <w:bottom w:val="single" w:sz="2" w:space="0" w:color="auto"/>
            </w:tcBorders>
            <w:shd w:val="clear" w:color="auto" w:fill="auto"/>
            <w:noWrap/>
            <w:vAlign w:val="bottom"/>
            <w:hideMark/>
          </w:tcPr>
          <w:p w14:paraId="00D43C81" w14:textId="555E273F" w:rsidR="00382287" w:rsidRPr="00783571" w:rsidRDefault="00382287" w:rsidP="009508BA">
            <w:pPr>
              <w:pStyle w:val="TableHeaders"/>
              <w:keepNext/>
            </w:pPr>
            <w:r w:rsidRPr="00783571">
              <w:t xml:space="preserve">CD4 </w:t>
            </w:r>
            <w:r w:rsidR="00B70295" w:rsidRPr="00783571">
              <w:br/>
            </w:r>
            <w:r w:rsidRPr="00783571">
              <w:t>&lt; 200</w:t>
            </w:r>
          </w:p>
        </w:tc>
        <w:tc>
          <w:tcPr>
            <w:tcW w:w="2278" w:type="dxa"/>
            <w:tcBorders>
              <w:top w:val="single" w:sz="12" w:space="0" w:color="000000"/>
              <w:bottom w:val="single" w:sz="2" w:space="0" w:color="auto"/>
            </w:tcBorders>
            <w:shd w:val="clear" w:color="auto" w:fill="auto"/>
            <w:noWrap/>
            <w:vAlign w:val="bottom"/>
            <w:hideMark/>
          </w:tcPr>
          <w:p w14:paraId="6921DE4D" w14:textId="77777777" w:rsidR="00382287" w:rsidRPr="00783571" w:rsidRDefault="00382287" w:rsidP="009508BA">
            <w:pPr>
              <w:pStyle w:val="TableHeaders"/>
              <w:keepNext/>
            </w:pPr>
            <w:r w:rsidRPr="00783571">
              <w:t>Source</w:t>
            </w:r>
          </w:p>
        </w:tc>
      </w:tr>
      <w:tr w:rsidR="00B70295" w:rsidRPr="00783571" w14:paraId="7BDEB611" w14:textId="77777777" w:rsidTr="00260D8A">
        <w:trPr>
          <w:cantSplit/>
        </w:trPr>
        <w:tc>
          <w:tcPr>
            <w:tcW w:w="1922" w:type="dxa"/>
            <w:tcBorders>
              <w:top w:val="single" w:sz="2" w:space="0" w:color="auto"/>
              <w:bottom w:val="single" w:sz="2" w:space="0" w:color="808080" w:themeColor="background1" w:themeShade="80"/>
            </w:tcBorders>
            <w:shd w:val="clear" w:color="auto" w:fill="auto"/>
            <w:noWrap/>
            <w:hideMark/>
          </w:tcPr>
          <w:p w14:paraId="45A68F1B" w14:textId="1AB32274" w:rsidR="00B70295" w:rsidRPr="00783571" w:rsidRDefault="00B70295" w:rsidP="005F5DDA">
            <w:pPr>
              <w:pStyle w:val="TableText"/>
            </w:pPr>
            <w:r w:rsidRPr="00783571">
              <w:t xml:space="preserve">Unaware </w:t>
            </w:r>
            <w:r w:rsidRPr="00783571">
              <w:br/>
              <w:t>(</w:t>
            </w:r>
            <w:r w:rsidRPr="00783571">
              <w:rPr>
                <w:i/>
                <w:iCs/>
              </w:rPr>
              <w:t>r</w:t>
            </w:r>
            <w:r w:rsidR="00E628BE" w:rsidRPr="00783571">
              <w:t> = </w:t>
            </w:r>
            <w:r w:rsidRPr="00783571">
              <w:t>1)</w:t>
            </w:r>
          </w:p>
        </w:tc>
        <w:tc>
          <w:tcPr>
            <w:tcW w:w="1032" w:type="dxa"/>
            <w:tcBorders>
              <w:top w:val="single" w:sz="2" w:space="0" w:color="auto"/>
              <w:bottom w:val="single" w:sz="2" w:space="0" w:color="808080" w:themeColor="background1" w:themeShade="80"/>
            </w:tcBorders>
            <w:shd w:val="clear" w:color="auto" w:fill="auto"/>
            <w:noWrap/>
            <w:hideMark/>
          </w:tcPr>
          <w:p w14:paraId="4966D813" w14:textId="139DAF10" w:rsidR="00B70295" w:rsidRPr="00783571" w:rsidRDefault="00B70295" w:rsidP="004557C4">
            <w:pPr>
              <w:pStyle w:val="TableText"/>
              <w:jc w:val="center"/>
            </w:pPr>
            <w:r w:rsidRPr="00783571">
              <w:t>1.2%</w:t>
            </w:r>
          </w:p>
        </w:tc>
        <w:tc>
          <w:tcPr>
            <w:tcW w:w="1032" w:type="dxa"/>
            <w:tcBorders>
              <w:top w:val="single" w:sz="2" w:space="0" w:color="auto"/>
              <w:bottom w:val="single" w:sz="2" w:space="0" w:color="808080" w:themeColor="background1" w:themeShade="80"/>
            </w:tcBorders>
            <w:shd w:val="clear" w:color="auto" w:fill="auto"/>
            <w:noWrap/>
            <w:hideMark/>
          </w:tcPr>
          <w:p w14:paraId="79C300BD" w14:textId="7ACAB974" w:rsidR="00B70295" w:rsidRPr="00783571" w:rsidRDefault="00B70295" w:rsidP="004557C4">
            <w:pPr>
              <w:pStyle w:val="TableText"/>
              <w:jc w:val="center"/>
            </w:pPr>
            <w:r w:rsidRPr="00783571">
              <w:t>40.1%</w:t>
            </w:r>
          </w:p>
        </w:tc>
        <w:tc>
          <w:tcPr>
            <w:tcW w:w="1032" w:type="dxa"/>
            <w:tcBorders>
              <w:top w:val="single" w:sz="2" w:space="0" w:color="auto"/>
              <w:bottom w:val="single" w:sz="2" w:space="0" w:color="808080" w:themeColor="background1" w:themeShade="80"/>
            </w:tcBorders>
            <w:shd w:val="clear" w:color="auto" w:fill="auto"/>
            <w:noWrap/>
            <w:hideMark/>
          </w:tcPr>
          <w:p w14:paraId="2A63F209" w14:textId="08B21A83" w:rsidR="00B70295" w:rsidRPr="00783571" w:rsidRDefault="00B70295" w:rsidP="004557C4">
            <w:pPr>
              <w:pStyle w:val="TableText"/>
              <w:jc w:val="center"/>
            </w:pPr>
            <w:r w:rsidRPr="00783571">
              <w:t>34.9%</w:t>
            </w:r>
          </w:p>
        </w:tc>
        <w:tc>
          <w:tcPr>
            <w:tcW w:w="1032" w:type="dxa"/>
            <w:tcBorders>
              <w:top w:val="single" w:sz="2" w:space="0" w:color="auto"/>
              <w:bottom w:val="single" w:sz="2" w:space="0" w:color="808080" w:themeColor="background1" w:themeShade="80"/>
            </w:tcBorders>
            <w:shd w:val="clear" w:color="auto" w:fill="auto"/>
            <w:noWrap/>
            <w:hideMark/>
          </w:tcPr>
          <w:p w14:paraId="26796030" w14:textId="344AB21F" w:rsidR="00B70295" w:rsidRPr="00783571" w:rsidRDefault="00B70295" w:rsidP="004557C4">
            <w:pPr>
              <w:pStyle w:val="TableText"/>
              <w:jc w:val="center"/>
            </w:pPr>
            <w:r w:rsidRPr="00783571">
              <w:t>15.4%</w:t>
            </w:r>
          </w:p>
        </w:tc>
        <w:tc>
          <w:tcPr>
            <w:tcW w:w="1032" w:type="dxa"/>
            <w:tcBorders>
              <w:top w:val="single" w:sz="2" w:space="0" w:color="auto"/>
              <w:bottom w:val="single" w:sz="2" w:space="0" w:color="808080" w:themeColor="background1" w:themeShade="80"/>
            </w:tcBorders>
            <w:shd w:val="clear" w:color="auto" w:fill="auto"/>
            <w:noWrap/>
            <w:hideMark/>
          </w:tcPr>
          <w:p w14:paraId="5A144CA6" w14:textId="327779D4" w:rsidR="00B70295" w:rsidRPr="00783571" w:rsidRDefault="00B70295" w:rsidP="004557C4">
            <w:pPr>
              <w:pStyle w:val="TableText"/>
              <w:jc w:val="center"/>
            </w:pPr>
            <w:r w:rsidRPr="00783571">
              <w:t>8.5%</w:t>
            </w:r>
          </w:p>
        </w:tc>
        <w:tc>
          <w:tcPr>
            <w:tcW w:w="2278" w:type="dxa"/>
            <w:vMerge w:val="restart"/>
            <w:tcBorders>
              <w:top w:val="single" w:sz="2" w:space="0" w:color="auto"/>
              <w:bottom w:val="single" w:sz="2" w:space="0" w:color="808080" w:themeColor="background1" w:themeShade="80"/>
            </w:tcBorders>
            <w:shd w:val="clear" w:color="auto" w:fill="auto"/>
            <w:noWrap/>
          </w:tcPr>
          <w:p w14:paraId="57CD5911" w14:textId="518C3145" w:rsidR="00B70295" w:rsidRPr="00783571" w:rsidRDefault="00B70295" w:rsidP="006E2869">
            <w:pPr>
              <w:pStyle w:val="TableText"/>
            </w:pPr>
            <w:r w:rsidRPr="00783571">
              <w:t xml:space="preserve">Average distribution of disease stages at diagnosis produced in this model, given status quo testing rates. Applied that distribution as a proxy. </w:t>
            </w:r>
          </w:p>
        </w:tc>
      </w:tr>
      <w:tr w:rsidR="006E2869" w:rsidRPr="00783571" w14:paraId="07A44C1D" w14:textId="77777777" w:rsidTr="00260D8A">
        <w:trPr>
          <w:cantSplit/>
        </w:trPr>
        <w:tc>
          <w:tcPr>
            <w:tcW w:w="1922" w:type="dxa"/>
            <w:tcBorders>
              <w:top w:val="single" w:sz="2" w:space="0" w:color="808080" w:themeColor="background1" w:themeShade="80"/>
              <w:bottom w:val="single" w:sz="2" w:space="0" w:color="808080" w:themeColor="background1" w:themeShade="80"/>
            </w:tcBorders>
            <w:shd w:val="clear" w:color="auto" w:fill="auto"/>
            <w:noWrap/>
          </w:tcPr>
          <w:p w14:paraId="3B3DD9A8" w14:textId="047F0914" w:rsidR="006E2869" w:rsidRPr="00783571" w:rsidRDefault="006E2869" w:rsidP="005F5DDA">
            <w:pPr>
              <w:pStyle w:val="TableText"/>
            </w:pPr>
            <w:r w:rsidRPr="00783571">
              <w:t xml:space="preserve">Aware </w:t>
            </w:r>
            <w:r w:rsidR="00B70295" w:rsidRPr="00783571">
              <w:br/>
            </w:r>
            <w:r w:rsidRPr="00783571">
              <w:t>(</w:t>
            </w:r>
            <w:r w:rsidRPr="00783571">
              <w:rPr>
                <w:i/>
                <w:iCs/>
              </w:rPr>
              <w:t>r</w:t>
            </w:r>
            <w:r w:rsidR="00E628BE" w:rsidRPr="00783571">
              <w:t> = </w:t>
            </w:r>
            <w:r w:rsidRPr="00783571">
              <w:t>2)</w:t>
            </w:r>
          </w:p>
        </w:tc>
        <w:tc>
          <w:tcPr>
            <w:tcW w:w="1032" w:type="dxa"/>
            <w:tcBorders>
              <w:top w:val="single" w:sz="2" w:space="0" w:color="808080" w:themeColor="background1" w:themeShade="80"/>
              <w:bottom w:val="single" w:sz="2" w:space="0" w:color="808080" w:themeColor="background1" w:themeShade="80"/>
            </w:tcBorders>
            <w:shd w:val="clear" w:color="auto" w:fill="auto"/>
            <w:noWrap/>
          </w:tcPr>
          <w:p w14:paraId="4ED3C9F6" w14:textId="67452C17" w:rsidR="006E2869" w:rsidRPr="00783571" w:rsidRDefault="006E2869" w:rsidP="002B1F7E">
            <w:pPr>
              <w:pStyle w:val="TableText"/>
              <w:jc w:val="center"/>
            </w:pPr>
            <w:r w:rsidRPr="00783571">
              <w:t>1.2</w:t>
            </w:r>
            <w:r w:rsidR="00B70295" w:rsidRPr="00783571">
              <w:t>%</w:t>
            </w:r>
          </w:p>
        </w:tc>
        <w:tc>
          <w:tcPr>
            <w:tcW w:w="1032" w:type="dxa"/>
            <w:tcBorders>
              <w:top w:val="single" w:sz="2" w:space="0" w:color="808080" w:themeColor="background1" w:themeShade="80"/>
              <w:bottom w:val="single" w:sz="2" w:space="0" w:color="808080" w:themeColor="background1" w:themeShade="80"/>
            </w:tcBorders>
            <w:shd w:val="clear" w:color="auto" w:fill="auto"/>
            <w:noWrap/>
          </w:tcPr>
          <w:p w14:paraId="2DF7CA98" w14:textId="57CB440C" w:rsidR="006E2869" w:rsidRPr="00783571" w:rsidRDefault="006E2869" w:rsidP="002B1F7E">
            <w:pPr>
              <w:pStyle w:val="TableText"/>
              <w:jc w:val="center"/>
            </w:pPr>
            <w:r w:rsidRPr="00783571">
              <w:t>40.1</w:t>
            </w:r>
            <w:r w:rsidR="00B70295" w:rsidRPr="00783571">
              <w:t>%</w:t>
            </w:r>
          </w:p>
        </w:tc>
        <w:tc>
          <w:tcPr>
            <w:tcW w:w="1032" w:type="dxa"/>
            <w:tcBorders>
              <w:top w:val="single" w:sz="2" w:space="0" w:color="808080" w:themeColor="background1" w:themeShade="80"/>
              <w:bottom w:val="single" w:sz="2" w:space="0" w:color="808080" w:themeColor="background1" w:themeShade="80"/>
            </w:tcBorders>
            <w:shd w:val="clear" w:color="auto" w:fill="auto"/>
            <w:noWrap/>
          </w:tcPr>
          <w:p w14:paraId="1623F619" w14:textId="5B04A399" w:rsidR="006E2869" w:rsidRPr="00783571" w:rsidRDefault="006E2869" w:rsidP="002B1F7E">
            <w:pPr>
              <w:pStyle w:val="TableText"/>
              <w:jc w:val="center"/>
            </w:pPr>
            <w:r w:rsidRPr="00783571">
              <w:t>34.9</w:t>
            </w:r>
            <w:r w:rsidR="00B70295" w:rsidRPr="00783571">
              <w:t>%</w:t>
            </w:r>
          </w:p>
        </w:tc>
        <w:tc>
          <w:tcPr>
            <w:tcW w:w="1032" w:type="dxa"/>
            <w:tcBorders>
              <w:top w:val="single" w:sz="2" w:space="0" w:color="808080" w:themeColor="background1" w:themeShade="80"/>
              <w:bottom w:val="single" w:sz="2" w:space="0" w:color="808080" w:themeColor="background1" w:themeShade="80"/>
            </w:tcBorders>
            <w:shd w:val="clear" w:color="auto" w:fill="auto"/>
            <w:noWrap/>
          </w:tcPr>
          <w:p w14:paraId="7CA4DE7E" w14:textId="4A027FFB" w:rsidR="006E2869" w:rsidRPr="00783571" w:rsidRDefault="006E2869" w:rsidP="002B1F7E">
            <w:pPr>
              <w:pStyle w:val="TableText"/>
              <w:jc w:val="center"/>
            </w:pPr>
            <w:r w:rsidRPr="00783571">
              <w:t>15.4</w:t>
            </w:r>
            <w:r w:rsidR="00B70295" w:rsidRPr="00783571">
              <w:t>%</w:t>
            </w:r>
          </w:p>
        </w:tc>
        <w:tc>
          <w:tcPr>
            <w:tcW w:w="1032" w:type="dxa"/>
            <w:tcBorders>
              <w:top w:val="single" w:sz="2" w:space="0" w:color="808080" w:themeColor="background1" w:themeShade="80"/>
              <w:bottom w:val="single" w:sz="2" w:space="0" w:color="808080" w:themeColor="background1" w:themeShade="80"/>
            </w:tcBorders>
            <w:shd w:val="clear" w:color="auto" w:fill="auto"/>
            <w:noWrap/>
          </w:tcPr>
          <w:p w14:paraId="5BF87791" w14:textId="2CC8E0BE" w:rsidR="006E2869" w:rsidRPr="00783571" w:rsidRDefault="006E2869" w:rsidP="002B1F7E">
            <w:pPr>
              <w:pStyle w:val="TableText"/>
              <w:jc w:val="center"/>
            </w:pPr>
            <w:r w:rsidRPr="00783571">
              <w:t>8.5</w:t>
            </w:r>
            <w:r w:rsidR="00B70295" w:rsidRPr="00783571">
              <w:t>%</w:t>
            </w:r>
          </w:p>
        </w:tc>
        <w:tc>
          <w:tcPr>
            <w:tcW w:w="2278" w:type="dxa"/>
            <w:vMerge/>
            <w:tcBorders>
              <w:top w:val="single" w:sz="2" w:space="0" w:color="808080" w:themeColor="background1" w:themeShade="80"/>
              <w:bottom w:val="single" w:sz="2" w:space="0" w:color="808080" w:themeColor="background1" w:themeShade="80"/>
            </w:tcBorders>
            <w:shd w:val="clear" w:color="auto" w:fill="auto"/>
            <w:noWrap/>
          </w:tcPr>
          <w:p w14:paraId="660FCFD0" w14:textId="04946F35" w:rsidR="006E2869" w:rsidRPr="00783571" w:rsidRDefault="006E2869" w:rsidP="002B1F7E">
            <w:pPr>
              <w:pStyle w:val="TableText"/>
            </w:pPr>
          </w:p>
        </w:tc>
      </w:tr>
      <w:tr w:rsidR="006776CF" w:rsidRPr="00783571" w14:paraId="0D2D4E91" w14:textId="77777777" w:rsidTr="00260D8A">
        <w:trPr>
          <w:cantSplit/>
        </w:trPr>
        <w:tc>
          <w:tcPr>
            <w:tcW w:w="1922" w:type="dxa"/>
            <w:tcBorders>
              <w:top w:val="single" w:sz="2" w:space="0" w:color="808080" w:themeColor="background1" w:themeShade="80"/>
              <w:bottom w:val="single" w:sz="2" w:space="0" w:color="808080" w:themeColor="background1" w:themeShade="80"/>
            </w:tcBorders>
            <w:shd w:val="clear" w:color="auto" w:fill="auto"/>
            <w:noWrap/>
            <w:hideMark/>
          </w:tcPr>
          <w:p w14:paraId="5A6B4E40" w14:textId="2952D688" w:rsidR="006776CF" w:rsidRPr="00783571" w:rsidRDefault="009E34D9" w:rsidP="005F5DDA">
            <w:pPr>
              <w:pStyle w:val="TableText"/>
            </w:pPr>
            <w:r w:rsidRPr="00783571">
              <w:t>Linked to HIV care</w:t>
            </w:r>
            <w:r w:rsidR="005F5DDA" w:rsidRPr="00783571" w:rsidDel="005F5DDA">
              <w:t xml:space="preserve"> </w:t>
            </w:r>
            <w:r w:rsidR="006776CF" w:rsidRPr="00783571">
              <w:t>(</w:t>
            </w:r>
            <w:r w:rsidR="006776CF" w:rsidRPr="00783571">
              <w:rPr>
                <w:i/>
                <w:iCs/>
              </w:rPr>
              <w:t>r</w:t>
            </w:r>
            <w:r w:rsidR="00E628BE" w:rsidRPr="00783571">
              <w:t> = </w:t>
            </w:r>
            <w:r w:rsidR="006776CF" w:rsidRPr="00783571">
              <w:t>3)</w:t>
            </w:r>
          </w:p>
        </w:tc>
        <w:tc>
          <w:tcPr>
            <w:tcW w:w="1032" w:type="dxa"/>
            <w:tcBorders>
              <w:top w:val="single" w:sz="2" w:space="0" w:color="808080" w:themeColor="background1" w:themeShade="80"/>
              <w:bottom w:val="single" w:sz="2" w:space="0" w:color="808080" w:themeColor="background1" w:themeShade="80"/>
            </w:tcBorders>
            <w:shd w:val="clear" w:color="auto" w:fill="auto"/>
            <w:noWrap/>
            <w:hideMark/>
          </w:tcPr>
          <w:p w14:paraId="61A5D912" w14:textId="77777777" w:rsidR="006776CF" w:rsidRPr="00783571" w:rsidRDefault="006776CF" w:rsidP="004557C4">
            <w:pPr>
              <w:pStyle w:val="TableText"/>
              <w:jc w:val="center"/>
            </w:pPr>
            <w:r w:rsidRPr="00783571">
              <w:t>0.0%</w:t>
            </w:r>
          </w:p>
        </w:tc>
        <w:tc>
          <w:tcPr>
            <w:tcW w:w="1032" w:type="dxa"/>
            <w:tcBorders>
              <w:top w:val="single" w:sz="2" w:space="0" w:color="808080" w:themeColor="background1" w:themeShade="80"/>
              <w:bottom w:val="single" w:sz="2" w:space="0" w:color="808080" w:themeColor="background1" w:themeShade="80"/>
            </w:tcBorders>
            <w:shd w:val="clear" w:color="auto" w:fill="auto"/>
            <w:noWrap/>
            <w:hideMark/>
          </w:tcPr>
          <w:p w14:paraId="32856FFE" w14:textId="77777777" w:rsidR="006776CF" w:rsidRPr="00783571" w:rsidRDefault="006776CF" w:rsidP="004557C4">
            <w:pPr>
              <w:pStyle w:val="TableText"/>
              <w:jc w:val="center"/>
            </w:pPr>
            <w:r w:rsidRPr="00783571">
              <w:t>44.5%</w:t>
            </w:r>
          </w:p>
        </w:tc>
        <w:tc>
          <w:tcPr>
            <w:tcW w:w="1032" w:type="dxa"/>
            <w:tcBorders>
              <w:top w:val="single" w:sz="2" w:space="0" w:color="808080" w:themeColor="background1" w:themeShade="80"/>
              <w:bottom w:val="single" w:sz="2" w:space="0" w:color="808080" w:themeColor="background1" w:themeShade="80"/>
            </w:tcBorders>
            <w:shd w:val="clear" w:color="auto" w:fill="auto"/>
            <w:noWrap/>
            <w:hideMark/>
          </w:tcPr>
          <w:p w14:paraId="44261EB1" w14:textId="77777777" w:rsidR="006776CF" w:rsidRPr="00783571" w:rsidRDefault="006776CF" w:rsidP="004557C4">
            <w:pPr>
              <w:pStyle w:val="TableText"/>
              <w:jc w:val="center"/>
            </w:pPr>
            <w:r w:rsidRPr="00783571">
              <w:t>44.5%</w:t>
            </w:r>
          </w:p>
        </w:tc>
        <w:tc>
          <w:tcPr>
            <w:tcW w:w="1032" w:type="dxa"/>
            <w:tcBorders>
              <w:top w:val="single" w:sz="2" w:space="0" w:color="808080" w:themeColor="background1" w:themeShade="80"/>
              <w:bottom w:val="single" w:sz="2" w:space="0" w:color="808080" w:themeColor="background1" w:themeShade="80"/>
            </w:tcBorders>
            <w:shd w:val="clear" w:color="auto" w:fill="auto"/>
            <w:noWrap/>
            <w:hideMark/>
          </w:tcPr>
          <w:p w14:paraId="057447B8" w14:textId="77777777" w:rsidR="006776CF" w:rsidRPr="00783571" w:rsidRDefault="006776CF" w:rsidP="004557C4">
            <w:pPr>
              <w:pStyle w:val="TableText"/>
              <w:jc w:val="center"/>
            </w:pPr>
            <w:r w:rsidRPr="00783571">
              <w:t>10.0%</w:t>
            </w:r>
          </w:p>
        </w:tc>
        <w:tc>
          <w:tcPr>
            <w:tcW w:w="1032" w:type="dxa"/>
            <w:tcBorders>
              <w:top w:val="single" w:sz="2" w:space="0" w:color="808080" w:themeColor="background1" w:themeShade="80"/>
              <w:bottom w:val="single" w:sz="2" w:space="0" w:color="808080" w:themeColor="background1" w:themeShade="80"/>
            </w:tcBorders>
            <w:shd w:val="clear" w:color="auto" w:fill="auto"/>
            <w:noWrap/>
            <w:hideMark/>
          </w:tcPr>
          <w:p w14:paraId="58F00208" w14:textId="77777777" w:rsidR="006776CF" w:rsidRPr="00783571" w:rsidRDefault="006776CF" w:rsidP="004557C4">
            <w:pPr>
              <w:pStyle w:val="TableText"/>
              <w:jc w:val="center"/>
            </w:pPr>
            <w:r w:rsidRPr="00783571">
              <w:t>1.0%</w:t>
            </w:r>
          </w:p>
        </w:tc>
        <w:tc>
          <w:tcPr>
            <w:tcW w:w="2278" w:type="dxa"/>
            <w:tcBorders>
              <w:top w:val="single" w:sz="2" w:space="0" w:color="808080" w:themeColor="background1" w:themeShade="80"/>
              <w:bottom w:val="single" w:sz="2" w:space="0" w:color="808080" w:themeColor="background1" w:themeShade="80"/>
            </w:tcBorders>
            <w:shd w:val="clear" w:color="auto" w:fill="auto"/>
            <w:noWrap/>
            <w:hideMark/>
          </w:tcPr>
          <w:p w14:paraId="0A8AE2D9" w14:textId="58B7AE5E" w:rsidR="006776CF" w:rsidRPr="00783571" w:rsidRDefault="006776CF" w:rsidP="00491E7F">
            <w:pPr>
              <w:pStyle w:val="TableText"/>
            </w:pPr>
            <w:r w:rsidRPr="00783571">
              <w:t>Assum</w:t>
            </w:r>
            <w:r w:rsidR="006E2869" w:rsidRPr="00783571">
              <w:t>ption</w:t>
            </w:r>
            <w:r w:rsidR="00D02F6F" w:rsidRPr="00783571">
              <w:t xml:space="preserve"> </w:t>
            </w:r>
            <w:r w:rsidR="00491E7F" w:rsidRPr="00783571">
              <w:t>that no individuals with acute</w:t>
            </w:r>
            <w:r w:rsidR="00C17197" w:rsidRPr="00783571">
              <w:t xml:space="preserve"> infection</w:t>
            </w:r>
            <w:r w:rsidR="00491E7F" w:rsidRPr="00783571">
              <w:t xml:space="preserve"> were </w:t>
            </w:r>
            <w:r w:rsidR="009E34D9" w:rsidRPr="00783571">
              <w:t>linked to HIV care</w:t>
            </w:r>
            <w:r w:rsidR="00491E7F" w:rsidRPr="00783571">
              <w:t xml:space="preserve">, almost no individuals </w:t>
            </w:r>
            <w:r w:rsidR="009E34D9" w:rsidRPr="00783571">
              <w:t>linked to HIV care</w:t>
            </w:r>
            <w:r w:rsidR="00491E7F" w:rsidRPr="00783571">
              <w:t xml:space="preserve"> but not </w:t>
            </w:r>
            <w:r w:rsidR="000965E6" w:rsidRPr="00783571">
              <w:t>prescribed ART</w:t>
            </w:r>
            <w:r w:rsidR="00491E7F" w:rsidRPr="00783571">
              <w:t xml:space="preserve"> would have AIDS, and the vast majority would be in earlier stages of HIV.</w:t>
            </w:r>
            <w:r w:rsidR="004F4E6D" w:rsidRPr="00783571">
              <w:t xml:space="preserve"> </w:t>
            </w:r>
          </w:p>
        </w:tc>
      </w:tr>
      <w:tr w:rsidR="006776CF" w:rsidRPr="00783571" w14:paraId="61504E5D" w14:textId="77777777" w:rsidTr="00260D8A">
        <w:trPr>
          <w:cantSplit/>
        </w:trPr>
        <w:tc>
          <w:tcPr>
            <w:tcW w:w="1922" w:type="dxa"/>
            <w:tcBorders>
              <w:top w:val="single" w:sz="2" w:space="0" w:color="808080" w:themeColor="background1" w:themeShade="80"/>
              <w:bottom w:val="single" w:sz="4" w:space="0" w:color="808080" w:themeColor="background1" w:themeShade="80"/>
            </w:tcBorders>
            <w:shd w:val="clear" w:color="auto" w:fill="auto"/>
            <w:noWrap/>
            <w:hideMark/>
          </w:tcPr>
          <w:p w14:paraId="1E2BB8D7" w14:textId="67E3C0C2" w:rsidR="006776CF" w:rsidRPr="00783571" w:rsidRDefault="00156CB0" w:rsidP="005F5DDA">
            <w:pPr>
              <w:pStyle w:val="TableText"/>
            </w:pPr>
            <w:r w:rsidRPr="00783571">
              <w:t>ART</w:t>
            </w:r>
            <w:r w:rsidR="005F5DDA" w:rsidRPr="00783571">
              <w:t>-</w:t>
            </w:r>
            <w:r w:rsidR="006776CF" w:rsidRPr="00783571">
              <w:t>not</w:t>
            </w:r>
            <w:r w:rsidR="005F5DDA" w:rsidRPr="00783571">
              <w:t>-</w:t>
            </w:r>
            <w:r w:rsidR="006776CF" w:rsidRPr="00783571">
              <w:t>VLS (</w:t>
            </w:r>
            <w:r w:rsidR="006776CF" w:rsidRPr="00783571">
              <w:rPr>
                <w:i/>
                <w:iCs/>
              </w:rPr>
              <w:t>r</w:t>
            </w:r>
            <w:r w:rsidR="00E628BE" w:rsidRPr="00783571">
              <w:t> = </w:t>
            </w:r>
            <w:r w:rsidR="006776CF" w:rsidRPr="00783571">
              <w:t>4)</w:t>
            </w:r>
          </w:p>
        </w:tc>
        <w:tc>
          <w:tcPr>
            <w:tcW w:w="1032" w:type="dxa"/>
            <w:tcBorders>
              <w:top w:val="single" w:sz="2" w:space="0" w:color="808080" w:themeColor="background1" w:themeShade="80"/>
              <w:bottom w:val="single" w:sz="4" w:space="0" w:color="808080" w:themeColor="background1" w:themeShade="80"/>
            </w:tcBorders>
            <w:shd w:val="clear" w:color="auto" w:fill="auto"/>
            <w:noWrap/>
            <w:hideMark/>
          </w:tcPr>
          <w:p w14:paraId="0E5ED15F" w14:textId="77777777" w:rsidR="006776CF" w:rsidRPr="00783571" w:rsidRDefault="006776CF" w:rsidP="004557C4">
            <w:pPr>
              <w:pStyle w:val="TableText"/>
              <w:jc w:val="center"/>
            </w:pPr>
            <w:r w:rsidRPr="00783571">
              <w:t>0.0%</w:t>
            </w:r>
          </w:p>
        </w:tc>
        <w:tc>
          <w:tcPr>
            <w:tcW w:w="1032" w:type="dxa"/>
            <w:tcBorders>
              <w:top w:val="single" w:sz="2" w:space="0" w:color="808080" w:themeColor="background1" w:themeShade="80"/>
              <w:bottom w:val="single" w:sz="4" w:space="0" w:color="808080" w:themeColor="background1" w:themeShade="80"/>
            </w:tcBorders>
            <w:shd w:val="clear" w:color="auto" w:fill="auto"/>
            <w:noWrap/>
            <w:hideMark/>
          </w:tcPr>
          <w:p w14:paraId="6692E501" w14:textId="77777777" w:rsidR="006776CF" w:rsidRPr="00783571" w:rsidRDefault="006776CF" w:rsidP="004557C4">
            <w:pPr>
              <w:pStyle w:val="TableText"/>
              <w:jc w:val="center"/>
            </w:pPr>
            <w:r w:rsidRPr="00783571">
              <w:t>0.0%</w:t>
            </w:r>
          </w:p>
        </w:tc>
        <w:tc>
          <w:tcPr>
            <w:tcW w:w="1032" w:type="dxa"/>
            <w:tcBorders>
              <w:top w:val="single" w:sz="2" w:space="0" w:color="808080" w:themeColor="background1" w:themeShade="80"/>
              <w:bottom w:val="single" w:sz="4" w:space="0" w:color="808080" w:themeColor="background1" w:themeShade="80"/>
            </w:tcBorders>
            <w:shd w:val="clear" w:color="auto" w:fill="auto"/>
            <w:noWrap/>
            <w:hideMark/>
          </w:tcPr>
          <w:p w14:paraId="2C6839BF" w14:textId="77777777" w:rsidR="006776CF" w:rsidRPr="00783571" w:rsidRDefault="006776CF" w:rsidP="004557C4">
            <w:pPr>
              <w:pStyle w:val="TableText"/>
              <w:jc w:val="center"/>
            </w:pPr>
            <w:r w:rsidRPr="00783571">
              <w:t>30.0%</w:t>
            </w:r>
          </w:p>
        </w:tc>
        <w:tc>
          <w:tcPr>
            <w:tcW w:w="1032" w:type="dxa"/>
            <w:tcBorders>
              <w:top w:val="single" w:sz="2" w:space="0" w:color="808080" w:themeColor="background1" w:themeShade="80"/>
              <w:bottom w:val="single" w:sz="4" w:space="0" w:color="808080" w:themeColor="background1" w:themeShade="80"/>
            </w:tcBorders>
            <w:shd w:val="clear" w:color="auto" w:fill="auto"/>
            <w:noWrap/>
            <w:hideMark/>
          </w:tcPr>
          <w:p w14:paraId="357C1AD2" w14:textId="77777777" w:rsidR="006776CF" w:rsidRPr="00783571" w:rsidRDefault="006776CF" w:rsidP="004557C4">
            <w:pPr>
              <w:pStyle w:val="TableText"/>
              <w:jc w:val="center"/>
            </w:pPr>
            <w:r w:rsidRPr="00783571">
              <w:t>30.0%</w:t>
            </w:r>
          </w:p>
        </w:tc>
        <w:tc>
          <w:tcPr>
            <w:tcW w:w="1032" w:type="dxa"/>
            <w:tcBorders>
              <w:top w:val="single" w:sz="2" w:space="0" w:color="808080" w:themeColor="background1" w:themeShade="80"/>
              <w:bottom w:val="single" w:sz="4" w:space="0" w:color="808080" w:themeColor="background1" w:themeShade="80"/>
            </w:tcBorders>
            <w:shd w:val="clear" w:color="auto" w:fill="auto"/>
            <w:noWrap/>
            <w:hideMark/>
          </w:tcPr>
          <w:p w14:paraId="751DBA3C" w14:textId="77777777" w:rsidR="006776CF" w:rsidRPr="00783571" w:rsidRDefault="006776CF" w:rsidP="004557C4">
            <w:pPr>
              <w:pStyle w:val="TableText"/>
              <w:jc w:val="center"/>
            </w:pPr>
            <w:r w:rsidRPr="00783571">
              <w:t>40.0%</w:t>
            </w:r>
          </w:p>
        </w:tc>
        <w:tc>
          <w:tcPr>
            <w:tcW w:w="2278" w:type="dxa"/>
            <w:tcBorders>
              <w:top w:val="single" w:sz="2" w:space="0" w:color="808080" w:themeColor="background1" w:themeShade="80"/>
              <w:bottom w:val="single" w:sz="4" w:space="0" w:color="808080" w:themeColor="background1" w:themeShade="80"/>
            </w:tcBorders>
            <w:shd w:val="clear" w:color="auto" w:fill="auto"/>
            <w:noWrap/>
            <w:hideMark/>
          </w:tcPr>
          <w:p w14:paraId="107E88BC" w14:textId="7CB92AE1" w:rsidR="006776CF" w:rsidRPr="00783571" w:rsidRDefault="006776CF" w:rsidP="00396194">
            <w:pPr>
              <w:pStyle w:val="TableText"/>
            </w:pPr>
            <w:r w:rsidRPr="00783571">
              <w:t>Assum</w:t>
            </w:r>
            <w:r w:rsidR="006E2869" w:rsidRPr="00783571">
              <w:t>ption</w:t>
            </w:r>
            <w:r w:rsidR="00491E7F" w:rsidRPr="00783571">
              <w:t xml:space="preserve"> based on the recommendations in 2006</w:t>
            </w:r>
            <w:r w:rsidR="00396194" w:rsidRPr="00783571">
              <w:t xml:space="preserve"> that</w:t>
            </w:r>
            <w:r w:rsidR="009C0FA0" w:rsidRPr="00783571">
              <w:t xml:space="preserve"> all </w:t>
            </w:r>
            <w:r w:rsidR="00396194" w:rsidRPr="00783571">
              <w:t>PLWH</w:t>
            </w:r>
            <w:r w:rsidR="00B30A8B" w:rsidRPr="00783571">
              <w:t xml:space="preserve"> </w:t>
            </w:r>
            <w:r w:rsidR="009C0FA0" w:rsidRPr="00783571">
              <w:t>would have initiated ART at CD4&lt;350 but some would have progressed to higher CD4 counts.</w:t>
            </w:r>
            <w:r w:rsidR="00491E7F" w:rsidRPr="00783571">
              <w:t xml:space="preserve"> </w:t>
            </w:r>
            <w:r w:rsidR="009C0FA0" w:rsidRPr="00783571">
              <w:t>T</w:t>
            </w:r>
            <w:r w:rsidR="00491E7F" w:rsidRPr="00783571">
              <w:t>hose that had would be almost evenly distributed across CD4 categories</w:t>
            </w:r>
            <w:r w:rsidR="009C0FA0" w:rsidRPr="00783571">
              <w:t xml:space="preserve"> &lt;500</w:t>
            </w:r>
            <w:r w:rsidR="00491E7F" w:rsidRPr="00783571">
              <w:t xml:space="preserve">. </w:t>
            </w:r>
          </w:p>
        </w:tc>
      </w:tr>
      <w:tr w:rsidR="006776CF" w:rsidRPr="00783571" w14:paraId="2BDBF629" w14:textId="77777777" w:rsidTr="00260D8A">
        <w:trPr>
          <w:cantSplit/>
        </w:trPr>
        <w:tc>
          <w:tcPr>
            <w:tcW w:w="1922" w:type="dxa"/>
            <w:tcBorders>
              <w:top w:val="single" w:sz="4" w:space="0" w:color="808080" w:themeColor="background1" w:themeShade="80"/>
              <w:bottom w:val="single" w:sz="12" w:space="0" w:color="000000"/>
            </w:tcBorders>
            <w:shd w:val="clear" w:color="auto" w:fill="auto"/>
            <w:noWrap/>
          </w:tcPr>
          <w:p w14:paraId="60DB3D38" w14:textId="11FEC371" w:rsidR="006776CF" w:rsidRPr="00783571" w:rsidRDefault="006776CF" w:rsidP="004557C4">
            <w:pPr>
              <w:pStyle w:val="TableText"/>
            </w:pPr>
            <w:r w:rsidRPr="00783571">
              <w:t>VLS (</w:t>
            </w:r>
            <w:r w:rsidRPr="00783571">
              <w:rPr>
                <w:i/>
                <w:iCs/>
              </w:rPr>
              <w:t>r</w:t>
            </w:r>
            <w:r w:rsidR="00E628BE" w:rsidRPr="00783571">
              <w:t> = </w:t>
            </w:r>
            <w:r w:rsidRPr="00783571">
              <w:t>5)</w:t>
            </w:r>
          </w:p>
        </w:tc>
        <w:tc>
          <w:tcPr>
            <w:tcW w:w="1032" w:type="dxa"/>
            <w:tcBorders>
              <w:top w:val="single" w:sz="4" w:space="0" w:color="808080" w:themeColor="background1" w:themeShade="80"/>
              <w:bottom w:val="single" w:sz="12" w:space="0" w:color="000000"/>
            </w:tcBorders>
            <w:shd w:val="clear" w:color="auto" w:fill="auto"/>
            <w:noWrap/>
          </w:tcPr>
          <w:p w14:paraId="55C87BB6" w14:textId="77777777" w:rsidR="006776CF" w:rsidRPr="00783571" w:rsidRDefault="006776CF" w:rsidP="004557C4">
            <w:pPr>
              <w:pStyle w:val="TableText"/>
              <w:jc w:val="center"/>
            </w:pPr>
            <w:r w:rsidRPr="00783571">
              <w:t>0.0%</w:t>
            </w:r>
          </w:p>
        </w:tc>
        <w:tc>
          <w:tcPr>
            <w:tcW w:w="1032" w:type="dxa"/>
            <w:tcBorders>
              <w:top w:val="single" w:sz="4" w:space="0" w:color="808080" w:themeColor="background1" w:themeShade="80"/>
              <w:bottom w:val="single" w:sz="12" w:space="0" w:color="000000"/>
            </w:tcBorders>
            <w:shd w:val="clear" w:color="auto" w:fill="auto"/>
            <w:noWrap/>
          </w:tcPr>
          <w:p w14:paraId="073EE451" w14:textId="77777777" w:rsidR="006776CF" w:rsidRPr="00783571" w:rsidRDefault="006776CF" w:rsidP="004557C4">
            <w:pPr>
              <w:pStyle w:val="TableText"/>
              <w:jc w:val="center"/>
            </w:pPr>
            <w:r w:rsidRPr="00783571">
              <w:t>25.0%</w:t>
            </w:r>
          </w:p>
        </w:tc>
        <w:tc>
          <w:tcPr>
            <w:tcW w:w="1032" w:type="dxa"/>
            <w:tcBorders>
              <w:top w:val="single" w:sz="4" w:space="0" w:color="808080" w:themeColor="background1" w:themeShade="80"/>
              <w:bottom w:val="single" w:sz="12" w:space="0" w:color="000000"/>
            </w:tcBorders>
            <w:shd w:val="clear" w:color="auto" w:fill="auto"/>
            <w:noWrap/>
          </w:tcPr>
          <w:p w14:paraId="12C999D2" w14:textId="77777777" w:rsidR="006776CF" w:rsidRPr="00783571" w:rsidRDefault="006776CF" w:rsidP="004557C4">
            <w:pPr>
              <w:pStyle w:val="TableText"/>
              <w:jc w:val="center"/>
            </w:pPr>
            <w:r w:rsidRPr="00783571">
              <w:t>25.0%</w:t>
            </w:r>
          </w:p>
        </w:tc>
        <w:tc>
          <w:tcPr>
            <w:tcW w:w="1032" w:type="dxa"/>
            <w:tcBorders>
              <w:top w:val="single" w:sz="4" w:space="0" w:color="808080" w:themeColor="background1" w:themeShade="80"/>
              <w:bottom w:val="single" w:sz="12" w:space="0" w:color="000000"/>
            </w:tcBorders>
            <w:shd w:val="clear" w:color="auto" w:fill="auto"/>
            <w:noWrap/>
          </w:tcPr>
          <w:p w14:paraId="5B1ECF13" w14:textId="77777777" w:rsidR="006776CF" w:rsidRPr="00783571" w:rsidRDefault="006776CF" w:rsidP="004557C4">
            <w:pPr>
              <w:pStyle w:val="TableText"/>
              <w:jc w:val="center"/>
            </w:pPr>
            <w:r w:rsidRPr="00783571">
              <w:t>25.0%</w:t>
            </w:r>
          </w:p>
        </w:tc>
        <w:tc>
          <w:tcPr>
            <w:tcW w:w="1032" w:type="dxa"/>
            <w:tcBorders>
              <w:top w:val="single" w:sz="4" w:space="0" w:color="808080" w:themeColor="background1" w:themeShade="80"/>
              <w:bottom w:val="single" w:sz="12" w:space="0" w:color="000000"/>
            </w:tcBorders>
            <w:shd w:val="clear" w:color="auto" w:fill="auto"/>
            <w:noWrap/>
          </w:tcPr>
          <w:p w14:paraId="47FAF82C" w14:textId="77777777" w:rsidR="006776CF" w:rsidRPr="00783571" w:rsidRDefault="006776CF" w:rsidP="004557C4">
            <w:pPr>
              <w:pStyle w:val="TableText"/>
              <w:jc w:val="center"/>
            </w:pPr>
            <w:r w:rsidRPr="00783571">
              <w:t>25.0%</w:t>
            </w:r>
          </w:p>
        </w:tc>
        <w:tc>
          <w:tcPr>
            <w:tcW w:w="2278" w:type="dxa"/>
            <w:tcBorders>
              <w:top w:val="single" w:sz="4" w:space="0" w:color="808080" w:themeColor="background1" w:themeShade="80"/>
              <w:bottom w:val="single" w:sz="12" w:space="0" w:color="000000"/>
            </w:tcBorders>
            <w:shd w:val="clear" w:color="auto" w:fill="auto"/>
            <w:noWrap/>
          </w:tcPr>
          <w:p w14:paraId="020F9BE3" w14:textId="166E1482" w:rsidR="006776CF" w:rsidRPr="00783571" w:rsidRDefault="006776CF" w:rsidP="004557C4">
            <w:pPr>
              <w:pStyle w:val="TableText"/>
            </w:pPr>
            <w:r w:rsidRPr="00783571">
              <w:t>Assumed</w:t>
            </w:r>
            <w:r w:rsidR="00491E7F" w:rsidRPr="00783571">
              <w:t xml:space="preserve"> that in 2006 individuals who were VLS would be evenly distributed across CD4 stages. All would have initiated ART at CD4&lt;350 but many would have progressed to higher CD4 counts.</w:t>
            </w:r>
          </w:p>
        </w:tc>
      </w:tr>
    </w:tbl>
    <w:p w14:paraId="1BE85C98" w14:textId="2826B6AF" w:rsidR="00072F57" w:rsidRPr="00783571" w:rsidRDefault="00323667" w:rsidP="00891907">
      <w:pPr>
        <w:pStyle w:val="Source1"/>
        <w:ind w:left="0" w:firstLine="0"/>
      </w:pPr>
      <w:r w:rsidRPr="00783571">
        <w:t xml:space="preserve">Note: </w:t>
      </w:r>
      <w:r w:rsidR="00382287" w:rsidRPr="00783571">
        <w:t>ART</w:t>
      </w:r>
      <w:r w:rsidR="00E628BE" w:rsidRPr="00783571">
        <w:t> = </w:t>
      </w:r>
      <w:r w:rsidR="00382287" w:rsidRPr="00783571">
        <w:t xml:space="preserve">antiretroviral therapy; </w:t>
      </w:r>
      <w:r w:rsidR="00396194" w:rsidRPr="00783571">
        <w:t xml:space="preserve">PLWH = people living with HIV; </w:t>
      </w:r>
      <w:r w:rsidR="001A7FD1" w:rsidRPr="00783571">
        <w:t>VLS</w:t>
      </w:r>
      <w:r w:rsidR="00E628BE" w:rsidRPr="00783571">
        <w:t> = </w:t>
      </w:r>
      <w:r w:rsidR="001A7FD1" w:rsidRPr="00783571">
        <w:t>viral load suppressed</w:t>
      </w:r>
    </w:p>
    <w:p w14:paraId="3C34F12F" w14:textId="77777777" w:rsidR="009D5AF4" w:rsidRPr="00783571" w:rsidRDefault="009D5AF4" w:rsidP="00CD242E">
      <w:pPr>
        <w:pStyle w:val="BodyText"/>
      </w:pPr>
    </w:p>
    <w:p w14:paraId="4F520973" w14:textId="3A18A61B" w:rsidR="00C64024" w:rsidRPr="00783571" w:rsidRDefault="00C64024" w:rsidP="003D04E4">
      <w:pPr>
        <w:pStyle w:val="BodyText"/>
        <w:sectPr w:rsidR="00C64024" w:rsidRPr="00783571" w:rsidSect="00072F57">
          <w:headerReference w:type="even" r:id="rId37"/>
          <w:headerReference w:type="default" r:id="rId38"/>
          <w:footerReference w:type="even" r:id="rId39"/>
          <w:footerReference w:type="default" r:id="rId40"/>
          <w:headerReference w:type="first" r:id="rId41"/>
          <w:footerReference w:type="first" r:id="rId42"/>
          <w:type w:val="evenPage"/>
          <w:pgSz w:w="12240" w:h="15840" w:code="1"/>
          <w:pgMar w:top="1440" w:right="1440" w:bottom="1440" w:left="1440" w:header="720" w:footer="720" w:gutter="0"/>
          <w:pgNumType w:chapStyle="1"/>
          <w:cols w:space="720"/>
          <w:docGrid w:linePitch="360"/>
        </w:sectPr>
      </w:pPr>
    </w:p>
    <w:p w14:paraId="56157A3B" w14:textId="65170DC6" w:rsidR="00382287" w:rsidRPr="00783571" w:rsidRDefault="009D5AF4" w:rsidP="009D5AF4">
      <w:pPr>
        <w:pStyle w:val="Heading1"/>
      </w:pPr>
      <w:bookmarkStart w:id="16" w:name="_Toc398293112"/>
      <w:bookmarkStart w:id="17" w:name="_Toc510104446"/>
      <w:r w:rsidRPr="00783571">
        <w:t xml:space="preserve">Movement into and out of </w:t>
      </w:r>
      <w:r w:rsidR="005A0921" w:rsidRPr="00783571">
        <w:t>the Model, between Subpopulations, b</w:t>
      </w:r>
      <w:r w:rsidRPr="00783571">
        <w:t xml:space="preserve">etween Compartments </w:t>
      </w:r>
      <w:r w:rsidR="005A0921" w:rsidRPr="00783571">
        <w:t>(Except Due to Infection), and w</w:t>
      </w:r>
      <w:r w:rsidRPr="00783571">
        <w:t>ithin Compartments</w:t>
      </w:r>
      <w:bookmarkEnd w:id="16"/>
      <w:bookmarkEnd w:id="17"/>
    </w:p>
    <w:p w14:paraId="10FF0154" w14:textId="0A17B72C" w:rsidR="009D5AF4" w:rsidRPr="00783571" w:rsidRDefault="009D5AF4" w:rsidP="00194198">
      <w:pPr>
        <w:pStyle w:val="BodyText"/>
      </w:pPr>
      <w:r w:rsidRPr="00783571">
        <w:t xml:space="preserve">The number of individuals in the model’s population changes over time by individuals aging into or out of the population, dying from AIDS, or dying from other causes. Individuals move between subpopulations solely due to aging. They move between compartments due to disease progression and progression along the HIV </w:t>
      </w:r>
      <w:r w:rsidR="003F2DC6" w:rsidRPr="00783571">
        <w:t>care continuum</w:t>
      </w:r>
      <w:r w:rsidRPr="00783571">
        <w:t>. The values of the parameters that affect these d</w:t>
      </w:r>
      <w:r w:rsidR="009508BA" w:rsidRPr="00783571">
        <w:t xml:space="preserve">ynamics are specified in </w:t>
      </w:r>
      <w:r w:rsidR="00871E69" w:rsidRPr="00783571">
        <w:t>Tables </w:t>
      </w:r>
      <w:r w:rsidR="00F36478" w:rsidRPr="00783571">
        <w:t>5</w:t>
      </w:r>
      <w:r w:rsidR="00CC1362" w:rsidRPr="00783571">
        <w:t>.</w:t>
      </w:r>
      <w:r w:rsidRPr="00783571">
        <w:t xml:space="preserve">1 through </w:t>
      </w:r>
      <w:r w:rsidR="00F36478" w:rsidRPr="00783571">
        <w:t>5</w:t>
      </w:r>
      <w:r w:rsidR="00CC1362" w:rsidRPr="00783571">
        <w:t>.</w:t>
      </w:r>
      <w:r w:rsidR="00912267" w:rsidRPr="00783571">
        <w:t>6</w:t>
      </w:r>
      <w:r w:rsidRPr="00783571">
        <w:t>.</w:t>
      </w:r>
      <w:r w:rsidR="00A304C3" w:rsidRPr="00783571">
        <w:t xml:space="preserve"> Many of these parameter values were calibrated within</w:t>
      </w:r>
      <w:r w:rsidR="009640A6" w:rsidRPr="00783571">
        <w:t xml:space="preserve"> defined ranges</w:t>
      </w:r>
      <w:r w:rsidR="00A304C3" w:rsidRPr="00783571">
        <w:t xml:space="preserve"> to match specific target outcomes</w:t>
      </w:r>
      <w:r w:rsidR="009640A6" w:rsidRPr="00783571">
        <w:t>; further det</w:t>
      </w:r>
      <w:r w:rsidR="00B71A0D" w:rsidRPr="00783571">
        <w:t xml:space="preserve">ails on the calibration process are </w:t>
      </w:r>
      <w:r w:rsidR="00194198" w:rsidRPr="00783571">
        <w:t xml:space="preserve">provided </w:t>
      </w:r>
      <w:r w:rsidR="00B71A0D" w:rsidRPr="00783571">
        <w:t xml:space="preserve">in </w:t>
      </w:r>
      <w:r w:rsidR="00CA2896" w:rsidRPr="00783571">
        <w:t>Section </w:t>
      </w:r>
      <w:r w:rsidR="00B71A0D" w:rsidRPr="00783571">
        <w:t>10.1</w:t>
      </w:r>
      <w:r w:rsidR="009640A6" w:rsidRPr="00783571">
        <w:t>.</w:t>
      </w:r>
    </w:p>
    <w:p w14:paraId="21E2A977" w14:textId="4F71BE19" w:rsidR="009D5AF4" w:rsidRPr="00783571" w:rsidRDefault="009D5AF4" w:rsidP="009D5AF4">
      <w:pPr>
        <w:pStyle w:val="Heading2"/>
      </w:pPr>
      <w:bookmarkStart w:id="18" w:name="_Toc398293113"/>
      <w:bookmarkStart w:id="19" w:name="_Toc510104447"/>
      <w:r w:rsidRPr="00783571">
        <w:t xml:space="preserve">Transitions </w:t>
      </w:r>
      <w:r w:rsidR="00AA77D8" w:rsidRPr="00783571">
        <w:t xml:space="preserve">into </w:t>
      </w:r>
      <w:r w:rsidRPr="00783571">
        <w:t xml:space="preserve">and </w:t>
      </w:r>
      <w:r w:rsidR="00AA77D8" w:rsidRPr="00783571">
        <w:t xml:space="preserve">out </w:t>
      </w:r>
      <w:r w:rsidRPr="00783571">
        <w:t>of the Model</w:t>
      </w:r>
      <w:bookmarkEnd w:id="18"/>
      <w:bookmarkEnd w:id="19"/>
    </w:p>
    <w:p w14:paraId="0F8C0BAE" w14:textId="65313DC4" w:rsidR="000F420A" w:rsidRPr="00783571" w:rsidRDefault="003C150A" w:rsidP="00D02115">
      <w:pPr>
        <w:pStyle w:val="BodyText"/>
      </w:pPr>
      <w:r w:rsidRPr="00783571">
        <w:t>Individuals can only enter into the model by aging into the population (</w:t>
      </w:r>
      <w:r w:rsidR="007052BB" w:rsidRPr="00783571">
        <w:t xml:space="preserve">at either age 13 or 18, depending </w:t>
      </w:r>
      <w:r w:rsidRPr="00783571">
        <w:t>on user settings</w:t>
      </w:r>
      <w:r w:rsidR="007052BB" w:rsidRPr="00783571">
        <w:t xml:space="preserve"> about whether age 13</w:t>
      </w:r>
      <w:r w:rsidR="00740DFC" w:rsidRPr="00783571">
        <w:t>–1</w:t>
      </w:r>
      <w:r w:rsidR="007052BB" w:rsidRPr="00783571">
        <w:t>7 is included in the population</w:t>
      </w:r>
      <w:r w:rsidRPr="00783571">
        <w:t>). T</w:t>
      </w:r>
      <w:r w:rsidR="009D5AF4" w:rsidRPr="00783571">
        <w:t xml:space="preserve">he number of people </w:t>
      </w:r>
      <w:r w:rsidRPr="00783571">
        <w:t xml:space="preserve">who age in </w:t>
      </w:r>
      <w:r w:rsidR="009D5AF4" w:rsidRPr="00783571">
        <w:t xml:space="preserve">is constant over time for </w:t>
      </w:r>
      <w:r w:rsidR="00EA00B7" w:rsidRPr="00783571">
        <w:t xml:space="preserve">all </w:t>
      </w:r>
      <w:r w:rsidR="009D5AF4" w:rsidRPr="00783571">
        <w:t>subpopulation</w:t>
      </w:r>
      <w:r w:rsidR="00EA00B7" w:rsidRPr="00783571">
        <w:t>s</w:t>
      </w:r>
      <w:r w:rsidR="009D5AF4" w:rsidRPr="00783571">
        <w:t xml:space="preserve">; it is equal to the rate of aging in multiplied by the number of people in that subpopulation in the initial population. All enter the </w:t>
      </w:r>
      <w:r w:rsidR="001E0A32" w:rsidRPr="00783571">
        <w:t>susceptible (and not on PrEP)</w:t>
      </w:r>
      <w:r w:rsidR="00EA00B7" w:rsidRPr="00783571">
        <w:t xml:space="preserve"> </w:t>
      </w:r>
      <w:r w:rsidR="009D5AF4" w:rsidRPr="00783571">
        <w:t>stage (</w:t>
      </w:r>
      <w:r w:rsidR="00D02115" w:rsidRPr="00783571">
        <w:rPr>
          <w:i/>
          <w:iCs/>
        </w:rPr>
        <w:t>c</w:t>
      </w:r>
      <w:r w:rsidR="00D02115" w:rsidRPr="00783571">
        <w:t> </w:t>
      </w:r>
      <w:r w:rsidR="00E628BE" w:rsidRPr="00783571">
        <w:t>= </w:t>
      </w:r>
      <w:r w:rsidR="001E0A32" w:rsidRPr="00783571">
        <w:t>1</w:t>
      </w:r>
      <w:r w:rsidR="009D5AF4" w:rsidRPr="00783571">
        <w:t xml:space="preserve">). If </w:t>
      </w:r>
      <w:r w:rsidRPr="00783571">
        <w:t xml:space="preserve">the </w:t>
      </w:r>
      <w:r w:rsidR="009D5AF4" w:rsidRPr="00783571">
        <w:t>13</w:t>
      </w:r>
      <w:r w:rsidR="005B1CD9" w:rsidRPr="00783571">
        <w:t xml:space="preserve">- to </w:t>
      </w:r>
      <w:r w:rsidR="009D5AF4" w:rsidRPr="00783571">
        <w:t>17</w:t>
      </w:r>
      <w:r w:rsidR="005B1CD9" w:rsidRPr="00783571">
        <w:t>-</w:t>
      </w:r>
      <w:r w:rsidRPr="00783571">
        <w:t>year</w:t>
      </w:r>
      <w:r w:rsidR="005B1CD9" w:rsidRPr="00783571">
        <w:t>-</w:t>
      </w:r>
      <w:r w:rsidRPr="00783571">
        <w:t>old</w:t>
      </w:r>
      <w:r w:rsidR="009D5AF4" w:rsidRPr="00783571">
        <w:t xml:space="preserve"> </w:t>
      </w:r>
      <w:r w:rsidRPr="00783571">
        <w:t xml:space="preserve">age group is </w:t>
      </w:r>
      <w:r w:rsidR="009D5AF4" w:rsidRPr="00783571">
        <w:t xml:space="preserve">included in the </w:t>
      </w:r>
      <w:r w:rsidRPr="00783571">
        <w:t xml:space="preserve">modeled </w:t>
      </w:r>
      <w:r w:rsidR="009D5AF4" w:rsidRPr="00783571">
        <w:t>population, the rate of aging into the population is equal to 0.2</w:t>
      </w:r>
      <w:r w:rsidR="005C6FD3" w:rsidRPr="00783571">
        <w:t>175</w:t>
      </w:r>
      <w:r w:rsidRPr="00783571">
        <w:t xml:space="preserve"> per person in the 13</w:t>
      </w:r>
      <w:r w:rsidR="005B1CD9" w:rsidRPr="00783571">
        <w:t xml:space="preserve"> to </w:t>
      </w:r>
      <w:r w:rsidRPr="00783571">
        <w:t xml:space="preserve">17 age group in the initial population. This is calculated as </w:t>
      </w:r>
      <w:r w:rsidR="009D5AF4" w:rsidRPr="00783571">
        <w:t>1</w:t>
      </w:r>
      <w:r w:rsidR="009508BA" w:rsidRPr="00783571">
        <w:t> </w:t>
      </w:r>
      <w:r w:rsidR="009D5AF4" w:rsidRPr="00783571">
        <w:t>÷ 5 years in the 13</w:t>
      </w:r>
      <w:r w:rsidR="005B1CD9" w:rsidRPr="00783571">
        <w:t xml:space="preserve"> to </w:t>
      </w:r>
      <w:r w:rsidR="009D5AF4" w:rsidRPr="00783571">
        <w:t>17 age group</w:t>
      </w:r>
      <w:r w:rsidR="009F6EDB" w:rsidRPr="00783571">
        <w:t xml:space="preserve">, </w:t>
      </w:r>
      <w:r w:rsidRPr="00783571">
        <w:t xml:space="preserve">and </w:t>
      </w:r>
      <w:r w:rsidR="009F6EDB" w:rsidRPr="00783571">
        <w:t>then adjusted slightly to keep the population stable over time</w:t>
      </w:r>
      <w:r w:rsidRPr="00783571">
        <w:t>. I</w:t>
      </w:r>
      <w:r w:rsidR="009D5AF4" w:rsidRPr="00783571">
        <w:t>f</w:t>
      </w:r>
      <w:r w:rsidRPr="00783571">
        <w:t xml:space="preserve"> the 13</w:t>
      </w:r>
      <w:r w:rsidR="005B1CD9" w:rsidRPr="00783571">
        <w:t xml:space="preserve"> to </w:t>
      </w:r>
      <w:r w:rsidRPr="00783571">
        <w:t>17 age group is not included</w:t>
      </w:r>
      <w:r w:rsidR="009D5AF4" w:rsidRPr="00783571">
        <w:t>, the rate of</w:t>
      </w:r>
      <w:r w:rsidR="009508BA" w:rsidRPr="00783571">
        <w:t xml:space="preserve"> aging in is equal to 0.1429 </w:t>
      </w:r>
      <w:r w:rsidR="00F02AF9" w:rsidRPr="00783571">
        <w:t>per person in the 18</w:t>
      </w:r>
      <w:r w:rsidR="005B1CD9" w:rsidRPr="00783571">
        <w:t xml:space="preserve"> to </w:t>
      </w:r>
      <w:r w:rsidR="00F02AF9" w:rsidRPr="00783571">
        <w:t>24 age group in the initial population</w:t>
      </w:r>
      <w:r w:rsidRPr="00783571">
        <w:t xml:space="preserve"> (where 0.1429 = 1 ÷</w:t>
      </w:r>
      <w:r w:rsidRPr="00783571" w:rsidDel="009B126F">
        <w:t xml:space="preserve"> </w:t>
      </w:r>
      <w:r w:rsidRPr="00783571">
        <w:t>7 years in the 18</w:t>
      </w:r>
      <w:r w:rsidR="005B1CD9" w:rsidRPr="00783571">
        <w:t xml:space="preserve"> to </w:t>
      </w:r>
      <w:r w:rsidRPr="00783571">
        <w:t>24 age group)</w:t>
      </w:r>
      <w:r w:rsidR="009D5AF4" w:rsidRPr="00783571">
        <w:t xml:space="preserve">. As a result of this calculation method, the </w:t>
      </w:r>
      <w:r w:rsidRPr="00783571">
        <w:t xml:space="preserve">age </w:t>
      </w:r>
      <w:r w:rsidR="009D5AF4" w:rsidRPr="00783571">
        <w:t xml:space="preserve">distribution </w:t>
      </w:r>
      <w:r w:rsidRPr="00783571">
        <w:t xml:space="preserve">of individuals across </w:t>
      </w:r>
      <w:r w:rsidR="009D5AF4" w:rsidRPr="00783571">
        <w:t>demographic subpopulations is proportional to the</w:t>
      </w:r>
      <w:r w:rsidRPr="00783571">
        <w:t xml:space="preserve"> age</w:t>
      </w:r>
      <w:r w:rsidR="009D5AF4" w:rsidRPr="00783571">
        <w:t xml:space="preserve"> distribution of the initial population.</w:t>
      </w:r>
    </w:p>
    <w:p w14:paraId="6A3D1668" w14:textId="777AA48E" w:rsidR="002C41E9" w:rsidRPr="00783571" w:rsidRDefault="00DD4719" w:rsidP="00892014">
      <w:pPr>
        <w:pStyle w:val="BodyText"/>
      </w:pPr>
      <w:r w:rsidRPr="00783571">
        <w:t>Individuals leave the model by dying (from AIDS or other causes) or by aging out of the population.</w:t>
      </w:r>
      <w:r w:rsidR="00DD6F0A" w:rsidRPr="00783571">
        <w:t xml:space="preserve"> </w:t>
      </w:r>
      <w:r w:rsidR="002C41E9" w:rsidRPr="00783571">
        <w:t xml:space="preserve">Death leads them to either the “AIDS Death” (if they had AIDS at death) or “Non-AIDS Death” states (if they did not have AIDS at death); individuals move to the “AIDS Death” stage only from the AIDS stage (CD4 &lt; 200; </w:t>
      </w:r>
      <w:r w:rsidR="002C41E9" w:rsidRPr="00783571">
        <w:rPr>
          <w:i/>
          <w:iCs/>
        </w:rPr>
        <w:t>h</w:t>
      </w:r>
      <w:r w:rsidR="002C41E9" w:rsidRPr="00783571">
        <w:t xml:space="preserve"> = 5). Mortality rates are determined by </w:t>
      </w:r>
      <w:r w:rsidR="00892014" w:rsidRPr="00783571">
        <w:t xml:space="preserve">four methods; the </w:t>
      </w:r>
      <w:r w:rsidR="00D5314C" w:rsidRPr="00783571">
        <w:t xml:space="preserve">values and sources for the </w:t>
      </w:r>
      <w:r w:rsidR="002C41E9" w:rsidRPr="00783571">
        <w:t>inputs</w:t>
      </w:r>
      <w:r w:rsidR="00892014" w:rsidRPr="00783571">
        <w:t xml:space="preserve"> used to calculate th</w:t>
      </w:r>
      <w:r w:rsidR="00891907" w:rsidRPr="00783571">
        <w:t xml:space="preserve">ose rates are listed in </w:t>
      </w:r>
      <w:r w:rsidR="00814158" w:rsidRPr="00783571">
        <w:t>Table </w:t>
      </w:r>
      <w:r w:rsidR="00871E69" w:rsidRPr="00783571">
        <w:t>5.</w:t>
      </w:r>
      <w:r w:rsidR="00892014" w:rsidRPr="00783571">
        <w:t>1</w:t>
      </w:r>
      <w:r w:rsidR="002C41E9" w:rsidRPr="00783571">
        <w:t>:</w:t>
      </w:r>
    </w:p>
    <w:p w14:paraId="2B9D01B4" w14:textId="38F9EED4" w:rsidR="001F5372" w:rsidRPr="00783571" w:rsidRDefault="002C41E9" w:rsidP="00CF4B7A">
      <w:pPr>
        <w:pStyle w:val="bullets"/>
      </w:pPr>
      <w:r w:rsidRPr="00783571">
        <w:t xml:space="preserve">For individuals </w:t>
      </w:r>
      <w:r w:rsidR="00A76B90" w:rsidRPr="00783571">
        <w:t>with</w:t>
      </w:r>
      <w:r w:rsidRPr="00783571">
        <w:t xml:space="preserve"> CD4&lt;200</w:t>
      </w:r>
      <w:r w:rsidR="000723F7" w:rsidRPr="00783571">
        <w:t xml:space="preserve"> (AIDS)</w:t>
      </w:r>
      <w:r w:rsidRPr="00783571">
        <w:t xml:space="preserve"> and not </w:t>
      </w:r>
      <w:r w:rsidR="000965E6" w:rsidRPr="00783571">
        <w:t>prescribed ART</w:t>
      </w:r>
      <w:r w:rsidR="005E1DEB" w:rsidRPr="00783571">
        <w:t xml:space="preserve"> (</w:t>
      </w:r>
      <w:r w:rsidR="005E1DEB" w:rsidRPr="00783571">
        <w:rPr>
          <w:i/>
          <w:iCs/>
        </w:rPr>
        <w:t>c</w:t>
      </w:r>
      <w:r w:rsidR="005E1DEB" w:rsidRPr="00783571">
        <w:t xml:space="preserve"> = 21 to 23)</w:t>
      </w:r>
      <w:r w:rsidRPr="00783571">
        <w:t xml:space="preserve">, their mortality rate is equal to 1 / the number of years spent with AIDS under natural history disease progression, as specified by </w:t>
      </w:r>
      <w:r w:rsidRPr="00783571">
        <w:rPr>
          <w:i/>
          <w:iCs/>
        </w:rPr>
        <w:t xml:space="preserve">Number of years in each stage if HIV infected and not </w:t>
      </w:r>
      <w:r w:rsidR="000965E6" w:rsidRPr="00783571">
        <w:rPr>
          <w:i/>
          <w:iCs/>
        </w:rPr>
        <w:t>prescribed ART</w:t>
      </w:r>
      <w:r w:rsidRPr="00783571">
        <w:t xml:space="preserve"> for CD4&lt;200</w:t>
      </w:r>
      <w:r w:rsidR="00891907" w:rsidRPr="00783571">
        <w:t>.</w:t>
      </w:r>
    </w:p>
    <w:p w14:paraId="48EDAF97" w14:textId="77777777" w:rsidR="001F5372" w:rsidRPr="00783571" w:rsidRDefault="00BD02BA" w:rsidP="00892014">
      <w:pPr>
        <w:pStyle w:val="bullets"/>
      </w:pPr>
      <w:r w:rsidRPr="00783571">
        <w:t>For individuals who are HIV-infected and VLS (</w:t>
      </w:r>
      <w:r w:rsidRPr="00783571">
        <w:rPr>
          <w:i/>
          <w:iCs/>
        </w:rPr>
        <w:t>c</w:t>
      </w:r>
      <w:r w:rsidRPr="00783571">
        <w:t xml:space="preserve"> = 10, 15, 20, 25), their mortality rates are</w:t>
      </w:r>
      <w:r w:rsidR="00892014" w:rsidRPr="00783571">
        <w:t xml:space="preserve"> equal to </w:t>
      </w:r>
      <w:r w:rsidR="00892014" w:rsidRPr="00783571">
        <w:rPr>
          <w:i/>
          <w:iCs/>
        </w:rPr>
        <w:t>Annual probability of death if HIV infected and VLS, by disease stage</w:t>
      </w:r>
      <w:r w:rsidR="00891907" w:rsidRPr="00783571">
        <w:rPr>
          <w:i/>
          <w:iCs/>
        </w:rPr>
        <w:t>.</w:t>
      </w:r>
    </w:p>
    <w:p w14:paraId="0AD28200" w14:textId="77777777" w:rsidR="001F5372" w:rsidRPr="00783571" w:rsidRDefault="002C41E9" w:rsidP="00892014">
      <w:pPr>
        <w:pStyle w:val="bullets"/>
      </w:pPr>
      <w:r w:rsidRPr="00783571">
        <w:t>For all other individuals who are HIV-infected</w:t>
      </w:r>
      <w:r w:rsidR="00BD02BA" w:rsidRPr="00783571">
        <w:t xml:space="preserve"> (</w:t>
      </w:r>
      <w:r w:rsidR="00BD02BA" w:rsidRPr="00783571">
        <w:rPr>
          <w:i/>
          <w:iCs/>
        </w:rPr>
        <w:t>c</w:t>
      </w:r>
      <w:r w:rsidR="00BD02BA" w:rsidRPr="00783571">
        <w:t xml:space="preserve"> = 3 to 9, 11 to 14, 16 to 19, 24)</w:t>
      </w:r>
      <w:r w:rsidRPr="00783571">
        <w:t>, their mortality rate</w:t>
      </w:r>
      <w:r w:rsidR="00892014" w:rsidRPr="00783571">
        <w:t>s</w:t>
      </w:r>
      <w:r w:rsidRPr="00783571">
        <w:t xml:space="preserve"> </w:t>
      </w:r>
      <w:r w:rsidR="00892014" w:rsidRPr="00783571">
        <w:t>are equal to</w:t>
      </w:r>
      <w:r w:rsidRPr="00783571">
        <w:t xml:space="preserve"> </w:t>
      </w:r>
      <w:r w:rsidR="00892014" w:rsidRPr="00783571">
        <w:rPr>
          <w:i/>
          <w:iCs/>
        </w:rPr>
        <w:t>Annual probability of death if HIV infected and VLS, by disease stage</w:t>
      </w:r>
      <w:r w:rsidR="00892014" w:rsidRPr="00783571">
        <w:t xml:space="preserve"> times a multiplier that is specific to the</w:t>
      </w:r>
      <w:r w:rsidRPr="00783571">
        <w:t xml:space="preserve"> continuum-of-care stage (</w:t>
      </w:r>
      <w:r w:rsidRPr="00783571">
        <w:rPr>
          <w:i/>
          <w:iCs/>
        </w:rPr>
        <w:t>r</w:t>
      </w:r>
      <w:r w:rsidRPr="00783571">
        <w:t>).</w:t>
      </w:r>
    </w:p>
    <w:p w14:paraId="3C9875FB" w14:textId="61761A0E" w:rsidR="002C41E9" w:rsidRPr="00783571" w:rsidRDefault="002C41E9" w:rsidP="00D5314C">
      <w:pPr>
        <w:pStyle w:val="bullets"/>
      </w:pPr>
      <w:r w:rsidRPr="00783571">
        <w:t xml:space="preserve">For all individuals who are </w:t>
      </w:r>
      <w:r w:rsidR="00892014" w:rsidRPr="00783571">
        <w:t>susceptible</w:t>
      </w:r>
      <w:r w:rsidR="00D5314C" w:rsidRPr="00783571">
        <w:t xml:space="preserve"> (</w:t>
      </w:r>
      <w:r w:rsidR="00D5314C" w:rsidRPr="00783571">
        <w:rPr>
          <w:i/>
          <w:iCs/>
        </w:rPr>
        <w:t>c</w:t>
      </w:r>
      <w:r w:rsidR="00D5314C" w:rsidRPr="00783571">
        <w:t xml:space="preserve"> = 1, 2)</w:t>
      </w:r>
      <w:r w:rsidRPr="00783571">
        <w:t xml:space="preserve">, mortality is assumed to be based on </w:t>
      </w:r>
      <w:r w:rsidR="00D51F33" w:rsidRPr="00783571">
        <w:t>Life Tables in Arias (2008)</w:t>
      </w:r>
      <w:r w:rsidRPr="00783571">
        <w:t xml:space="preserve">, as specified by </w:t>
      </w:r>
      <w:r w:rsidRPr="00783571">
        <w:rPr>
          <w:i/>
          <w:iCs/>
        </w:rPr>
        <w:t>Annual probability of death if HIV uninfected</w:t>
      </w:r>
      <w:r w:rsidR="00D51F33" w:rsidRPr="00783571">
        <w:rPr>
          <w:i/>
          <w:iCs/>
        </w:rPr>
        <w:t>.</w:t>
      </w:r>
    </w:p>
    <w:p w14:paraId="6664E4E2" w14:textId="77777777" w:rsidR="007F639E" w:rsidRPr="00783571" w:rsidRDefault="007F639E" w:rsidP="00E239F7">
      <w:pPr>
        <w:pStyle w:val="BodyText"/>
      </w:pPr>
      <w:r w:rsidRPr="00783571">
        <w:t>The number of people aging out of the population is equal to the rate of aging out of age group 45–64 (</w:t>
      </w:r>
      <w:r w:rsidRPr="00783571">
        <w:rPr>
          <w:i/>
        </w:rPr>
        <w:t>j</w:t>
      </w:r>
      <w:r w:rsidRPr="00783571">
        <w:t> = 5) multiplied by the number of individuals in age group 45–64 (</w:t>
      </w:r>
      <w:r w:rsidRPr="00783571">
        <w:rPr>
          <w:i/>
        </w:rPr>
        <w:t>j</w:t>
      </w:r>
      <w:r w:rsidRPr="00783571">
        <w:t> = 5).</w:t>
      </w:r>
    </w:p>
    <w:p w14:paraId="07B51C0B" w14:textId="6F4586F3" w:rsidR="004C5F93" w:rsidRPr="00783571" w:rsidRDefault="00892014" w:rsidP="006472DC">
      <w:pPr>
        <w:pStyle w:val="BodyText"/>
      </w:pPr>
      <w:r w:rsidRPr="00783571">
        <w:t xml:space="preserve">The number of </w:t>
      </w:r>
      <w:r w:rsidR="00E72922" w:rsidRPr="00783571">
        <w:t>people living with HIV (</w:t>
      </w:r>
      <w:r w:rsidR="00DD6F0A" w:rsidRPr="00783571">
        <w:t>PLWH</w:t>
      </w:r>
      <w:r w:rsidR="00E72922" w:rsidRPr="00783571">
        <w:t>)</w:t>
      </w:r>
      <w:r w:rsidR="00DD6F0A" w:rsidRPr="00783571">
        <w:t xml:space="preserve"> who </w:t>
      </w:r>
      <w:r w:rsidR="007F639E" w:rsidRPr="00783571">
        <w:t>have</w:t>
      </w:r>
      <w:r w:rsidR="004C5F93" w:rsidRPr="00783571">
        <w:t xml:space="preserve"> </w:t>
      </w:r>
      <w:r w:rsidR="00DD6F0A" w:rsidRPr="00783571">
        <w:t>age</w:t>
      </w:r>
      <w:r w:rsidR="004C5F93" w:rsidRPr="00783571">
        <w:t>d</w:t>
      </w:r>
      <w:r w:rsidR="00DD6F0A" w:rsidRPr="00783571">
        <w:t xml:space="preserve"> out of the model</w:t>
      </w:r>
      <w:r w:rsidRPr="00783571">
        <w:t>ed</w:t>
      </w:r>
      <w:r w:rsidR="00DD6F0A" w:rsidRPr="00783571">
        <w:t xml:space="preserve"> population</w:t>
      </w:r>
      <w:r w:rsidR="004C5F93" w:rsidRPr="00783571">
        <w:t xml:space="preserve"> (age</w:t>
      </w:r>
      <w:r w:rsidR="00891907" w:rsidRPr="00783571">
        <w:t>d</w:t>
      </w:r>
      <w:r w:rsidR="004C5F93" w:rsidRPr="00783571">
        <w:t xml:space="preserve"> 65 </w:t>
      </w:r>
      <w:r w:rsidR="00891907" w:rsidRPr="00783571">
        <w:t>or older</w:t>
      </w:r>
      <w:r w:rsidRPr="00783571">
        <w:t xml:space="preserve"> and still alive</w:t>
      </w:r>
      <w:r w:rsidR="004C5F93" w:rsidRPr="00783571">
        <w:t xml:space="preserve">) </w:t>
      </w:r>
      <w:r w:rsidRPr="00783571">
        <w:t xml:space="preserve">is </w:t>
      </w:r>
      <w:r w:rsidR="007F639E" w:rsidRPr="00783571">
        <w:t>estimated</w:t>
      </w:r>
      <w:r w:rsidR="004C5F93" w:rsidRPr="00783571">
        <w:t xml:space="preserve"> </w:t>
      </w:r>
      <w:r w:rsidRPr="00783571">
        <w:t xml:space="preserve">over time </w:t>
      </w:r>
      <w:r w:rsidR="004C5F93" w:rsidRPr="00783571">
        <w:t>based on the initial prevalence of PLWH over the age of 65 in 2006</w:t>
      </w:r>
      <w:r w:rsidR="00594D7D" w:rsidRPr="00783571">
        <w:t xml:space="preserve"> </w:t>
      </w:r>
      <w:r w:rsidR="00891907" w:rsidRPr="00783571">
        <w:t>(</w:t>
      </w:r>
      <w:r w:rsidR="00594D7D" w:rsidRPr="00783571">
        <w:t>28,200, per</w:t>
      </w:r>
      <w:r w:rsidR="00030D01" w:rsidRPr="00783571">
        <w:t xml:space="preserve"> CDC</w:t>
      </w:r>
      <w:r w:rsidR="00891907" w:rsidRPr="00783571">
        <w:t>,</w:t>
      </w:r>
      <w:r w:rsidR="00030D01" w:rsidRPr="00783571">
        <w:t xml:space="preserve"> 2012b)</w:t>
      </w:r>
      <w:r w:rsidR="004C5F93" w:rsidRPr="00783571">
        <w:t xml:space="preserve">, the </w:t>
      </w:r>
      <w:r w:rsidRPr="00783571">
        <w:t xml:space="preserve">cumulative </w:t>
      </w:r>
      <w:r w:rsidR="004C5F93" w:rsidRPr="00783571">
        <w:t>number of PLWH who</w:t>
      </w:r>
      <w:r w:rsidRPr="00783571">
        <w:t xml:space="preserve"> have</w:t>
      </w:r>
      <w:r w:rsidR="004C5F93" w:rsidRPr="00783571">
        <w:t xml:space="preserve"> age</w:t>
      </w:r>
      <w:r w:rsidRPr="00783571">
        <w:t>d</w:t>
      </w:r>
      <w:r w:rsidR="004C5F93" w:rsidRPr="00783571">
        <w:t xml:space="preserve"> out</w:t>
      </w:r>
      <w:r w:rsidRPr="00783571">
        <w:t xml:space="preserve"> since 2006</w:t>
      </w:r>
      <w:r w:rsidR="004C5F93" w:rsidRPr="00783571">
        <w:t>, and the</w:t>
      </w:r>
      <w:r w:rsidR="00594D7D" w:rsidRPr="00783571">
        <w:t xml:space="preserve"> cumulative number of</w:t>
      </w:r>
      <w:r w:rsidR="004C5F93" w:rsidRPr="00783571">
        <w:t xml:space="preserve"> deaths </w:t>
      </w:r>
      <w:r w:rsidR="00594D7D" w:rsidRPr="00783571">
        <w:t>among</w:t>
      </w:r>
      <w:r w:rsidR="004C5F93" w:rsidRPr="00783571">
        <w:t xml:space="preserve"> PLWH age</w:t>
      </w:r>
      <w:r w:rsidR="00594D7D" w:rsidRPr="00783571">
        <w:t>d</w:t>
      </w:r>
      <w:r w:rsidR="004C5F93" w:rsidRPr="00783571">
        <w:t xml:space="preserve"> 65</w:t>
      </w:r>
      <w:r w:rsidR="00891907" w:rsidRPr="00783571">
        <w:t xml:space="preserve"> or older</w:t>
      </w:r>
      <w:r w:rsidR="004C5F93" w:rsidRPr="00783571">
        <w:t xml:space="preserve"> </w:t>
      </w:r>
      <w:r w:rsidR="00594D7D" w:rsidRPr="00783571">
        <w:t>since</w:t>
      </w:r>
      <w:r w:rsidR="004C5F93" w:rsidRPr="00783571">
        <w:t xml:space="preserve"> 2006</w:t>
      </w:r>
      <w:r w:rsidR="00BE2E41" w:rsidRPr="00783571">
        <w:t xml:space="preserve"> (assuming an annual death rate of 0.0954, the average annual probability of death for persons between the ages of 65 and 99 reported in Life Tables in Arias [2008])</w:t>
      </w:r>
      <w:r w:rsidR="004C5F93" w:rsidRPr="00783571">
        <w:t xml:space="preserve">. This population is only considered for </w:t>
      </w:r>
      <w:r w:rsidR="00594D7D" w:rsidRPr="00783571">
        <w:t>calculating specific</w:t>
      </w:r>
      <w:r w:rsidR="004C5F93" w:rsidRPr="00783571">
        <w:t xml:space="preserve"> outcomes and has no effect on the modeled compartments. PLWH age</w:t>
      </w:r>
      <w:r w:rsidR="006472DC" w:rsidRPr="00783571">
        <w:t>d</w:t>
      </w:r>
      <w:r w:rsidR="004C5F93" w:rsidRPr="00783571">
        <w:t xml:space="preserve"> 65</w:t>
      </w:r>
      <w:r w:rsidR="006472DC" w:rsidRPr="00783571">
        <w:t xml:space="preserve"> or older</w:t>
      </w:r>
      <w:r w:rsidR="004C5F93" w:rsidRPr="00783571">
        <w:t xml:space="preserve"> are stratified by sex, race</w:t>
      </w:r>
      <w:r w:rsidR="006472DC" w:rsidRPr="00783571">
        <w:t>/ethnicity</w:t>
      </w:r>
      <w:r w:rsidR="004C5F93" w:rsidRPr="00783571">
        <w:t>, and transmission group, resulting in 15 subpopulations.</w:t>
      </w:r>
    </w:p>
    <w:p w14:paraId="0DDC1017" w14:textId="77777777" w:rsidR="009508BA" w:rsidRPr="00783571" w:rsidRDefault="009508BA" w:rsidP="009D5AF4">
      <w:pPr>
        <w:pStyle w:val="BodyText"/>
      </w:pPr>
    </w:p>
    <w:p w14:paraId="2A467C26" w14:textId="77777777" w:rsidR="00A57EF2" w:rsidRPr="00783571" w:rsidRDefault="00A57EF2" w:rsidP="009D5AF4">
      <w:pPr>
        <w:pStyle w:val="Heading2"/>
        <w:sectPr w:rsidR="00A57EF2" w:rsidRPr="00783571" w:rsidSect="00610AD9">
          <w:headerReference w:type="default" r:id="rId43"/>
          <w:footerReference w:type="default" r:id="rId44"/>
          <w:headerReference w:type="first" r:id="rId45"/>
          <w:footerReference w:type="first" r:id="rId46"/>
          <w:endnotePr>
            <w:numFmt w:val="decimal"/>
          </w:endnotePr>
          <w:type w:val="oddPage"/>
          <w:pgSz w:w="12240" w:h="15840" w:code="1"/>
          <w:pgMar w:top="1440" w:right="1440" w:bottom="1440" w:left="1440" w:header="720" w:footer="720" w:gutter="0"/>
          <w:pgNumType w:start="1" w:chapStyle="1"/>
          <w:cols w:space="720"/>
          <w:titlePg/>
          <w:docGrid w:linePitch="360"/>
        </w:sectPr>
      </w:pPr>
      <w:bookmarkStart w:id="20" w:name="_Toc398293115"/>
    </w:p>
    <w:p w14:paraId="6D158CB4" w14:textId="4E13A8F3" w:rsidR="00A57EF2" w:rsidRPr="00783571" w:rsidRDefault="004F4E6D" w:rsidP="00260D8A">
      <w:pPr>
        <w:pStyle w:val="TableTitle"/>
        <w:spacing w:before="0"/>
        <w:ind w:left="1530"/>
      </w:pPr>
      <w:bookmarkStart w:id="21" w:name="_Toc510104017"/>
      <w:r w:rsidRPr="00783571">
        <w:t>Table 5.</w:t>
      </w:r>
      <w:r w:rsidR="00A57EF2" w:rsidRPr="00783571">
        <w:t>1.</w:t>
      </w:r>
      <w:r w:rsidR="00A57EF2" w:rsidRPr="00783571">
        <w:tab/>
        <w:t>Rate of Aging into Population</w:t>
      </w:r>
      <w:r w:rsidR="00952170" w:rsidRPr="00783571">
        <w:t xml:space="preserve"> and Inputs that Determine</w:t>
      </w:r>
      <w:r w:rsidR="00A57EF2" w:rsidRPr="00783571">
        <w:t xml:space="preserve"> </w:t>
      </w:r>
      <w:r w:rsidR="00952170" w:rsidRPr="00783571">
        <w:t xml:space="preserve">All HIV Progression and </w:t>
      </w:r>
      <w:r w:rsidR="00A57EF2" w:rsidRPr="00783571">
        <w:t>Death</w:t>
      </w:r>
      <w:r w:rsidR="00952170" w:rsidRPr="00783571">
        <w:t xml:space="preserve"> Rates</w:t>
      </w:r>
      <w:bookmarkEnd w:id="21"/>
    </w:p>
    <w:tbl>
      <w:tblPr>
        <w:tblW w:w="5000" w:type="pct"/>
        <w:tblInd w:w="86"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2870"/>
        <w:gridCol w:w="1217"/>
        <w:gridCol w:w="1176"/>
        <w:gridCol w:w="1152"/>
        <w:gridCol w:w="1152"/>
        <w:gridCol w:w="1152"/>
        <w:gridCol w:w="4241"/>
      </w:tblGrid>
      <w:tr w:rsidR="00A57EF2" w:rsidRPr="00783571" w14:paraId="5CD44F92" w14:textId="77777777" w:rsidTr="00DF1AFE">
        <w:trPr>
          <w:cantSplit/>
          <w:tblHeader/>
        </w:trPr>
        <w:tc>
          <w:tcPr>
            <w:tcW w:w="2905" w:type="dxa"/>
            <w:tcBorders>
              <w:top w:val="single" w:sz="12" w:space="0" w:color="000000"/>
              <w:bottom w:val="single" w:sz="6" w:space="0" w:color="auto"/>
            </w:tcBorders>
            <w:shd w:val="clear" w:color="auto" w:fill="auto"/>
            <w:noWrap/>
            <w:vAlign w:val="bottom"/>
            <w:hideMark/>
          </w:tcPr>
          <w:p w14:paraId="6EC3D07F" w14:textId="77777777" w:rsidR="00A57EF2" w:rsidRPr="00783571" w:rsidRDefault="008931D0" w:rsidP="006705F3">
            <w:pPr>
              <w:pStyle w:val="TableHeaders"/>
            </w:pPr>
            <w:r w:rsidRPr="00783571">
              <w:t>Parameter</w:t>
            </w:r>
          </w:p>
        </w:tc>
        <w:tc>
          <w:tcPr>
            <w:tcW w:w="1230" w:type="dxa"/>
            <w:tcBorders>
              <w:top w:val="single" w:sz="12" w:space="0" w:color="000000"/>
              <w:bottom w:val="single" w:sz="6" w:space="0" w:color="auto"/>
            </w:tcBorders>
            <w:shd w:val="clear" w:color="auto" w:fill="auto"/>
            <w:noWrap/>
            <w:vAlign w:val="bottom"/>
            <w:hideMark/>
          </w:tcPr>
          <w:p w14:paraId="692282C2" w14:textId="77777777" w:rsidR="00A57EF2" w:rsidRPr="00783571" w:rsidRDefault="00A57EF2" w:rsidP="006705F3">
            <w:pPr>
              <w:pStyle w:val="TableHeaders"/>
            </w:pPr>
            <w:r w:rsidRPr="00783571">
              <w:t>13–17 Years</w:t>
            </w:r>
          </w:p>
        </w:tc>
        <w:tc>
          <w:tcPr>
            <w:tcW w:w="1189" w:type="dxa"/>
            <w:tcBorders>
              <w:top w:val="single" w:sz="12" w:space="0" w:color="000000"/>
              <w:bottom w:val="single" w:sz="6" w:space="0" w:color="auto"/>
            </w:tcBorders>
            <w:shd w:val="clear" w:color="auto" w:fill="auto"/>
            <w:noWrap/>
            <w:vAlign w:val="bottom"/>
            <w:hideMark/>
          </w:tcPr>
          <w:p w14:paraId="6BFF3899" w14:textId="77777777" w:rsidR="00A57EF2" w:rsidRPr="00783571" w:rsidRDefault="00A57EF2" w:rsidP="006705F3">
            <w:pPr>
              <w:pStyle w:val="TableHeaders"/>
            </w:pPr>
            <w:r w:rsidRPr="00783571">
              <w:t>18–24 Years</w:t>
            </w:r>
          </w:p>
        </w:tc>
        <w:tc>
          <w:tcPr>
            <w:tcW w:w="1165" w:type="dxa"/>
            <w:tcBorders>
              <w:top w:val="single" w:sz="12" w:space="0" w:color="000000"/>
              <w:bottom w:val="single" w:sz="6" w:space="0" w:color="auto"/>
            </w:tcBorders>
            <w:shd w:val="clear" w:color="auto" w:fill="auto"/>
            <w:noWrap/>
            <w:vAlign w:val="bottom"/>
            <w:hideMark/>
          </w:tcPr>
          <w:p w14:paraId="392B238B" w14:textId="77777777" w:rsidR="00A57EF2" w:rsidRPr="00783571" w:rsidRDefault="00A57EF2" w:rsidP="006705F3">
            <w:pPr>
              <w:pStyle w:val="TableHeaders"/>
            </w:pPr>
            <w:r w:rsidRPr="00783571">
              <w:t>25–34 Years</w:t>
            </w:r>
          </w:p>
        </w:tc>
        <w:tc>
          <w:tcPr>
            <w:tcW w:w="1165" w:type="dxa"/>
            <w:tcBorders>
              <w:top w:val="single" w:sz="12" w:space="0" w:color="000000"/>
              <w:bottom w:val="single" w:sz="6" w:space="0" w:color="auto"/>
            </w:tcBorders>
            <w:shd w:val="clear" w:color="auto" w:fill="auto"/>
            <w:noWrap/>
            <w:vAlign w:val="bottom"/>
            <w:hideMark/>
          </w:tcPr>
          <w:p w14:paraId="46FF5CF1" w14:textId="77777777" w:rsidR="00A57EF2" w:rsidRPr="00783571" w:rsidRDefault="00A57EF2" w:rsidP="006705F3">
            <w:pPr>
              <w:pStyle w:val="TableHeaders"/>
            </w:pPr>
            <w:r w:rsidRPr="00783571">
              <w:t>35–44 Years</w:t>
            </w:r>
          </w:p>
        </w:tc>
        <w:tc>
          <w:tcPr>
            <w:tcW w:w="1165" w:type="dxa"/>
            <w:tcBorders>
              <w:top w:val="single" w:sz="12" w:space="0" w:color="000000"/>
              <w:bottom w:val="single" w:sz="6" w:space="0" w:color="auto"/>
            </w:tcBorders>
            <w:shd w:val="clear" w:color="auto" w:fill="auto"/>
            <w:noWrap/>
            <w:vAlign w:val="bottom"/>
            <w:hideMark/>
          </w:tcPr>
          <w:p w14:paraId="4D9D7466" w14:textId="77777777" w:rsidR="00A57EF2" w:rsidRPr="00783571" w:rsidRDefault="00A57EF2" w:rsidP="006705F3">
            <w:pPr>
              <w:pStyle w:val="TableHeaders"/>
            </w:pPr>
            <w:r w:rsidRPr="00783571">
              <w:t>45–64 Years</w:t>
            </w:r>
          </w:p>
        </w:tc>
        <w:tc>
          <w:tcPr>
            <w:tcW w:w="4297" w:type="dxa"/>
            <w:tcBorders>
              <w:top w:val="single" w:sz="12" w:space="0" w:color="000000"/>
              <w:bottom w:val="single" w:sz="6" w:space="0" w:color="auto"/>
            </w:tcBorders>
            <w:shd w:val="clear" w:color="auto" w:fill="auto"/>
            <w:noWrap/>
            <w:vAlign w:val="bottom"/>
            <w:hideMark/>
          </w:tcPr>
          <w:p w14:paraId="2C8747A5" w14:textId="77777777" w:rsidR="00A57EF2" w:rsidRPr="00783571" w:rsidRDefault="00A57EF2" w:rsidP="006705F3">
            <w:pPr>
              <w:pStyle w:val="TableHeaders"/>
            </w:pPr>
            <w:r w:rsidRPr="00783571">
              <w:t>Source</w:t>
            </w:r>
          </w:p>
        </w:tc>
      </w:tr>
      <w:tr w:rsidR="00A57EF2" w:rsidRPr="00783571" w14:paraId="2FEEA81A" w14:textId="77777777" w:rsidTr="00DF1AFE">
        <w:trPr>
          <w:cantSplit/>
        </w:trPr>
        <w:tc>
          <w:tcPr>
            <w:tcW w:w="13116" w:type="dxa"/>
            <w:gridSpan w:val="7"/>
            <w:tcBorders>
              <w:top w:val="single" w:sz="6" w:space="0" w:color="auto"/>
              <w:bottom w:val="single" w:sz="4" w:space="0" w:color="808080" w:themeColor="background1" w:themeShade="80"/>
            </w:tcBorders>
            <w:shd w:val="clear" w:color="auto" w:fill="auto"/>
            <w:noWrap/>
            <w:hideMark/>
          </w:tcPr>
          <w:p w14:paraId="57FD6A95" w14:textId="292A1D2F" w:rsidR="00A57EF2" w:rsidRPr="00783571" w:rsidRDefault="00A57EF2" w:rsidP="006705F3">
            <w:pPr>
              <w:pStyle w:val="TableText"/>
              <w:spacing w:before="40" w:after="20"/>
            </w:pPr>
            <w:r w:rsidRPr="00783571">
              <w:t>Annual rate of aging into population per person in youngest age group by race/ethnicity and transmission group</w:t>
            </w:r>
          </w:p>
        </w:tc>
      </w:tr>
      <w:tr w:rsidR="006330C5" w:rsidRPr="00783571" w14:paraId="2EBE6E9F"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hideMark/>
          </w:tcPr>
          <w:p w14:paraId="71B3BC58" w14:textId="77777777" w:rsidR="006330C5" w:rsidRPr="00783571" w:rsidRDefault="006330C5" w:rsidP="006705F3">
            <w:pPr>
              <w:pStyle w:val="TableText"/>
              <w:spacing w:before="40" w:after="20"/>
            </w:pPr>
          </w:p>
        </w:tc>
        <w:tc>
          <w:tcPr>
            <w:tcW w:w="5914" w:type="dxa"/>
            <w:gridSpan w:val="5"/>
            <w:tcBorders>
              <w:top w:val="single" w:sz="4" w:space="0" w:color="808080" w:themeColor="background1" w:themeShade="80"/>
              <w:bottom w:val="single" w:sz="4" w:space="0" w:color="808080" w:themeColor="background1" w:themeShade="80"/>
            </w:tcBorders>
            <w:shd w:val="clear" w:color="auto" w:fill="auto"/>
            <w:noWrap/>
            <w:hideMark/>
          </w:tcPr>
          <w:p w14:paraId="39429EA3" w14:textId="7EDF7A7D" w:rsidR="006330C5" w:rsidRPr="00783571" w:rsidRDefault="006330C5" w:rsidP="006705F3">
            <w:pPr>
              <w:pStyle w:val="TableText"/>
              <w:spacing w:before="40" w:after="20"/>
              <w:jc w:val="center"/>
              <w:rPr>
                <w:b/>
                <w:kern w:val="28"/>
                <w:szCs w:val="18"/>
              </w:rPr>
            </w:pPr>
            <w:r w:rsidRPr="00783571">
              <w:t>------------0.2175 if youngest age group = 13</w:t>
            </w:r>
            <w:r w:rsidR="005B1CD9" w:rsidRPr="00783571">
              <w:t>–</w:t>
            </w:r>
            <w:r w:rsidRPr="00783571">
              <w:t>17-------------</w:t>
            </w:r>
          </w:p>
          <w:p w14:paraId="5970E73F" w14:textId="5E6B055E" w:rsidR="006330C5" w:rsidRPr="00783571" w:rsidRDefault="006330C5" w:rsidP="006705F3">
            <w:pPr>
              <w:pStyle w:val="TableText"/>
              <w:spacing w:before="40" w:after="20"/>
              <w:jc w:val="center"/>
            </w:pPr>
            <w:r w:rsidRPr="00783571">
              <w:t>-------------0.1429 if youngest age group = 18</w:t>
            </w:r>
            <w:r w:rsidR="005B1CD9" w:rsidRPr="00783571">
              <w:t>–</w:t>
            </w:r>
            <w:r w:rsidRPr="00783571">
              <w:t>24------------</w:t>
            </w:r>
          </w:p>
        </w:tc>
        <w:tc>
          <w:tcPr>
            <w:tcW w:w="4297" w:type="dxa"/>
            <w:tcBorders>
              <w:top w:val="single" w:sz="4" w:space="0" w:color="808080" w:themeColor="background1" w:themeShade="80"/>
              <w:bottom w:val="single" w:sz="4" w:space="0" w:color="808080" w:themeColor="background1" w:themeShade="80"/>
            </w:tcBorders>
            <w:shd w:val="clear" w:color="auto" w:fill="auto"/>
            <w:noWrap/>
          </w:tcPr>
          <w:p w14:paraId="5B6437D3" w14:textId="77777777" w:rsidR="006330C5" w:rsidRPr="00783571" w:rsidRDefault="006330C5" w:rsidP="006705F3">
            <w:pPr>
              <w:pStyle w:val="TableText"/>
              <w:spacing w:before="40" w:after="20"/>
            </w:pPr>
            <w:r w:rsidRPr="00783571">
              <w:t>Assumed</w:t>
            </w:r>
            <w:r w:rsidRPr="00783571">
              <w:rPr>
                <w:vertAlign w:val="superscript"/>
              </w:rPr>
              <w:t>a</w:t>
            </w:r>
          </w:p>
        </w:tc>
      </w:tr>
      <w:tr w:rsidR="00A57EF2" w:rsidRPr="00783571" w14:paraId="45C25DE9" w14:textId="77777777" w:rsidTr="00DF1AFE">
        <w:trPr>
          <w:cantSplit/>
        </w:trPr>
        <w:tc>
          <w:tcPr>
            <w:tcW w:w="13116" w:type="dxa"/>
            <w:gridSpan w:val="7"/>
            <w:tcBorders>
              <w:top w:val="single" w:sz="4" w:space="0" w:color="808080" w:themeColor="background1" w:themeShade="80"/>
              <w:bottom w:val="single" w:sz="4" w:space="0" w:color="808080" w:themeColor="background1" w:themeShade="80"/>
            </w:tcBorders>
            <w:shd w:val="clear" w:color="auto" w:fill="auto"/>
            <w:noWrap/>
            <w:hideMark/>
          </w:tcPr>
          <w:p w14:paraId="5AA6A2DA" w14:textId="2296305B" w:rsidR="00A57EF2" w:rsidRPr="00783571" w:rsidRDefault="00A57EF2" w:rsidP="006705F3">
            <w:pPr>
              <w:pStyle w:val="TableText"/>
              <w:spacing w:before="40" w:after="20"/>
            </w:pPr>
            <w:r w:rsidRPr="00783571">
              <w:t xml:space="preserve">Number of years in each stage if HIV infected and not </w:t>
            </w:r>
            <w:r w:rsidR="000965E6" w:rsidRPr="00783571">
              <w:t>prescribed ART</w:t>
            </w:r>
            <w:r w:rsidR="009F6EDB" w:rsidRPr="00783571">
              <w:t xml:space="preserve"> (</w:t>
            </w:r>
            <w:r w:rsidR="009F6EDB" w:rsidRPr="00783571">
              <w:rPr>
                <w:i/>
                <w:iCs/>
              </w:rPr>
              <w:t>r</w:t>
            </w:r>
            <w:r w:rsidR="00782A6B" w:rsidRPr="00783571">
              <w:t xml:space="preserve"> = 1, </w:t>
            </w:r>
            <w:r w:rsidR="009F6EDB" w:rsidRPr="00783571">
              <w:t>2</w:t>
            </w:r>
            <w:r w:rsidR="00782A6B" w:rsidRPr="00783571">
              <w:t>, 3</w:t>
            </w:r>
            <w:r w:rsidR="009F6EDB" w:rsidRPr="00783571">
              <w:t>)</w:t>
            </w:r>
          </w:p>
        </w:tc>
      </w:tr>
      <w:tr w:rsidR="00A57EF2" w:rsidRPr="00783571" w14:paraId="2273E583"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hideMark/>
          </w:tcPr>
          <w:p w14:paraId="4C998FE1" w14:textId="77777777" w:rsidR="00A57EF2" w:rsidRPr="00783571" w:rsidRDefault="00A57EF2" w:rsidP="006705F3">
            <w:pPr>
              <w:pStyle w:val="TableText"/>
              <w:spacing w:before="40" w:after="20"/>
              <w:ind w:left="270"/>
            </w:pPr>
            <w:r w:rsidRPr="00783571">
              <w:t>Acute</w:t>
            </w:r>
          </w:p>
        </w:tc>
        <w:tc>
          <w:tcPr>
            <w:tcW w:w="5914" w:type="dxa"/>
            <w:gridSpan w:val="5"/>
            <w:tcBorders>
              <w:top w:val="single" w:sz="4" w:space="0" w:color="808080" w:themeColor="background1" w:themeShade="80"/>
              <w:bottom w:val="single" w:sz="4" w:space="0" w:color="808080" w:themeColor="background1" w:themeShade="80"/>
            </w:tcBorders>
            <w:shd w:val="clear" w:color="auto" w:fill="auto"/>
            <w:noWrap/>
            <w:hideMark/>
          </w:tcPr>
          <w:p w14:paraId="3A319B95" w14:textId="4AB9E002" w:rsidR="00A57EF2" w:rsidRPr="00783571" w:rsidRDefault="00A57EF2" w:rsidP="006705F3">
            <w:pPr>
              <w:pStyle w:val="TableText"/>
              <w:spacing w:before="40" w:after="20"/>
            </w:pPr>
            <w:r w:rsidRPr="00783571">
              <w:t>-----------------------------0.17----------------------------------</w:t>
            </w:r>
          </w:p>
        </w:tc>
        <w:tc>
          <w:tcPr>
            <w:tcW w:w="4297" w:type="dxa"/>
            <w:tcBorders>
              <w:top w:val="single" w:sz="4" w:space="0" w:color="808080" w:themeColor="background1" w:themeShade="80"/>
              <w:bottom w:val="single" w:sz="4" w:space="0" w:color="808080" w:themeColor="background1" w:themeShade="80"/>
            </w:tcBorders>
            <w:shd w:val="clear" w:color="auto" w:fill="auto"/>
            <w:noWrap/>
          </w:tcPr>
          <w:p w14:paraId="1C2A6BBD" w14:textId="77777777" w:rsidR="00A57EF2" w:rsidRPr="00783571" w:rsidRDefault="00A57EF2" w:rsidP="006705F3">
            <w:pPr>
              <w:pStyle w:val="TableText"/>
              <w:spacing w:before="40" w:after="20"/>
            </w:pPr>
            <w:r w:rsidRPr="00783571">
              <w:t>Fiebig et al. (2003)</w:t>
            </w:r>
          </w:p>
        </w:tc>
      </w:tr>
      <w:tr w:rsidR="00A57EF2" w:rsidRPr="00783571" w14:paraId="0127AA1F"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hideMark/>
          </w:tcPr>
          <w:p w14:paraId="5338A0BD" w14:textId="77777777" w:rsidR="00A57EF2" w:rsidRPr="00783571" w:rsidRDefault="00A57EF2" w:rsidP="006705F3">
            <w:pPr>
              <w:pStyle w:val="TableText"/>
              <w:spacing w:before="40" w:after="20"/>
              <w:ind w:left="270"/>
            </w:pPr>
            <w:r w:rsidRPr="00783571">
              <w:t>CD4 &gt; 500</w:t>
            </w:r>
          </w:p>
        </w:tc>
        <w:tc>
          <w:tcPr>
            <w:tcW w:w="5914" w:type="dxa"/>
            <w:gridSpan w:val="5"/>
            <w:tcBorders>
              <w:top w:val="single" w:sz="4" w:space="0" w:color="808080" w:themeColor="background1" w:themeShade="80"/>
              <w:bottom w:val="single" w:sz="4" w:space="0" w:color="808080" w:themeColor="background1" w:themeShade="80"/>
            </w:tcBorders>
            <w:shd w:val="clear" w:color="auto" w:fill="auto"/>
            <w:noWrap/>
            <w:hideMark/>
          </w:tcPr>
          <w:p w14:paraId="3E7B5DCF" w14:textId="57D3860A" w:rsidR="00A57EF2" w:rsidRPr="00783571" w:rsidRDefault="00A57EF2" w:rsidP="006705F3">
            <w:pPr>
              <w:pStyle w:val="TableText"/>
              <w:spacing w:before="40" w:after="20"/>
            </w:pPr>
            <w:r w:rsidRPr="00783571">
              <w:t>-----------------------------3.50----------------------------------</w:t>
            </w:r>
          </w:p>
        </w:tc>
        <w:tc>
          <w:tcPr>
            <w:tcW w:w="4297" w:type="dxa"/>
            <w:vMerge w:val="restart"/>
            <w:tcBorders>
              <w:top w:val="single" w:sz="4" w:space="0" w:color="808080" w:themeColor="background1" w:themeShade="80"/>
              <w:bottom w:val="single" w:sz="4" w:space="0" w:color="808080" w:themeColor="background1" w:themeShade="80"/>
            </w:tcBorders>
            <w:shd w:val="clear" w:color="auto" w:fill="auto"/>
            <w:noWrap/>
          </w:tcPr>
          <w:p w14:paraId="1DCA9E4D" w14:textId="21937389" w:rsidR="00A57EF2" w:rsidRPr="00783571" w:rsidRDefault="00A57EF2" w:rsidP="006705F3">
            <w:pPr>
              <w:pStyle w:val="TableText"/>
              <w:spacing w:before="40" w:after="20"/>
              <w:rPr>
                <w:rFonts w:cs="Arial"/>
                <w:szCs w:val="22"/>
              </w:rPr>
            </w:pPr>
            <w:r w:rsidRPr="00783571">
              <w:rPr>
                <w:rFonts w:cs="Arial"/>
                <w:szCs w:val="22"/>
              </w:rPr>
              <w:t>Assumed 7 years in latent asymptomatic state</w:t>
            </w:r>
            <w:r w:rsidR="008E1C17" w:rsidRPr="00783571">
              <w:rPr>
                <w:rFonts w:cs="Arial"/>
                <w:szCs w:val="22"/>
              </w:rPr>
              <w:t xml:space="preserve"> (non-acute, CD4 &gt;350) distributed evenly between CD4 350</w:t>
            </w:r>
            <w:r w:rsidR="00740DFC" w:rsidRPr="00783571">
              <w:rPr>
                <w:rFonts w:cs="Arial"/>
                <w:szCs w:val="22"/>
              </w:rPr>
              <w:t>–5</w:t>
            </w:r>
            <w:r w:rsidR="008E1C17" w:rsidRPr="00783571">
              <w:rPr>
                <w:rFonts w:cs="Arial"/>
                <w:szCs w:val="22"/>
              </w:rPr>
              <w:t>00 and CD4 &gt; 500</w:t>
            </w:r>
            <w:r w:rsidRPr="00783571">
              <w:rPr>
                <w:rFonts w:cs="Arial"/>
                <w:szCs w:val="22"/>
              </w:rPr>
              <w:t xml:space="preserve"> based on Dorrucci et al. (2007); CGAIHS (2000); Mellors et al. (1997); Antiretroviral Therapy Cohort Collaboration (2007)</w:t>
            </w:r>
          </w:p>
        </w:tc>
      </w:tr>
      <w:tr w:rsidR="00A57EF2" w:rsidRPr="00783571" w14:paraId="43F6B0A3"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hideMark/>
          </w:tcPr>
          <w:p w14:paraId="69B618F0" w14:textId="77777777" w:rsidR="00A57EF2" w:rsidRPr="00783571" w:rsidRDefault="00A57EF2" w:rsidP="006705F3">
            <w:pPr>
              <w:pStyle w:val="TableText"/>
              <w:spacing w:before="40" w:after="20"/>
              <w:ind w:left="270"/>
            </w:pPr>
            <w:r w:rsidRPr="00783571">
              <w:t>CD4 350–500</w:t>
            </w:r>
          </w:p>
        </w:tc>
        <w:tc>
          <w:tcPr>
            <w:tcW w:w="5914" w:type="dxa"/>
            <w:gridSpan w:val="5"/>
            <w:tcBorders>
              <w:top w:val="single" w:sz="4" w:space="0" w:color="808080" w:themeColor="background1" w:themeShade="80"/>
              <w:bottom w:val="single" w:sz="4" w:space="0" w:color="808080" w:themeColor="background1" w:themeShade="80"/>
            </w:tcBorders>
            <w:shd w:val="clear" w:color="auto" w:fill="auto"/>
            <w:noWrap/>
            <w:hideMark/>
          </w:tcPr>
          <w:p w14:paraId="09E79971" w14:textId="68CA1B40" w:rsidR="00A57EF2" w:rsidRPr="00783571" w:rsidRDefault="00A57EF2" w:rsidP="006705F3">
            <w:pPr>
              <w:pStyle w:val="TableText"/>
              <w:spacing w:before="40" w:after="20"/>
            </w:pPr>
            <w:r w:rsidRPr="00783571">
              <w:t>-----------------------------3.50----------------------------------</w:t>
            </w:r>
          </w:p>
        </w:tc>
        <w:tc>
          <w:tcPr>
            <w:tcW w:w="4297" w:type="dxa"/>
            <w:vMerge/>
            <w:tcBorders>
              <w:top w:val="single" w:sz="4" w:space="0" w:color="808080" w:themeColor="background1" w:themeShade="80"/>
              <w:bottom w:val="single" w:sz="4" w:space="0" w:color="808080" w:themeColor="background1" w:themeShade="80"/>
            </w:tcBorders>
            <w:shd w:val="clear" w:color="auto" w:fill="auto"/>
            <w:noWrap/>
          </w:tcPr>
          <w:p w14:paraId="14F6325C" w14:textId="77777777" w:rsidR="00A57EF2" w:rsidRPr="00783571" w:rsidRDefault="00A57EF2" w:rsidP="006705F3">
            <w:pPr>
              <w:pStyle w:val="TableText"/>
              <w:spacing w:before="40" w:after="20"/>
            </w:pPr>
          </w:p>
        </w:tc>
      </w:tr>
      <w:tr w:rsidR="00A57EF2" w:rsidRPr="00783571" w14:paraId="17467872"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hideMark/>
          </w:tcPr>
          <w:p w14:paraId="69E34669" w14:textId="77777777" w:rsidR="00A57EF2" w:rsidRPr="00783571" w:rsidRDefault="00A57EF2" w:rsidP="006705F3">
            <w:pPr>
              <w:pStyle w:val="TableText"/>
              <w:spacing w:before="40" w:after="20"/>
              <w:ind w:left="270"/>
            </w:pPr>
            <w:r w:rsidRPr="00783571">
              <w:t>CD4 200–350</w:t>
            </w:r>
          </w:p>
        </w:tc>
        <w:tc>
          <w:tcPr>
            <w:tcW w:w="5914" w:type="dxa"/>
            <w:gridSpan w:val="5"/>
            <w:tcBorders>
              <w:top w:val="single" w:sz="4" w:space="0" w:color="808080" w:themeColor="background1" w:themeShade="80"/>
              <w:bottom w:val="single" w:sz="4" w:space="0" w:color="808080" w:themeColor="background1" w:themeShade="80"/>
            </w:tcBorders>
            <w:shd w:val="clear" w:color="auto" w:fill="auto"/>
            <w:noWrap/>
            <w:hideMark/>
          </w:tcPr>
          <w:p w14:paraId="4F112B3F" w14:textId="6CDCF303" w:rsidR="00A57EF2" w:rsidRPr="00783571" w:rsidRDefault="00A57EF2" w:rsidP="006705F3">
            <w:pPr>
              <w:pStyle w:val="TableText"/>
              <w:spacing w:before="40" w:after="20"/>
            </w:pPr>
            <w:r w:rsidRPr="00783571">
              <w:t>-----------------------------3.00---</w:t>
            </w:r>
            <w:r w:rsidR="00194198" w:rsidRPr="00783571">
              <w:t>-------------------------------</w:t>
            </w:r>
          </w:p>
        </w:tc>
        <w:tc>
          <w:tcPr>
            <w:tcW w:w="4297" w:type="dxa"/>
            <w:tcBorders>
              <w:top w:val="single" w:sz="4" w:space="0" w:color="808080" w:themeColor="background1" w:themeShade="80"/>
              <w:bottom w:val="single" w:sz="4" w:space="0" w:color="808080" w:themeColor="background1" w:themeShade="80"/>
            </w:tcBorders>
            <w:shd w:val="clear" w:color="auto" w:fill="auto"/>
            <w:noWrap/>
          </w:tcPr>
          <w:p w14:paraId="60B4E873" w14:textId="77777777" w:rsidR="00A57EF2" w:rsidRPr="00783571" w:rsidRDefault="00A57EF2" w:rsidP="006705F3">
            <w:pPr>
              <w:pStyle w:val="TableText"/>
              <w:spacing w:before="40" w:after="20"/>
            </w:pPr>
            <w:r w:rsidRPr="00783571">
              <w:t xml:space="preserve">Juusola et al. (2012) </w:t>
            </w:r>
            <w:r w:rsidR="00C0269A" w:rsidRPr="00783571">
              <w:t xml:space="preserve">applied </w:t>
            </w:r>
            <w:r w:rsidRPr="00783571">
              <w:t xml:space="preserve">3 years in </w:t>
            </w:r>
            <w:r w:rsidR="00D25FAD" w:rsidRPr="00783571">
              <w:t>l</w:t>
            </w:r>
            <w:r w:rsidRPr="00783571">
              <w:t xml:space="preserve">ate </w:t>
            </w:r>
            <w:r w:rsidR="00D25FAD" w:rsidRPr="00783571">
              <w:t>s</w:t>
            </w:r>
            <w:r w:rsidRPr="00783571">
              <w:t>ymptomatic stage, citing Long et al. (2009</w:t>
            </w:r>
            <w:r w:rsidR="00D25FAD" w:rsidRPr="00783571">
              <w:t>, 2010</w:t>
            </w:r>
            <w:r w:rsidRPr="00783571">
              <w:t xml:space="preserve">); Mellors et al. (1997); </w:t>
            </w:r>
            <w:r w:rsidR="00D25FAD" w:rsidRPr="00783571">
              <w:t xml:space="preserve">and </w:t>
            </w:r>
            <w:r w:rsidRPr="00783571">
              <w:t>Dunn et al. (2008)</w:t>
            </w:r>
          </w:p>
        </w:tc>
      </w:tr>
      <w:tr w:rsidR="00A57EF2" w:rsidRPr="00783571" w14:paraId="081E7CCB"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hideMark/>
          </w:tcPr>
          <w:p w14:paraId="058759C7" w14:textId="77777777" w:rsidR="00A57EF2" w:rsidRPr="00783571" w:rsidRDefault="00A57EF2" w:rsidP="006705F3">
            <w:pPr>
              <w:pStyle w:val="TableText"/>
              <w:spacing w:before="40" w:after="20"/>
              <w:ind w:left="270"/>
            </w:pPr>
            <w:r w:rsidRPr="00783571">
              <w:t>CD4 &lt; 200</w:t>
            </w:r>
            <w:r w:rsidRPr="00783571">
              <w:rPr>
                <w:vertAlign w:val="superscript"/>
              </w:rPr>
              <w:t>b</w:t>
            </w:r>
          </w:p>
        </w:tc>
        <w:tc>
          <w:tcPr>
            <w:tcW w:w="5914" w:type="dxa"/>
            <w:gridSpan w:val="5"/>
            <w:tcBorders>
              <w:top w:val="single" w:sz="4" w:space="0" w:color="808080" w:themeColor="background1" w:themeShade="80"/>
              <w:bottom w:val="single" w:sz="4" w:space="0" w:color="808080" w:themeColor="background1" w:themeShade="80"/>
            </w:tcBorders>
            <w:shd w:val="clear" w:color="auto" w:fill="auto"/>
            <w:noWrap/>
            <w:hideMark/>
          </w:tcPr>
          <w:p w14:paraId="348BC8C9" w14:textId="3B8F829A" w:rsidR="00A57EF2" w:rsidRPr="00783571" w:rsidRDefault="00A57EF2" w:rsidP="006705F3">
            <w:pPr>
              <w:pStyle w:val="TableText"/>
              <w:spacing w:before="40" w:after="20"/>
            </w:pPr>
            <w:r w:rsidRPr="00783571">
              <w:t>-----------------------------</w:t>
            </w:r>
            <w:r w:rsidR="005950A6" w:rsidRPr="00783571">
              <w:t>3</w:t>
            </w:r>
            <w:r w:rsidRPr="00783571">
              <w:t>.00---</w:t>
            </w:r>
            <w:r w:rsidR="00194198" w:rsidRPr="00783571">
              <w:t>-------------------------------</w:t>
            </w:r>
          </w:p>
        </w:tc>
        <w:tc>
          <w:tcPr>
            <w:tcW w:w="4297" w:type="dxa"/>
            <w:tcBorders>
              <w:top w:val="single" w:sz="4" w:space="0" w:color="808080" w:themeColor="background1" w:themeShade="80"/>
              <w:bottom w:val="single" w:sz="4" w:space="0" w:color="808080" w:themeColor="background1" w:themeShade="80"/>
            </w:tcBorders>
            <w:shd w:val="clear" w:color="auto" w:fill="auto"/>
            <w:noWrap/>
          </w:tcPr>
          <w:p w14:paraId="71A2A846" w14:textId="680B9C85" w:rsidR="00A57EF2" w:rsidRPr="00783571" w:rsidRDefault="00A57EF2" w:rsidP="006705F3">
            <w:pPr>
              <w:pStyle w:val="TableText"/>
              <w:spacing w:before="40" w:after="20"/>
            </w:pPr>
            <w:r w:rsidRPr="00783571">
              <w:t xml:space="preserve">Juusola et al. </w:t>
            </w:r>
            <w:r w:rsidR="00D25FAD" w:rsidRPr="00783571">
              <w:t>(</w:t>
            </w:r>
            <w:r w:rsidRPr="00783571">
              <w:t>2012</w:t>
            </w:r>
            <w:r w:rsidR="00D25FAD" w:rsidRPr="00783571">
              <w:t>)</w:t>
            </w:r>
            <w:r w:rsidR="005950A6" w:rsidRPr="00783571">
              <w:t>, increased to 3 years to produce # of deaths consistent with CDC surveillance data.</w:t>
            </w:r>
          </w:p>
        </w:tc>
      </w:tr>
      <w:tr w:rsidR="00C73F69" w:rsidRPr="00783571" w14:paraId="47E023D7" w14:textId="77777777" w:rsidTr="00DF1AFE">
        <w:trPr>
          <w:cantSplit/>
        </w:trPr>
        <w:tc>
          <w:tcPr>
            <w:tcW w:w="13116" w:type="dxa"/>
            <w:gridSpan w:val="7"/>
            <w:tcBorders>
              <w:top w:val="single" w:sz="4" w:space="0" w:color="808080" w:themeColor="background1" w:themeShade="80"/>
              <w:bottom w:val="single" w:sz="4" w:space="0" w:color="808080" w:themeColor="background1" w:themeShade="80"/>
            </w:tcBorders>
            <w:shd w:val="clear" w:color="auto" w:fill="auto"/>
            <w:noWrap/>
          </w:tcPr>
          <w:p w14:paraId="14A638DD" w14:textId="79015DB9" w:rsidR="00C73F69" w:rsidRPr="00783571" w:rsidRDefault="003C150A" w:rsidP="006705F3">
            <w:pPr>
              <w:pStyle w:val="TableText"/>
              <w:spacing w:before="40" w:after="20"/>
            </w:pPr>
            <w:r w:rsidRPr="00783571">
              <w:t xml:space="preserve">Annual rate of </w:t>
            </w:r>
            <w:r w:rsidR="009C0FA0" w:rsidRPr="00783571">
              <w:t>pro</w:t>
            </w:r>
            <w:r w:rsidRPr="00783571">
              <w:t xml:space="preserve">gressing one disease stage </w:t>
            </w:r>
            <w:r w:rsidR="009C0FA0" w:rsidRPr="00783571">
              <w:t xml:space="preserve">(to lower CD4 count) </w:t>
            </w:r>
            <w:r w:rsidR="00C63078" w:rsidRPr="00783571">
              <w:t xml:space="preserve">if </w:t>
            </w:r>
            <w:r w:rsidR="000965E6" w:rsidRPr="00783571">
              <w:t>prescribed ART</w:t>
            </w:r>
            <w:r w:rsidR="00C63078" w:rsidRPr="00783571">
              <w:t xml:space="preserve">, </w:t>
            </w:r>
            <w:r w:rsidR="009F6EDB" w:rsidRPr="00783571">
              <w:t xml:space="preserve">but </w:t>
            </w:r>
            <w:r w:rsidR="00C63078" w:rsidRPr="00783571">
              <w:t>not VLS</w:t>
            </w:r>
            <w:r w:rsidR="00782A6B" w:rsidRPr="00783571">
              <w:t xml:space="preserve"> (</w:t>
            </w:r>
            <w:r w:rsidR="00782A6B" w:rsidRPr="00783571">
              <w:rPr>
                <w:i/>
                <w:iCs/>
              </w:rPr>
              <w:t>r</w:t>
            </w:r>
            <w:r w:rsidR="00E628BE" w:rsidRPr="00783571">
              <w:t> = </w:t>
            </w:r>
            <w:r w:rsidR="00782A6B" w:rsidRPr="00783571">
              <w:t>4)</w:t>
            </w:r>
          </w:p>
        </w:tc>
      </w:tr>
      <w:tr w:rsidR="003C150A" w:rsidRPr="00783571" w14:paraId="5567257D"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tcPr>
          <w:p w14:paraId="7CCBD9BA" w14:textId="77777777" w:rsidR="003C150A" w:rsidRPr="00783571" w:rsidRDefault="003C150A" w:rsidP="006705F3">
            <w:pPr>
              <w:pStyle w:val="TableText"/>
              <w:spacing w:before="40" w:after="20"/>
              <w:ind w:left="270"/>
            </w:pPr>
            <w:r w:rsidRPr="00783571">
              <w:t>CD4 &gt; 500</w:t>
            </w:r>
          </w:p>
        </w:tc>
        <w:tc>
          <w:tcPr>
            <w:tcW w:w="5914" w:type="dxa"/>
            <w:gridSpan w:val="5"/>
            <w:tcBorders>
              <w:top w:val="single" w:sz="4" w:space="0" w:color="808080" w:themeColor="background1" w:themeShade="80"/>
              <w:bottom w:val="single" w:sz="4" w:space="0" w:color="808080" w:themeColor="background1" w:themeShade="80"/>
            </w:tcBorders>
            <w:shd w:val="clear" w:color="auto" w:fill="auto"/>
            <w:noWrap/>
          </w:tcPr>
          <w:p w14:paraId="336CA09E" w14:textId="2A500357" w:rsidR="003C150A" w:rsidRPr="00783571" w:rsidRDefault="003C150A" w:rsidP="00DF1AFE">
            <w:pPr>
              <w:pStyle w:val="TableText"/>
              <w:spacing w:before="40" w:after="20"/>
            </w:pPr>
            <w:r w:rsidRPr="00783571">
              <w:t>-----------------------------0.0</w:t>
            </w:r>
            <w:r w:rsidR="00C83F4A" w:rsidRPr="00783571">
              <w:t>2</w:t>
            </w:r>
            <w:r w:rsidR="003154ED" w:rsidRPr="00783571">
              <w:t>6</w:t>
            </w:r>
            <w:r w:rsidRPr="00783571">
              <w:t>---------------------------------</w:t>
            </w:r>
          </w:p>
        </w:tc>
        <w:tc>
          <w:tcPr>
            <w:tcW w:w="4297" w:type="dxa"/>
            <w:vMerge w:val="restart"/>
            <w:tcBorders>
              <w:top w:val="single" w:sz="4" w:space="0" w:color="808080" w:themeColor="background1" w:themeShade="80"/>
              <w:bottom w:val="single" w:sz="4" w:space="0" w:color="808080" w:themeColor="background1" w:themeShade="80"/>
            </w:tcBorders>
            <w:shd w:val="clear" w:color="auto" w:fill="auto"/>
            <w:noWrap/>
          </w:tcPr>
          <w:p w14:paraId="695AA48A" w14:textId="18846856" w:rsidR="003C150A" w:rsidRPr="00783571" w:rsidRDefault="003C150A" w:rsidP="006705F3">
            <w:pPr>
              <w:pStyle w:val="TableText"/>
              <w:spacing w:before="40" w:after="20"/>
            </w:pPr>
            <w:r w:rsidRPr="00783571">
              <w:t>Determined by calibration</w:t>
            </w:r>
            <w:r w:rsidR="0006025F" w:rsidRPr="00783571">
              <w:rPr>
                <w:vertAlign w:val="superscript"/>
              </w:rPr>
              <w:t>c</w:t>
            </w:r>
            <w:r w:rsidR="00A90192" w:rsidRPr="00783571">
              <w:t xml:space="preserve"> </w:t>
            </w:r>
          </w:p>
        </w:tc>
      </w:tr>
      <w:tr w:rsidR="003C150A" w:rsidRPr="00783571" w14:paraId="732E2BEB"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tcPr>
          <w:p w14:paraId="711600B4" w14:textId="77777777" w:rsidR="003C150A" w:rsidRPr="00783571" w:rsidRDefault="003C150A" w:rsidP="006705F3">
            <w:pPr>
              <w:pStyle w:val="TableText"/>
              <w:spacing w:before="40" w:after="20"/>
              <w:ind w:left="270"/>
            </w:pPr>
            <w:r w:rsidRPr="00783571">
              <w:t>CD4 350–500</w:t>
            </w:r>
          </w:p>
        </w:tc>
        <w:tc>
          <w:tcPr>
            <w:tcW w:w="5914" w:type="dxa"/>
            <w:gridSpan w:val="5"/>
            <w:tcBorders>
              <w:top w:val="single" w:sz="4" w:space="0" w:color="808080" w:themeColor="background1" w:themeShade="80"/>
              <w:bottom w:val="single" w:sz="4" w:space="0" w:color="808080" w:themeColor="background1" w:themeShade="80"/>
            </w:tcBorders>
            <w:shd w:val="clear" w:color="auto" w:fill="auto"/>
            <w:noWrap/>
          </w:tcPr>
          <w:p w14:paraId="7425E07D" w14:textId="5A9CE7F0" w:rsidR="003C150A" w:rsidRPr="00783571" w:rsidRDefault="003C150A" w:rsidP="00DF1AFE">
            <w:pPr>
              <w:pStyle w:val="TableText"/>
              <w:spacing w:before="40" w:after="20"/>
            </w:pPr>
            <w:r w:rsidRPr="00783571">
              <w:t>-----------------------------0.0</w:t>
            </w:r>
            <w:r w:rsidR="003154ED" w:rsidRPr="00783571">
              <w:t>25</w:t>
            </w:r>
            <w:r w:rsidRPr="00783571">
              <w:t>---------------------------------</w:t>
            </w:r>
          </w:p>
        </w:tc>
        <w:tc>
          <w:tcPr>
            <w:tcW w:w="4297" w:type="dxa"/>
            <w:vMerge/>
            <w:tcBorders>
              <w:top w:val="single" w:sz="4" w:space="0" w:color="808080" w:themeColor="background1" w:themeShade="80"/>
              <w:bottom w:val="single" w:sz="4" w:space="0" w:color="808080" w:themeColor="background1" w:themeShade="80"/>
            </w:tcBorders>
            <w:shd w:val="clear" w:color="auto" w:fill="auto"/>
            <w:noWrap/>
          </w:tcPr>
          <w:p w14:paraId="6C221936" w14:textId="77777777" w:rsidR="003C150A" w:rsidRPr="00783571" w:rsidRDefault="003C150A" w:rsidP="006705F3">
            <w:pPr>
              <w:pStyle w:val="TableText"/>
              <w:spacing w:before="40" w:after="20"/>
            </w:pPr>
          </w:p>
        </w:tc>
      </w:tr>
      <w:tr w:rsidR="003C150A" w:rsidRPr="00783571" w14:paraId="125805D0"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tcPr>
          <w:p w14:paraId="4D57C796" w14:textId="77777777" w:rsidR="003C150A" w:rsidRPr="00783571" w:rsidRDefault="003C150A" w:rsidP="006705F3">
            <w:pPr>
              <w:pStyle w:val="TableText"/>
              <w:spacing w:before="40" w:after="20"/>
              <w:ind w:left="270"/>
            </w:pPr>
            <w:r w:rsidRPr="00783571">
              <w:t>CD4 200–350</w:t>
            </w:r>
          </w:p>
        </w:tc>
        <w:tc>
          <w:tcPr>
            <w:tcW w:w="5914" w:type="dxa"/>
            <w:gridSpan w:val="5"/>
            <w:tcBorders>
              <w:top w:val="single" w:sz="4" w:space="0" w:color="808080" w:themeColor="background1" w:themeShade="80"/>
              <w:bottom w:val="single" w:sz="4" w:space="0" w:color="808080" w:themeColor="background1" w:themeShade="80"/>
            </w:tcBorders>
            <w:shd w:val="clear" w:color="auto" w:fill="auto"/>
            <w:noWrap/>
          </w:tcPr>
          <w:p w14:paraId="3B90B104" w14:textId="507AB907" w:rsidR="003C150A" w:rsidRPr="00783571" w:rsidRDefault="003C150A" w:rsidP="00DF1AFE">
            <w:pPr>
              <w:pStyle w:val="TableText"/>
              <w:spacing w:before="40" w:after="20"/>
            </w:pPr>
            <w:r w:rsidRPr="00783571">
              <w:t>-----------------------------0.02</w:t>
            </w:r>
            <w:r w:rsidR="003154ED" w:rsidRPr="00783571">
              <w:t>6</w:t>
            </w:r>
            <w:r w:rsidRPr="00783571">
              <w:t>--------------------------------</w:t>
            </w:r>
            <w:r w:rsidR="001D7F8F" w:rsidRPr="00783571">
              <w:t>-</w:t>
            </w:r>
          </w:p>
        </w:tc>
        <w:tc>
          <w:tcPr>
            <w:tcW w:w="4297" w:type="dxa"/>
            <w:vMerge/>
            <w:tcBorders>
              <w:top w:val="single" w:sz="4" w:space="0" w:color="808080" w:themeColor="background1" w:themeShade="80"/>
              <w:bottom w:val="single" w:sz="4" w:space="0" w:color="808080" w:themeColor="background1" w:themeShade="80"/>
            </w:tcBorders>
            <w:shd w:val="clear" w:color="auto" w:fill="auto"/>
            <w:noWrap/>
          </w:tcPr>
          <w:p w14:paraId="38E3B308" w14:textId="77777777" w:rsidR="003C150A" w:rsidRPr="00783571" w:rsidRDefault="003C150A" w:rsidP="006705F3">
            <w:pPr>
              <w:pStyle w:val="TableText"/>
              <w:spacing w:before="40" w:after="20"/>
            </w:pPr>
          </w:p>
        </w:tc>
      </w:tr>
      <w:tr w:rsidR="00C63078" w:rsidRPr="00783571" w14:paraId="564D909D" w14:textId="77777777" w:rsidTr="00DF1AFE">
        <w:trPr>
          <w:cantSplit/>
        </w:trPr>
        <w:tc>
          <w:tcPr>
            <w:tcW w:w="8819" w:type="dxa"/>
            <w:gridSpan w:val="6"/>
            <w:tcBorders>
              <w:top w:val="single" w:sz="4" w:space="0" w:color="808080" w:themeColor="background1" w:themeShade="80"/>
              <w:bottom w:val="single" w:sz="4" w:space="0" w:color="808080" w:themeColor="background1" w:themeShade="80"/>
            </w:tcBorders>
            <w:shd w:val="clear" w:color="auto" w:fill="auto"/>
            <w:noWrap/>
          </w:tcPr>
          <w:p w14:paraId="55E3B01D" w14:textId="3D2350AE" w:rsidR="00C63078" w:rsidRPr="00783571" w:rsidRDefault="00C63078" w:rsidP="006705F3">
            <w:pPr>
              <w:pStyle w:val="TableText"/>
              <w:spacing w:before="40" w:after="20"/>
            </w:pPr>
            <w:r w:rsidRPr="00783571">
              <w:t xml:space="preserve">Annual rate of </w:t>
            </w:r>
            <w:r w:rsidR="0006025F" w:rsidRPr="00783571">
              <w:t xml:space="preserve">progressing </w:t>
            </w:r>
            <w:r w:rsidR="00782A6B" w:rsidRPr="00783571">
              <w:t>by one disease stage</w:t>
            </w:r>
            <w:r w:rsidRPr="00783571">
              <w:t xml:space="preserve"> </w:t>
            </w:r>
            <w:r w:rsidR="0006025F" w:rsidRPr="00783571">
              <w:t xml:space="preserve">(to lower CD4 count) </w:t>
            </w:r>
            <w:r w:rsidRPr="00783571">
              <w:t>while VLS</w:t>
            </w:r>
            <w:r w:rsidR="00782A6B" w:rsidRPr="00783571">
              <w:t xml:space="preserve"> (</w:t>
            </w:r>
            <w:r w:rsidR="00782A6B" w:rsidRPr="00783571">
              <w:rPr>
                <w:i/>
                <w:iCs/>
              </w:rPr>
              <w:t>r</w:t>
            </w:r>
            <w:r w:rsidR="00E628BE" w:rsidRPr="00783571">
              <w:t> = </w:t>
            </w:r>
            <w:r w:rsidR="00782A6B" w:rsidRPr="00783571">
              <w:t>5)</w:t>
            </w:r>
            <w:r w:rsidR="003C150A" w:rsidRPr="00783571">
              <w:t xml:space="preserve"> </w:t>
            </w:r>
          </w:p>
        </w:tc>
        <w:tc>
          <w:tcPr>
            <w:tcW w:w="4297" w:type="dxa"/>
            <w:tcBorders>
              <w:top w:val="single" w:sz="4" w:space="0" w:color="808080" w:themeColor="background1" w:themeShade="80"/>
              <w:bottom w:val="single" w:sz="4" w:space="0" w:color="808080" w:themeColor="background1" w:themeShade="80"/>
            </w:tcBorders>
            <w:shd w:val="clear" w:color="auto" w:fill="auto"/>
            <w:noWrap/>
          </w:tcPr>
          <w:p w14:paraId="1AE8212E" w14:textId="77777777" w:rsidR="00C63078" w:rsidRPr="00783571" w:rsidRDefault="00C63078" w:rsidP="006705F3">
            <w:pPr>
              <w:pStyle w:val="TableText"/>
              <w:spacing w:before="40" w:after="20"/>
            </w:pPr>
          </w:p>
        </w:tc>
      </w:tr>
      <w:tr w:rsidR="003C150A" w:rsidRPr="00783571" w14:paraId="109BD097"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tcPr>
          <w:p w14:paraId="78B1CBFF" w14:textId="77777777" w:rsidR="003C150A" w:rsidRPr="00783571" w:rsidRDefault="003C150A" w:rsidP="006705F3">
            <w:pPr>
              <w:pStyle w:val="TableText"/>
              <w:spacing w:before="40" w:after="20"/>
              <w:ind w:left="270"/>
            </w:pPr>
            <w:r w:rsidRPr="00783571">
              <w:t>CD4 &gt; 500</w:t>
            </w:r>
          </w:p>
        </w:tc>
        <w:tc>
          <w:tcPr>
            <w:tcW w:w="5914" w:type="dxa"/>
            <w:gridSpan w:val="5"/>
            <w:tcBorders>
              <w:top w:val="single" w:sz="4" w:space="0" w:color="808080" w:themeColor="background1" w:themeShade="80"/>
              <w:bottom w:val="single" w:sz="4" w:space="0" w:color="808080" w:themeColor="background1" w:themeShade="80"/>
            </w:tcBorders>
            <w:shd w:val="clear" w:color="auto" w:fill="auto"/>
            <w:noWrap/>
          </w:tcPr>
          <w:p w14:paraId="765E1960" w14:textId="6795B796" w:rsidR="003C150A" w:rsidRPr="00783571" w:rsidRDefault="003C150A" w:rsidP="00DF1AFE">
            <w:pPr>
              <w:pStyle w:val="TableText"/>
              <w:spacing w:before="40" w:after="20"/>
            </w:pPr>
            <w:r w:rsidRPr="00783571">
              <w:t>------------------------------0.0</w:t>
            </w:r>
            <w:r w:rsidR="003154ED" w:rsidRPr="00783571">
              <w:t>4</w:t>
            </w:r>
            <w:r w:rsidR="00822AA4" w:rsidRPr="00783571">
              <w:t>5</w:t>
            </w:r>
            <w:r w:rsidRPr="00783571">
              <w:t>--</w:t>
            </w:r>
            <w:r w:rsidR="00194198" w:rsidRPr="00783571">
              <w:t>------------------------------</w:t>
            </w:r>
          </w:p>
        </w:tc>
        <w:tc>
          <w:tcPr>
            <w:tcW w:w="4297" w:type="dxa"/>
            <w:tcBorders>
              <w:top w:val="single" w:sz="4" w:space="0" w:color="808080" w:themeColor="background1" w:themeShade="80"/>
              <w:bottom w:val="nil"/>
            </w:tcBorders>
            <w:shd w:val="clear" w:color="auto" w:fill="auto"/>
            <w:noWrap/>
          </w:tcPr>
          <w:p w14:paraId="13006127" w14:textId="2AA35EB8" w:rsidR="003C150A" w:rsidRPr="00783571" w:rsidRDefault="003C150A" w:rsidP="006705F3">
            <w:pPr>
              <w:pStyle w:val="TableText"/>
              <w:spacing w:before="40" w:after="20"/>
            </w:pPr>
            <w:r w:rsidRPr="00783571">
              <w:t>Determined by calibration</w:t>
            </w:r>
            <w:r w:rsidR="0006025F" w:rsidRPr="00783571">
              <w:rPr>
                <w:vertAlign w:val="superscript"/>
              </w:rPr>
              <w:t>c</w:t>
            </w:r>
          </w:p>
        </w:tc>
      </w:tr>
      <w:tr w:rsidR="003C150A" w:rsidRPr="00783571" w14:paraId="7AF6ADAA" w14:textId="77777777" w:rsidTr="00DF1AFE">
        <w:trPr>
          <w:cantSplit/>
        </w:trPr>
        <w:tc>
          <w:tcPr>
            <w:tcW w:w="2905" w:type="dxa"/>
            <w:tcBorders>
              <w:top w:val="single" w:sz="4" w:space="0" w:color="808080" w:themeColor="background1" w:themeShade="80"/>
              <w:bottom w:val="single" w:sz="4" w:space="0" w:color="808080" w:themeColor="background1" w:themeShade="80"/>
            </w:tcBorders>
            <w:shd w:val="clear" w:color="auto" w:fill="auto"/>
            <w:noWrap/>
          </w:tcPr>
          <w:p w14:paraId="449DE5E8" w14:textId="77777777" w:rsidR="003C150A" w:rsidRPr="00783571" w:rsidRDefault="003C150A" w:rsidP="006705F3">
            <w:pPr>
              <w:pStyle w:val="TableText"/>
              <w:spacing w:before="40" w:after="20"/>
              <w:ind w:left="270"/>
            </w:pPr>
            <w:r w:rsidRPr="00783571">
              <w:t>CD4 350–500</w:t>
            </w:r>
          </w:p>
        </w:tc>
        <w:tc>
          <w:tcPr>
            <w:tcW w:w="5914" w:type="dxa"/>
            <w:gridSpan w:val="5"/>
            <w:tcBorders>
              <w:top w:val="nil"/>
              <w:bottom w:val="single" w:sz="4" w:space="0" w:color="808080" w:themeColor="background1" w:themeShade="80"/>
            </w:tcBorders>
            <w:shd w:val="clear" w:color="auto" w:fill="auto"/>
            <w:noWrap/>
          </w:tcPr>
          <w:p w14:paraId="7889BFD5" w14:textId="2C7ACD54" w:rsidR="003C150A" w:rsidRPr="00783571" w:rsidRDefault="00AA77D8" w:rsidP="00DF1AFE">
            <w:pPr>
              <w:pStyle w:val="TableText"/>
              <w:spacing w:before="40" w:after="20"/>
            </w:pPr>
            <w:r w:rsidRPr="00783571">
              <w:t>------------------------------0.04</w:t>
            </w:r>
            <w:r w:rsidR="00822AA4" w:rsidRPr="00783571">
              <w:t>5</w:t>
            </w:r>
            <w:r w:rsidRPr="00783571">
              <w:t>--------------------------------</w:t>
            </w:r>
          </w:p>
        </w:tc>
        <w:tc>
          <w:tcPr>
            <w:tcW w:w="4297" w:type="dxa"/>
            <w:tcBorders>
              <w:top w:val="nil"/>
              <w:bottom w:val="nil"/>
            </w:tcBorders>
            <w:shd w:val="clear" w:color="auto" w:fill="auto"/>
            <w:noWrap/>
          </w:tcPr>
          <w:p w14:paraId="57914451" w14:textId="77777777" w:rsidR="003C150A" w:rsidRPr="00783571" w:rsidRDefault="003C150A" w:rsidP="006705F3">
            <w:pPr>
              <w:pStyle w:val="TableText"/>
              <w:spacing w:before="40" w:after="20"/>
            </w:pPr>
          </w:p>
        </w:tc>
      </w:tr>
      <w:tr w:rsidR="003C150A" w:rsidRPr="00783571" w14:paraId="0DF1D570" w14:textId="77777777" w:rsidTr="00DF1AFE">
        <w:trPr>
          <w:cantSplit/>
        </w:trPr>
        <w:tc>
          <w:tcPr>
            <w:tcW w:w="2905" w:type="dxa"/>
            <w:tcBorders>
              <w:top w:val="single" w:sz="4" w:space="0" w:color="808080" w:themeColor="background1" w:themeShade="80"/>
              <w:bottom w:val="single" w:sz="6" w:space="0" w:color="auto"/>
            </w:tcBorders>
            <w:shd w:val="clear" w:color="auto" w:fill="auto"/>
            <w:noWrap/>
          </w:tcPr>
          <w:p w14:paraId="64715595" w14:textId="77777777" w:rsidR="003C150A" w:rsidRPr="00783571" w:rsidRDefault="003C150A" w:rsidP="006705F3">
            <w:pPr>
              <w:pStyle w:val="TableText"/>
              <w:spacing w:before="40" w:after="20"/>
              <w:ind w:left="270"/>
            </w:pPr>
            <w:r w:rsidRPr="00783571">
              <w:t>CD4 200–350</w:t>
            </w:r>
          </w:p>
        </w:tc>
        <w:tc>
          <w:tcPr>
            <w:tcW w:w="5914" w:type="dxa"/>
            <w:gridSpan w:val="5"/>
            <w:tcBorders>
              <w:top w:val="single" w:sz="4" w:space="0" w:color="808080" w:themeColor="background1" w:themeShade="80"/>
              <w:bottom w:val="single" w:sz="6" w:space="0" w:color="auto"/>
            </w:tcBorders>
            <w:shd w:val="clear" w:color="auto" w:fill="auto"/>
            <w:noWrap/>
          </w:tcPr>
          <w:p w14:paraId="6AED14A9" w14:textId="026489D3" w:rsidR="003C150A" w:rsidRPr="00783571" w:rsidRDefault="00AA77D8" w:rsidP="00DF1AFE">
            <w:pPr>
              <w:pStyle w:val="TableText"/>
              <w:spacing w:before="40" w:after="20"/>
            </w:pPr>
            <w:r w:rsidRPr="00783571">
              <w:t>------------------------------0.04</w:t>
            </w:r>
            <w:r w:rsidR="00E16A72" w:rsidRPr="00783571">
              <w:t>5</w:t>
            </w:r>
            <w:r w:rsidRPr="00783571">
              <w:t>--------------------------------</w:t>
            </w:r>
          </w:p>
        </w:tc>
        <w:tc>
          <w:tcPr>
            <w:tcW w:w="4297" w:type="dxa"/>
            <w:tcBorders>
              <w:top w:val="nil"/>
              <w:bottom w:val="single" w:sz="6" w:space="0" w:color="auto"/>
            </w:tcBorders>
            <w:shd w:val="clear" w:color="auto" w:fill="auto"/>
            <w:noWrap/>
          </w:tcPr>
          <w:p w14:paraId="243E87F0" w14:textId="77777777" w:rsidR="003C150A" w:rsidRPr="00783571" w:rsidRDefault="003C150A" w:rsidP="006705F3">
            <w:pPr>
              <w:pStyle w:val="TableText"/>
              <w:spacing w:before="40" w:after="20"/>
            </w:pPr>
          </w:p>
        </w:tc>
      </w:tr>
    </w:tbl>
    <w:p w14:paraId="2E5AE7F1" w14:textId="77777777" w:rsidR="00AA77D8" w:rsidRPr="00783571" w:rsidRDefault="00AA77D8" w:rsidP="00AA77D8">
      <w:pPr>
        <w:pStyle w:val="Tablecont"/>
      </w:pPr>
      <w:r w:rsidRPr="00783571">
        <w:t>(continued)</w:t>
      </w:r>
    </w:p>
    <w:p w14:paraId="7080E289" w14:textId="77777777" w:rsidR="00AA77D8" w:rsidRPr="00783571" w:rsidRDefault="00AA77D8" w:rsidP="00260D8A">
      <w:pPr>
        <w:pStyle w:val="TableTitlecont"/>
        <w:spacing w:before="120"/>
        <w:ind w:left="1530"/>
      </w:pPr>
      <w:r w:rsidRPr="00783571">
        <w:t>Table 5.1.</w:t>
      </w:r>
      <w:r w:rsidRPr="00783571">
        <w:tab/>
        <w:t>Rate of Aging into Population and Inputs that Determine All HIV Progression and Death Rates</w:t>
      </w:r>
      <w:r w:rsidRPr="00783571" w:rsidDel="00952170">
        <w:t xml:space="preserve"> </w:t>
      </w:r>
      <w:r w:rsidRPr="00783571">
        <w:t>(continued)</w:t>
      </w:r>
    </w:p>
    <w:tbl>
      <w:tblPr>
        <w:tblW w:w="4972" w:type="pct"/>
        <w:tblInd w:w="86"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3059"/>
        <w:gridCol w:w="1151"/>
        <w:gridCol w:w="1151"/>
        <w:gridCol w:w="1063"/>
        <w:gridCol w:w="1101"/>
        <w:gridCol w:w="1073"/>
        <w:gridCol w:w="74"/>
        <w:gridCol w:w="4215"/>
      </w:tblGrid>
      <w:tr w:rsidR="00AA77D8" w:rsidRPr="00783571" w14:paraId="6F9E30C7" w14:textId="77777777" w:rsidTr="002A08CE">
        <w:trPr>
          <w:cantSplit/>
          <w:tblHeader/>
        </w:trPr>
        <w:tc>
          <w:tcPr>
            <w:tcW w:w="3116" w:type="dxa"/>
            <w:tcBorders>
              <w:top w:val="single" w:sz="12" w:space="0" w:color="000000"/>
              <w:bottom w:val="single" w:sz="6" w:space="0" w:color="auto"/>
            </w:tcBorders>
            <w:shd w:val="clear" w:color="auto" w:fill="auto"/>
            <w:noWrap/>
            <w:vAlign w:val="bottom"/>
            <w:hideMark/>
          </w:tcPr>
          <w:p w14:paraId="1B7FA7BE" w14:textId="77777777" w:rsidR="00AA77D8" w:rsidRPr="00783571" w:rsidRDefault="00AA77D8" w:rsidP="006705F3">
            <w:pPr>
              <w:pStyle w:val="TableHeaders"/>
            </w:pPr>
            <w:r w:rsidRPr="00783571">
              <w:t>Parameter</w:t>
            </w:r>
          </w:p>
        </w:tc>
        <w:tc>
          <w:tcPr>
            <w:tcW w:w="1170" w:type="dxa"/>
            <w:tcBorders>
              <w:top w:val="single" w:sz="12" w:space="0" w:color="000000"/>
              <w:bottom w:val="single" w:sz="6" w:space="0" w:color="auto"/>
            </w:tcBorders>
            <w:shd w:val="clear" w:color="auto" w:fill="auto"/>
            <w:noWrap/>
            <w:vAlign w:val="bottom"/>
            <w:hideMark/>
          </w:tcPr>
          <w:p w14:paraId="0B52F52D" w14:textId="77777777" w:rsidR="00AA77D8" w:rsidRPr="00783571" w:rsidRDefault="00AA77D8" w:rsidP="006705F3">
            <w:pPr>
              <w:pStyle w:val="TableHeaders"/>
            </w:pPr>
            <w:r w:rsidRPr="00783571">
              <w:t>13–17 Years</w:t>
            </w:r>
          </w:p>
        </w:tc>
        <w:tc>
          <w:tcPr>
            <w:tcW w:w="1170" w:type="dxa"/>
            <w:tcBorders>
              <w:top w:val="single" w:sz="12" w:space="0" w:color="000000"/>
              <w:bottom w:val="single" w:sz="6" w:space="0" w:color="auto"/>
            </w:tcBorders>
            <w:shd w:val="clear" w:color="auto" w:fill="auto"/>
            <w:noWrap/>
            <w:vAlign w:val="bottom"/>
            <w:hideMark/>
          </w:tcPr>
          <w:p w14:paraId="089467F6" w14:textId="77777777" w:rsidR="00AA77D8" w:rsidRPr="00783571" w:rsidRDefault="00AA77D8" w:rsidP="006705F3">
            <w:pPr>
              <w:pStyle w:val="TableHeaders"/>
            </w:pPr>
            <w:r w:rsidRPr="00783571">
              <w:t>18–24 Years</w:t>
            </w:r>
          </w:p>
        </w:tc>
        <w:tc>
          <w:tcPr>
            <w:tcW w:w="1080" w:type="dxa"/>
            <w:tcBorders>
              <w:top w:val="single" w:sz="12" w:space="0" w:color="000000"/>
              <w:bottom w:val="single" w:sz="6" w:space="0" w:color="auto"/>
            </w:tcBorders>
            <w:shd w:val="clear" w:color="auto" w:fill="auto"/>
            <w:noWrap/>
            <w:vAlign w:val="bottom"/>
            <w:hideMark/>
          </w:tcPr>
          <w:p w14:paraId="40650D14" w14:textId="77777777" w:rsidR="00AA77D8" w:rsidRPr="00783571" w:rsidRDefault="00AA77D8" w:rsidP="006705F3">
            <w:pPr>
              <w:pStyle w:val="TableHeaders"/>
            </w:pPr>
            <w:r w:rsidRPr="00783571">
              <w:t>25–34 Years</w:t>
            </w:r>
          </w:p>
        </w:tc>
        <w:tc>
          <w:tcPr>
            <w:tcW w:w="1118" w:type="dxa"/>
            <w:tcBorders>
              <w:top w:val="single" w:sz="12" w:space="0" w:color="000000"/>
              <w:bottom w:val="single" w:sz="6" w:space="0" w:color="auto"/>
            </w:tcBorders>
            <w:shd w:val="clear" w:color="auto" w:fill="auto"/>
            <w:noWrap/>
            <w:vAlign w:val="bottom"/>
            <w:hideMark/>
          </w:tcPr>
          <w:p w14:paraId="7FB38164" w14:textId="77777777" w:rsidR="00AA77D8" w:rsidRPr="00783571" w:rsidRDefault="00AA77D8" w:rsidP="006705F3">
            <w:pPr>
              <w:pStyle w:val="TableHeaders"/>
            </w:pPr>
            <w:r w:rsidRPr="00783571">
              <w:t>35–44 Years</w:t>
            </w:r>
          </w:p>
        </w:tc>
        <w:tc>
          <w:tcPr>
            <w:tcW w:w="1165" w:type="dxa"/>
            <w:gridSpan w:val="2"/>
            <w:tcBorders>
              <w:top w:val="single" w:sz="12" w:space="0" w:color="000000"/>
              <w:bottom w:val="single" w:sz="6" w:space="0" w:color="auto"/>
            </w:tcBorders>
            <w:shd w:val="clear" w:color="auto" w:fill="auto"/>
            <w:noWrap/>
            <w:vAlign w:val="bottom"/>
            <w:hideMark/>
          </w:tcPr>
          <w:p w14:paraId="2477E452" w14:textId="77777777" w:rsidR="00AA77D8" w:rsidRPr="00783571" w:rsidRDefault="00AA77D8" w:rsidP="006705F3">
            <w:pPr>
              <w:pStyle w:val="TableHeaders"/>
            </w:pPr>
            <w:r w:rsidRPr="00783571">
              <w:t>45–64 Years</w:t>
            </w:r>
          </w:p>
        </w:tc>
        <w:tc>
          <w:tcPr>
            <w:tcW w:w="4297" w:type="dxa"/>
            <w:tcBorders>
              <w:top w:val="single" w:sz="12" w:space="0" w:color="000000"/>
              <w:bottom w:val="single" w:sz="6" w:space="0" w:color="auto"/>
            </w:tcBorders>
            <w:shd w:val="clear" w:color="auto" w:fill="auto"/>
            <w:noWrap/>
            <w:vAlign w:val="bottom"/>
            <w:hideMark/>
          </w:tcPr>
          <w:p w14:paraId="267EF588" w14:textId="77777777" w:rsidR="00AA77D8" w:rsidRPr="00783571" w:rsidRDefault="00AA77D8" w:rsidP="006705F3">
            <w:pPr>
              <w:pStyle w:val="TableHeaders"/>
            </w:pPr>
            <w:r w:rsidRPr="00783571">
              <w:t>Source</w:t>
            </w:r>
          </w:p>
        </w:tc>
      </w:tr>
      <w:tr w:rsidR="0001579D" w:rsidRPr="00783571" w14:paraId="1B556DE5" w14:textId="77777777" w:rsidTr="009D69CF">
        <w:trPr>
          <w:cantSplit/>
        </w:trPr>
        <w:tc>
          <w:tcPr>
            <w:tcW w:w="8819" w:type="dxa"/>
            <w:gridSpan w:val="7"/>
            <w:tcBorders>
              <w:top w:val="single" w:sz="6" w:space="0" w:color="auto"/>
              <w:bottom w:val="single" w:sz="4" w:space="0" w:color="808080" w:themeColor="background1" w:themeShade="80"/>
            </w:tcBorders>
            <w:shd w:val="clear" w:color="auto" w:fill="auto"/>
            <w:noWrap/>
          </w:tcPr>
          <w:p w14:paraId="1195D599" w14:textId="009F6F25" w:rsidR="0001579D" w:rsidRPr="00783571" w:rsidRDefault="0001579D" w:rsidP="006705F3">
            <w:pPr>
              <w:pStyle w:val="TableText"/>
              <w:spacing w:before="40" w:after="40"/>
            </w:pPr>
            <w:r w:rsidRPr="00783571">
              <w:t xml:space="preserve">Annual rate of improving one disease stage </w:t>
            </w:r>
            <w:r w:rsidR="0006025F" w:rsidRPr="00783571">
              <w:t xml:space="preserve">(to higher CD4 count) </w:t>
            </w:r>
            <w:r w:rsidRPr="00783571">
              <w:t>while VLS</w:t>
            </w:r>
            <w:r w:rsidR="00782A6B" w:rsidRPr="00783571">
              <w:t xml:space="preserve"> (</w:t>
            </w:r>
            <w:r w:rsidR="00782A6B" w:rsidRPr="00783571">
              <w:rPr>
                <w:i/>
                <w:iCs/>
              </w:rPr>
              <w:t>r</w:t>
            </w:r>
            <w:r w:rsidR="00E628BE" w:rsidRPr="00783571">
              <w:t> = </w:t>
            </w:r>
            <w:r w:rsidR="00782A6B" w:rsidRPr="00783571">
              <w:t>5)</w:t>
            </w:r>
          </w:p>
        </w:tc>
        <w:tc>
          <w:tcPr>
            <w:tcW w:w="4297" w:type="dxa"/>
            <w:tcBorders>
              <w:top w:val="single" w:sz="6" w:space="0" w:color="auto"/>
              <w:bottom w:val="single" w:sz="4" w:space="0" w:color="808080" w:themeColor="background1" w:themeShade="80"/>
            </w:tcBorders>
            <w:shd w:val="clear" w:color="auto" w:fill="auto"/>
            <w:noWrap/>
          </w:tcPr>
          <w:p w14:paraId="3C3012FE" w14:textId="77777777" w:rsidR="0001579D" w:rsidRPr="00783571" w:rsidRDefault="0001579D" w:rsidP="006705F3">
            <w:pPr>
              <w:pStyle w:val="TableText"/>
              <w:spacing w:before="40" w:after="40"/>
            </w:pPr>
          </w:p>
        </w:tc>
      </w:tr>
      <w:tr w:rsidR="003C150A" w:rsidRPr="00783571" w14:paraId="76C9F1BE" w14:textId="77777777" w:rsidTr="002A08CE">
        <w:trPr>
          <w:cantSplit/>
        </w:trPr>
        <w:tc>
          <w:tcPr>
            <w:tcW w:w="3116" w:type="dxa"/>
            <w:tcBorders>
              <w:top w:val="single" w:sz="4" w:space="0" w:color="808080" w:themeColor="background1" w:themeShade="80"/>
              <w:bottom w:val="single" w:sz="4" w:space="0" w:color="808080" w:themeColor="background1" w:themeShade="80"/>
            </w:tcBorders>
            <w:shd w:val="clear" w:color="auto" w:fill="auto"/>
            <w:noWrap/>
          </w:tcPr>
          <w:p w14:paraId="3765B8F1" w14:textId="097A4FFB" w:rsidR="003C150A" w:rsidRPr="00783571" w:rsidRDefault="003C150A" w:rsidP="006705F3">
            <w:pPr>
              <w:pStyle w:val="TableText"/>
              <w:spacing w:before="40" w:after="40"/>
              <w:ind w:left="270"/>
            </w:pPr>
            <w:r w:rsidRPr="00783571">
              <w:t xml:space="preserve">CD4 </w:t>
            </w:r>
            <w:r w:rsidR="00B62102" w:rsidRPr="00783571">
              <w:t>350–</w:t>
            </w:r>
            <w:r w:rsidRPr="00783571">
              <w:t>500</w:t>
            </w:r>
          </w:p>
        </w:tc>
        <w:tc>
          <w:tcPr>
            <w:tcW w:w="5703" w:type="dxa"/>
            <w:gridSpan w:val="6"/>
            <w:tcBorders>
              <w:top w:val="single" w:sz="4" w:space="0" w:color="808080" w:themeColor="background1" w:themeShade="80"/>
              <w:bottom w:val="single" w:sz="4" w:space="0" w:color="808080" w:themeColor="background1" w:themeShade="80"/>
            </w:tcBorders>
            <w:shd w:val="clear" w:color="auto" w:fill="auto"/>
            <w:noWrap/>
          </w:tcPr>
          <w:p w14:paraId="5474CBB8" w14:textId="001AD36F" w:rsidR="003C150A" w:rsidRPr="00783571" w:rsidRDefault="003C150A" w:rsidP="002A08CE">
            <w:pPr>
              <w:pStyle w:val="TableText"/>
              <w:spacing w:before="40" w:after="40"/>
            </w:pPr>
            <w:r w:rsidRPr="00783571">
              <w:t>-----------------------------0.</w:t>
            </w:r>
            <w:r w:rsidR="003154ED" w:rsidRPr="00783571">
              <w:t>4</w:t>
            </w:r>
            <w:r w:rsidR="00E16A72" w:rsidRPr="00783571">
              <w:t>3</w:t>
            </w:r>
            <w:r w:rsidRPr="00783571">
              <w:t>--</w:t>
            </w:r>
            <w:r w:rsidR="00C977F9" w:rsidRPr="00783571">
              <w:t>-----------------------------</w:t>
            </w:r>
          </w:p>
        </w:tc>
        <w:tc>
          <w:tcPr>
            <w:tcW w:w="4297" w:type="dxa"/>
            <w:vMerge w:val="restart"/>
            <w:tcBorders>
              <w:top w:val="single" w:sz="4" w:space="0" w:color="808080" w:themeColor="background1" w:themeShade="80"/>
              <w:bottom w:val="single" w:sz="4" w:space="0" w:color="808080" w:themeColor="background1" w:themeShade="80"/>
            </w:tcBorders>
            <w:shd w:val="clear" w:color="auto" w:fill="auto"/>
            <w:noWrap/>
          </w:tcPr>
          <w:p w14:paraId="1FB82757" w14:textId="58758A84" w:rsidR="003C150A" w:rsidRPr="00783571" w:rsidRDefault="003C150A" w:rsidP="006705F3">
            <w:pPr>
              <w:pStyle w:val="TableText"/>
              <w:spacing w:before="40" w:after="40"/>
            </w:pPr>
            <w:r w:rsidRPr="00783571">
              <w:t>Determined by calibration</w:t>
            </w:r>
            <w:r w:rsidR="0006025F" w:rsidRPr="00783571">
              <w:rPr>
                <w:vertAlign w:val="superscript"/>
              </w:rPr>
              <w:t>c</w:t>
            </w:r>
          </w:p>
        </w:tc>
      </w:tr>
      <w:tr w:rsidR="003C150A" w:rsidRPr="00783571" w14:paraId="21FE2B56" w14:textId="77777777" w:rsidTr="002A08CE">
        <w:trPr>
          <w:cantSplit/>
        </w:trPr>
        <w:tc>
          <w:tcPr>
            <w:tcW w:w="3116" w:type="dxa"/>
            <w:tcBorders>
              <w:top w:val="single" w:sz="4" w:space="0" w:color="808080" w:themeColor="background1" w:themeShade="80"/>
              <w:bottom w:val="single" w:sz="4" w:space="0" w:color="808080" w:themeColor="background1" w:themeShade="80"/>
            </w:tcBorders>
            <w:shd w:val="clear" w:color="auto" w:fill="auto"/>
            <w:noWrap/>
          </w:tcPr>
          <w:p w14:paraId="3C4C0E9E" w14:textId="24126BC6" w:rsidR="003C150A" w:rsidRPr="00783571" w:rsidRDefault="003C150A" w:rsidP="006705F3">
            <w:pPr>
              <w:pStyle w:val="TableText"/>
              <w:spacing w:before="40" w:after="40"/>
              <w:ind w:left="270"/>
            </w:pPr>
            <w:r w:rsidRPr="00783571">
              <w:t xml:space="preserve">CD4 </w:t>
            </w:r>
            <w:r w:rsidR="00B62102" w:rsidRPr="00783571">
              <w:t>200–</w:t>
            </w:r>
            <w:r w:rsidRPr="00783571">
              <w:t>350</w:t>
            </w:r>
          </w:p>
        </w:tc>
        <w:tc>
          <w:tcPr>
            <w:tcW w:w="5703" w:type="dxa"/>
            <w:gridSpan w:val="6"/>
            <w:tcBorders>
              <w:top w:val="single" w:sz="4" w:space="0" w:color="808080" w:themeColor="background1" w:themeShade="80"/>
              <w:bottom w:val="single" w:sz="4" w:space="0" w:color="808080" w:themeColor="background1" w:themeShade="80"/>
            </w:tcBorders>
            <w:shd w:val="clear" w:color="auto" w:fill="auto"/>
            <w:noWrap/>
          </w:tcPr>
          <w:p w14:paraId="4CD9A255" w14:textId="11217774" w:rsidR="003C150A" w:rsidRPr="00783571" w:rsidRDefault="003C150A" w:rsidP="002A08CE">
            <w:pPr>
              <w:pStyle w:val="TableText"/>
              <w:spacing w:before="40" w:after="40"/>
            </w:pPr>
            <w:r w:rsidRPr="00783571">
              <w:t>-----------------------------0.</w:t>
            </w:r>
            <w:r w:rsidR="003154ED" w:rsidRPr="00783571">
              <w:t>4</w:t>
            </w:r>
            <w:r w:rsidR="00E16A72" w:rsidRPr="00783571">
              <w:t>3</w:t>
            </w:r>
            <w:r w:rsidRPr="00783571">
              <w:t>--</w:t>
            </w:r>
            <w:r w:rsidR="00C977F9" w:rsidRPr="00783571">
              <w:t>-----------------------------</w:t>
            </w:r>
          </w:p>
        </w:tc>
        <w:tc>
          <w:tcPr>
            <w:tcW w:w="4297" w:type="dxa"/>
            <w:vMerge/>
            <w:tcBorders>
              <w:top w:val="single" w:sz="4" w:space="0" w:color="808080" w:themeColor="background1" w:themeShade="80"/>
              <w:bottom w:val="single" w:sz="4" w:space="0" w:color="808080" w:themeColor="background1" w:themeShade="80"/>
            </w:tcBorders>
            <w:shd w:val="clear" w:color="auto" w:fill="auto"/>
            <w:noWrap/>
          </w:tcPr>
          <w:p w14:paraId="54357609" w14:textId="77777777" w:rsidR="003C150A" w:rsidRPr="00783571" w:rsidRDefault="003C150A" w:rsidP="006705F3">
            <w:pPr>
              <w:pStyle w:val="TableText"/>
              <w:spacing w:before="40" w:after="40"/>
            </w:pPr>
          </w:p>
        </w:tc>
      </w:tr>
      <w:tr w:rsidR="003C150A" w:rsidRPr="00783571" w14:paraId="7B08FDB4" w14:textId="77777777" w:rsidTr="002A08CE">
        <w:trPr>
          <w:cantSplit/>
        </w:trPr>
        <w:tc>
          <w:tcPr>
            <w:tcW w:w="3116" w:type="dxa"/>
            <w:tcBorders>
              <w:top w:val="single" w:sz="4" w:space="0" w:color="808080" w:themeColor="background1" w:themeShade="80"/>
              <w:bottom w:val="single" w:sz="4" w:space="0" w:color="808080" w:themeColor="background1" w:themeShade="80"/>
            </w:tcBorders>
            <w:shd w:val="clear" w:color="auto" w:fill="auto"/>
            <w:noWrap/>
          </w:tcPr>
          <w:p w14:paraId="2ED14395" w14:textId="06AACF74" w:rsidR="003C150A" w:rsidRPr="00783571" w:rsidRDefault="003C150A" w:rsidP="006705F3">
            <w:pPr>
              <w:pStyle w:val="TableText"/>
              <w:spacing w:before="40" w:after="40"/>
              <w:ind w:left="270"/>
            </w:pPr>
            <w:r w:rsidRPr="00783571">
              <w:t xml:space="preserve">CD4 </w:t>
            </w:r>
            <w:r w:rsidR="00B62102" w:rsidRPr="00783571">
              <w:t xml:space="preserve">&lt; </w:t>
            </w:r>
            <w:r w:rsidRPr="00783571">
              <w:t>200</w:t>
            </w:r>
          </w:p>
        </w:tc>
        <w:tc>
          <w:tcPr>
            <w:tcW w:w="5703" w:type="dxa"/>
            <w:gridSpan w:val="6"/>
            <w:tcBorders>
              <w:top w:val="single" w:sz="4" w:space="0" w:color="808080" w:themeColor="background1" w:themeShade="80"/>
              <w:bottom w:val="single" w:sz="4" w:space="0" w:color="808080" w:themeColor="background1" w:themeShade="80"/>
            </w:tcBorders>
            <w:shd w:val="clear" w:color="auto" w:fill="auto"/>
            <w:noWrap/>
          </w:tcPr>
          <w:p w14:paraId="2D1A6D97" w14:textId="3737456A" w:rsidR="003C150A" w:rsidRPr="00783571" w:rsidRDefault="003C150A" w:rsidP="002A08CE">
            <w:pPr>
              <w:pStyle w:val="TableText"/>
              <w:spacing w:before="40" w:after="40"/>
            </w:pPr>
            <w:r w:rsidRPr="00783571">
              <w:t>-----------------------------0.</w:t>
            </w:r>
            <w:r w:rsidR="003154ED" w:rsidRPr="00783571">
              <w:t>4</w:t>
            </w:r>
            <w:r w:rsidR="00E16A72" w:rsidRPr="00783571">
              <w:t>0</w:t>
            </w:r>
            <w:r w:rsidRPr="00783571">
              <w:t>----------</w:t>
            </w:r>
            <w:r w:rsidR="00C977F9" w:rsidRPr="00783571">
              <w:t>---------------------</w:t>
            </w:r>
          </w:p>
        </w:tc>
        <w:tc>
          <w:tcPr>
            <w:tcW w:w="4297" w:type="dxa"/>
            <w:vMerge/>
            <w:tcBorders>
              <w:top w:val="single" w:sz="4" w:space="0" w:color="808080" w:themeColor="background1" w:themeShade="80"/>
              <w:bottom w:val="single" w:sz="4" w:space="0" w:color="808080" w:themeColor="background1" w:themeShade="80"/>
            </w:tcBorders>
            <w:shd w:val="clear" w:color="auto" w:fill="auto"/>
            <w:noWrap/>
          </w:tcPr>
          <w:p w14:paraId="69EB181D" w14:textId="77777777" w:rsidR="003C150A" w:rsidRPr="00783571" w:rsidRDefault="003C150A" w:rsidP="006705F3">
            <w:pPr>
              <w:pStyle w:val="TableText"/>
              <w:spacing w:before="40" w:after="40"/>
            </w:pPr>
          </w:p>
        </w:tc>
      </w:tr>
      <w:tr w:rsidR="0001579D" w:rsidRPr="00783571" w14:paraId="65742A0A" w14:textId="77777777" w:rsidTr="00AA77D8">
        <w:trPr>
          <w:cantSplit/>
        </w:trPr>
        <w:tc>
          <w:tcPr>
            <w:tcW w:w="13116" w:type="dxa"/>
            <w:gridSpan w:val="8"/>
            <w:tcBorders>
              <w:top w:val="single" w:sz="4" w:space="0" w:color="808080" w:themeColor="background1" w:themeShade="80"/>
              <w:bottom w:val="single" w:sz="4" w:space="0" w:color="808080" w:themeColor="background1" w:themeShade="80"/>
            </w:tcBorders>
            <w:shd w:val="clear" w:color="auto" w:fill="auto"/>
            <w:noWrap/>
            <w:hideMark/>
          </w:tcPr>
          <w:p w14:paraId="22F9D52F" w14:textId="49CE04C6" w:rsidR="0001579D" w:rsidRPr="00783571" w:rsidRDefault="0001579D" w:rsidP="006705F3">
            <w:pPr>
              <w:pStyle w:val="TableText"/>
              <w:spacing w:before="40" w:after="40"/>
            </w:pPr>
            <w:r w:rsidRPr="00783571">
              <w:t xml:space="preserve">Annual probability of death if HIV infected and </w:t>
            </w:r>
            <w:r w:rsidR="00E92F9D" w:rsidRPr="00783571">
              <w:t>VLS</w:t>
            </w:r>
            <w:r w:rsidR="000443D0" w:rsidRPr="00783571">
              <w:t xml:space="preserve"> </w:t>
            </w:r>
            <w:r w:rsidR="00D5253D" w:rsidRPr="00783571">
              <w:t>in second time period</w:t>
            </w:r>
            <w:r w:rsidR="00E209C8" w:rsidRPr="00783571">
              <w:t>, by disease stage</w:t>
            </w:r>
            <w:r w:rsidRPr="00783571">
              <w:t xml:space="preserve"> (</w:t>
            </w:r>
            <w:r w:rsidR="00782A6B" w:rsidRPr="00783571">
              <w:rPr>
                <w:i/>
                <w:iCs/>
              </w:rPr>
              <w:t>r</w:t>
            </w:r>
            <w:r w:rsidR="00E92F9D" w:rsidRPr="00783571">
              <w:t> =</w:t>
            </w:r>
            <w:r w:rsidR="00782A6B" w:rsidRPr="00783571">
              <w:t xml:space="preserve"> 5; </w:t>
            </w:r>
            <w:r w:rsidRPr="00783571">
              <w:t>range across race/ethnicities)</w:t>
            </w:r>
          </w:p>
        </w:tc>
      </w:tr>
      <w:tr w:rsidR="001E18FF" w:rsidRPr="00783571" w14:paraId="6002E89F" w14:textId="77777777" w:rsidTr="002A08CE">
        <w:trPr>
          <w:cantSplit/>
        </w:trPr>
        <w:tc>
          <w:tcPr>
            <w:tcW w:w="3116" w:type="dxa"/>
            <w:tcBorders>
              <w:top w:val="single" w:sz="4" w:space="0" w:color="808080" w:themeColor="background1" w:themeShade="80"/>
              <w:bottom w:val="single" w:sz="4" w:space="0" w:color="808080" w:themeColor="background1" w:themeShade="80"/>
            </w:tcBorders>
            <w:shd w:val="clear" w:color="auto" w:fill="auto"/>
            <w:noWrap/>
            <w:hideMark/>
          </w:tcPr>
          <w:p w14:paraId="3733FE52" w14:textId="035A44EB" w:rsidR="001E18FF" w:rsidRPr="00783571" w:rsidRDefault="001E18FF" w:rsidP="006705F3">
            <w:pPr>
              <w:pStyle w:val="TableText"/>
              <w:spacing w:before="40" w:after="40"/>
              <w:ind w:left="270"/>
            </w:pPr>
            <w:r w:rsidRPr="00783571">
              <w:t>CD4 &gt; 200</w:t>
            </w:r>
          </w:p>
        </w:tc>
        <w:tc>
          <w:tcPr>
            <w:tcW w:w="1170" w:type="dxa"/>
            <w:tcBorders>
              <w:top w:val="single" w:sz="4" w:space="0" w:color="808080" w:themeColor="background1" w:themeShade="80"/>
              <w:bottom w:val="single" w:sz="4" w:space="0" w:color="808080" w:themeColor="background1" w:themeShade="80"/>
            </w:tcBorders>
            <w:shd w:val="clear" w:color="auto" w:fill="auto"/>
            <w:noWrap/>
          </w:tcPr>
          <w:p w14:paraId="60B06C53" w14:textId="44D8B73A" w:rsidR="001E18FF" w:rsidRPr="00783571" w:rsidRDefault="001E18FF" w:rsidP="006705F3">
            <w:pPr>
              <w:pStyle w:val="TableText"/>
              <w:spacing w:before="40" w:after="40"/>
              <w:jc w:val="center"/>
            </w:pPr>
            <w:r w:rsidRPr="00783571">
              <w:t>0.0065</w:t>
            </w:r>
          </w:p>
        </w:tc>
        <w:tc>
          <w:tcPr>
            <w:tcW w:w="1170" w:type="dxa"/>
            <w:tcBorders>
              <w:top w:val="single" w:sz="4" w:space="0" w:color="808080" w:themeColor="background1" w:themeShade="80"/>
              <w:bottom w:val="single" w:sz="4" w:space="0" w:color="808080" w:themeColor="background1" w:themeShade="80"/>
            </w:tcBorders>
            <w:shd w:val="clear" w:color="auto" w:fill="auto"/>
            <w:noWrap/>
          </w:tcPr>
          <w:p w14:paraId="6B389281" w14:textId="2595508E" w:rsidR="001E18FF" w:rsidRPr="00783571" w:rsidRDefault="001E18FF" w:rsidP="006705F3">
            <w:pPr>
              <w:pStyle w:val="TableText"/>
              <w:spacing w:before="40" w:after="40"/>
              <w:jc w:val="center"/>
            </w:pPr>
            <w:r w:rsidRPr="00783571">
              <w:t xml:space="preserve">0.0065 </w:t>
            </w:r>
          </w:p>
        </w:tc>
        <w:tc>
          <w:tcPr>
            <w:tcW w:w="1080" w:type="dxa"/>
            <w:tcBorders>
              <w:top w:val="single" w:sz="4" w:space="0" w:color="808080" w:themeColor="background1" w:themeShade="80"/>
              <w:bottom w:val="single" w:sz="4" w:space="0" w:color="808080" w:themeColor="background1" w:themeShade="80"/>
            </w:tcBorders>
            <w:shd w:val="clear" w:color="auto" w:fill="auto"/>
            <w:noWrap/>
          </w:tcPr>
          <w:p w14:paraId="74593D58" w14:textId="6C401566" w:rsidR="001E18FF" w:rsidRPr="00783571" w:rsidRDefault="001E18FF" w:rsidP="006705F3">
            <w:pPr>
              <w:pStyle w:val="TableText"/>
              <w:spacing w:before="40" w:after="40"/>
              <w:jc w:val="center"/>
            </w:pPr>
            <w:r w:rsidRPr="00783571">
              <w:t xml:space="preserve">0.0065 </w:t>
            </w:r>
          </w:p>
        </w:tc>
        <w:tc>
          <w:tcPr>
            <w:tcW w:w="1118" w:type="dxa"/>
            <w:tcBorders>
              <w:top w:val="single" w:sz="4" w:space="0" w:color="808080" w:themeColor="background1" w:themeShade="80"/>
              <w:bottom w:val="single" w:sz="4" w:space="0" w:color="808080" w:themeColor="background1" w:themeShade="80"/>
            </w:tcBorders>
            <w:shd w:val="clear" w:color="auto" w:fill="auto"/>
            <w:noWrap/>
          </w:tcPr>
          <w:p w14:paraId="1E935B1F" w14:textId="7181E4A2" w:rsidR="001E18FF" w:rsidRPr="00783571" w:rsidRDefault="001E18FF" w:rsidP="006705F3">
            <w:pPr>
              <w:pStyle w:val="TableText"/>
              <w:spacing w:before="40" w:after="40"/>
              <w:jc w:val="center"/>
            </w:pPr>
            <w:r w:rsidRPr="00783571">
              <w:t>0.0122</w:t>
            </w:r>
          </w:p>
        </w:tc>
        <w:tc>
          <w:tcPr>
            <w:tcW w:w="1165" w:type="dxa"/>
            <w:gridSpan w:val="2"/>
            <w:tcBorders>
              <w:top w:val="single" w:sz="4" w:space="0" w:color="808080" w:themeColor="background1" w:themeShade="80"/>
              <w:bottom w:val="single" w:sz="4" w:space="0" w:color="808080" w:themeColor="background1" w:themeShade="80"/>
            </w:tcBorders>
            <w:shd w:val="clear" w:color="auto" w:fill="auto"/>
            <w:noWrap/>
          </w:tcPr>
          <w:p w14:paraId="161B7B5F" w14:textId="1F2D215A" w:rsidR="001E18FF" w:rsidRPr="00783571" w:rsidRDefault="001E18FF" w:rsidP="006705F3">
            <w:pPr>
              <w:pStyle w:val="TableText"/>
              <w:spacing w:before="40" w:after="40"/>
              <w:jc w:val="center"/>
            </w:pPr>
            <w:r w:rsidRPr="00783571">
              <w:t>0.0203</w:t>
            </w:r>
          </w:p>
        </w:tc>
        <w:tc>
          <w:tcPr>
            <w:tcW w:w="4297" w:type="dxa"/>
            <w:vMerge w:val="restart"/>
            <w:shd w:val="clear" w:color="auto" w:fill="auto"/>
            <w:noWrap/>
            <w:hideMark/>
          </w:tcPr>
          <w:p w14:paraId="3758AD73" w14:textId="590AAA6D" w:rsidR="001E18FF" w:rsidRPr="00783571" w:rsidRDefault="001E18FF" w:rsidP="006705F3">
            <w:pPr>
              <w:pStyle w:val="TableText"/>
              <w:spacing w:before="40" w:after="40"/>
            </w:pPr>
            <w:r w:rsidRPr="00783571">
              <w:t>NA-ACCORD (2014)</w:t>
            </w:r>
            <w:r w:rsidRPr="00783571">
              <w:rPr>
                <w:vertAlign w:val="superscript"/>
              </w:rPr>
              <w:t>d</w:t>
            </w:r>
          </w:p>
        </w:tc>
      </w:tr>
      <w:tr w:rsidR="001E18FF" w:rsidRPr="00783571" w14:paraId="20F398C2" w14:textId="77777777" w:rsidTr="002A08CE">
        <w:trPr>
          <w:cantSplit/>
        </w:trPr>
        <w:tc>
          <w:tcPr>
            <w:tcW w:w="3116" w:type="dxa"/>
            <w:tcBorders>
              <w:top w:val="single" w:sz="4" w:space="0" w:color="808080" w:themeColor="background1" w:themeShade="80"/>
              <w:bottom w:val="single" w:sz="4" w:space="0" w:color="808080" w:themeColor="background1" w:themeShade="80"/>
            </w:tcBorders>
            <w:shd w:val="clear" w:color="auto" w:fill="auto"/>
            <w:noWrap/>
            <w:hideMark/>
          </w:tcPr>
          <w:p w14:paraId="165F77E9" w14:textId="77777777" w:rsidR="001E18FF" w:rsidRPr="00783571" w:rsidRDefault="001E18FF" w:rsidP="006705F3">
            <w:pPr>
              <w:pStyle w:val="TableText"/>
              <w:spacing w:before="40" w:after="40"/>
              <w:ind w:left="270"/>
            </w:pPr>
            <w:r w:rsidRPr="00783571">
              <w:t>CD4 &lt; 200</w:t>
            </w:r>
          </w:p>
        </w:tc>
        <w:tc>
          <w:tcPr>
            <w:tcW w:w="1170" w:type="dxa"/>
            <w:tcBorders>
              <w:top w:val="single" w:sz="4" w:space="0" w:color="808080" w:themeColor="background1" w:themeShade="80"/>
              <w:bottom w:val="single" w:sz="4" w:space="0" w:color="808080" w:themeColor="background1" w:themeShade="80"/>
            </w:tcBorders>
            <w:shd w:val="clear" w:color="auto" w:fill="auto"/>
            <w:noWrap/>
          </w:tcPr>
          <w:p w14:paraId="6787EEB3" w14:textId="13AF147B" w:rsidR="001E18FF" w:rsidRPr="00783571" w:rsidRDefault="001E18FF" w:rsidP="006705F3">
            <w:pPr>
              <w:pStyle w:val="TableText"/>
              <w:spacing w:before="40" w:after="40"/>
              <w:jc w:val="center"/>
            </w:pPr>
            <w:r w:rsidRPr="00783571">
              <w:t>0.0212</w:t>
            </w:r>
          </w:p>
        </w:tc>
        <w:tc>
          <w:tcPr>
            <w:tcW w:w="1170" w:type="dxa"/>
            <w:tcBorders>
              <w:top w:val="single" w:sz="4" w:space="0" w:color="808080" w:themeColor="background1" w:themeShade="80"/>
              <w:bottom w:val="single" w:sz="4" w:space="0" w:color="808080" w:themeColor="background1" w:themeShade="80"/>
            </w:tcBorders>
            <w:shd w:val="clear" w:color="auto" w:fill="auto"/>
            <w:noWrap/>
          </w:tcPr>
          <w:p w14:paraId="64DD26B0" w14:textId="22DD0254" w:rsidR="001E18FF" w:rsidRPr="00783571" w:rsidRDefault="001E18FF" w:rsidP="006705F3">
            <w:pPr>
              <w:pStyle w:val="TableText"/>
              <w:spacing w:before="40" w:after="40"/>
              <w:jc w:val="center"/>
            </w:pPr>
            <w:r w:rsidRPr="00783571">
              <w:t>0.0212</w:t>
            </w:r>
          </w:p>
        </w:tc>
        <w:tc>
          <w:tcPr>
            <w:tcW w:w="1080" w:type="dxa"/>
            <w:tcBorders>
              <w:top w:val="single" w:sz="4" w:space="0" w:color="808080" w:themeColor="background1" w:themeShade="80"/>
              <w:bottom w:val="single" w:sz="4" w:space="0" w:color="808080" w:themeColor="background1" w:themeShade="80"/>
            </w:tcBorders>
            <w:shd w:val="clear" w:color="auto" w:fill="auto"/>
            <w:noWrap/>
          </w:tcPr>
          <w:p w14:paraId="132209BA" w14:textId="270C6DCC" w:rsidR="001E18FF" w:rsidRPr="00783571" w:rsidRDefault="001E18FF" w:rsidP="006705F3">
            <w:pPr>
              <w:pStyle w:val="TableText"/>
              <w:spacing w:before="40" w:after="40"/>
              <w:jc w:val="center"/>
            </w:pPr>
            <w:r w:rsidRPr="00783571">
              <w:t>0.0212</w:t>
            </w:r>
          </w:p>
        </w:tc>
        <w:tc>
          <w:tcPr>
            <w:tcW w:w="1118" w:type="dxa"/>
            <w:tcBorders>
              <w:top w:val="single" w:sz="4" w:space="0" w:color="808080" w:themeColor="background1" w:themeShade="80"/>
              <w:bottom w:val="single" w:sz="4" w:space="0" w:color="808080" w:themeColor="background1" w:themeShade="80"/>
            </w:tcBorders>
            <w:shd w:val="clear" w:color="auto" w:fill="auto"/>
            <w:noWrap/>
          </w:tcPr>
          <w:p w14:paraId="1BDBEB9B" w14:textId="7F99F2DF" w:rsidR="001E18FF" w:rsidRPr="00783571" w:rsidRDefault="001E18FF" w:rsidP="006705F3">
            <w:pPr>
              <w:pStyle w:val="TableText"/>
              <w:spacing w:before="40" w:after="40"/>
              <w:jc w:val="center"/>
            </w:pPr>
            <w:r w:rsidRPr="00783571">
              <w:t>0.0232</w:t>
            </w:r>
          </w:p>
        </w:tc>
        <w:tc>
          <w:tcPr>
            <w:tcW w:w="1165" w:type="dxa"/>
            <w:gridSpan w:val="2"/>
            <w:tcBorders>
              <w:top w:val="single" w:sz="4" w:space="0" w:color="808080" w:themeColor="background1" w:themeShade="80"/>
              <w:bottom w:val="single" w:sz="4" w:space="0" w:color="808080" w:themeColor="background1" w:themeShade="80"/>
            </w:tcBorders>
            <w:shd w:val="clear" w:color="auto" w:fill="auto"/>
            <w:noWrap/>
          </w:tcPr>
          <w:p w14:paraId="5EEA5447" w14:textId="50075823" w:rsidR="001E18FF" w:rsidRPr="00783571" w:rsidRDefault="001E18FF" w:rsidP="006705F3">
            <w:pPr>
              <w:pStyle w:val="TableText"/>
              <w:spacing w:before="40" w:after="40"/>
              <w:jc w:val="center"/>
            </w:pPr>
            <w:r w:rsidRPr="00783571">
              <w:t>0.0330</w:t>
            </w:r>
          </w:p>
        </w:tc>
        <w:tc>
          <w:tcPr>
            <w:tcW w:w="4297" w:type="dxa"/>
            <w:vMerge/>
            <w:tcBorders>
              <w:bottom w:val="single" w:sz="4" w:space="0" w:color="808080" w:themeColor="background1" w:themeShade="80"/>
            </w:tcBorders>
            <w:shd w:val="clear" w:color="auto" w:fill="auto"/>
            <w:noWrap/>
            <w:hideMark/>
          </w:tcPr>
          <w:p w14:paraId="5EAFFFC2" w14:textId="77777777" w:rsidR="001E18FF" w:rsidRPr="00783571" w:rsidRDefault="001E18FF" w:rsidP="006705F3">
            <w:pPr>
              <w:pStyle w:val="TableText"/>
              <w:spacing w:before="40" w:after="40"/>
            </w:pPr>
          </w:p>
        </w:tc>
      </w:tr>
      <w:tr w:rsidR="00A57EF2" w:rsidRPr="00783571" w14:paraId="4DCD3A13" w14:textId="77777777" w:rsidTr="00AA77D8">
        <w:trPr>
          <w:cantSplit/>
        </w:trPr>
        <w:tc>
          <w:tcPr>
            <w:tcW w:w="13116" w:type="dxa"/>
            <w:gridSpan w:val="8"/>
            <w:tcBorders>
              <w:top w:val="single" w:sz="4" w:space="0" w:color="808080" w:themeColor="background1" w:themeShade="80"/>
              <w:bottom w:val="single" w:sz="4" w:space="0" w:color="808080" w:themeColor="background1" w:themeShade="80"/>
            </w:tcBorders>
            <w:shd w:val="clear" w:color="auto" w:fill="auto"/>
            <w:noWrap/>
          </w:tcPr>
          <w:p w14:paraId="3EBC0309" w14:textId="5C4FD674" w:rsidR="00A57EF2" w:rsidRPr="00783571" w:rsidRDefault="00A57EF2" w:rsidP="006705F3">
            <w:pPr>
              <w:pStyle w:val="TableText"/>
              <w:keepNext/>
              <w:spacing w:before="40" w:after="40"/>
            </w:pPr>
            <w:r w:rsidRPr="00783571">
              <w:t xml:space="preserve">Annual probability of death if HIV infected and </w:t>
            </w:r>
            <w:r w:rsidR="002F2B6F" w:rsidRPr="00783571">
              <w:t>VLS</w:t>
            </w:r>
            <w:r w:rsidRPr="00783571">
              <w:t xml:space="preserve"> in </w:t>
            </w:r>
            <w:r w:rsidR="00D5253D" w:rsidRPr="00783571">
              <w:t>third time period</w:t>
            </w:r>
            <w:r w:rsidR="00E209C8" w:rsidRPr="00783571">
              <w:t>, by disease stage</w:t>
            </w:r>
            <w:r w:rsidR="008931D0" w:rsidRPr="00783571">
              <w:t xml:space="preserve"> (</w:t>
            </w:r>
            <w:r w:rsidR="00E209C8" w:rsidRPr="00783571">
              <w:rPr>
                <w:i/>
                <w:iCs/>
              </w:rPr>
              <w:t>r</w:t>
            </w:r>
            <w:r w:rsidR="00E628BE" w:rsidRPr="00783571">
              <w:t> =</w:t>
            </w:r>
            <w:r w:rsidR="00E209C8" w:rsidRPr="00783571">
              <w:t xml:space="preserve"> 5; </w:t>
            </w:r>
            <w:r w:rsidR="008931D0" w:rsidRPr="00783571">
              <w:t>range across race/ethnicities)</w:t>
            </w:r>
          </w:p>
        </w:tc>
      </w:tr>
      <w:tr w:rsidR="001E18FF" w:rsidRPr="00783571" w14:paraId="6A1A258D" w14:textId="77777777" w:rsidTr="002A08CE">
        <w:trPr>
          <w:cantSplit/>
        </w:trPr>
        <w:tc>
          <w:tcPr>
            <w:tcW w:w="3116" w:type="dxa"/>
            <w:tcBorders>
              <w:top w:val="single" w:sz="4" w:space="0" w:color="808080" w:themeColor="background1" w:themeShade="80"/>
              <w:bottom w:val="single" w:sz="4" w:space="0" w:color="808080" w:themeColor="background1" w:themeShade="80"/>
            </w:tcBorders>
            <w:shd w:val="clear" w:color="auto" w:fill="auto"/>
            <w:noWrap/>
          </w:tcPr>
          <w:p w14:paraId="15D8F65B" w14:textId="6081E44B" w:rsidR="001E18FF" w:rsidRPr="00783571" w:rsidRDefault="001E18FF" w:rsidP="006705F3">
            <w:pPr>
              <w:pStyle w:val="TableText"/>
              <w:spacing w:before="40" w:after="40"/>
              <w:ind w:left="270"/>
            </w:pPr>
            <w:r w:rsidRPr="00783571">
              <w:t>CD4 &gt; 200</w:t>
            </w:r>
          </w:p>
        </w:tc>
        <w:tc>
          <w:tcPr>
            <w:tcW w:w="1170" w:type="dxa"/>
            <w:tcBorders>
              <w:top w:val="single" w:sz="4" w:space="0" w:color="808080" w:themeColor="background1" w:themeShade="80"/>
              <w:bottom w:val="single" w:sz="4" w:space="0" w:color="808080" w:themeColor="background1" w:themeShade="80"/>
            </w:tcBorders>
            <w:shd w:val="clear" w:color="auto" w:fill="auto"/>
            <w:noWrap/>
          </w:tcPr>
          <w:p w14:paraId="3F6FB0CA" w14:textId="13740FCA" w:rsidR="001E18FF" w:rsidRPr="00783571" w:rsidRDefault="003D04E4" w:rsidP="006705F3">
            <w:pPr>
              <w:pStyle w:val="TableText"/>
              <w:spacing w:before="40" w:after="40"/>
              <w:jc w:val="center"/>
            </w:pPr>
            <w:r w:rsidRPr="00783571">
              <w:t>0</w:t>
            </w:r>
            <w:r w:rsidR="001E18FF" w:rsidRPr="00783571">
              <w:t>.0060</w:t>
            </w:r>
          </w:p>
        </w:tc>
        <w:tc>
          <w:tcPr>
            <w:tcW w:w="1170" w:type="dxa"/>
            <w:tcBorders>
              <w:top w:val="single" w:sz="4" w:space="0" w:color="808080" w:themeColor="background1" w:themeShade="80"/>
              <w:bottom w:val="single" w:sz="4" w:space="0" w:color="808080" w:themeColor="background1" w:themeShade="80"/>
            </w:tcBorders>
            <w:shd w:val="clear" w:color="auto" w:fill="auto"/>
            <w:noWrap/>
          </w:tcPr>
          <w:p w14:paraId="3ADE03E9" w14:textId="5A45F93F" w:rsidR="001E18FF" w:rsidRPr="00783571" w:rsidRDefault="003D04E4" w:rsidP="006705F3">
            <w:pPr>
              <w:pStyle w:val="TableText"/>
              <w:spacing w:before="40" w:after="40"/>
              <w:jc w:val="center"/>
            </w:pPr>
            <w:r w:rsidRPr="00783571">
              <w:t>0</w:t>
            </w:r>
            <w:r w:rsidR="001E18FF" w:rsidRPr="00783571">
              <w:t>.0060</w:t>
            </w:r>
          </w:p>
        </w:tc>
        <w:tc>
          <w:tcPr>
            <w:tcW w:w="1080" w:type="dxa"/>
            <w:tcBorders>
              <w:top w:val="single" w:sz="4" w:space="0" w:color="808080" w:themeColor="background1" w:themeShade="80"/>
              <w:bottom w:val="single" w:sz="4" w:space="0" w:color="808080" w:themeColor="background1" w:themeShade="80"/>
            </w:tcBorders>
            <w:shd w:val="clear" w:color="auto" w:fill="auto"/>
            <w:noWrap/>
          </w:tcPr>
          <w:p w14:paraId="7248C2E8" w14:textId="4BEEBE1E" w:rsidR="001E18FF" w:rsidRPr="00783571" w:rsidRDefault="003D04E4" w:rsidP="006705F3">
            <w:pPr>
              <w:pStyle w:val="TableText"/>
              <w:spacing w:before="40" w:after="40"/>
              <w:jc w:val="center"/>
            </w:pPr>
            <w:r w:rsidRPr="00783571">
              <w:t>0</w:t>
            </w:r>
            <w:r w:rsidR="001E18FF" w:rsidRPr="00783571">
              <w:t>.0060</w:t>
            </w:r>
          </w:p>
        </w:tc>
        <w:tc>
          <w:tcPr>
            <w:tcW w:w="1118" w:type="dxa"/>
            <w:tcBorders>
              <w:top w:val="single" w:sz="4" w:space="0" w:color="808080" w:themeColor="background1" w:themeShade="80"/>
              <w:bottom w:val="single" w:sz="4" w:space="0" w:color="808080" w:themeColor="background1" w:themeShade="80"/>
            </w:tcBorders>
            <w:shd w:val="clear" w:color="auto" w:fill="auto"/>
            <w:noWrap/>
          </w:tcPr>
          <w:p w14:paraId="6C6A2023" w14:textId="7562E007" w:rsidR="001E18FF" w:rsidRPr="00783571" w:rsidRDefault="003D04E4" w:rsidP="006705F3">
            <w:pPr>
              <w:pStyle w:val="TableText"/>
              <w:spacing w:before="40" w:after="40"/>
              <w:jc w:val="center"/>
            </w:pPr>
            <w:r w:rsidRPr="00783571">
              <w:t>0</w:t>
            </w:r>
            <w:r w:rsidR="001E18FF" w:rsidRPr="00783571">
              <w:t>.0095</w:t>
            </w:r>
          </w:p>
        </w:tc>
        <w:tc>
          <w:tcPr>
            <w:tcW w:w="1165" w:type="dxa"/>
            <w:gridSpan w:val="2"/>
            <w:tcBorders>
              <w:top w:val="single" w:sz="4" w:space="0" w:color="808080" w:themeColor="background1" w:themeShade="80"/>
              <w:bottom w:val="single" w:sz="4" w:space="0" w:color="808080" w:themeColor="background1" w:themeShade="80"/>
            </w:tcBorders>
            <w:shd w:val="clear" w:color="auto" w:fill="auto"/>
            <w:noWrap/>
          </w:tcPr>
          <w:p w14:paraId="3E5FC13F" w14:textId="20BD74A2" w:rsidR="001E18FF" w:rsidRPr="00783571" w:rsidRDefault="003D04E4" w:rsidP="006705F3">
            <w:pPr>
              <w:pStyle w:val="TableText"/>
              <w:spacing w:before="40" w:after="40"/>
              <w:jc w:val="center"/>
            </w:pPr>
            <w:r w:rsidRPr="00783571">
              <w:t>0</w:t>
            </w:r>
            <w:r w:rsidR="001E18FF" w:rsidRPr="00783571">
              <w:t>.0188</w:t>
            </w:r>
          </w:p>
        </w:tc>
        <w:tc>
          <w:tcPr>
            <w:tcW w:w="4297" w:type="dxa"/>
            <w:vMerge w:val="restart"/>
            <w:tcBorders>
              <w:top w:val="single" w:sz="4" w:space="0" w:color="808080" w:themeColor="background1" w:themeShade="80"/>
            </w:tcBorders>
            <w:shd w:val="clear" w:color="auto" w:fill="auto"/>
            <w:noWrap/>
          </w:tcPr>
          <w:p w14:paraId="7A856254" w14:textId="271E8C54" w:rsidR="001E18FF" w:rsidRPr="00783571" w:rsidRDefault="001E18FF" w:rsidP="006705F3">
            <w:pPr>
              <w:pStyle w:val="TableText"/>
              <w:spacing w:before="40" w:after="40"/>
            </w:pPr>
            <w:r w:rsidRPr="00783571">
              <w:t>NA-ACCORD (2014)</w:t>
            </w:r>
            <w:r w:rsidRPr="00783571">
              <w:rPr>
                <w:vertAlign w:val="superscript"/>
              </w:rPr>
              <w:t>d</w:t>
            </w:r>
          </w:p>
        </w:tc>
      </w:tr>
      <w:tr w:rsidR="001E18FF" w:rsidRPr="00783571" w14:paraId="2E43EFF6" w14:textId="77777777" w:rsidTr="002A08CE">
        <w:trPr>
          <w:cantSplit/>
        </w:trPr>
        <w:tc>
          <w:tcPr>
            <w:tcW w:w="3116" w:type="dxa"/>
            <w:tcBorders>
              <w:top w:val="single" w:sz="4" w:space="0" w:color="808080" w:themeColor="background1" w:themeShade="80"/>
              <w:bottom w:val="single" w:sz="4" w:space="0" w:color="808080" w:themeColor="background1" w:themeShade="80"/>
            </w:tcBorders>
            <w:shd w:val="clear" w:color="auto" w:fill="auto"/>
            <w:noWrap/>
          </w:tcPr>
          <w:p w14:paraId="24E97310" w14:textId="77777777" w:rsidR="001E18FF" w:rsidRPr="00783571" w:rsidRDefault="001E18FF" w:rsidP="006705F3">
            <w:pPr>
              <w:pStyle w:val="TableText"/>
              <w:spacing w:before="40" w:after="40"/>
              <w:ind w:left="270"/>
            </w:pPr>
            <w:r w:rsidRPr="00783571">
              <w:t>CD4 &lt; 200</w:t>
            </w:r>
          </w:p>
        </w:tc>
        <w:tc>
          <w:tcPr>
            <w:tcW w:w="1170" w:type="dxa"/>
            <w:tcBorders>
              <w:top w:val="single" w:sz="4" w:space="0" w:color="808080" w:themeColor="background1" w:themeShade="80"/>
              <w:bottom w:val="single" w:sz="4" w:space="0" w:color="808080" w:themeColor="background1" w:themeShade="80"/>
            </w:tcBorders>
            <w:shd w:val="clear" w:color="auto" w:fill="auto"/>
            <w:noWrap/>
          </w:tcPr>
          <w:p w14:paraId="2AEFE097" w14:textId="508752B3" w:rsidR="001E18FF" w:rsidRPr="00783571" w:rsidRDefault="003D04E4" w:rsidP="006705F3">
            <w:pPr>
              <w:pStyle w:val="TableText"/>
              <w:spacing w:before="40" w:after="40"/>
              <w:jc w:val="center"/>
            </w:pPr>
            <w:r w:rsidRPr="00783571">
              <w:t>0</w:t>
            </w:r>
            <w:r w:rsidR="001E18FF" w:rsidRPr="00783571">
              <w:t>.0108</w:t>
            </w:r>
          </w:p>
        </w:tc>
        <w:tc>
          <w:tcPr>
            <w:tcW w:w="1170" w:type="dxa"/>
            <w:tcBorders>
              <w:top w:val="single" w:sz="4" w:space="0" w:color="808080" w:themeColor="background1" w:themeShade="80"/>
              <w:bottom w:val="single" w:sz="4" w:space="0" w:color="808080" w:themeColor="background1" w:themeShade="80"/>
            </w:tcBorders>
            <w:shd w:val="clear" w:color="auto" w:fill="auto"/>
            <w:noWrap/>
          </w:tcPr>
          <w:p w14:paraId="4F87C809" w14:textId="373559BD" w:rsidR="001E18FF" w:rsidRPr="00783571" w:rsidRDefault="003D04E4" w:rsidP="006705F3">
            <w:pPr>
              <w:pStyle w:val="TableText"/>
              <w:spacing w:before="40" w:after="40"/>
              <w:jc w:val="center"/>
            </w:pPr>
            <w:r w:rsidRPr="00783571">
              <w:t>0</w:t>
            </w:r>
            <w:r w:rsidR="001E18FF" w:rsidRPr="00783571">
              <w:t>.0108</w:t>
            </w:r>
          </w:p>
        </w:tc>
        <w:tc>
          <w:tcPr>
            <w:tcW w:w="1080" w:type="dxa"/>
            <w:tcBorders>
              <w:top w:val="single" w:sz="4" w:space="0" w:color="808080" w:themeColor="background1" w:themeShade="80"/>
              <w:bottom w:val="single" w:sz="4" w:space="0" w:color="808080" w:themeColor="background1" w:themeShade="80"/>
            </w:tcBorders>
            <w:shd w:val="clear" w:color="auto" w:fill="auto"/>
            <w:noWrap/>
          </w:tcPr>
          <w:p w14:paraId="2711F08A" w14:textId="6E5EFFFB" w:rsidR="001E18FF" w:rsidRPr="00783571" w:rsidRDefault="003D04E4" w:rsidP="006705F3">
            <w:pPr>
              <w:pStyle w:val="TableText"/>
              <w:spacing w:before="40" w:after="40"/>
              <w:jc w:val="center"/>
            </w:pPr>
            <w:r w:rsidRPr="00783571">
              <w:t>0</w:t>
            </w:r>
            <w:r w:rsidR="001E18FF" w:rsidRPr="00783571">
              <w:t>.0108</w:t>
            </w:r>
          </w:p>
        </w:tc>
        <w:tc>
          <w:tcPr>
            <w:tcW w:w="1118" w:type="dxa"/>
            <w:tcBorders>
              <w:top w:val="single" w:sz="4" w:space="0" w:color="808080" w:themeColor="background1" w:themeShade="80"/>
              <w:bottom w:val="single" w:sz="4" w:space="0" w:color="808080" w:themeColor="background1" w:themeShade="80"/>
            </w:tcBorders>
            <w:shd w:val="clear" w:color="auto" w:fill="auto"/>
            <w:noWrap/>
          </w:tcPr>
          <w:p w14:paraId="7645ADDB" w14:textId="00A20D8F" w:rsidR="001E18FF" w:rsidRPr="00783571" w:rsidRDefault="003D04E4" w:rsidP="006705F3">
            <w:pPr>
              <w:pStyle w:val="TableText"/>
              <w:spacing w:before="40" w:after="40"/>
              <w:jc w:val="center"/>
            </w:pPr>
            <w:r w:rsidRPr="00783571">
              <w:t>0</w:t>
            </w:r>
            <w:r w:rsidR="001E18FF" w:rsidRPr="00783571">
              <w:t>.0126</w:t>
            </w:r>
          </w:p>
        </w:tc>
        <w:tc>
          <w:tcPr>
            <w:tcW w:w="1165" w:type="dxa"/>
            <w:gridSpan w:val="2"/>
            <w:tcBorders>
              <w:top w:val="single" w:sz="4" w:space="0" w:color="808080" w:themeColor="background1" w:themeShade="80"/>
              <w:bottom w:val="single" w:sz="4" w:space="0" w:color="808080" w:themeColor="background1" w:themeShade="80"/>
            </w:tcBorders>
            <w:shd w:val="clear" w:color="auto" w:fill="auto"/>
            <w:noWrap/>
          </w:tcPr>
          <w:p w14:paraId="6A2B8E96" w14:textId="2C3C2AFD" w:rsidR="001E18FF" w:rsidRPr="00783571" w:rsidRDefault="003D04E4" w:rsidP="006705F3">
            <w:pPr>
              <w:pStyle w:val="TableText"/>
              <w:spacing w:before="40" w:after="40"/>
              <w:jc w:val="center"/>
            </w:pPr>
            <w:r w:rsidRPr="00783571">
              <w:t>0</w:t>
            </w:r>
            <w:r w:rsidR="001E18FF" w:rsidRPr="00783571">
              <w:t>.0326</w:t>
            </w:r>
          </w:p>
        </w:tc>
        <w:tc>
          <w:tcPr>
            <w:tcW w:w="4297" w:type="dxa"/>
            <w:vMerge/>
            <w:tcBorders>
              <w:bottom w:val="single" w:sz="4" w:space="0" w:color="808080" w:themeColor="background1" w:themeShade="80"/>
            </w:tcBorders>
            <w:shd w:val="clear" w:color="auto" w:fill="auto"/>
            <w:noWrap/>
          </w:tcPr>
          <w:p w14:paraId="2409FD37" w14:textId="77777777" w:rsidR="001E18FF" w:rsidRPr="00783571" w:rsidRDefault="001E18FF" w:rsidP="006705F3">
            <w:pPr>
              <w:pStyle w:val="TableText"/>
              <w:spacing w:before="40" w:after="40"/>
            </w:pPr>
          </w:p>
        </w:tc>
      </w:tr>
      <w:tr w:rsidR="007234AF" w:rsidRPr="00783571" w14:paraId="4372A1D3" w14:textId="77777777" w:rsidTr="00AA77D8">
        <w:trPr>
          <w:cantSplit/>
        </w:trPr>
        <w:tc>
          <w:tcPr>
            <w:tcW w:w="13116" w:type="dxa"/>
            <w:gridSpan w:val="8"/>
            <w:tcBorders>
              <w:top w:val="single" w:sz="4" w:space="0" w:color="808080" w:themeColor="background1" w:themeShade="80"/>
              <w:bottom w:val="single" w:sz="4" w:space="0" w:color="808080" w:themeColor="background1" w:themeShade="80"/>
            </w:tcBorders>
            <w:shd w:val="clear" w:color="auto" w:fill="auto"/>
            <w:noWrap/>
          </w:tcPr>
          <w:p w14:paraId="4C8C7508" w14:textId="7DE2FC39" w:rsidR="007234AF" w:rsidRPr="00783571" w:rsidRDefault="007234AF" w:rsidP="006705F3">
            <w:pPr>
              <w:pStyle w:val="TableText"/>
              <w:spacing w:before="40" w:after="40"/>
            </w:pPr>
            <w:r w:rsidRPr="00783571">
              <w:t xml:space="preserve">Relative risk of death vs. VLS in </w:t>
            </w:r>
            <w:r w:rsidR="00A16C51" w:rsidRPr="00783571">
              <w:t>second and third time periods</w:t>
            </w:r>
          </w:p>
        </w:tc>
      </w:tr>
      <w:tr w:rsidR="007D7174" w:rsidRPr="00783571" w14:paraId="1F805946" w14:textId="77777777" w:rsidTr="002A08CE">
        <w:trPr>
          <w:cantSplit/>
        </w:trPr>
        <w:tc>
          <w:tcPr>
            <w:tcW w:w="3116" w:type="dxa"/>
            <w:tcBorders>
              <w:top w:val="single" w:sz="2" w:space="0" w:color="DDDDDD"/>
              <w:bottom w:val="single" w:sz="4" w:space="0" w:color="808080" w:themeColor="background1" w:themeShade="80"/>
            </w:tcBorders>
            <w:shd w:val="clear" w:color="auto" w:fill="auto"/>
            <w:noWrap/>
          </w:tcPr>
          <w:p w14:paraId="011964B3" w14:textId="14171373" w:rsidR="007D7174" w:rsidRPr="00783571" w:rsidRDefault="007D7174" w:rsidP="006705F3">
            <w:pPr>
              <w:pStyle w:val="TableText"/>
              <w:spacing w:before="40" w:after="40"/>
              <w:ind w:left="274"/>
            </w:pPr>
            <w:r w:rsidRPr="00783571">
              <w:t xml:space="preserve">Not </w:t>
            </w:r>
            <w:r w:rsidR="000965E6" w:rsidRPr="00783571">
              <w:t>prescribed ART</w:t>
            </w:r>
            <w:r w:rsidRPr="00783571">
              <w:t xml:space="preserve"> (</w:t>
            </w:r>
            <w:r w:rsidRPr="00783571">
              <w:rPr>
                <w:i/>
                <w:iCs/>
              </w:rPr>
              <w:t>r</w:t>
            </w:r>
            <w:r w:rsidRPr="00783571">
              <w:t xml:space="preserve"> = 1,2,3)</w:t>
            </w:r>
          </w:p>
        </w:tc>
        <w:tc>
          <w:tcPr>
            <w:tcW w:w="5628" w:type="dxa"/>
            <w:gridSpan w:val="5"/>
            <w:tcBorders>
              <w:top w:val="single" w:sz="2" w:space="0" w:color="DDDDDD"/>
              <w:bottom w:val="single" w:sz="4" w:space="0" w:color="808080" w:themeColor="background1" w:themeShade="80"/>
            </w:tcBorders>
            <w:shd w:val="clear" w:color="auto" w:fill="auto"/>
          </w:tcPr>
          <w:p w14:paraId="4638E0A6" w14:textId="6702F3F6" w:rsidR="007D7174" w:rsidRPr="00783571" w:rsidRDefault="00C977F9" w:rsidP="006705F3">
            <w:pPr>
              <w:pStyle w:val="TableText"/>
              <w:spacing w:before="40" w:after="40"/>
            </w:pPr>
            <w:r w:rsidRPr="00783571">
              <w:t>--------------------------</w:t>
            </w:r>
            <w:r w:rsidR="002A08CE" w:rsidRPr="00783571">
              <w:t>--</w:t>
            </w:r>
            <w:r w:rsidR="007D7174" w:rsidRPr="00783571">
              <w:t>1.00</w:t>
            </w:r>
            <w:r w:rsidRPr="00783571">
              <w:t>--</w:t>
            </w:r>
            <w:r w:rsidR="002A08CE" w:rsidRPr="00783571">
              <w:t>-----------------------------</w:t>
            </w:r>
          </w:p>
        </w:tc>
        <w:tc>
          <w:tcPr>
            <w:tcW w:w="4372" w:type="dxa"/>
            <w:gridSpan w:val="2"/>
            <w:vMerge w:val="restart"/>
            <w:tcBorders>
              <w:top w:val="single" w:sz="2" w:space="0" w:color="DDDDDD"/>
            </w:tcBorders>
            <w:shd w:val="clear" w:color="auto" w:fill="auto"/>
          </w:tcPr>
          <w:p w14:paraId="7C27D76D" w14:textId="5106798C" w:rsidR="007D7174" w:rsidRPr="00783571" w:rsidRDefault="00825F9B" w:rsidP="006705F3">
            <w:pPr>
              <w:pStyle w:val="TableText"/>
              <w:spacing w:before="40" w:after="40"/>
            </w:pPr>
            <w:r w:rsidRPr="00783571">
              <w:t>Assumed due to lack of data demonstrating differences in death rates due to VLS.</w:t>
            </w:r>
          </w:p>
        </w:tc>
      </w:tr>
      <w:tr w:rsidR="007D7174" w:rsidRPr="00783571" w14:paraId="320D25DE" w14:textId="77777777" w:rsidTr="002A08CE">
        <w:trPr>
          <w:cantSplit/>
        </w:trPr>
        <w:tc>
          <w:tcPr>
            <w:tcW w:w="3116" w:type="dxa"/>
            <w:tcBorders>
              <w:top w:val="single" w:sz="2" w:space="0" w:color="DDDDDD"/>
              <w:bottom w:val="single" w:sz="4" w:space="0" w:color="808080" w:themeColor="background1" w:themeShade="80"/>
            </w:tcBorders>
            <w:shd w:val="clear" w:color="auto" w:fill="auto"/>
            <w:noWrap/>
          </w:tcPr>
          <w:p w14:paraId="551BEDE5" w14:textId="507B185C" w:rsidR="007D7174" w:rsidRPr="00783571" w:rsidRDefault="000965E6" w:rsidP="006705F3">
            <w:pPr>
              <w:pStyle w:val="TableText"/>
              <w:spacing w:before="40" w:after="40"/>
              <w:ind w:left="274"/>
            </w:pPr>
            <w:r w:rsidRPr="00783571">
              <w:t>Prescribed ART</w:t>
            </w:r>
            <w:r w:rsidR="007D7174" w:rsidRPr="00783571">
              <w:t>, but not VLS (</w:t>
            </w:r>
            <w:r w:rsidR="007D7174" w:rsidRPr="00783571">
              <w:rPr>
                <w:i/>
                <w:iCs/>
              </w:rPr>
              <w:t>r</w:t>
            </w:r>
            <w:r w:rsidR="007D7174" w:rsidRPr="00783571">
              <w:t xml:space="preserve"> = 4)</w:t>
            </w:r>
          </w:p>
        </w:tc>
        <w:tc>
          <w:tcPr>
            <w:tcW w:w="5628" w:type="dxa"/>
            <w:gridSpan w:val="5"/>
            <w:tcBorders>
              <w:top w:val="single" w:sz="2" w:space="0" w:color="DDDDDD"/>
              <w:bottom w:val="single" w:sz="4" w:space="0" w:color="808080" w:themeColor="background1" w:themeShade="80"/>
            </w:tcBorders>
            <w:shd w:val="clear" w:color="auto" w:fill="auto"/>
          </w:tcPr>
          <w:p w14:paraId="2B82514B" w14:textId="1A239ED0" w:rsidR="007D7174" w:rsidRPr="00783571" w:rsidRDefault="002A08CE" w:rsidP="006705F3">
            <w:pPr>
              <w:pStyle w:val="TableText"/>
              <w:spacing w:before="40" w:after="40"/>
            </w:pPr>
            <w:r w:rsidRPr="00783571">
              <w:t>----------------------------</w:t>
            </w:r>
            <w:r w:rsidR="007D7174" w:rsidRPr="00783571">
              <w:t>1.00</w:t>
            </w:r>
            <w:r w:rsidR="00C977F9" w:rsidRPr="00783571">
              <w:t>-------------------------------</w:t>
            </w:r>
          </w:p>
        </w:tc>
        <w:tc>
          <w:tcPr>
            <w:tcW w:w="4372" w:type="dxa"/>
            <w:gridSpan w:val="2"/>
            <w:vMerge/>
            <w:tcBorders>
              <w:bottom w:val="single" w:sz="4" w:space="0" w:color="808080" w:themeColor="background1" w:themeShade="80"/>
            </w:tcBorders>
            <w:shd w:val="clear" w:color="auto" w:fill="auto"/>
          </w:tcPr>
          <w:p w14:paraId="15D546E3" w14:textId="3C59B34E" w:rsidR="007D7174" w:rsidRPr="00783571" w:rsidRDefault="007D7174" w:rsidP="006705F3">
            <w:pPr>
              <w:pStyle w:val="TableText"/>
              <w:spacing w:before="40" w:after="40"/>
            </w:pPr>
          </w:p>
        </w:tc>
      </w:tr>
      <w:tr w:rsidR="007234AF" w:rsidRPr="00783571" w14:paraId="289F2A5C" w14:textId="77777777" w:rsidTr="006A2A98">
        <w:trPr>
          <w:cantSplit/>
        </w:trPr>
        <w:tc>
          <w:tcPr>
            <w:tcW w:w="13116" w:type="dxa"/>
            <w:gridSpan w:val="8"/>
            <w:tcBorders>
              <w:top w:val="single" w:sz="2" w:space="0" w:color="DDDDDD"/>
              <w:bottom w:val="single" w:sz="4" w:space="0" w:color="808080" w:themeColor="background1" w:themeShade="80"/>
            </w:tcBorders>
            <w:shd w:val="clear" w:color="auto" w:fill="auto"/>
            <w:noWrap/>
            <w:hideMark/>
          </w:tcPr>
          <w:p w14:paraId="7F59870E" w14:textId="598F2B8C" w:rsidR="007234AF" w:rsidRPr="00783571" w:rsidRDefault="007234AF" w:rsidP="006705F3">
            <w:pPr>
              <w:pStyle w:val="TableText"/>
              <w:spacing w:before="40" w:after="40"/>
            </w:pPr>
            <w:r w:rsidRPr="00783571">
              <w:t xml:space="preserve">Relative risk of death </w:t>
            </w:r>
            <w:r w:rsidR="00825F9B" w:rsidRPr="00783571">
              <w:t>if uninfected</w:t>
            </w:r>
            <w:r w:rsidRPr="00783571">
              <w:t xml:space="preserve"> for PWID vs. non-PWID population </w:t>
            </w:r>
          </w:p>
        </w:tc>
      </w:tr>
      <w:tr w:rsidR="007234AF" w:rsidRPr="00783571" w14:paraId="090499BF" w14:textId="77777777" w:rsidTr="002A08CE">
        <w:trPr>
          <w:cantSplit/>
        </w:trPr>
        <w:tc>
          <w:tcPr>
            <w:tcW w:w="3116" w:type="dxa"/>
            <w:tcBorders>
              <w:top w:val="single" w:sz="4" w:space="0" w:color="808080" w:themeColor="background1" w:themeShade="80"/>
              <w:bottom w:val="single" w:sz="6" w:space="0" w:color="000000" w:themeColor="text1"/>
            </w:tcBorders>
            <w:shd w:val="clear" w:color="auto" w:fill="auto"/>
            <w:noWrap/>
            <w:hideMark/>
          </w:tcPr>
          <w:p w14:paraId="7D28D213" w14:textId="56947390" w:rsidR="007234AF" w:rsidRPr="00783571" w:rsidRDefault="007234AF" w:rsidP="006705F3">
            <w:pPr>
              <w:pStyle w:val="TableText"/>
              <w:spacing w:before="40" w:after="40"/>
              <w:ind w:left="270"/>
            </w:pPr>
            <w:r w:rsidRPr="00783571">
              <w:t>PWID</w:t>
            </w:r>
          </w:p>
        </w:tc>
        <w:tc>
          <w:tcPr>
            <w:tcW w:w="5703" w:type="dxa"/>
            <w:gridSpan w:val="6"/>
            <w:tcBorders>
              <w:top w:val="single" w:sz="4" w:space="0" w:color="808080" w:themeColor="background1" w:themeShade="80"/>
              <w:bottom w:val="single" w:sz="6" w:space="0" w:color="000000" w:themeColor="text1"/>
            </w:tcBorders>
            <w:shd w:val="clear" w:color="auto" w:fill="auto"/>
            <w:noWrap/>
            <w:hideMark/>
          </w:tcPr>
          <w:p w14:paraId="22102E1F" w14:textId="42B7137E" w:rsidR="007234AF" w:rsidRPr="00783571" w:rsidRDefault="00C977F9" w:rsidP="002A08CE">
            <w:pPr>
              <w:pStyle w:val="TableText"/>
              <w:spacing w:before="40" w:after="40"/>
            </w:pPr>
            <w:r w:rsidRPr="00783571">
              <w:t>------------</w:t>
            </w:r>
            <w:r w:rsidR="007234AF" w:rsidRPr="00783571">
              <w:t>----------------2.54--------------------------------</w:t>
            </w:r>
          </w:p>
        </w:tc>
        <w:tc>
          <w:tcPr>
            <w:tcW w:w="4297" w:type="dxa"/>
            <w:tcBorders>
              <w:top w:val="single" w:sz="4" w:space="0" w:color="808080" w:themeColor="background1" w:themeShade="80"/>
              <w:bottom w:val="single" w:sz="6" w:space="0" w:color="000000" w:themeColor="text1"/>
            </w:tcBorders>
            <w:shd w:val="clear" w:color="auto" w:fill="auto"/>
            <w:noWrap/>
            <w:hideMark/>
          </w:tcPr>
          <w:p w14:paraId="61C6219E" w14:textId="18224F61" w:rsidR="007234AF" w:rsidRPr="00783571" w:rsidRDefault="007234AF" w:rsidP="006705F3">
            <w:pPr>
              <w:pStyle w:val="TableText"/>
              <w:spacing w:before="40" w:after="40"/>
            </w:pPr>
            <w:r w:rsidRPr="00783571">
              <w:t>Vlahov et al. (2008)</w:t>
            </w:r>
            <w:r w:rsidRPr="00783571">
              <w:rPr>
                <w:vertAlign w:val="superscript"/>
              </w:rPr>
              <w:t>e</w:t>
            </w:r>
          </w:p>
        </w:tc>
      </w:tr>
    </w:tbl>
    <w:p w14:paraId="7866FE5D" w14:textId="77777777" w:rsidR="001A6C07" w:rsidRPr="00783571" w:rsidRDefault="001A6C07" w:rsidP="001A6C07">
      <w:pPr>
        <w:pStyle w:val="Tablecont"/>
      </w:pPr>
      <w:r w:rsidRPr="00783571">
        <w:t>(continued)</w:t>
      </w:r>
    </w:p>
    <w:p w14:paraId="4F331C96" w14:textId="77777777" w:rsidR="00AA77D8" w:rsidRPr="00783571" w:rsidRDefault="00AA77D8">
      <w:pPr>
        <w:rPr>
          <w:b/>
        </w:rPr>
      </w:pPr>
      <w:r w:rsidRPr="00783571">
        <w:br w:type="page"/>
      </w:r>
    </w:p>
    <w:p w14:paraId="22391B8A" w14:textId="1AD096BA" w:rsidR="001A6C07" w:rsidRPr="00783571" w:rsidRDefault="001A6C07" w:rsidP="00260D8A">
      <w:pPr>
        <w:pStyle w:val="TableTitlecont"/>
        <w:spacing w:before="120"/>
        <w:ind w:left="1530"/>
      </w:pPr>
      <w:r w:rsidRPr="00783571">
        <w:t>Table 5.1.</w:t>
      </w:r>
      <w:r w:rsidRPr="00783571">
        <w:tab/>
      </w:r>
      <w:r w:rsidR="00952170" w:rsidRPr="00783571">
        <w:t>Rate of Aging into Population and Inputs that Determine All HIV Progression and Death Rates</w:t>
      </w:r>
      <w:r w:rsidR="00952170" w:rsidRPr="00783571" w:rsidDel="00952170">
        <w:t xml:space="preserve"> </w:t>
      </w:r>
      <w:r w:rsidRPr="00783571">
        <w:t>(continued)</w:t>
      </w:r>
    </w:p>
    <w:tbl>
      <w:tblPr>
        <w:tblW w:w="5000"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3049"/>
        <w:gridCol w:w="1134"/>
        <w:gridCol w:w="1134"/>
        <w:gridCol w:w="1134"/>
        <w:gridCol w:w="1134"/>
        <w:gridCol w:w="1134"/>
        <w:gridCol w:w="4241"/>
      </w:tblGrid>
      <w:tr w:rsidR="001A6C07" w:rsidRPr="00783571" w14:paraId="0DD515A5" w14:textId="77777777" w:rsidTr="00D05643">
        <w:trPr>
          <w:cantSplit/>
          <w:tblHeader/>
        </w:trPr>
        <w:tc>
          <w:tcPr>
            <w:tcW w:w="3089" w:type="dxa"/>
            <w:tcBorders>
              <w:top w:val="single" w:sz="12" w:space="0" w:color="000000"/>
              <w:bottom w:val="single" w:sz="6" w:space="0" w:color="auto"/>
            </w:tcBorders>
            <w:shd w:val="clear" w:color="auto" w:fill="auto"/>
            <w:noWrap/>
            <w:vAlign w:val="bottom"/>
            <w:hideMark/>
          </w:tcPr>
          <w:p w14:paraId="03E24A63" w14:textId="77777777" w:rsidR="001A6C07" w:rsidRPr="00783571" w:rsidRDefault="001A6C07" w:rsidP="006705F3">
            <w:pPr>
              <w:pStyle w:val="TableHeaders"/>
            </w:pPr>
            <w:r w:rsidRPr="00783571">
              <w:t>Parameter</w:t>
            </w:r>
          </w:p>
        </w:tc>
        <w:tc>
          <w:tcPr>
            <w:tcW w:w="1146" w:type="dxa"/>
            <w:tcBorders>
              <w:top w:val="single" w:sz="12" w:space="0" w:color="000000"/>
              <w:bottom w:val="single" w:sz="6" w:space="0" w:color="auto"/>
            </w:tcBorders>
            <w:shd w:val="clear" w:color="auto" w:fill="auto"/>
            <w:noWrap/>
            <w:vAlign w:val="bottom"/>
            <w:hideMark/>
          </w:tcPr>
          <w:p w14:paraId="1B4C75DC" w14:textId="77777777" w:rsidR="001A6C07" w:rsidRPr="00783571" w:rsidRDefault="001A6C07" w:rsidP="006705F3">
            <w:pPr>
              <w:pStyle w:val="TableHeaders"/>
            </w:pPr>
            <w:r w:rsidRPr="00783571">
              <w:t>13–17 Years</w:t>
            </w:r>
          </w:p>
        </w:tc>
        <w:tc>
          <w:tcPr>
            <w:tcW w:w="1146" w:type="dxa"/>
            <w:tcBorders>
              <w:top w:val="single" w:sz="12" w:space="0" w:color="000000"/>
              <w:bottom w:val="single" w:sz="6" w:space="0" w:color="auto"/>
            </w:tcBorders>
            <w:shd w:val="clear" w:color="auto" w:fill="auto"/>
            <w:noWrap/>
            <w:vAlign w:val="bottom"/>
            <w:hideMark/>
          </w:tcPr>
          <w:p w14:paraId="5F522DBF" w14:textId="77777777" w:rsidR="001A6C07" w:rsidRPr="00783571" w:rsidRDefault="001A6C07" w:rsidP="006705F3">
            <w:pPr>
              <w:pStyle w:val="TableHeaders"/>
            </w:pPr>
            <w:r w:rsidRPr="00783571">
              <w:t>18–24 Years</w:t>
            </w:r>
          </w:p>
        </w:tc>
        <w:tc>
          <w:tcPr>
            <w:tcW w:w="1146" w:type="dxa"/>
            <w:tcBorders>
              <w:top w:val="single" w:sz="12" w:space="0" w:color="000000"/>
              <w:bottom w:val="single" w:sz="6" w:space="0" w:color="auto"/>
            </w:tcBorders>
            <w:shd w:val="clear" w:color="auto" w:fill="auto"/>
            <w:noWrap/>
            <w:vAlign w:val="bottom"/>
            <w:hideMark/>
          </w:tcPr>
          <w:p w14:paraId="6EB1D465" w14:textId="77777777" w:rsidR="001A6C07" w:rsidRPr="00783571" w:rsidRDefault="001A6C07" w:rsidP="006705F3">
            <w:pPr>
              <w:pStyle w:val="TableHeaders"/>
            </w:pPr>
            <w:r w:rsidRPr="00783571">
              <w:t>25–34 Years</w:t>
            </w:r>
          </w:p>
        </w:tc>
        <w:tc>
          <w:tcPr>
            <w:tcW w:w="1146" w:type="dxa"/>
            <w:tcBorders>
              <w:top w:val="single" w:sz="12" w:space="0" w:color="000000"/>
              <w:bottom w:val="single" w:sz="6" w:space="0" w:color="auto"/>
            </w:tcBorders>
            <w:shd w:val="clear" w:color="auto" w:fill="auto"/>
            <w:noWrap/>
            <w:vAlign w:val="bottom"/>
            <w:hideMark/>
          </w:tcPr>
          <w:p w14:paraId="372E28FE" w14:textId="77777777" w:rsidR="001A6C07" w:rsidRPr="00783571" w:rsidRDefault="001A6C07" w:rsidP="006705F3">
            <w:pPr>
              <w:pStyle w:val="TableHeaders"/>
            </w:pPr>
            <w:r w:rsidRPr="00783571">
              <w:t>35–44 Years</w:t>
            </w:r>
          </w:p>
        </w:tc>
        <w:tc>
          <w:tcPr>
            <w:tcW w:w="1146" w:type="dxa"/>
            <w:tcBorders>
              <w:top w:val="single" w:sz="12" w:space="0" w:color="000000"/>
              <w:bottom w:val="single" w:sz="6" w:space="0" w:color="auto"/>
            </w:tcBorders>
            <w:shd w:val="clear" w:color="auto" w:fill="auto"/>
            <w:noWrap/>
            <w:vAlign w:val="bottom"/>
            <w:hideMark/>
          </w:tcPr>
          <w:p w14:paraId="00E76D52" w14:textId="77777777" w:rsidR="001A6C07" w:rsidRPr="00783571" w:rsidRDefault="001A6C07" w:rsidP="006705F3">
            <w:pPr>
              <w:pStyle w:val="TableHeaders"/>
            </w:pPr>
            <w:r w:rsidRPr="00783571">
              <w:t>45–64 Years</w:t>
            </w:r>
          </w:p>
        </w:tc>
        <w:tc>
          <w:tcPr>
            <w:tcW w:w="4297" w:type="dxa"/>
            <w:tcBorders>
              <w:top w:val="single" w:sz="12" w:space="0" w:color="000000"/>
              <w:bottom w:val="single" w:sz="6" w:space="0" w:color="auto"/>
            </w:tcBorders>
            <w:shd w:val="clear" w:color="auto" w:fill="auto"/>
            <w:noWrap/>
            <w:vAlign w:val="bottom"/>
            <w:hideMark/>
          </w:tcPr>
          <w:p w14:paraId="49599C7C" w14:textId="77777777" w:rsidR="001A6C07" w:rsidRPr="00783571" w:rsidRDefault="001A6C07" w:rsidP="006705F3">
            <w:pPr>
              <w:pStyle w:val="TableHeaders"/>
            </w:pPr>
            <w:r w:rsidRPr="00783571">
              <w:t>Source</w:t>
            </w:r>
          </w:p>
        </w:tc>
      </w:tr>
      <w:tr w:rsidR="00A57EF2" w:rsidRPr="00783571" w14:paraId="3B752064" w14:textId="77777777" w:rsidTr="00D05643">
        <w:trPr>
          <w:cantSplit/>
        </w:trPr>
        <w:tc>
          <w:tcPr>
            <w:tcW w:w="13116" w:type="dxa"/>
            <w:gridSpan w:val="7"/>
            <w:tcBorders>
              <w:top w:val="single" w:sz="6" w:space="0" w:color="auto"/>
              <w:bottom w:val="single" w:sz="4" w:space="0" w:color="808080" w:themeColor="background1" w:themeShade="80"/>
            </w:tcBorders>
            <w:shd w:val="clear" w:color="auto" w:fill="auto"/>
            <w:noWrap/>
            <w:hideMark/>
          </w:tcPr>
          <w:p w14:paraId="108AE4B8" w14:textId="155C2857" w:rsidR="00A57EF2" w:rsidRPr="00783571" w:rsidRDefault="00A57EF2" w:rsidP="006705F3">
            <w:pPr>
              <w:pStyle w:val="TableText"/>
              <w:spacing w:before="40" w:after="40"/>
            </w:pPr>
            <w:r w:rsidRPr="00783571">
              <w:t>Annual probability death if HIV uni</w:t>
            </w:r>
            <w:r w:rsidR="00963B92" w:rsidRPr="00783571">
              <w:t>nfected</w:t>
            </w:r>
          </w:p>
        </w:tc>
      </w:tr>
      <w:tr w:rsidR="00A57EF2" w:rsidRPr="00783571" w14:paraId="6ACC379E" w14:textId="77777777" w:rsidTr="00D05643">
        <w:trPr>
          <w:cantSplit/>
        </w:trPr>
        <w:tc>
          <w:tcPr>
            <w:tcW w:w="3089" w:type="dxa"/>
            <w:tcBorders>
              <w:top w:val="single" w:sz="4" w:space="0" w:color="808080" w:themeColor="background1" w:themeShade="80"/>
              <w:bottom w:val="single" w:sz="4" w:space="0" w:color="808080" w:themeColor="background1" w:themeShade="80"/>
            </w:tcBorders>
            <w:shd w:val="clear" w:color="auto" w:fill="auto"/>
            <w:noWrap/>
            <w:hideMark/>
          </w:tcPr>
          <w:p w14:paraId="176862FD" w14:textId="77777777" w:rsidR="00A57EF2" w:rsidRPr="00783571" w:rsidRDefault="00A57EF2" w:rsidP="006705F3">
            <w:pPr>
              <w:pStyle w:val="TableText"/>
              <w:spacing w:before="40" w:after="40"/>
              <w:ind w:left="270"/>
            </w:pPr>
            <w:r w:rsidRPr="00783571">
              <w:t>HET or MSM</w:t>
            </w: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1AAA4267" w14:textId="77777777" w:rsidR="00A57EF2" w:rsidRPr="00783571" w:rsidRDefault="00A57EF2" w:rsidP="006705F3">
            <w:pPr>
              <w:pStyle w:val="TableText"/>
              <w:spacing w:before="40" w:after="40"/>
            </w:pP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10C22FA1" w14:textId="77777777" w:rsidR="00A57EF2" w:rsidRPr="00783571" w:rsidRDefault="00A57EF2" w:rsidP="006705F3">
            <w:pPr>
              <w:pStyle w:val="TableText"/>
              <w:spacing w:before="40" w:after="40"/>
            </w:pP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04A9EE89" w14:textId="77777777" w:rsidR="00A57EF2" w:rsidRPr="00783571" w:rsidRDefault="00A57EF2" w:rsidP="006705F3">
            <w:pPr>
              <w:pStyle w:val="TableText"/>
              <w:spacing w:before="40" w:after="40"/>
            </w:pP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0630B658" w14:textId="77777777" w:rsidR="00A57EF2" w:rsidRPr="00783571" w:rsidRDefault="00A57EF2" w:rsidP="006705F3">
            <w:pPr>
              <w:pStyle w:val="TableText"/>
              <w:spacing w:before="40" w:after="40"/>
            </w:pP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15D006C4" w14:textId="77777777" w:rsidR="00A57EF2" w:rsidRPr="00783571" w:rsidRDefault="00A57EF2" w:rsidP="006705F3">
            <w:pPr>
              <w:pStyle w:val="TableText"/>
              <w:spacing w:before="40" w:after="40"/>
            </w:pPr>
          </w:p>
        </w:tc>
        <w:tc>
          <w:tcPr>
            <w:tcW w:w="4297" w:type="dxa"/>
            <w:tcBorders>
              <w:top w:val="single" w:sz="4" w:space="0" w:color="808080" w:themeColor="background1" w:themeShade="80"/>
              <w:bottom w:val="single" w:sz="4" w:space="0" w:color="808080" w:themeColor="background1" w:themeShade="80"/>
            </w:tcBorders>
            <w:shd w:val="clear" w:color="auto" w:fill="auto"/>
            <w:noWrap/>
            <w:hideMark/>
          </w:tcPr>
          <w:p w14:paraId="68A05AE7" w14:textId="77777777" w:rsidR="00A57EF2" w:rsidRPr="00783571" w:rsidRDefault="00A57EF2" w:rsidP="006705F3">
            <w:pPr>
              <w:pStyle w:val="TableText"/>
              <w:spacing w:before="40" w:after="40"/>
            </w:pPr>
          </w:p>
        </w:tc>
      </w:tr>
      <w:tr w:rsidR="00A57EF2" w:rsidRPr="00783571" w14:paraId="7455882F" w14:textId="77777777" w:rsidTr="00D05643">
        <w:trPr>
          <w:cantSplit/>
        </w:trPr>
        <w:tc>
          <w:tcPr>
            <w:tcW w:w="3089" w:type="dxa"/>
            <w:tcBorders>
              <w:top w:val="single" w:sz="4" w:space="0" w:color="808080" w:themeColor="background1" w:themeShade="80"/>
              <w:bottom w:val="single" w:sz="4" w:space="0" w:color="808080" w:themeColor="background1" w:themeShade="80"/>
            </w:tcBorders>
            <w:shd w:val="clear" w:color="auto" w:fill="auto"/>
            <w:noWrap/>
            <w:hideMark/>
          </w:tcPr>
          <w:p w14:paraId="377E9139" w14:textId="77777777" w:rsidR="00A57EF2" w:rsidRPr="00783571" w:rsidRDefault="00A57EF2" w:rsidP="006705F3">
            <w:pPr>
              <w:pStyle w:val="TableText"/>
              <w:spacing w:before="40" w:after="40"/>
              <w:ind w:left="450"/>
            </w:pPr>
            <w:r w:rsidRPr="00783571">
              <w:t>Female</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0D96160C" w14:textId="77777777" w:rsidR="00A57EF2" w:rsidRPr="00783571" w:rsidRDefault="00D562D5" w:rsidP="006705F3">
            <w:pPr>
              <w:pStyle w:val="TableText"/>
              <w:spacing w:before="40" w:after="40"/>
              <w:jc w:val="center"/>
            </w:pPr>
            <w:r w:rsidRPr="00783571">
              <w:t>0</w:t>
            </w:r>
            <w:r w:rsidR="00A57EF2" w:rsidRPr="00783571">
              <w:t>.0002</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51D871C5" w14:textId="77777777" w:rsidR="00A57EF2" w:rsidRPr="00783571" w:rsidRDefault="00A57EF2" w:rsidP="006705F3">
            <w:pPr>
              <w:pStyle w:val="TableText"/>
              <w:spacing w:before="40" w:after="40"/>
              <w:jc w:val="center"/>
            </w:pPr>
            <w:r w:rsidRPr="00783571">
              <w:t>0.0004</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7791813C" w14:textId="77777777" w:rsidR="00A57EF2" w:rsidRPr="00783571" w:rsidRDefault="00A57EF2" w:rsidP="006705F3">
            <w:pPr>
              <w:pStyle w:val="TableText"/>
              <w:spacing w:before="40" w:after="40"/>
              <w:jc w:val="center"/>
            </w:pPr>
            <w:r w:rsidRPr="00783571">
              <w:t>0.0006</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2417BF81" w14:textId="77777777" w:rsidR="00A57EF2" w:rsidRPr="00783571" w:rsidRDefault="00A57EF2" w:rsidP="006705F3">
            <w:pPr>
              <w:pStyle w:val="TableText"/>
              <w:spacing w:before="40" w:after="40"/>
              <w:jc w:val="center"/>
            </w:pPr>
            <w:r w:rsidRPr="00783571">
              <w:t>0.0013</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3E1A7023" w14:textId="77777777" w:rsidR="00A57EF2" w:rsidRPr="00783571" w:rsidRDefault="00A57EF2" w:rsidP="006705F3">
            <w:pPr>
              <w:pStyle w:val="TableText"/>
              <w:spacing w:before="40" w:after="40"/>
              <w:jc w:val="center"/>
            </w:pPr>
            <w:r w:rsidRPr="00783571">
              <w:t>0.0048</w:t>
            </w:r>
          </w:p>
        </w:tc>
        <w:tc>
          <w:tcPr>
            <w:tcW w:w="4297" w:type="dxa"/>
            <w:vMerge w:val="restart"/>
            <w:tcBorders>
              <w:top w:val="single" w:sz="4" w:space="0" w:color="808080" w:themeColor="background1" w:themeShade="80"/>
              <w:bottom w:val="single" w:sz="4" w:space="0" w:color="808080" w:themeColor="background1" w:themeShade="80"/>
            </w:tcBorders>
            <w:shd w:val="clear" w:color="auto" w:fill="auto"/>
            <w:noWrap/>
            <w:hideMark/>
          </w:tcPr>
          <w:p w14:paraId="174CB201" w14:textId="77777777" w:rsidR="00A57EF2" w:rsidRPr="00783571" w:rsidRDefault="000F52F1" w:rsidP="006705F3">
            <w:pPr>
              <w:pStyle w:val="TableText"/>
              <w:spacing w:before="40" w:after="40"/>
            </w:pPr>
            <w:r w:rsidRPr="00783571">
              <w:t>Arias (2012)</w:t>
            </w:r>
          </w:p>
        </w:tc>
      </w:tr>
      <w:tr w:rsidR="00A57EF2" w:rsidRPr="00783571" w14:paraId="22DE06C9" w14:textId="77777777" w:rsidTr="00D05643">
        <w:trPr>
          <w:cantSplit/>
        </w:trPr>
        <w:tc>
          <w:tcPr>
            <w:tcW w:w="3089" w:type="dxa"/>
            <w:tcBorders>
              <w:top w:val="single" w:sz="4" w:space="0" w:color="808080" w:themeColor="background1" w:themeShade="80"/>
              <w:bottom w:val="single" w:sz="4" w:space="0" w:color="808080" w:themeColor="background1" w:themeShade="80"/>
            </w:tcBorders>
            <w:shd w:val="clear" w:color="auto" w:fill="auto"/>
            <w:noWrap/>
            <w:hideMark/>
          </w:tcPr>
          <w:p w14:paraId="10565948" w14:textId="77777777" w:rsidR="00A57EF2" w:rsidRPr="00783571" w:rsidRDefault="00A57EF2" w:rsidP="006705F3">
            <w:pPr>
              <w:pStyle w:val="TableText"/>
              <w:spacing w:before="40" w:after="40"/>
              <w:ind w:left="450"/>
            </w:pPr>
            <w:r w:rsidRPr="00783571">
              <w:t>Male</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5BABC957" w14:textId="77777777" w:rsidR="00A57EF2" w:rsidRPr="00783571" w:rsidRDefault="00D562D5" w:rsidP="006705F3">
            <w:pPr>
              <w:pStyle w:val="TableText"/>
              <w:spacing w:before="40" w:after="40"/>
              <w:jc w:val="center"/>
            </w:pPr>
            <w:r w:rsidRPr="00783571">
              <w:t>0</w:t>
            </w:r>
            <w:r w:rsidR="00A57EF2" w:rsidRPr="00783571">
              <w:t>.0005</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6857F28F" w14:textId="77777777" w:rsidR="00A57EF2" w:rsidRPr="00783571" w:rsidRDefault="00A57EF2" w:rsidP="006705F3">
            <w:pPr>
              <w:pStyle w:val="TableText"/>
              <w:spacing w:before="40" w:after="40"/>
              <w:jc w:val="center"/>
            </w:pPr>
            <w:r w:rsidRPr="00783571">
              <w:t>0.0013</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11013DA1" w14:textId="77777777" w:rsidR="00A57EF2" w:rsidRPr="00783571" w:rsidRDefault="00A57EF2" w:rsidP="006705F3">
            <w:pPr>
              <w:pStyle w:val="TableText"/>
              <w:spacing w:before="40" w:after="40"/>
              <w:jc w:val="center"/>
            </w:pPr>
            <w:r w:rsidRPr="00783571">
              <w:t>0.0014</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77A60F9E" w14:textId="77777777" w:rsidR="00A57EF2" w:rsidRPr="00783571" w:rsidRDefault="00A57EF2" w:rsidP="006705F3">
            <w:pPr>
              <w:pStyle w:val="TableText"/>
              <w:spacing w:before="40" w:after="40"/>
              <w:jc w:val="center"/>
            </w:pPr>
            <w:r w:rsidRPr="00783571">
              <w:t>0.0021</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38B22133" w14:textId="77777777" w:rsidR="00A57EF2" w:rsidRPr="00783571" w:rsidRDefault="00A57EF2" w:rsidP="006705F3">
            <w:pPr>
              <w:pStyle w:val="TableText"/>
              <w:spacing w:before="40" w:after="40"/>
              <w:jc w:val="center"/>
            </w:pPr>
            <w:r w:rsidRPr="00783571">
              <w:t>0.0079</w:t>
            </w:r>
          </w:p>
        </w:tc>
        <w:tc>
          <w:tcPr>
            <w:tcW w:w="4297" w:type="dxa"/>
            <w:vMerge/>
            <w:tcBorders>
              <w:top w:val="single" w:sz="4" w:space="0" w:color="808080" w:themeColor="background1" w:themeShade="80"/>
              <w:bottom w:val="single" w:sz="4" w:space="0" w:color="808080" w:themeColor="background1" w:themeShade="80"/>
            </w:tcBorders>
            <w:shd w:val="clear" w:color="auto" w:fill="auto"/>
            <w:noWrap/>
            <w:hideMark/>
          </w:tcPr>
          <w:p w14:paraId="24B084A9" w14:textId="77777777" w:rsidR="00A57EF2" w:rsidRPr="00783571" w:rsidRDefault="00A57EF2" w:rsidP="006705F3">
            <w:pPr>
              <w:pStyle w:val="TableText"/>
              <w:spacing w:before="40" w:after="40"/>
            </w:pPr>
          </w:p>
        </w:tc>
      </w:tr>
      <w:tr w:rsidR="00A57EF2" w:rsidRPr="00783571" w14:paraId="018B6C9B" w14:textId="77777777" w:rsidTr="00D05643">
        <w:trPr>
          <w:cantSplit/>
        </w:trPr>
        <w:tc>
          <w:tcPr>
            <w:tcW w:w="3089" w:type="dxa"/>
            <w:tcBorders>
              <w:top w:val="single" w:sz="4" w:space="0" w:color="808080" w:themeColor="background1" w:themeShade="80"/>
              <w:bottom w:val="single" w:sz="4" w:space="0" w:color="808080" w:themeColor="background1" w:themeShade="80"/>
            </w:tcBorders>
            <w:shd w:val="clear" w:color="auto" w:fill="auto"/>
            <w:noWrap/>
            <w:hideMark/>
          </w:tcPr>
          <w:p w14:paraId="3AB71A1F" w14:textId="774BFD93" w:rsidR="00A57EF2" w:rsidRPr="00783571" w:rsidRDefault="00F77D76" w:rsidP="006705F3">
            <w:pPr>
              <w:pStyle w:val="TableText"/>
              <w:spacing w:before="40" w:after="40"/>
              <w:ind w:left="270"/>
            </w:pPr>
            <w:r w:rsidRPr="00783571">
              <w:t>PWID</w:t>
            </w: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1D71ED95" w14:textId="77777777" w:rsidR="00A57EF2" w:rsidRPr="00783571" w:rsidRDefault="00A57EF2" w:rsidP="006705F3">
            <w:pPr>
              <w:pStyle w:val="TableText"/>
              <w:spacing w:before="40" w:after="40"/>
              <w:jc w:val="center"/>
            </w:pP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36B42A32" w14:textId="77777777" w:rsidR="00A57EF2" w:rsidRPr="00783571" w:rsidRDefault="00A57EF2" w:rsidP="006705F3">
            <w:pPr>
              <w:pStyle w:val="TableText"/>
              <w:spacing w:before="40" w:after="40"/>
              <w:jc w:val="center"/>
            </w:pP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38C39B6D" w14:textId="77777777" w:rsidR="00A57EF2" w:rsidRPr="00783571" w:rsidRDefault="00A57EF2" w:rsidP="006705F3">
            <w:pPr>
              <w:pStyle w:val="TableText"/>
              <w:spacing w:before="40" w:after="40"/>
              <w:jc w:val="center"/>
            </w:pP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432E8794" w14:textId="77777777" w:rsidR="00A57EF2" w:rsidRPr="00783571" w:rsidRDefault="00A57EF2" w:rsidP="006705F3">
            <w:pPr>
              <w:pStyle w:val="TableText"/>
              <w:spacing w:before="40" w:after="40"/>
              <w:jc w:val="center"/>
            </w:pP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6B141094" w14:textId="77777777" w:rsidR="00A57EF2" w:rsidRPr="00783571" w:rsidRDefault="00A57EF2" w:rsidP="006705F3">
            <w:pPr>
              <w:pStyle w:val="TableText"/>
              <w:spacing w:before="40" w:after="40"/>
              <w:jc w:val="center"/>
            </w:pPr>
          </w:p>
        </w:tc>
        <w:tc>
          <w:tcPr>
            <w:tcW w:w="4297" w:type="dxa"/>
            <w:tcBorders>
              <w:top w:val="single" w:sz="4" w:space="0" w:color="808080" w:themeColor="background1" w:themeShade="80"/>
              <w:bottom w:val="single" w:sz="4" w:space="0" w:color="808080" w:themeColor="background1" w:themeShade="80"/>
            </w:tcBorders>
            <w:shd w:val="clear" w:color="auto" w:fill="auto"/>
            <w:noWrap/>
            <w:hideMark/>
          </w:tcPr>
          <w:p w14:paraId="7BCCF978" w14:textId="77777777" w:rsidR="00A57EF2" w:rsidRPr="00783571" w:rsidRDefault="00A57EF2" w:rsidP="006705F3">
            <w:pPr>
              <w:pStyle w:val="TableText"/>
              <w:spacing w:before="40" w:after="40"/>
            </w:pPr>
          </w:p>
        </w:tc>
      </w:tr>
      <w:tr w:rsidR="00A57EF2" w:rsidRPr="00783571" w14:paraId="34B039A7" w14:textId="77777777" w:rsidTr="00D05643">
        <w:trPr>
          <w:cantSplit/>
        </w:trPr>
        <w:tc>
          <w:tcPr>
            <w:tcW w:w="3089" w:type="dxa"/>
            <w:tcBorders>
              <w:top w:val="single" w:sz="4" w:space="0" w:color="808080" w:themeColor="background1" w:themeShade="80"/>
              <w:bottom w:val="single" w:sz="4" w:space="0" w:color="808080" w:themeColor="background1" w:themeShade="80"/>
            </w:tcBorders>
            <w:shd w:val="clear" w:color="auto" w:fill="auto"/>
            <w:noWrap/>
            <w:hideMark/>
          </w:tcPr>
          <w:p w14:paraId="5CD21B19" w14:textId="77777777" w:rsidR="00A57EF2" w:rsidRPr="00783571" w:rsidRDefault="00A57EF2" w:rsidP="006705F3">
            <w:pPr>
              <w:pStyle w:val="TableText"/>
              <w:spacing w:before="40" w:after="40"/>
              <w:ind w:left="450"/>
            </w:pPr>
            <w:r w:rsidRPr="00783571">
              <w:t>Female</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03666F0B" w14:textId="77777777" w:rsidR="00A57EF2" w:rsidRPr="00783571" w:rsidRDefault="00D562D5" w:rsidP="006705F3">
            <w:pPr>
              <w:pStyle w:val="TableText"/>
              <w:spacing w:before="40" w:after="40"/>
              <w:jc w:val="center"/>
            </w:pPr>
            <w:r w:rsidRPr="00783571">
              <w:t>0</w:t>
            </w:r>
            <w:r w:rsidR="00A57EF2" w:rsidRPr="00783571">
              <w:t>.0006</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0BBEB996" w14:textId="77777777" w:rsidR="00A57EF2" w:rsidRPr="00783571" w:rsidRDefault="00A57EF2" w:rsidP="006705F3">
            <w:pPr>
              <w:pStyle w:val="TableText"/>
              <w:spacing w:before="40" w:after="40"/>
              <w:jc w:val="center"/>
            </w:pPr>
            <w:r w:rsidRPr="00783571">
              <w:t>0.0011</w:t>
            </w: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2EE27900" w14:textId="77777777" w:rsidR="00A57EF2" w:rsidRPr="00783571" w:rsidRDefault="00A57EF2" w:rsidP="006705F3">
            <w:pPr>
              <w:pStyle w:val="TableText"/>
              <w:spacing w:before="40" w:after="40"/>
              <w:jc w:val="center"/>
            </w:pPr>
            <w:r w:rsidRPr="00783571">
              <w:t>0.0016</w:t>
            </w:r>
          </w:p>
        </w:tc>
        <w:tc>
          <w:tcPr>
            <w:tcW w:w="1146" w:type="dxa"/>
            <w:tcBorders>
              <w:top w:val="single" w:sz="4" w:space="0" w:color="808080" w:themeColor="background1" w:themeShade="80"/>
              <w:bottom w:val="single" w:sz="4" w:space="0" w:color="808080" w:themeColor="background1" w:themeShade="80"/>
            </w:tcBorders>
            <w:shd w:val="clear" w:color="auto" w:fill="auto"/>
            <w:noWrap/>
            <w:hideMark/>
          </w:tcPr>
          <w:p w14:paraId="4148AFBE" w14:textId="77777777" w:rsidR="00A57EF2" w:rsidRPr="00783571" w:rsidRDefault="00A57EF2" w:rsidP="006705F3">
            <w:pPr>
              <w:pStyle w:val="TableText"/>
              <w:spacing w:before="40" w:after="40"/>
              <w:jc w:val="center"/>
            </w:pPr>
            <w:r w:rsidRPr="00783571">
              <w:t>0.0032</w:t>
            </w:r>
          </w:p>
        </w:tc>
        <w:tc>
          <w:tcPr>
            <w:tcW w:w="1146" w:type="dxa"/>
            <w:tcBorders>
              <w:top w:val="single" w:sz="4" w:space="0" w:color="808080" w:themeColor="background1" w:themeShade="80"/>
              <w:bottom w:val="single" w:sz="4" w:space="0" w:color="808080" w:themeColor="background1" w:themeShade="80"/>
            </w:tcBorders>
            <w:shd w:val="clear" w:color="auto" w:fill="auto"/>
            <w:noWrap/>
          </w:tcPr>
          <w:p w14:paraId="1C8AF573" w14:textId="77777777" w:rsidR="00A57EF2" w:rsidRPr="00783571" w:rsidRDefault="00A57EF2" w:rsidP="006705F3">
            <w:pPr>
              <w:pStyle w:val="TableText"/>
              <w:spacing w:before="40" w:after="40"/>
              <w:jc w:val="center"/>
            </w:pPr>
            <w:r w:rsidRPr="00783571">
              <w:t>0.0121</w:t>
            </w:r>
          </w:p>
        </w:tc>
        <w:tc>
          <w:tcPr>
            <w:tcW w:w="4297" w:type="dxa"/>
            <w:tcBorders>
              <w:top w:val="single" w:sz="4" w:space="0" w:color="808080" w:themeColor="background1" w:themeShade="80"/>
              <w:bottom w:val="single" w:sz="4" w:space="0" w:color="808080" w:themeColor="background1" w:themeShade="80"/>
            </w:tcBorders>
            <w:shd w:val="clear" w:color="auto" w:fill="auto"/>
            <w:noWrap/>
            <w:hideMark/>
          </w:tcPr>
          <w:p w14:paraId="19F7060F" w14:textId="2DD96468" w:rsidR="00A57EF2" w:rsidRPr="00783571" w:rsidRDefault="0006025F" w:rsidP="006705F3">
            <w:pPr>
              <w:pStyle w:val="TableText"/>
              <w:spacing w:before="40" w:after="40"/>
            </w:pPr>
            <w:r w:rsidRPr="00783571">
              <w:t>Calculated</w:t>
            </w:r>
            <w:r w:rsidRPr="00783571">
              <w:rPr>
                <w:vertAlign w:val="superscript"/>
              </w:rPr>
              <w:t>e</w:t>
            </w:r>
          </w:p>
        </w:tc>
      </w:tr>
      <w:tr w:rsidR="00A57EF2" w:rsidRPr="00783571" w14:paraId="3D08FAF6" w14:textId="77777777" w:rsidTr="00D05643">
        <w:trPr>
          <w:cantSplit/>
        </w:trPr>
        <w:tc>
          <w:tcPr>
            <w:tcW w:w="3089" w:type="dxa"/>
            <w:tcBorders>
              <w:top w:val="single" w:sz="4" w:space="0" w:color="808080" w:themeColor="background1" w:themeShade="80"/>
              <w:bottom w:val="single" w:sz="12" w:space="0" w:color="000000"/>
            </w:tcBorders>
            <w:shd w:val="clear" w:color="auto" w:fill="auto"/>
            <w:noWrap/>
            <w:hideMark/>
          </w:tcPr>
          <w:p w14:paraId="67A08B17" w14:textId="77777777" w:rsidR="00A57EF2" w:rsidRPr="00783571" w:rsidRDefault="00A57EF2" w:rsidP="006705F3">
            <w:pPr>
              <w:pStyle w:val="TableText"/>
              <w:spacing w:before="40" w:after="40"/>
              <w:ind w:left="450"/>
            </w:pPr>
            <w:r w:rsidRPr="00783571">
              <w:t>Male</w:t>
            </w:r>
          </w:p>
        </w:tc>
        <w:tc>
          <w:tcPr>
            <w:tcW w:w="1146" w:type="dxa"/>
            <w:tcBorders>
              <w:top w:val="single" w:sz="4" w:space="0" w:color="808080" w:themeColor="background1" w:themeShade="80"/>
              <w:bottom w:val="single" w:sz="12" w:space="0" w:color="000000"/>
            </w:tcBorders>
            <w:shd w:val="clear" w:color="auto" w:fill="auto"/>
            <w:noWrap/>
          </w:tcPr>
          <w:p w14:paraId="1504DFE1" w14:textId="77777777" w:rsidR="00A57EF2" w:rsidRPr="00783571" w:rsidRDefault="00A57EF2" w:rsidP="006705F3">
            <w:pPr>
              <w:pStyle w:val="TableText"/>
              <w:spacing w:before="40" w:after="40"/>
              <w:jc w:val="center"/>
            </w:pPr>
            <w:r w:rsidRPr="00783571">
              <w:t>0.0013</w:t>
            </w:r>
          </w:p>
        </w:tc>
        <w:tc>
          <w:tcPr>
            <w:tcW w:w="1146" w:type="dxa"/>
            <w:tcBorders>
              <w:top w:val="single" w:sz="4" w:space="0" w:color="808080" w:themeColor="background1" w:themeShade="80"/>
              <w:bottom w:val="single" w:sz="12" w:space="0" w:color="000000"/>
            </w:tcBorders>
            <w:shd w:val="clear" w:color="auto" w:fill="auto"/>
            <w:noWrap/>
          </w:tcPr>
          <w:p w14:paraId="770D6B24" w14:textId="77777777" w:rsidR="00A57EF2" w:rsidRPr="00783571" w:rsidRDefault="00A57EF2" w:rsidP="006705F3">
            <w:pPr>
              <w:pStyle w:val="TableText"/>
              <w:spacing w:before="40" w:after="40"/>
              <w:jc w:val="center"/>
            </w:pPr>
            <w:r w:rsidRPr="00783571">
              <w:t>0.0032</w:t>
            </w:r>
          </w:p>
        </w:tc>
        <w:tc>
          <w:tcPr>
            <w:tcW w:w="1146" w:type="dxa"/>
            <w:tcBorders>
              <w:top w:val="single" w:sz="4" w:space="0" w:color="808080" w:themeColor="background1" w:themeShade="80"/>
              <w:bottom w:val="single" w:sz="12" w:space="0" w:color="000000"/>
            </w:tcBorders>
            <w:shd w:val="clear" w:color="auto" w:fill="auto"/>
            <w:noWrap/>
          </w:tcPr>
          <w:p w14:paraId="58D42AF4" w14:textId="77777777" w:rsidR="00A57EF2" w:rsidRPr="00783571" w:rsidRDefault="00A57EF2" w:rsidP="006705F3">
            <w:pPr>
              <w:pStyle w:val="TableText"/>
              <w:spacing w:before="40" w:after="40"/>
              <w:jc w:val="center"/>
            </w:pPr>
            <w:r w:rsidRPr="00783571">
              <w:t>0.0036</w:t>
            </w:r>
          </w:p>
        </w:tc>
        <w:tc>
          <w:tcPr>
            <w:tcW w:w="1146" w:type="dxa"/>
            <w:tcBorders>
              <w:top w:val="single" w:sz="4" w:space="0" w:color="808080" w:themeColor="background1" w:themeShade="80"/>
              <w:bottom w:val="single" w:sz="12" w:space="0" w:color="000000"/>
            </w:tcBorders>
            <w:shd w:val="clear" w:color="auto" w:fill="auto"/>
            <w:noWrap/>
          </w:tcPr>
          <w:p w14:paraId="5E80BB9D" w14:textId="77777777" w:rsidR="00A57EF2" w:rsidRPr="00783571" w:rsidRDefault="00A57EF2" w:rsidP="006705F3">
            <w:pPr>
              <w:pStyle w:val="TableText"/>
              <w:spacing w:before="40" w:after="40"/>
              <w:jc w:val="center"/>
            </w:pPr>
            <w:r w:rsidRPr="00783571">
              <w:t>0.0054</w:t>
            </w:r>
          </w:p>
        </w:tc>
        <w:tc>
          <w:tcPr>
            <w:tcW w:w="1146" w:type="dxa"/>
            <w:tcBorders>
              <w:top w:val="single" w:sz="4" w:space="0" w:color="808080" w:themeColor="background1" w:themeShade="80"/>
              <w:bottom w:val="single" w:sz="12" w:space="0" w:color="000000"/>
            </w:tcBorders>
            <w:shd w:val="clear" w:color="auto" w:fill="auto"/>
            <w:noWrap/>
          </w:tcPr>
          <w:p w14:paraId="0BAA623C" w14:textId="77777777" w:rsidR="00A57EF2" w:rsidRPr="00783571" w:rsidRDefault="00A57EF2" w:rsidP="006705F3">
            <w:pPr>
              <w:pStyle w:val="TableText"/>
              <w:spacing w:before="40" w:after="40"/>
              <w:jc w:val="center"/>
            </w:pPr>
            <w:r w:rsidRPr="00783571">
              <w:t>0.0201</w:t>
            </w:r>
          </w:p>
        </w:tc>
        <w:tc>
          <w:tcPr>
            <w:tcW w:w="4297" w:type="dxa"/>
            <w:tcBorders>
              <w:top w:val="single" w:sz="4" w:space="0" w:color="808080" w:themeColor="background1" w:themeShade="80"/>
              <w:bottom w:val="single" w:sz="12" w:space="0" w:color="000000"/>
            </w:tcBorders>
            <w:shd w:val="clear" w:color="auto" w:fill="auto"/>
            <w:noWrap/>
            <w:hideMark/>
          </w:tcPr>
          <w:p w14:paraId="2287565D" w14:textId="45A7B141" w:rsidR="00A57EF2" w:rsidRPr="00783571" w:rsidRDefault="0006025F" w:rsidP="006705F3">
            <w:pPr>
              <w:pStyle w:val="TableText"/>
              <w:spacing w:before="40" w:after="40"/>
            </w:pPr>
            <w:r w:rsidRPr="00783571">
              <w:t>Calculated</w:t>
            </w:r>
            <w:r w:rsidRPr="00783571">
              <w:rPr>
                <w:vertAlign w:val="superscript"/>
              </w:rPr>
              <w:t>e</w:t>
            </w:r>
          </w:p>
        </w:tc>
      </w:tr>
    </w:tbl>
    <w:p w14:paraId="1C908CA8" w14:textId="4AEA9B39" w:rsidR="00A57EF2" w:rsidRPr="00783571" w:rsidRDefault="00B8648E" w:rsidP="00D05643">
      <w:pPr>
        <w:pStyle w:val="Source2"/>
      </w:pPr>
      <w:r w:rsidRPr="00783571">
        <w:t xml:space="preserve">Note: </w:t>
      </w:r>
      <w:r w:rsidR="00A57EF2" w:rsidRPr="00783571">
        <w:t>ART</w:t>
      </w:r>
      <w:r w:rsidR="00E628BE" w:rsidRPr="00783571">
        <w:t> = </w:t>
      </w:r>
      <w:r w:rsidR="00A57EF2" w:rsidRPr="00783571">
        <w:t xml:space="preserve">antiretroviral therapy; </w:t>
      </w:r>
      <w:r w:rsidR="00B8371F" w:rsidRPr="00783571">
        <w:t>B</w:t>
      </w:r>
      <w:r w:rsidR="00E628BE" w:rsidRPr="00783571">
        <w:t> = </w:t>
      </w:r>
      <w:r w:rsidR="008E4A7C" w:rsidRPr="00783571">
        <w:t>b</w:t>
      </w:r>
      <w:r w:rsidR="00B8371F" w:rsidRPr="00783571">
        <w:t>lack; H</w:t>
      </w:r>
      <w:r w:rsidR="00E628BE" w:rsidRPr="00783571">
        <w:t> = </w:t>
      </w:r>
      <w:r w:rsidR="00B8371F" w:rsidRPr="00783571">
        <w:t>Hispanic/Latino; O</w:t>
      </w:r>
      <w:r w:rsidR="00E628BE" w:rsidRPr="00783571">
        <w:t> = </w:t>
      </w:r>
      <w:r w:rsidR="008E4A7C" w:rsidRPr="00783571">
        <w:t>o</w:t>
      </w:r>
      <w:r w:rsidR="00B8371F" w:rsidRPr="00783571">
        <w:t xml:space="preserve">ther race; </w:t>
      </w:r>
      <w:r w:rsidR="00A57EF2" w:rsidRPr="00783571">
        <w:t>CDC</w:t>
      </w:r>
      <w:r w:rsidR="00E628BE" w:rsidRPr="00783571">
        <w:t> = </w:t>
      </w:r>
      <w:r w:rsidR="00A57EF2" w:rsidRPr="00783571">
        <w:t>Centers for Disease Control and Prevention; HET</w:t>
      </w:r>
      <w:r w:rsidR="00E628BE" w:rsidRPr="00783571">
        <w:t> = </w:t>
      </w:r>
      <w:r w:rsidR="00A57EF2" w:rsidRPr="00783571">
        <w:t>heterosexual; HIV</w:t>
      </w:r>
      <w:r w:rsidR="00E628BE" w:rsidRPr="00783571">
        <w:t> = </w:t>
      </w:r>
      <w:r w:rsidR="00A57EF2" w:rsidRPr="00783571">
        <w:t>human immunodeficiency virus; MSM</w:t>
      </w:r>
      <w:r w:rsidR="00E628BE" w:rsidRPr="00783571">
        <w:t> = </w:t>
      </w:r>
      <w:r w:rsidR="00A57EF2" w:rsidRPr="00783571">
        <w:t>men who have sex with men; NCHS</w:t>
      </w:r>
      <w:r w:rsidR="00E628BE" w:rsidRPr="00783571">
        <w:t> = </w:t>
      </w:r>
      <w:r w:rsidR="00A57EF2" w:rsidRPr="00783571">
        <w:t>National Center for Health Statistics</w:t>
      </w:r>
      <w:r w:rsidR="00F77D76" w:rsidRPr="00783571">
        <w:t xml:space="preserve">; </w:t>
      </w:r>
      <w:r w:rsidR="00A90192" w:rsidRPr="00783571">
        <w:t>PLWH</w:t>
      </w:r>
      <w:r w:rsidR="00E628BE" w:rsidRPr="00783571">
        <w:t> = </w:t>
      </w:r>
      <w:r w:rsidR="00A90192" w:rsidRPr="00783571">
        <w:t xml:space="preserve">people living with HIV; </w:t>
      </w:r>
      <w:r w:rsidR="00F77D76" w:rsidRPr="00783571">
        <w:t>PWID</w:t>
      </w:r>
      <w:r w:rsidR="00E628BE" w:rsidRPr="00783571">
        <w:t> = </w:t>
      </w:r>
      <w:r w:rsidR="00F77D76" w:rsidRPr="00783571">
        <w:t>people who inject drugs</w:t>
      </w:r>
    </w:p>
    <w:p w14:paraId="7070C1F9" w14:textId="56863985" w:rsidR="00A57EF2" w:rsidRPr="00783571" w:rsidRDefault="00A57EF2" w:rsidP="00D05643">
      <w:pPr>
        <w:pStyle w:val="Source3"/>
      </w:pPr>
      <w:r w:rsidRPr="00783571">
        <w:rPr>
          <w:vertAlign w:val="superscript"/>
        </w:rPr>
        <w:t>a</w:t>
      </w:r>
      <w:r w:rsidR="00786610" w:rsidRPr="00783571">
        <w:rPr>
          <w:vertAlign w:val="superscript"/>
        </w:rPr>
        <w:t xml:space="preserve"> </w:t>
      </w:r>
      <w:r w:rsidR="005C6FD3" w:rsidRPr="00783571">
        <w:t>If the youngest age group is 13</w:t>
      </w:r>
      <w:r w:rsidR="005B1CD9" w:rsidRPr="00783571">
        <w:t xml:space="preserve"> to </w:t>
      </w:r>
      <w:r w:rsidR="005C6FD3" w:rsidRPr="00783571">
        <w:t xml:space="preserve">17, the rate was set </w:t>
      </w:r>
      <w:r w:rsidR="003C150A" w:rsidRPr="00783571">
        <w:t>approximately equal to 1 ÷</w:t>
      </w:r>
      <w:r w:rsidR="003C150A" w:rsidRPr="00783571" w:rsidDel="009B126F">
        <w:t xml:space="preserve"> </w:t>
      </w:r>
      <w:r w:rsidR="003C150A" w:rsidRPr="00783571">
        <w:t>(number of years in the 13</w:t>
      </w:r>
      <w:r w:rsidR="005B1CD9" w:rsidRPr="00783571">
        <w:t xml:space="preserve"> to </w:t>
      </w:r>
      <w:r w:rsidR="003C150A" w:rsidRPr="00783571">
        <w:t xml:space="preserve">17 age group) and adjusted </w:t>
      </w:r>
      <w:r w:rsidR="005C6FD3" w:rsidRPr="00783571">
        <w:t>so that the population size was stable over time</w:t>
      </w:r>
      <w:r w:rsidR="00EA00B7" w:rsidRPr="00783571">
        <w:t xml:space="preserve"> (until 2015)</w:t>
      </w:r>
      <w:r w:rsidR="005C6FD3" w:rsidRPr="00783571">
        <w:t>. If the youngest age group is 18</w:t>
      </w:r>
      <w:r w:rsidR="005B1CD9" w:rsidRPr="00783571">
        <w:t xml:space="preserve"> to </w:t>
      </w:r>
      <w:r w:rsidR="005C6FD3" w:rsidRPr="00783571">
        <w:t>24, t</w:t>
      </w:r>
      <w:r w:rsidRPr="00783571">
        <w:t>he rate of aging into the model is equal to 1 ÷</w:t>
      </w:r>
      <w:r w:rsidRPr="00783571" w:rsidDel="009B126F">
        <w:t xml:space="preserve"> </w:t>
      </w:r>
      <w:r w:rsidRPr="00783571">
        <w:t xml:space="preserve">(number of years in </w:t>
      </w:r>
      <w:r w:rsidR="005C6FD3" w:rsidRPr="00783571">
        <w:t>the 18</w:t>
      </w:r>
      <w:r w:rsidR="005B1CD9" w:rsidRPr="00783571">
        <w:t xml:space="preserve"> to </w:t>
      </w:r>
      <w:r w:rsidR="005C6FD3" w:rsidRPr="00783571">
        <w:t>24 age group).</w:t>
      </w:r>
    </w:p>
    <w:p w14:paraId="30CE6F75" w14:textId="5BB4D50F" w:rsidR="00A57EF2" w:rsidRPr="00783571" w:rsidRDefault="00A57EF2" w:rsidP="00D05643">
      <w:pPr>
        <w:pStyle w:val="Source3"/>
      </w:pPr>
      <w:r w:rsidRPr="00783571">
        <w:rPr>
          <w:vertAlign w:val="superscript"/>
        </w:rPr>
        <w:t>b</w:t>
      </w:r>
      <w:r w:rsidR="00786610" w:rsidRPr="00783571">
        <w:rPr>
          <w:vertAlign w:val="superscript"/>
        </w:rPr>
        <w:t xml:space="preserve"> </w:t>
      </w:r>
      <w:r w:rsidRPr="00783571">
        <w:t>Departure from CD4 &lt; 200 stage</w:t>
      </w:r>
      <w:r w:rsidR="00361319" w:rsidRPr="00783571">
        <w:t xml:space="preserve"> leads to</w:t>
      </w:r>
      <w:r w:rsidRPr="00783571">
        <w:t xml:space="preserve"> death from AIDS.</w:t>
      </w:r>
    </w:p>
    <w:p w14:paraId="7C70B488" w14:textId="72619520" w:rsidR="004F4E6D" w:rsidRPr="00783571" w:rsidRDefault="0006025F" w:rsidP="00D05643">
      <w:pPr>
        <w:pStyle w:val="Source3"/>
      </w:pPr>
      <w:r w:rsidRPr="00783571">
        <w:rPr>
          <w:vertAlign w:val="superscript"/>
        </w:rPr>
        <w:t xml:space="preserve">c </w:t>
      </w:r>
      <w:r w:rsidRPr="00783571">
        <w:t xml:space="preserve">It is assumed that PLWH who </w:t>
      </w:r>
      <w:r w:rsidR="0040486A" w:rsidRPr="00783571">
        <w:t xml:space="preserve">are </w:t>
      </w:r>
      <w:r w:rsidR="00825F9B" w:rsidRPr="00783571">
        <w:t>ART-not-</w:t>
      </w:r>
      <w:r w:rsidRPr="00783571">
        <w:t xml:space="preserve">VLS experience slowed disease progression and that those who are VLS experience mostly improvement in CD4 rather than disease progression. These assumptions were found to be mathematically essential for the model to simultaneously replicate both the incidence and prevalence trends reported in CDC surveillance data. See </w:t>
      </w:r>
      <w:r w:rsidR="00CA2896" w:rsidRPr="00783571">
        <w:t>Section </w:t>
      </w:r>
      <w:r w:rsidRPr="00783571">
        <w:t>9 for further details on the calibration process.</w:t>
      </w:r>
    </w:p>
    <w:p w14:paraId="3A144189" w14:textId="77777777" w:rsidR="001F5372" w:rsidRPr="00783571" w:rsidRDefault="0006025F" w:rsidP="00D05643">
      <w:pPr>
        <w:pStyle w:val="Source3"/>
      </w:pPr>
      <w:r w:rsidRPr="00783571">
        <w:rPr>
          <w:vertAlign w:val="superscript"/>
        </w:rPr>
        <w:t xml:space="preserve">d </w:t>
      </w:r>
      <w:r w:rsidR="00A57EF2" w:rsidRPr="00783571">
        <w:t xml:space="preserve">Source based on ages 18 </w:t>
      </w:r>
      <w:r w:rsidR="00D25FAD" w:rsidRPr="00783571">
        <w:t xml:space="preserve">or </w:t>
      </w:r>
      <w:r w:rsidR="00A57EF2" w:rsidRPr="00783571">
        <w:t>older. The probabilities are assumed to be the same for ages 13</w:t>
      </w:r>
      <w:r w:rsidR="005B1CD9" w:rsidRPr="00783571">
        <w:t xml:space="preserve"> to </w:t>
      </w:r>
      <w:r w:rsidR="002F2B6F" w:rsidRPr="00783571">
        <w:t>17,</w:t>
      </w:r>
      <w:r w:rsidR="00E7462F" w:rsidRPr="00783571">
        <w:t xml:space="preserve"> </w:t>
      </w:r>
      <w:r w:rsidR="00A57EF2" w:rsidRPr="00783571">
        <w:t>18</w:t>
      </w:r>
      <w:r w:rsidR="005B1CD9" w:rsidRPr="00783571">
        <w:t xml:space="preserve"> to </w:t>
      </w:r>
      <w:r w:rsidR="00A57EF2" w:rsidRPr="00783571">
        <w:t>24</w:t>
      </w:r>
      <w:r w:rsidR="00D5314C" w:rsidRPr="00783571">
        <w:t>,</w:t>
      </w:r>
      <w:r w:rsidR="00653485" w:rsidRPr="00783571">
        <w:t xml:space="preserve"> and 25-34</w:t>
      </w:r>
      <w:r w:rsidR="00A57EF2" w:rsidRPr="00783571">
        <w:t>.</w:t>
      </w:r>
      <w:r w:rsidR="006330C5" w:rsidRPr="00783571">
        <w:t xml:space="preserve"> Values calculated directly from NA-ACCORD data based on mortality rates of NA-ACCORD participants.</w:t>
      </w:r>
    </w:p>
    <w:p w14:paraId="039238D1" w14:textId="48D1F797" w:rsidR="00A57EF2" w:rsidRPr="00783571" w:rsidRDefault="0006025F" w:rsidP="00D05643">
      <w:pPr>
        <w:pStyle w:val="Source4"/>
      </w:pPr>
      <w:r w:rsidRPr="00783571">
        <w:rPr>
          <w:vertAlign w:val="superscript"/>
        </w:rPr>
        <w:t xml:space="preserve">e </w:t>
      </w:r>
      <w:r w:rsidR="00A57EF2" w:rsidRPr="00783571">
        <w:t xml:space="preserve">Calculated as the risk from CDC/NCHS life tables multiplied by the relative risk of death for </w:t>
      </w:r>
      <w:r w:rsidR="00F77D76" w:rsidRPr="00783571">
        <w:t>PWID</w:t>
      </w:r>
      <w:r w:rsidR="00A57EF2" w:rsidRPr="00783571">
        <w:t xml:space="preserve"> versus non-</w:t>
      </w:r>
      <w:r w:rsidR="00F77D76" w:rsidRPr="00783571">
        <w:t>PWID</w:t>
      </w:r>
      <w:r w:rsidR="00A57EF2" w:rsidRPr="00783571">
        <w:t xml:space="preserve"> population.</w:t>
      </w:r>
    </w:p>
    <w:p w14:paraId="5FD417F8" w14:textId="77777777" w:rsidR="001A6C07" w:rsidRPr="00783571" w:rsidRDefault="001A6C07">
      <w:pPr>
        <w:rPr>
          <w:b/>
        </w:rPr>
      </w:pPr>
      <w:r w:rsidRPr="00783571">
        <w:br w:type="page"/>
      </w:r>
    </w:p>
    <w:p w14:paraId="1B9A56CF" w14:textId="356BB7DC" w:rsidR="00A57EF2" w:rsidRPr="00783571" w:rsidRDefault="004F4E6D" w:rsidP="00260D8A">
      <w:pPr>
        <w:pStyle w:val="TableTitle"/>
        <w:ind w:left="1530"/>
      </w:pPr>
      <w:bookmarkStart w:id="22" w:name="_Toc510104018"/>
      <w:r w:rsidRPr="00783571">
        <w:t>Table 5.</w:t>
      </w:r>
      <w:r w:rsidR="00A57EF2" w:rsidRPr="00783571">
        <w:t>2.</w:t>
      </w:r>
      <w:r w:rsidR="00A57EF2" w:rsidRPr="00783571">
        <w:tab/>
      </w:r>
      <w:r w:rsidR="000D6E53" w:rsidRPr="00783571">
        <w:t xml:space="preserve">Inputs for Calculating </w:t>
      </w:r>
      <w:r w:rsidR="00436213" w:rsidRPr="00783571">
        <w:t xml:space="preserve">Rates </w:t>
      </w:r>
      <w:r w:rsidR="000D6E53" w:rsidRPr="00783571">
        <w:t xml:space="preserve">of Undiagnosed HIV-Infected </w:t>
      </w:r>
      <w:r w:rsidR="000507A1" w:rsidRPr="00783571">
        <w:t xml:space="preserve">and HIV-Uninfected </w:t>
      </w:r>
      <w:r w:rsidR="000D6E53" w:rsidRPr="00783571">
        <w:t>Individuals</w:t>
      </w:r>
      <w:r w:rsidR="00A57EF2" w:rsidRPr="00783571">
        <w:t xml:space="preserve"> Getting Tested</w:t>
      </w:r>
      <w:bookmarkEnd w:id="22"/>
      <w:r w:rsidR="00A57EF2" w:rsidRPr="00783571">
        <w:t xml:space="preserve"> </w:t>
      </w:r>
    </w:p>
    <w:tbl>
      <w:tblPr>
        <w:tblW w:w="5000"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4801"/>
        <w:gridCol w:w="4320"/>
        <w:gridCol w:w="3839"/>
      </w:tblGrid>
      <w:tr w:rsidR="00562574" w:rsidRPr="00783571" w14:paraId="0604F852" w14:textId="77777777" w:rsidTr="00D05643">
        <w:trPr>
          <w:cantSplit/>
          <w:tblHeader/>
        </w:trPr>
        <w:tc>
          <w:tcPr>
            <w:tcW w:w="4801" w:type="dxa"/>
            <w:tcBorders>
              <w:top w:val="single" w:sz="12" w:space="0" w:color="000000"/>
              <w:bottom w:val="single" w:sz="6" w:space="0" w:color="auto"/>
            </w:tcBorders>
            <w:shd w:val="clear" w:color="auto" w:fill="auto"/>
            <w:noWrap/>
            <w:vAlign w:val="bottom"/>
            <w:hideMark/>
          </w:tcPr>
          <w:p w14:paraId="0B011579" w14:textId="77777777" w:rsidR="00562574" w:rsidRPr="00783571" w:rsidRDefault="00562574" w:rsidP="003B19DD">
            <w:pPr>
              <w:pStyle w:val="TableHeaders"/>
            </w:pPr>
            <w:r w:rsidRPr="00783571">
              <w:t>Parameter</w:t>
            </w:r>
          </w:p>
        </w:tc>
        <w:tc>
          <w:tcPr>
            <w:tcW w:w="4320" w:type="dxa"/>
            <w:tcBorders>
              <w:top w:val="single" w:sz="12" w:space="0" w:color="000000"/>
              <w:bottom w:val="single" w:sz="6" w:space="0" w:color="auto"/>
            </w:tcBorders>
            <w:shd w:val="clear" w:color="auto" w:fill="auto"/>
            <w:noWrap/>
            <w:vAlign w:val="bottom"/>
            <w:hideMark/>
          </w:tcPr>
          <w:p w14:paraId="071CB960" w14:textId="7D6D2596" w:rsidR="00562574" w:rsidRPr="00783571" w:rsidRDefault="00562574" w:rsidP="00562574">
            <w:pPr>
              <w:pStyle w:val="TableHeaders"/>
            </w:pPr>
            <w:r w:rsidRPr="00783571">
              <w:t>Value</w:t>
            </w:r>
          </w:p>
        </w:tc>
        <w:tc>
          <w:tcPr>
            <w:tcW w:w="3839" w:type="dxa"/>
            <w:tcBorders>
              <w:top w:val="single" w:sz="12" w:space="0" w:color="000000"/>
              <w:bottom w:val="single" w:sz="6" w:space="0" w:color="auto"/>
            </w:tcBorders>
            <w:shd w:val="clear" w:color="auto" w:fill="auto"/>
            <w:vAlign w:val="bottom"/>
          </w:tcPr>
          <w:p w14:paraId="26D2F4C5" w14:textId="740051A4" w:rsidR="00562574" w:rsidRPr="00783571" w:rsidRDefault="00562574" w:rsidP="003B19DD">
            <w:pPr>
              <w:pStyle w:val="TableHeaders"/>
            </w:pPr>
            <w:r w:rsidRPr="00783571">
              <w:t>Source</w:t>
            </w:r>
          </w:p>
        </w:tc>
      </w:tr>
      <w:tr w:rsidR="00A57EF2" w:rsidRPr="00783571" w14:paraId="152AC9B7" w14:textId="77777777" w:rsidTr="00D05643">
        <w:trPr>
          <w:cantSplit/>
        </w:trPr>
        <w:tc>
          <w:tcPr>
            <w:tcW w:w="12960" w:type="dxa"/>
            <w:gridSpan w:val="3"/>
            <w:tcBorders>
              <w:top w:val="single" w:sz="6" w:space="0" w:color="auto"/>
              <w:bottom w:val="single" w:sz="6" w:space="0" w:color="808080" w:themeColor="background1" w:themeShade="80"/>
            </w:tcBorders>
            <w:shd w:val="clear" w:color="auto" w:fill="auto"/>
            <w:noWrap/>
            <w:hideMark/>
          </w:tcPr>
          <w:p w14:paraId="07B71199" w14:textId="5B49B98C" w:rsidR="00A57EF2" w:rsidRPr="00783571" w:rsidRDefault="00A57EF2" w:rsidP="00D5314C">
            <w:pPr>
              <w:pStyle w:val="TableText"/>
            </w:pPr>
            <w:r w:rsidRPr="00783571">
              <w:t xml:space="preserve">Annual </w:t>
            </w:r>
            <w:r w:rsidR="00436213" w:rsidRPr="00783571">
              <w:t xml:space="preserve">rate </w:t>
            </w:r>
            <w:r w:rsidRPr="00783571">
              <w:t xml:space="preserve">of </w:t>
            </w:r>
            <w:r w:rsidR="000D6E53" w:rsidRPr="00783571">
              <w:t xml:space="preserve">HIV-infected individual </w:t>
            </w:r>
            <w:r w:rsidRPr="00783571">
              <w:t>getting tested for reference case</w:t>
            </w:r>
            <w:r w:rsidR="00BE2E41" w:rsidRPr="00783571">
              <w:t xml:space="preserve"> in second and third time periods</w:t>
            </w:r>
            <w:r w:rsidR="001F5372" w:rsidRPr="00783571">
              <w:t xml:space="preserve"> </w:t>
            </w:r>
            <w:r w:rsidRPr="00783571">
              <w:t xml:space="preserve">(HET, </w:t>
            </w:r>
            <w:r w:rsidR="00436213" w:rsidRPr="00783571">
              <w:t>B</w:t>
            </w:r>
            <w:r w:rsidRPr="00783571">
              <w:t xml:space="preserve">lack, </w:t>
            </w:r>
            <w:r w:rsidR="00436213" w:rsidRPr="00783571">
              <w:t>CD4 &gt; 500</w:t>
            </w:r>
            <w:r w:rsidRPr="00783571">
              <w:t>)</w:t>
            </w:r>
          </w:p>
        </w:tc>
      </w:tr>
      <w:tr w:rsidR="00562574" w:rsidRPr="00783571" w14:paraId="521DC68B"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25892EA0" w14:textId="77777777" w:rsidR="00562574" w:rsidRPr="00783571" w:rsidRDefault="00562574" w:rsidP="003B19DD">
            <w:pPr>
              <w:pStyle w:val="TableText"/>
            </w:pP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2D5BDF55" w14:textId="658233BF" w:rsidR="00562574" w:rsidRPr="00783571" w:rsidRDefault="00FB56CA" w:rsidP="008E4A7C">
            <w:pPr>
              <w:pStyle w:val="TableTextDec"/>
              <w:tabs>
                <w:tab w:val="clear" w:pos="1015"/>
                <w:tab w:val="decimal" w:pos="-21"/>
              </w:tabs>
              <w:jc w:val="center"/>
            </w:pPr>
            <w:r w:rsidRPr="00783571">
              <w:t>0.1</w:t>
            </w:r>
            <w:r w:rsidR="00E16A72" w:rsidRPr="00783571">
              <w:t>41</w:t>
            </w:r>
          </w:p>
        </w:tc>
        <w:tc>
          <w:tcPr>
            <w:tcW w:w="3839" w:type="dxa"/>
            <w:tcBorders>
              <w:top w:val="single" w:sz="6" w:space="0" w:color="808080" w:themeColor="background1" w:themeShade="80"/>
              <w:bottom w:val="single" w:sz="6" w:space="0" w:color="808080" w:themeColor="background1" w:themeShade="80"/>
            </w:tcBorders>
            <w:shd w:val="clear" w:color="auto" w:fill="auto"/>
          </w:tcPr>
          <w:p w14:paraId="7C11CE21" w14:textId="2891D545" w:rsidR="00562574" w:rsidRPr="00783571" w:rsidRDefault="00562574" w:rsidP="003B19DD">
            <w:pPr>
              <w:pStyle w:val="TableText"/>
            </w:pPr>
            <w:r w:rsidRPr="00783571">
              <w:t>Determined by calibration</w:t>
            </w:r>
          </w:p>
        </w:tc>
      </w:tr>
      <w:tr w:rsidR="00A57EF2" w:rsidRPr="00783571" w14:paraId="2387AEA0" w14:textId="77777777" w:rsidTr="00D05643">
        <w:trPr>
          <w:cantSplit/>
        </w:trPr>
        <w:tc>
          <w:tcPr>
            <w:tcW w:w="12960" w:type="dxa"/>
            <w:gridSpan w:val="3"/>
            <w:tcBorders>
              <w:top w:val="single" w:sz="6" w:space="0" w:color="808080" w:themeColor="background1" w:themeShade="80"/>
              <w:bottom w:val="single" w:sz="6" w:space="0" w:color="808080" w:themeColor="background1" w:themeShade="80"/>
            </w:tcBorders>
            <w:shd w:val="clear" w:color="auto" w:fill="auto"/>
            <w:noWrap/>
            <w:hideMark/>
          </w:tcPr>
          <w:p w14:paraId="5B569464" w14:textId="791EEB1C" w:rsidR="00A57EF2" w:rsidRPr="00783571" w:rsidRDefault="000D6E53" w:rsidP="00CE0914">
            <w:pPr>
              <w:pStyle w:val="TableTextDec"/>
            </w:pPr>
            <w:r w:rsidRPr="00783571">
              <w:t xml:space="preserve">Multiplier for annual </w:t>
            </w:r>
            <w:r w:rsidR="00436213" w:rsidRPr="00783571">
              <w:t xml:space="preserve">rate </w:t>
            </w:r>
            <w:r w:rsidRPr="00783571">
              <w:t xml:space="preserve">of </w:t>
            </w:r>
            <w:r w:rsidR="00A57EF2" w:rsidRPr="00783571">
              <w:t>getting tested by HIV stage, race</w:t>
            </w:r>
            <w:r w:rsidR="00710F65" w:rsidRPr="00783571">
              <w:t>/ethnicity</w:t>
            </w:r>
            <w:r w:rsidR="00A57EF2" w:rsidRPr="00783571">
              <w:t>, and transmission group</w:t>
            </w:r>
            <w:r w:rsidRPr="00783571">
              <w:t xml:space="preserve"> versus the reference case</w:t>
            </w:r>
            <w:r w:rsidR="000B68B7" w:rsidRPr="00783571">
              <w:t xml:space="preserve"> in second and third time periods </w:t>
            </w:r>
            <w:r w:rsidR="00A57EF2" w:rsidRPr="00783571">
              <w:rPr>
                <w:vertAlign w:val="superscript"/>
              </w:rPr>
              <w:t>a</w:t>
            </w:r>
          </w:p>
        </w:tc>
      </w:tr>
      <w:tr w:rsidR="00DF1AFE" w:rsidRPr="00783571" w14:paraId="2576248B"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2742F1FD" w14:textId="3C14BE0E" w:rsidR="00DF1AFE" w:rsidRPr="00783571" w:rsidRDefault="00DF1AFE" w:rsidP="00DF1AFE">
            <w:pPr>
              <w:pStyle w:val="TableText"/>
              <w:ind w:left="180"/>
            </w:pPr>
            <w:r w:rsidRPr="00783571">
              <w:t>HIV status (reference: non-acute, CD4 &gt; 500)</w:t>
            </w:r>
          </w:p>
        </w:tc>
        <w:tc>
          <w:tcPr>
            <w:tcW w:w="8159" w:type="dxa"/>
            <w:gridSpan w:val="2"/>
            <w:tcBorders>
              <w:top w:val="single" w:sz="6" w:space="0" w:color="808080" w:themeColor="background1" w:themeShade="80"/>
              <w:bottom w:val="single" w:sz="6" w:space="0" w:color="808080" w:themeColor="background1" w:themeShade="80"/>
            </w:tcBorders>
            <w:shd w:val="clear" w:color="auto" w:fill="auto"/>
            <w:noWrap/>
            <w:hideMark/>
          </w:tcPr>
          <w:p w14:paraId="12175DCC" w14:textId="77777777" w:rsidR="00DF1AFE" w:rsidRPr="00783571" w:rsidRDefault="00DF1AFE" w:rsidP="003B19DD">
            <w:pPr>
              <w:pStyle w:val="TableText"/>
            </w:pPr>
          </w:p>
        </w:tc>
      </w:tr>
      <w:tr w:rsidR="00562574" w:rsidRPr="00783571" w14:paraId="796B1059"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40649C46" w14:textId="77777777" w:rsidR="00562574" w:rsidRPr="00783571" w:rsidRDefault="00562574" w:rsidP="00896106">
            <w:pPr>
              <w:pStyle w:val="TableText"/>
              <w:ind w:left="450"/>
            </w:pPr>
            <w:r w:rsidRPr="00783571">
              <w:t>Uninfected</w:t>
            </w: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521B21BF" w14:textId="4FBA3304" w:rsidR="00562574" w:rsidRPr="00783571" w:rsidRDefault="00FB56CA" w:rsidP="00562574">
            <w:pPr>
              <w:pStyle w:val="TableTextDec"/>
              <w:tabs>
                <w:tab w:val="clear" w:pos="1015"/>
                <w:tab w:val="decimal" w:pos="-21"/>
              </w:tabs>
              <w:jc w:val="center"/>
            </w:pPr>
            <w:r w:rsidRPr="00783571">
              <w:t>0.43</w:t>
            </w:r>
          </w:p>
        </w:tc>
        <w:tc>
          <w:tcPr>
            <w:tcW w:w="3839" w:type="dxa"/>
            <w:tcBorders>
              <w:top w:val="single" w:sz="6" w:space="0" w:color="808080" w:themeColor="background1" w:themeShade="80"/>
              <w:bottom w:val="single" w:sz="6" w:space="0" w:color="808080" w:themeColor="background1" w:themeShade="80"/>
            </w:tcBorders>
            <w:shd w:val="clear" w:color="auto" w:fill="auto"/>
          </w:tcPr>
          <w:p w14:paraId="20DA7FF1" w14:textId="0E9B1A9D" w:rsidR="00562574" w:rsidRPr="00783571" w:rsidRDefault="00562574" w:rsidP="008D0B04">
            <w:pPr>
              <w:pStyle w:val="TableText"/>
            </w:pPr>
            <w:r w:rsidRPr="00783571">
              <w:t>Derived from CDC (2013b)</w:t>
            </w:r>
            <w:r w:rsidRPr="00783571">
              <w:rPr>
                <w:vertAlign w:val="superscript"/>
              </w:rPr>
              <w:t>b</w:t>
            </w:r>
            <w:r w:rsidRPr="00783571">
              <w:t xml:space="preserve"> </w:t>
            </w:r>
          </w:p>
        </w:tc>
      </w:tr>
      <w:tr w:rsidR="00562574" w:rsidRPr="00783571" w14:paraId="3EB25AE5"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1B5F1155" w14:textId="77777777" w:rsidR="00562574" w:rsidRPr="00783571" w:rsidRDefault="00562574" w:rsidP="001A72D1">
            <w:pPr>
              <w:pStyle w:val="TableText"/>
              <w:ind w:left="450"/>
            </w:pPr>
            <w:r w:rsidRPr="00783571">
              <w:t>Acute</w:t>
            </w: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36368DD8" w14:textId="2B45C696" w:rsidR="00562574" w:rsidRPr="00783571" w:rsidRDefault="00FB56CA" w:rsidP="00562574">
            <w:pPr>
              <w:pStyle w:val="TableTextDec"/>
              <w:tabs>
                <w:tab w:val="clear" w:pos="1015"/>
                <w:tab w:val="decimal" w:pos="-21"/>
              </w:tabs>
              <w:jc w:val="center"/>
            </w:pPr>
            <w:r w:rsidRPr="00783571">
              <w:t>1.</w:t>
            </w:r>
            <w:r w:rsidR="00E16A72" w:rsidRPr="00783571">
              <w:t>15</w:t>
            </w:r>
          </w:p>
        </w:tc>
        <w:tc>
          <w:tcPr>
            <w:tcW w:w="3839" w:type="dxa"/>
            <w:vMerge w:val="restart"/>
            <w:tcBorders>
              <w:top w:val="single" w:sz="6" w:space="0" w:color="808080" w:themeColor="background1" w:themeShade="80"/>
              <w:bottom w:val="single" w:sz="6" w:space="0" w:color="808080" w:themeColor="background1" w:themeShade="80"/>
            </w:tcBorders>
            <w:shd w:val="clear" w:color="auto" w:fill="auto"/>
          </w:tcPr>
          <w:p w14:paraId="185CE463" w14:textId="3A78F8BC" w:rsidR="00562574" w:rsidRPr="00783571" w:rsidRDefault="00562574" w:rsidP="003B19DD">
            <w:pPr>
              <w:pStyle w:val="TableText"/>
            </w:pPr>
            <w:r w:rsidRPr="00783571">
              <w:t>Determined by calibration</w:t>
            </w:r>
          </w:p>
        </w:tc>
      </w:tr>
      <w:tr w:rsidR="00562574" w:rsidRPr="00783571" w14:paraId="30CE7468"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5B55CE1E" w14:textId="77777777" w:rsidR="00562574" w:rsidRPr="00783571" w:rsidRDefault="00562574" w:rsidP="003B19DD">
            <w:pPr>
              <w:pStyle w:val="TableText"/>
              <w:ind w:left="450"/>
            </w:pPr>
            <w:r w:rsidRPr="00783571">
              <w:t>CD4 350–500</w:t>
            </w: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12915DCD" w14:textId="2F1EC67A" w:rsidR="00562574" w:rsidRPr="00783571" w:rsidRDefault="00FB56CA" w:rsidP="008E4A7C">
            <w:pPr>
              <w:pStyle w:val="TableText"/>
              <w:jc w:val="center"/>
            </w:pPr>
            <w:r w:rsidRPr="00783571">
              <w:t>2.</w:t>
            </w:r>
            <w:r w:rsidR="00E16A72" w:rsidRPr="00783571">
              <w:t>08</w:t>
            </w:r>
          </w:p>
        </w:tc>
        <w:tc>
          <w:tcPr>
            <w:tcW w:w="3839" w:type="dxa"/>
            <w:vMerge/>
            <w:tcBorders>
              <w:top w:val="single" w:sz="6" w:space="0" w:color="808080" w:themeColor="background1" w:themeShade="80"/>
              <w:bottom w:val="single" w:sz="6" w:space="0" w:color="808080" w:themeColor="background1" w:themeShade="80"/>
            </w:tcBorders>
            <w:shd w:val="clear" w:color="auto" w:fill="auto"/>
          </w:tcPr>
          <w:p w14:paraId="48A9AFEA" w14:textId="64DD22EA" w:rsidR="00562574" w:rsidRPr="00783571" w:rsidRDefault="00562574" w:rsidP="003B19DD">
            <w:pPr>
              <w:pStyle w:val="TableText"/>
            </w:pPr>
          </w:p>
        </w:tc>
      </w:tr>
      <w:tr w:rsidR="00562574" w:rsidRPr="00783571" w14:paraId="4A043B4F"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7B548FCC" w14:textId="77777777" w:rsidR="00562574" w:rsidRPr="00783571" w:rsidRDefault="00562574" w:rsidP="001A72D1">
            <w:pPr>
              <w:pStyle w:val="TableText"/>
              <w:ind w:left="450"/>
            </w:pPr>
            <w:r w:rsidRPr="00783571">
              <w:t>CD4 200–350</w:t>
            </w: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0C8852CC" w14:textId="0FDE1610" w:rsidR="00562574" w:rsidRPr="00783571" w:rsidRDefault="00E16A72" w:rsidP="008E4A7C">
            <w:pPr>
              <w:pStyle w:val="TableText"/>
              <w:jc w:val="center"/>
            </w:pPr>
            <w:r w:rsidRPr="00783571">
              <w:t>4.34</w:t>
            </w:r>
          </w:p>
        </w:tc>
        <w:tc>
          <w:tcPr>
            <w:tcW w:w="3839" w:type="dxa"/>
            <w:vMerge/>
            <w:tcBorders>
              <w:top w:val="single" w:sz="6" w:space="0" w:color="808080" w:themeColor="background1" w:themeShade="80"/>
              <w:bottom w:val="single" w:sz="6" w:space="0" w:color="808080" w:themeColor="background1" w:themeShade="80"/>
            </w:tcBorders>
            <w:shd w:val="clear" w:color="auto" w:fill="auto"/>
          </w:tcPr>
          <w:p w14:paraId="62D2BF5D" w14:textId="0629CC1E" w:rsidR="00562574" w:rsidRPr="00783571" w:rsidRDefault="00562574" w:rsidP="003B19DD">
            <w:pPr>
              <w:pStyle w:val="TableText"/>
            </w:pPr>
          </w:p>
        </w:tc>
      </w:tr>
      <w:tr w:rsidR="00562574" w:rsidRPr="00783571" w14:paraId="32D601A6"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1F642E74" w14:textId="77777777" w:rsidR="00562574" w:rsidRPr="00783571" w:rsidRDefault="00562574" w:rsidP="003B19DD">
            <w:pPr>
              <w:pStyle w:val="TableText"/>
              <w:ind w:left="450"/>
            </w:pPr>
            <w:r w:rsidRPr="00783571">
              <w:t>CD4 &lt; 200</w:t>
            </w: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34E667D3" w14:textId="2E80908C" w:rsidR="00562574" w:rsidRPr="00783571" w:rsidRDefault="00FB56CA" w:rsidP="008E4A7C">
            <w:pPr>
              <w:pStyle w:val="TableText"/>
              <w:jc w:val="center"/>
            </w:pPr>
            <w:r w:rsidRPr="00783571">
              <w:t>6.</w:t>
            </w:r>
            <w:r w:rsidR="00E16A72" w:rsidRPr="00783571">
              <w:t>87</w:t>
            </w:r>
          </w:p>
        </w:tc>
        <w:tc>
          <w:tcPr>
            <w:tcW w:w="3839" w:type="dxa"/>
            <w:vMerge/>
            <w:tcBorders>
              <w:top w:val="single" w:sz="6" w:space="0" w:color="808080" w:themeColor="background1" w:themeShade="80"/>
              <w:bottom w:val="single" w:sz="6" w:space="0" w:color="808080" w:themeColor="background1" w:themeShade="80"/>
            </w:tcBorders>
            <w:shd w:val="clear" w:color="auto" w:fill="auto"/>
          </w:tcPr>
          <w:p w14:paraId="596C8277" w14:textId="290160AC" w:rsidR="00562574" w:rsidRPr="00783571" w:rsidRDefault="00562574" w:rsidP="003B19DD">
            <w:pPr>
              <w:pStyle w:val="TableText"/>
            </w:pPr>
          </w:p>
        </w:tc>
      </w:tr>
      <w:tr w:rsidR="00DF1AFE" w:rsidRPr="00783571" w14:paraId="0B11C56D"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5709FECA" w14:textId="5C41467A" w:rsidR="00DF1AFE" w:rsidRPr="00783571" w:rsidRDefault="00DF1AFE" w:rsidP="00FE18DB">
            <w:pPr>
              <w:pStyle w:val="TableText"/>
              <w:ind w:left="180"/>
            </w:pPr>
            <w:r w:rsidRPr="00783571">
              <w:t>Race/ethnicity (reference: Black)</w:t>
            </w: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6655AA97" w14:textId="5054E2F6" w:rsidR="00DF1AFE" w:rsidRPr="00783571" w:rsidRDefault="00DF1AFE" w:rsidP="008E4A7C">
            <w:pPr>
              <w:pStyle w:val="TableText"/>
              <w:jc w:val="center"/>
            </w:pPr>
          </w:p>
        </w:tc>
        <w:tc>
          <w:tcPr>
            <w:tcW w:w="3839" w:type="dxa"/>
            <w:tcBorders>
              <w:top w:val="single" w:sz="6" w:space="0" w:color="808080" w:themeColor="background1" w:themeShade="80"/>
              <w:bottom w:val="single" w:sz="6" w:space="0" w:color="808080" w:themeColor="background1" w:themeShade="80"/>
            </w:tcBorders>
            <w:shd w:val="clear" w:color="auto" w:fill="auto"/>
          </w:tcPr>
          <w:p w14:paraId="1E0D9B76" w14:textId="72F6B497" w:rsidR="00DF1AFE" w:rsidRPr="00783571" w:rsidRDefault="00DF1AFE" w:rsidP="003B19DD">
            <w:pPr>
              <w:pStyle w:val="TableText"/>
            </w:pPr>
          </w:p>
        </w:tc>
      </w:tr>
      <w:tr w:rsidR="00562574" w:rsidRPr="00783571" w14:paraId="4F81F66F"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43CFABFB" w14:textId="77777777" w:rsidR="00562574" w:rsidRPr="00783571" w:rsidRDefault="00562574" w:rsidP="003B19DD">
            <w:pPr>
              <w:pStyle w:val="TableText"/>
              <w:ind w:left="450"/>
            </w:pPr>
            <w:r w:rsidRPr="00783571">
              <w:t>Hispanic/Latino</w:t>
            </w: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2A9C89C1" w14:textId="207D1317" w:rsidR="00562574" w:rsidRPr="00783571" w:rsidRDefault="00E16A72" w:rsidP="008E4A7C">
            <w:pPr>
              <w:pStyle w:val="TableText"/>
              <w:jc w:val="center"/>
            </w:pPr>
            <w:r w:rsidRPr="00783571">
              <w:t>0.71</w:t>
            </w:r>
          </w:p>
        </w:tc>
        <w:tc>
          <w:tcPr>
            <w:tcW w:w="3839" w:type="dxa"/>
            <w:vMerge w:val="restart"/>
            <w:tcBorders>
              <w:top w:val="single" w:sz="6" w:space="0" w:color="808080" w:themeColor="background1" w:themeShade="80"/>
            </w:tcBorders>
            <w:shd w:val="clear" w:color="auto" w:fill="auto"/>
          </w:tcPr>
          <w:p w14:paraId="1F7E68AA" w14:textId="78D38F94" w:rsidR="00562574" w:rsidRPr="00783571" w:rsidRDefault="00562574" w:rsidP="003B19DD">
            <w:pPr>
              <w:pStyle w:val="TableText"/>
            </w:pPr>
            <w:r w:rsidRPr="00783571">
              <w:t>Determined by calibration</w:t>
            </w:r>
          </w:p>
        </w:tc>
      </w:tr>
      <w:tr w:rsidR="00562574" w:rsidRPr="00783571" w14:paraId="22A61E97"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47D7CE66" w14:textId="77777777" w:rsidR="00562574" w:rsidRPr="00783571" w:rsidRDefault="00562574" w:rsidP="003B19DD">
            <w:pPr>
              <w:pStyle w:val="TableText"/>
              <w:ind w:left="450"/>
            </w:pPr>
            <w:r w:rsidRPr="00783571">
              <w:t>Other</w:t>
            </w: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16AB083A" w14:textId="0E3B9F21" w:rsidR="00562574" w:rsidRPr="00783571" w:rsidRDefault="00E16A72" w:rsidP="008E4A7C">
            <w:pPr>
              <w:pStyle w:val="TableText"/>
              <w:jc w:val="center"/>
            </w:pPr>
            <w:r w:rsidRPr="00783571">
              <w:t>0.64</w:t>
            </w:r>
          </w:p>
        </w:tc>
        <w:tc>
          <w:tcPr>
            <w:tcW w:w="3839" w:type="dxa"/>
            <w:vMerge/>
            <w:tcBorders>
              <w:bottom w:val="single" w:sz="6" w:space="0" w:color="808080" w:themeColor="background1" w:themeShade="80"/>
            </w:tcBorders>
            <w:shd w:val="clear" w:color="auto" w:fill="auto"/>
          </w:tcPr>
          <w:p w14:paraId="1086E905" w14:textId="6D3EA0C8" w:rsidR="00562574" w:rsidRPr="00783571" w:rsidRDefault="00562574" w:rsidP="003B19DD">
            <w:pPr>
              <w:pStyle w:val="TableText"/>
            </w:pPr>
          </w:p>
        </w:tc>
      </w:tr>
      <w:tr w:rsidR="00DF1AFE" w:rsidRPr="00783571" w14:paraId="215AFBED"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59F03C0E" w14:textId="7A01F1F0" w:rsidR="00DF1AFE" w:rsidRPr="00783571" w:rsidRDefault="00DF1AFE" w:rsidP="006705F3">
            <w:pPr>
              <w:pStyle w:val="TableText"/>
              <w:ind w:left="180"/>
            </w:pPr>
            <w:r w:rsidRPr="00783571">
              <w:t>Transmission group (reference: HET)</w:t>
            </w: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7BB99612" w14:textId="058E3E1A" w:rsidR="00DF1AFE" w:rsidRPr="00783571" w:rsidRDefault="00DF1AFE" w:rsidP="008E4A7C">
            <w:pPr>
              <w:pStyle w:val="TableText"/>
              <w:jc w:val="center"/>
            </w:pPr>
          </w:p>
        </w:tc>
        <w:tc>
          <w:tcPr>
            <w:tcW w:w="3839" w:type="dxa"/>
            <w:vMerge w:val="restart"/>
            <w:tcBorders>
              <w:top w:val="single" w:sz="6" w:space="0" w:color="808080" w:themeColor="background1" w:themeShade="80"/>
              <w:bottom w:val="single" w:sz="6" w:space="0" w:color="808080" w:themeColor="background1" w:themeShade="80"/>
            </w:tcBorders>
            <w:shd w:val="clear" w:color="auto" w:fill="auto"/>
          </w:tcPr>
          <w:p w14:paraId="65419E18" w14:textId="2E94E5C8" w:rsidR="00DF1AFE" w:rsidRPr="00783571" w:rsidRDefault="00DF1AFE" w:rsidP="003B19DD">
            <w:pPr>
              <w:pStyle w:val="TableText"/>
            </w:pPr>
            <w:r w:rsidRPr="00783571">
              <w:t>Determined by calibration</w:t>
            </w:r>
          </w:p>
        </w:tc>
      </w:tr>
      <w:tr w:rsidR="00562574" w:rsidRPr="00783571" w14:paraId="628DBA9C" w14:textId="77777777" w:rsidTr="00D05643">
        <w:trPr>
          <w:cantSplit/>
        </w:trPr>
        <w:tc>
          <w:tcPr>
            <w:tcW w:w="4801" w:type="dxa"/>
            <w:tcBorders>
              <w:top w:val="single" w:sz="6" w:space="0" w:color="808080" w:themeColor="background1" w:themeShade="80"/>
              <w:bottom w:val="single" w:sz="6" w:space="0" w:color="808080" w:themeColor="background1" w:themeShade="80"/>
            </w:tcBorders>
            <w:shd w:val="clear" w:color="auto" w:fill="auto"/>
            <w:noWrap/>
            <w:hideMark/>
          </w:tcPr>
          <w:p w14:paraId="3A7F7A94" w14:textId="71982151" w:rsidR="00562574" w:rsidRPr="00783571" w:rsidRDefault="00562574" w:rsidP="003B19DD">
            <w:pPr>
              <w:pStyle w:val="TableText"/>
              <w:ind w:left="450"/>
            </w:pPr>
            <w:r w:rsidRPr="00783571">
              <w:t>PWID</w:t>
            </w:r>
          </w:p>
        </w:tc>
        <w:tc>
          <w:tcPr>
            <w:tcW w:w="4320" w:type="dxa"/>
            <w:tcBorders>
              <w:top w:val="single" w:sz="6" w:space="0" w:color="808080" w:themeColor="background1" w:themeShade="80"/>
              <w:bottom w:val="single" w:sz="6" w:space="0" w:color="808080" w:themeColor="background1" w:themeShade="80"/>
            </w:tcBorders>
            <w:shd w:val="clear" w:color="auto" w:fill="auto"/>
            <w:noWrap/>
          </w:tcPr>
          <w:p w14:paraId="6BEA0AFC" w14:textId="7E2EA817" w:rsidR="00562574" w:rsidRPr="00783571" w:rsidRDefault="00E16A72" w:rsidP="008E4A7C">
            <w:pPr>
              <w:pStyle w:val="TableText"/>
              <w:jc w:val="center"/>
            </w:pPr>
            <w:r w:rsidRPr="00783571">
              <w:t>1.79</w:t>
            </w:r>
          </w:p>
        </w:tc>
        <w:tc>
          <w:tcPr>
            <w:tcW w:w="3839" w:type="dxa"/>
            <w:vMerge/>
            <w:tcBorders>
              <w:top w:val="single" w:sz="6" w:space="0" w:color="808080" w:themeColor="background1" w:themeShade="80"/>
              <w:bottom w:val="single" w:sz="6" w:space="0" w:color="808080" w:themeColor="background1" w:themeShade="80"/>
            </w:tcBorders>
            <w:shd w:val="clear" w:color="auto" w:fill="auto"/>
          </w:tcPr>
          <w:p w14:paraId="3CB40E19" w14:textId="578A3397" w:rsidR="00562574" w:rsidRPr="00783571" w:rsidRDefault="00562574" w:rsidP="003B19DD">
            <w:pPr>
              <w:pStyle w:val="TableText"/>
            </w:pPr>
          </w:p>
        </w:tc>
      </w:tr>
      <w:tr w:rsidR="00562574" w:rsidRPr="00783571" w14:paraId="14E72ECF" w14:textId="77777777" w:rsidTr="00D05643">
        <w:trPr>
          <w:cantSplit/>
        </w:trPr>
        <w:tc>
          <w:tcPr>
            <w:tcW w:w="4801" w:type="dxa"/>
            <w:tcBorders>
              <w:top w:val="single" w:sz="6" w:space="0" w:color="808080" w:themeColor="background1" w:themeShade="80"/>
              <w:bottom w:val="single" w:sz="12" w:space="0" w:color="000000"/>
            </w:tcBorders>
            <w:shd w:val="clear" w:color="auto" w:fill="auto"/>
            <w:noWrap/>
            <w:hideMark/>
          </w:tcPr>
          <w:p w14:paraId="723CD13B" w14:textId="77777777" w:rsidR="00562574" w:rsidRPr="00783571" w:rsidRDefault="00562574" w:rsidP="003B19DD">
            <w:pPr>
              <w:pStyle w:val="TableText"/>
              <w:ind w:left="450"/>
            </w:pPr>
            <w:r w:rsidRPr="00783571">
              <w:t>MSM</w:t>
            </w:r>
          </w:p>
        </w:tc>
        <w:tc>
          <w:tcPr>
            <w:tcW w:w="4320" w:type="dxa"/>
            <w:tcBorders>
              <w:top w:val="single" w:sz="6" w:space="0" w:color="808080" w:themeColor="background1" w:themeShade="80"/>
              <w:bottom w:val="single" w:sz="12" w:space="0" w:color="000000"/>
            </w:tcBorders>
            <w:shd w:val="clear" w:color="auto" w:fill="auto"/>
            <w:noWrap/>
          </w:tcPr>
          <w:p w14:paraId="3D5DEE42" w14:textId="457038B9" w:rsidR="00562574" w:rsidRPr="00783571" w:rsidRDefault="00E16A72" w:rsidP="008E4A7C">
            <w:pPr>
              <w:pStyle w:val="TableText"/>
              <w:jc w:val="center"/>
            </w:pPr>
            <w:r w:rsidRPr="00783571">
              <w:t>1.99</w:t>
            </w:r>
          </w:p>
        </w:tc>
        <w:tc>
          <w:tcPr>
            <w:tcW w:w="3839" w:type="dxa"/>
            <w:vMerge/>
            <w:tcBorders>
              <w:top w:val="single" w:sz="6" w:space="0" w:color="808080" w:themeColor="background1" w:themeShade="80"/>
              <w:bottom w:val="single" w:sz="12" w:space="0" w:color="000000"/>
            </w:tcBorders>
            <w:shd w:val="clear" w:color="auto" w:fill="auto"/>
          </w:tcPr>
          <w:p w14:paraId="329EE5EB" w14:textId="08A1AC5C" w:rsidR="00562574" w:rsidRPr="00783571" w:rsidRDefault="00562574" w:rsidP="003B19DD">
            <w:pPr>
              <w:pStyle w:val="TableText"/>
            </w:pPr>
          </w:p>
        </w:tc>
      </w:tr>
    </w:tbl>
    <w:p w14:paraId="03FB64CA" w14:textId="012F0CCC" w:rsidR="00A57EF2" w:rsidRPr="00783571" w:rsidRDefault="00B8648E" w:rsidP="00D05643">
      <w:pPr>
        <w:pStyle w:val="Source2"/>
      </w:pPr>
      <w:r w:rsidRPr="00783571">
        <w:t xml:space="preserve">Note: </w:t>
      </w:r>
      <w:r w:rsidR="00A57EF2" w:rsidRPr="00783571">
        <w:t>HET</w:t>
      </w:r>
      <w:r w:rsidR="00E628BE" w:rsidRPr="00783571">
        <w:t> = </w:t>
      </w:r>
      <w:r w:rsidR="00A57EF2" w:rsidRPr="00783571">
        <w:t>heterosexual; HIV</w:t>
      </w:r>
      <w:r w:rsidR="00E628BE" w:rsidRPr="00783571">
        <w:t> = </w:t>
      </w:r>
      <w:r w:rsidR="00A57EF2" w:rsidRPr="00783571">
        <w:t>human immunodeficiency virus; MSM</w:t>
      </w:r>
      <w:r w:rsidR="00E628BE" w:rsidRPr="00783571">
        <w:t> = </w:t>
      </w:r>
      <w:r w:rsidR="00A57EF2" w:rsidRPr="00783571">
        <w:t>men who have sex with men</w:t>
      </w:r>
      <w:r w:rsidR="00F77D76" w:rsidRPr="00783571">
        <w:t>; PWID</w:t>
      </w:r>
      <w:r w:rsidR="00E628BE" w:rsidRPr="00783571">
        <w:t> = </w:t>
      </w:r>
      <w:r w:rsidR="00F77D76" w:rsidRPr="00783571">
        <w:t>people who inject drugs</w:t>
      </w:r>
    </w:p>
    <w:p w14:paraId="0889F3E0" w14:textId="44582591" w:rsidR="00CE0914" w:rsidRPr="00783571" w:rsidRDefault="00A57EF2" w:rsidP="00D05643">
      <w:pPr>
        <w:pStyle w:val="Source3"/>
      </w:pPr>
      <w:r w:rsidRPr="00783571">
        <w:rPr>
          <w:vertAlign w:val="superscript"/>
        </w:rPr>
        <w:t>a</w:t>
      </w:r>
      <w:r w:rsidR="00786610" w:rsidRPr="00783571">
        <w:rPr>
          <w:vertAlign w:val="superscript"/>
        </w:rPr>
        <w:t xml:space="preserve"> </w:t>
      </w:r>
      <w:r w:rsidR="00384ACF" w:rsidRPr="00783571">
        <w:t>L</w:t>
      </w:r>
      <w:r w:rsidRPr="00783571">
        <w:t xml:space="preserve">iterature also suggested that testing rates varied by age (CDC, </w:t>
      </w:r>
      <w:r w:rsidR="00EC2341" w:rsidRPr="00783571">
        <w:t>2012</w:t>
      </w:r>
      <w:r w:rsidR="00F100D0" w:rsidRPr="00783571">
        <w:t>a</w:t>
      </w:r>
      <w:r w:rsidRPr="00783571">
        <w:t>); but as a simplifying assumption, we applied constant testing rates by age</w:t>
      </w:r>
    </w:p>
    <w:p w14:paraId="51AFA7B0" w14:textId="1FA7CAA5" w:rsidR="004F4E6D" w:rsidRPr="00783571" w:rsidRDefault="008D0B04" w:rsidP="00D05643">
      <w:pPr>
        <w:pStyle w:val="Source4"/>
      </w:pPr>
      <w:r w:rsidRPr="00783571">
        <w:rPr>
          <w:vertAlign w:val="superscript"/>
        </w:rPr>
        <w:t>b</w:t>
      </w:r>
      <w:r w:rsidR="00CE0914" w:rsidRPr="00783571">
        <w:t xml:space="preserve"> Estimated </w:t>
      </w:r>
      <w:r w:rsidR="009471AC" w:rsidRPr="00783571">
        <w:t xml:space="preserve">so that the percentage of uninfected individuals getting tested across all races and transmission groups is consistent with published </w:t>
      </w:r>
      <w:r w:rsidR="00CE0914" w:rsidRPr="00783571">
        <w:t xml:space="preserve">data on the total number of tests conducted and the percentage of HIV tests that are positive </w:t>
      </w:r>
      <w:r w:rsidR="009471AC" w:rsidRPr="00783571">
        <w:t>(CDC [</w:t>
      </w:r>
      <w:r w:rsidR="00CE0914" w:rsidRPr="00783571">
        <w:t>2013b</w:t>
      </w:r>
      <w:r w:rsidR="009471AC" w:rsidRPr="00783571">
        <w:t>]</w:t>
      </w:r>
      <w:r w:rsidR="00CE0914" w:rsidRPr="00783571">
        <w:t>).</w:t>
      </w:r>
    </w:p>
    <w:p w14:paraId="79CB3236" w14:textId="1AE66BDA" w:rsidR="00A57EF2" w:rsidRPr="00783571" w:rsidRDefault="004F4E6D" w:rsidP="00260D8A">
      <w:pPr>
        <w:pStyle w:val="TableTitle"/>
        <w:ind w:left="1530"/>
      </w:pPr>
      <w:bookmarkStart w:id="23" w:name="_Toc510104019"/>
      <w:r w:rsidRPr="00783571">
        <w:t>Table 5.</w:t>
      </w:r>
      <w:r w:rsidR="00A57EF2" w:rsidRPr="00783571">
        <w:t>3.</w:t>
      </w:r>
      <w:r w:rsidR="00A57EF2" w:rsidRPr="00783571">
        <w:tab/>
        <w:t xml:space="preserve">Calculated Annual </w:t>
      </w:r>
      <w:r w:rsidR="00436213" w:rsidRPr="00783571">
        <w:t xml:space="preserve">Rate </w:t>
      </w:r>
      <w:r w:rsidR="00A57EF2" w:rsidRPr="00783571">
        <w:t xml:space="preserve">of </w:t>
      </w:r>
      <w:r w:rsidR="000D6E53" w:rsidRPr="00783571">
        <w:t>an HIV-Infected Undiagnosed</w:t>
      </w:r>
      <w:r w:rsidR="002433CD" w:rsidRPr="00783571">
        <w:t xml:space="preserve"> or HIV-Uninfected</w:t>
      </w:r>
      <w:r w:rsidR="000D6E53" w:rsidRPr="00783571">
        <w:t xml:space="preserve"> Individual </w:t>
      </w:r>
      <w:r w:rsidR="00A57EF2" w:rsidRPr="00783571">
        <w:t>Getting Tested</w:t>
      </w:r>
      <w:r w:rsidR="000B68B7" w:rsidRPr="00783571">
        <w:t xml:space="preserve"> in Second and Third Time Periods</w:t>
      </w:r>
      <w:bookmarkEnd w:id="23"/>
    </w:p>
    <w:tbl>
      <w:tblPr>
        <w:tblW w:w="5000"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3349"/>
        <w:gridCol w:w="2193"/>
        <w:gridCol w:w="2279"/>
        <w:gridCol w:w="2279"/>
        <w:gridCol w:w="2860"/>
      </w:tblGrid>
      <w:tr w:rsidR="00A57EF2" w:rsidRPr="00783571" w14:paraId="6BBB9B02" w14:textId="77777777" w:rsidTr="00D05643">
        <w:trPr>
          <w:cantSplit/>
          <w:tblHeader/>
        </w:trPr>
        <w:tc>
          <w:tcPr>
            <w:tcW w:w="3410" w:type="dxa"/>
            <w:tcBorders>
              <w:top w:val="single" w:sz="12" w:space="0" w:color="000000"/>
              <w:bottom w:val="single" w:sz="6" w:space="0" w:color="auto"/>
            </w:tcBorders>
            <w:shd w:val="clear" w:color="auto" w:fill="auto"/>
            <w:noWrap/>
            <w:vAlign w:val="bottom"/>
            <w:hideMark/>
          </w:tcPr>
          <w:p w14:paraId="0352383C" w14:textId="77777777" w:rsidR="00A57EF2" w:rsidRPr="00783571" w:rsidRDefault="000F52F1" w:rsidP="009508BA">
            <w:pPr>
              <w:pStyle w:val="TableHeaders"/>
              <w:keepNext/>
              <w:spacing w:before="40" w:after="40"/>
            </w:pPr>
            <w:r w:rsidRPr="00783571">
              <w:t>Parameter</w:t>
            </w:r>
          </w:p>
        </w:tc>
        <w:tc>
          <w:tcPr>
            <w:tcW w:w="2231" w:type="dxa"/>
            <w:tcBorders>
              <w:top w:val="single" w:sz="12" w:space="0" w:color="000000"/>
              <w:bottom w:val="single" w:sz="6" w:space="0" w:color="auto"/>
            </w:tcBorders>
            <w:shd w:val="clear" w:color="auto" w:fill="auto"/>
            <w:noWrap/>
            <w:vAlign w:val="bottom"/>
            <w:hideMark/>
          </w:tcPr>
          <w:p w14:paraId="0443F798" w14:textId="77777777" w:rsidR="00A57EF2" w:rsidRPr="00783571" w:rsidRDefault="00A57EF2" w:rsidP="009508BA">
            <w:pPr>
              <w:pStyle w:val="TableHeaders"/>
              <w:keepNext/>
              <w:spacing w:before="40" w:after="40"/>
            </w:pPr>
            <w:r w:rsidRPr="00783571">
              <w:t>Black</w:t>
            </w:r>
          </w:p>
        </w:tc>
        <w:tc>
          <w:tcPr>
            <w:tcW w:w="2319" w:type="dxa"/>
            <w:tcBorders>
              <w:top w:val="single" w:sz="12" w:space="0" w:color="000000"/>
              <w:bottom w:val="single" w:sz="6" w:space="0" w:color="auto"/>
            </w:tcBorders>
            <w:shd w:val="clear" w:color="auto" w:fill="auto"/>
            <w:noWrap/>
            <w:vAlign w:val="bottom"/>
            <w:hideMark/>
          </w:tcPr>
          <w:p w14:paraId="3E7E32A0" w14:textId="77777777" w:rsidR="00A57EF2" w:rsidRPr="00783571" w:rsidRDefault="00A57EF2" w:rsidP="009508BA">
            <w:pPr>
              <w:pStyle w:val="TableHeaders"/>
              <w:keepNext/>
              <w:spacing w:before="40" w:after="40"/>
            </w:pPr>
            <w:r w:rsidRPr="00783571">
              <w:t>Hispanic</w:t>
            </w:r>
          </w:p>
        </w:tc>
        <w:tc>
          <w:tcPr>
            <w:tcW w:w="2319" w:type="dxa"/>
            <w:tcBorders>
              <w:top w:val="single" w:sz="12" w:space="0" w:color="000000"/>
              <w:bottom w:val="single" w:sz="6" w:space="0" w:color="auto"/>
            </w:tcBorders>
            <w:shd w:val="clear" w:color="auto" w:fill="auto"/>
            <w:noWrap/>
            <w:vAlign w:val="bottom"/>
            <w:hideMark/>
          </w:tcPr>
          <w:p w14:paraId="0A68FBA3" w14:textId="77777777" w:rsidR="00A57EF2" w:rsidRPr="00783571" w:rsidRDefault="00A57EF2" w:rsidP="009508BA">
            <w:pPr>
              <w:pStyle w:val="TableHeaders"/>
              <w:keepNext/>
              <w:spacing w:before="40" w:after="40"/>
            </w:pPr>
            <w:r w:rsidRPr="00783571">
              <w:t>Other</w:t>
            </w:r>
          </w:p>
        </w:tc>
        <w:tc>
          <w:tcPr>
            <w:tcW w:w="2911" w:type="dxa"/>
            <w:tcBorders>
              <w:top w:val="single" w:sz="12" w:space="0" w:color="000000"/>
              <w:bottom w:val="single" w:sz="6" w:space="0" w:color="auto"/>
            </w:tcBorders>
            <w:shd w:val="clear" w:color="auto" w:fill="auto"/>
            <w:noWrap/>
            <w:vAlign w:val="bottom"/>
            <w:hideMark/>
          </w:tcPr>
          <w:p w14:paraId="788A4665" w14:textId="77777777" w:rsidR="00A57EF2" w:rsidRPr="00783571" w:rsidRDefault="00A57EF2" w:rsidP="009508BA">
            <w:pPr>
              <w:pStyle w:val="TableHeaders"/>
              <w:keepNext/>
              <w:spacing w:before="40" w:after="40"/>
            </w:pPr>
            <w:r w:rsidRPr="00783571">
              <w:t>Source</w:t>
            </w:r>
          </w:p>
        </w:tc>
      </w:tr>
      <w:tr w:rsidR="00A57EF2" w:rsidRPr="00783571" w14:paraId="2114F8BC" w14:textId="77777777" w:rsidTr="00D05643">
        <w:trPr>
          <w:cantSplit/>
        </w:trPr>
        <w:tc>
          <w:tcPr>
            <w:tcW w:w="13190" w:type="dxa"/>
            <w:gridSpan w:val="5"/>
            <w:tcBorders>
              <w:top w:val="single" w:sz="6" w:space="0" w:color="auto"/>
              <w:bottom w:val="single" w:sz="6" w:space="0" w:color="808080" w:themeColor="background1" w:themeShade="80"/>
            </w:tcBorders>
            <w:shd w:val="clear" w:color="auto" w:fill="auto"/>
            <w:noWrap/>
          </w:tcPr>
          <w:p w14:paraId="1736818F" w14:textId="58785390" w:rsidR="00A57EF2" w:rsidRPr="00783571" w:rsidRDefault="00A57EF2" w:rsidP="009471AC">
            <w:pPr>
              <w:pStyle w:val="TableText"/>
              <w:keepNext/>
              <w:spacing w:before="40" w:after="40"/>
            </w:pPr>
            <w:r w:rsidRPr="00783571">
              <w:t xml:space="preserve">Calculated annual </w:t>
            </w:r>
            <w:r w:rsidR="00436213" w:rsidRPr="00783571">
              <w:t xml:space="preserve">rate </w:t>
            </w:r>
            <w:r w:rsidRPr="00783571">
              <w:t>of getting tested</w:t>
            </w:r>
            <w:r w:rsidR="000B68B7" w:rsidRPr="00783571">
              <w:t xml:space="preserve"> in second and third time periods</w:t>
            </w:r>
            <w:r w:rsidR="001F5372" w:rsidRPr="00783571">
              <w:t xml:space="preserve"> </w:t>
            </w:r>
          </w:p>
        </w:tc>
      </w:tr>
      <w:tr w:rsidR="00A57EF2" w:rsidRPr="00783571" w14:paraId="76106526"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3C96F719" w14:textId="77777777" w:rsidR="00A57EF2" w:rsidRPr="00783571" w:rsidRDefault="00A57EF2" w:rsidP="001A6C07">
            <w:pPr>
              <w:pStyle w:val="TableText"/>
              <w:keepNext/>
              <w:spacing w:before="40" w:after="40"/>
              <w:ind w:left="180"/>
            </w:pPr>
            <w:r w:rsidRPr="00783571">
              <w:t>HET</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069259C5" w14:textId="77777777" w:rsidR="00A57EF2" w:rsidRPr="00783571" w:rsidRDefault="00A57EF2" w:rsidP="001A6C07">
            <w:pPr>
              <w:pStyle w:val="TableText"/>
              <w:keepNext/>
              <w:spacing w:before="40" w:after="40"/>
              <w:jc w:val="center"/>
            </w:pP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378A8C52" w14:textId="77777777" w:rsidR="00A57EF2" w:rsidRPr="00783571" w:rsidRDefault="00A57EF2" w:rsidP="001A6C07">
            <w:pPr>
              <w:pStyle w:val="TableText"/>
              <w:keepNext/>
              <w:spacing w:before="40" w:after="40"/>
              <w:jc w:val="center"/>
            </w:pP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5935F0A4" w14:textId="77777777" w:rsidR="00A57EF2" w:rsidRPr="00783571" w:rsidRDefault="00A57EF2" w:rsidP="001A6C07">
            <w:pPr>
              <w:pStyle w:val="TableText"/>
              <w:keepNext/>
              <w:spacing w:before="40" w:after="40"/>
              <w:jc w:val="center"/>
            </w:pPr>
          </w:p>
        </w:tc>
        <w:tc>
          <w:tcPr>
            <w:tcW w:w="2911" w:type="dxa"/>
            <w:tcBorders>
              <w:top w:val="single" w:sz="6" w:space="0" w:color="808080" w:themeColor="background1" w:themeShade="80"/>
              <w:bottom w:val="single" w:sz="6" w:space="0" w:color="808080" w:themeColor="background1" w:themeShade="80"/>
            </w:tcBorders>
            <w:shd w:val="clear" w:color="auto" w:fill="auto"/>
            <w:noWrap/>
          </w:tcPr>
          <w:p w14:paraId="055DAF07" w14:textId="77777777" w:rsidR="00A57EF2" w:rsidRPr="00783571" w:rsidRDefault="00A57EF2" w:rsidP="001A6C07">
            <w:pPr>
              <w:pStyle w:val="TableText"/>
              <w:keepNext/>
              <w:spacing w:before="40" w:after="40"/>
            </w:pPr>
          </w:p>
        </w:tc>
      </w:tr>
      <w:tr w:rsidR="00F539FC" w:rsidRPr="00783571" w14:paraId="5D6676DA"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6E055930" w14:textId="77777777" w:rsidR="00F539FC" w:rsidRPr="00783571" w:rsidRDefault="00F539FC" w:rsidP="001A6C07">
            <w:pPr>
              <w:pStyle w:val="TableText"/>
              <w:keepNext/>
              <w:spacing w:before="40" w:after="40"/>
              <w:ind w:left="450"/>
            </w:pPr>
            <w:r w:rsidRPr="00783571">
              <w:t>Uninfected</w:t>
            </w:r>
          </w:p>
        </w:tc>
        <w:tc>
          <w:tcPr>
            <w:tcW w:w="2231" w:type="dxa"/>
            <w:tcBorders>
              <w:top w:val="single" w:sz="6" w:space="0" w:color="808080" w:themeColor="background1" w:themeShade="80"/>
              <w:bottom w:val="single" w:sz="6" w:space="0" w:color="808080" w:themeColor="background1" w:themeShade="80"/>
            </w:tcBorders>
            <w:shd w:val="clear" w:color="auto" w:fill="auto"/>
            <w:noWrap/>
            <w:vAlign w:val="bottom"/>
          </w:tcPr>
          <w:p w14:paraId="5E3B8657" w14:textId="772A7BF2" w:rsidR="00F539FC" w:rsidRPr="00783571" w:rsidRDefault="00F539FC" w:rsidP="001A6C07">
            <w:pPr>
              <w:pStyle w:val="TableText"/>
              <w:spacing w:before="40" w:after="40"/>
              <w:jc w:val="center"/>
            </w:pPr>
            <w:r w:rsidRPr="00783571">
              <w:t>0.</w:t>
            </w:r>
            <w:r w:rsidR="00FB56CA" w:rsidRPr="00783571">
              <w:t>066</w:t>
            </w:r>
          </w:p>
        </w:tc>
        <w:tc>
          <w:tcPr>
            <w:tcW w:w="2319" w:type="dxa"/>
            <w:tcBorders>
              <w:top w:val="single" w:sz="6" w:space="0" w:color="808080" w:themeColor="background1" w:themeShade="80"/>
              <w:bottom w:val="single" w:sz="6" w:space="0" w:color="808080" w:themeColor="background1" w:themeShade="80"/>
            </w:tcBorders>
            <w:shd w:val="clear" w:color="auto" w:fill="auto"/>
            <w:noWrap/>
            <w:vAlign w:val="bottom"/>
          </w:tcPr>
          <w:p w14:paraId="2C9D93D8" w14:textId="553A4B01" w:rsidR="00F539FC" w:rsidRPr="00783571" w:rsidRDefault="002E0E4E" w:rsidP="001A6C07">
            <w:pPr>
              <w:pStyle w:val="TableText"/>
              <w:spacing w:before="40" w:after="40"/>
              <w:jc w:val="center"/>
            </w:pPr>
            <w:r w:rsidRPr="00783571">
              <w:t>0.0</w:t>
            </w:r>
            <w:r w:rsidR="00FB56CA" w:rsidRPr="00783571">
              <w:t>72</w:t>
            </w:r>
          </w:p>
        </w:tc>
        <w:tc>
          <w:tcPr>
            <w:tcW w:w="2319" w:type="dxa"/>
            <w:tcBorders>
              <w:top w:val="single" w:sz="6" w:space="0" w:color="808080" w:themeColor="background1" w:themeShade="80"/>
              <w:bottom w:val="single" w:sz="6" w:space="0" w:color="808080" w:themeColor="background1" w:themeShade="80"/>
            </w:tcBorders>
            <w:shd w:val="clear" w:color="auto" w:fill="auto"/>
            <w:noWrap/>
            <w:vAlign w:val="center"/>
          </w:tcPr>
          <w:p w14:paraId="343D8FF3" w14:textId="72B078DE" w:rsidR="00F539FC" w:rsidRPr="00783571" w:rsidRDefault="002E0E4E" w:rsidP="001A6C07">
            <w:pPr>
              <w:pStyle w:val="TableText"/>
              <w:spacing w:before="40" w:after="40"/>
              <w:jc w:val="center"/>
            </w:pPr>
            <w:r w:rsidRPr="00783571">
              <w:t>0.0</w:t>
            </w:r>
            <w:r w:rsidR="00FB56CA" w:rsidRPr="00783571">
              <w:t>8</w:t>
            </w:r>
            <w:r w:rsidR="00A75B4C" w:rsidRPr="00783571">
              <w:t>8</w:t>
            </w:r>
          </w:p>
        </w:tc>
        <w:tc>
          <w:tcPr>
            <w:tcW w:w="2911" w:type="dxa"/>
            <w:vMerge w:val="restart"/>
            <w:tcBorders>
              <w:top w:val="single" w:sz="6" w:space="0" w:color="808080" w:themeColor="background1" w:themeShade="80"/>
              <w:bottom w:val="single" w:sz="6" w:space="0" w:color="808080" w:themeColor="background1" w:themeShade="80"/>
            </w:tcBorders>
            <w:shd w:val="clear" w:color="auto" w:fill="auto"/>
            <w:noWrap/>
          </w:tcPr>
          <w:p w14:paraId="6DFB512F" w14:textId="6AE50339" w:rsidR="00F539FC" w:rsidRPr="00783571" w:rsidRDefault="00F539FC" w:rsidP="00D05643">
            <w:pPr>
              <w:pStyle w:val="TableText"/>
              <w:keepNext/>
              <w:spacing w:before="40" w:after="40"/>
            </w:pPr>
            <w:r w:rsidRPr="00783571">
              <w:t>Calculated</w:t>
            </w:r>
            <w:r w:rsidRPr="00783571">
              <w:rPr>
                <w:vertAlign w:val="superscript"/>
              </w:rPr>
              <w:t>a</w:t>
            </w:r>
          </w:p>
        </w:tc>
      </w:tr>
      <w:tr w:rsidR="00FB56CA" w:rsidRPr="00783571" w14:paraId="7AE73451"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3EEA6FEC" w14:textId="77777777" w:rsidR="00FB56CA" w:rsidRPr="00783571" w:rsidRDefault="00FB56CA" w:rsidP="001A6C07">
            <w:pPr>
              <w:pStyle w:val="TableText"/>
              <w:keepNext/>
              <w:spacing w:before="40" w:after="40"/>
              <w:ind w:left="450"/>
            </w:pPr>
            <w:r w:rsidRPr="00783571">
              <w:t>Acute</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42D48BB3" w14:textId="674FA708" w:rsidR="00FB56CA" w:rsidRPr="00783571" w:rsidRDefault="00FB56CA" w:rsidP="001A6C07">
            <w:pPr>
              <w:pStyle w:val="TableText"/>
              <w:spacing w:before="40" w:after="40"/>
              <w:jc w:val="center"/>
            </w:pPr>
            <w:r w:rsidRPr="00783571">
              <w:t>0.157</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6F001922" w14:textId="175DE12D" w:rsidR="00FB56CA" w:rsidRPr="00783571" w:rsidRDefault="00FB56CA" w:rsidP="001A6C07">
            <w:pPr>
              <w:pStyle w:val="TableText"/>
              <w:spacing w:before="40" w:after="40"/>
              <w:jc w:val="center"/>
            </w:pPr>
            <w:r w:rsidRPr="00783571">
              <w:t>0.172</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71D115A6" w14:textId="10BC4973" w:rsidR="00FB56CA" w:rsidRPr="00783571" w:rsidRDefault="00FB56CA" w:rsidP="001A6C07">
            <w:pPr>
              <w:pStyle w:val="TableText"/>
              <w:spacing w:before="40" w:after="40"/>
              <w:jc w:val="center"/>
            </w:pPr>
            <w:r w:rsidRPr="00783571">
              <w:t>0.210</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7D387B82" w14:textId="77777777" w:rsidR="00FB56CA" w:rsidRPr="00783571" w:rsidRDefault="00FB56CA" w:rsidP="001A6C07">
            <w:pPr>
              <w:pStyle w:val="TableText"/>
              <w:spacing w:before="40" w:after="40"/>
            </w:pPr>
          </w:p>
        </w:tc>
      </w:tr>
      <w:tr w:rsidR="00FB56CA" w:rsidRPr="00783571" w14:paraId="77BFBBA6"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12CEFEA4" w14:textId="77777777" w:rsidR="00FB56CA" w:rsidRPr="00783571" w:rsidRDefault="00FB56CA" w:rsidP="001A6C07">
            <w:pPr>
              <w:pStyle w:val="TableText"/>
              <w:spacing w:before="40" w:after="40"/>
              <w:ind w:left="450"/>
            </w:pPr>
            <w:r w:rsidRPr="00783571">
              <w:t>CD4 &gt; 500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2A0B8CC1" w14:textId="744E28F1" w:rsidR="00FB56CA" w:rsidRPr="00783571" w:rsidRDefault="00FB56CA" w:rsidP="001A6C07">
            <w:pPr>
              <w:pStyle w:val="TableText"/>
              <w:spacing w:before="40" w:after="40"/>
              <w:jc w:val="center"/>
            </w:pPr>
            <w:r w:rsidRPr="00783571">
              <w:t>0.152</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1823A447" w14:textId="1DF9AF4C" w:rsidR="00FB56CA" w:rsidRPr="00783571" w:rsidRDefault="00FB56CA" w:rsidP="001A6C07">
            <w:pPr>
              <w:pStyle w:val="TableText"/>
              <w:spacing w:before="40" w:after="40"/>
              <w:jc w:val="center"/>
            </w:pPr>
            <w:r w:rsidRPr="00783571">
              <w:t>0.166</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2A61FB4E" w14:textId="7A47D3CF" w:rsidR="00FB56CA" w:rsidRPr="00783571" w:rsidRDefault="00FB56CA" w:rsidP="001A6C07">
            <w:pPr>
              <w:pStyle w:val="TableText"/>
              <w:spacing w:before="40" w:after="40"/>
              <w:jc w:val="center"/>
            </w:pPr>
            <w:r w:rsidRPr="00783571">
              <w:t>0.202</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0BF2AC11" w14:textId="77777777" w:rsidR="00FB56CA" w:rsidRPr="00783571" w:rsidRDefault="00FB56CA" w:rsidP="001A6C07">
            <w:pPr>
              <w:pStyle w:val="TableText"/>
              <w:spacing w:before="40" w:after="40"/>
            </w:pPr>
          </w:p>
        </w:tc>
      </w:tr>
      <w:tr w:rsidR="00FB56CA" w:rsidRPr="00783571" w14:paraId="450B9A2A"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118EC758" w14:textId="77777777" w:rsidR="00FB56CA" w:rsidRPr="00783571" w:rsidRDefault="00FB56CA" w:rsidP="001A6C07">
            <w:pPr>
              <w:pStyle w:val="TableText"/>
              <w:spacing w:before="40" w:after="40"/>
              <w:ind w:left="450"/>
            </w:pPr>
            <w:r w:rsidRPr="00783571">
              <w:t>CD4 350–500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2D822E25" w14:textId="4A8C3B81" w:rsidR="00FB56CA" w:rsidRPr="00783571" w:rsidRDefault="00FB56CA" w:rsidP="001A6C07">
            <w:pPr>
              <w:pStyle w:val="TableText"/>
              <w:spacing w:before="40" w:after="40"/>
              <w:jc w:val="center"/>
            </w:pPr>
            <w:r w:rsidRPr="00783571">
              <w:t>0.321</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76311D9A" w14:textId="1442ACC6" w:rsidR="00FB56CA" w:rsidRPr="00783571" w:rsidRDefault="00FB56CA" w:rsidP="001A6C07">
            <w:pPr>
              <w:pStyle w:val="TableText"/>
              <w:spacing w:before="40" w:after="40"/>
              <w:jc w:val="center"/>
            </w:pPr>
            <w:r w:rsidRPr="00783571">
              <w:t>0.351</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554986D1" w14:textId="28344C5B" w:rsidR="00FB56CA" w:rsidRPr="00783571" w:rsidRDefault="00FB56CA" w:rsidP="001A6C07">
            <w:pPr>
              <w:pStyle w:val="TableText"/>
              <w:spacing w:before="40" w:after="40"/>
              <w:jc w:val="center"/>
            </w:pPr>
            <w:r w:rsidRPr="00783571">
              <w:t>0.429</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00C5F318" w14:textId="77777777" w:rsidR="00FB56CA" w:rsidRPr="00783571" w:rsidRDefault="00FB56CA" w:rsidP="001A6C07">
            <w:pPr>
              <w:pStyle w:val="TableText"/>
              <w:spacing w:before="40" w:after="40"/>
            </w:pPr>
          </w:p>
        </w:tc>
      </w:tr>
      <w:tr w:rsidR="00FB56CA" w:rsidRPr="00783571" w14:paraId="2BBE61BB"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69260ACF" w14:textId="77777777" w:rsidR="00FB56CA" w:rsidRPr="00783571" w:rsidRDefault="00FB56CA" w:rsidP="001A6C07">
            <w:pPr>
              <w:pStyle w:val="TableText"/>
              <w:spacing w:before="40" w:after="40"/>
              <w:ind w:left="450"/>
            </w:pPr>
            <w:r w:rsidRPr="00783571">
              <w:t>CD4 200–350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73798C6D" w14:textId="4BD0CF76" w:rsidR="00FB56CA" w:rsidRPr="00783571" w:rsidRDefault="00FB56CA" w:rsidP="001A6C07">
            <w:pPr>
              <w:pStyle w:val="TableText"/>
              <w:spacing w:before="40" w:after="40"/>
              <w:jc w:val="center"/>
            </w:pPr>
            <w:r w:rsidRPr="00783571">
              <w:t>0.554</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190D1AA6" w14:textId="24BBE56F" w:rsidR="00FB56CA" w:rsidRPr="00783571" w:rsidRDefault="00FB56CA" w:rsidP="001A6C07">
            <w:pPr>
              <w:pStyle w:val="TableText"/>
              <w:spacing w:before="40" w:after="40"/>
              <w:jc w:val="center"/>
            </w:pPr>
            <w:r w:rsidRPr="00783571">
              <w:t>0.605</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26C41F42" w14:textId="5CC6738C" w:rsidR="00FB56CA" w:rsidRPr="00783571" w:rsidRDefault="00FB56CA" w:rsidP="001A6C07">
            <w:pPr>
              <w:pStyle w:val="TableText"/>
              <w:spacing w:before="40" w:after="40"/>
              <w:jc w:val="center"/>
            </w:pPr>
            <w:r w:rsidRPr="00783571">
              <w:t>0.739</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4CEFEF5B" w14:textId="77777777" w:rsidR="00FB56CA" w:rsidRPr="00783571" w:rsidRDefault="00FB56CA" w:rsidP="001A6C07">
            <w:pPr>
              <w:pStyle w:val="TableText"/>
              <w:spacing w:before="40" w:after="40"/>
            </w:pPr>
          </w:p>
        </w:tc>
      </w:tr>
      <w:tr w:rsidR="00FB56CA" w:rsidRPr="00783571" w14:paraId="4A1C5A78"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41B81D72" w14:textId="77777777" w:rsidR="00FB56CA" w:rsidRPr="00783571" w:rsidRDefault="00FB56CA" w:rsidP="001A6C07">
            <w:pPr>
              <w:pStyle w:val="TableText"/>
              <w:spacing w:before="40" w:after="40"/>
              <w:ind w:left="450"/>
            </w:pPr>
            <w:r w:rsidRPr="00783571">
              <w:t>CD4 &lt; 200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4F4E8870" w14:textId="3C28A8F7" w:rsidR="00FB56CA" w:rsidRPr="00783571" w:rsidRDefault="00FB56CA" w:rsidP="001A6C07">
            <w:pPr>
              <w:pStyle w:val="TableText"/>
              <w:spacing w:before="40" w:after="40"/>
              <w:jc w:val="center"/>
            </w:pPr>
            <w:r w:rsidRPr="00783571">
              <w:t>0.974</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12D50B5B" w14:textId="5B00777F" w:rsidR="00FB56CA" w:rsidRPr="00783571" w:rsidRDefault="00FB56CA" w:rsidP="001A6C07">
            <w:pPr>
              <w:pStyle w:val="TableText"/>
              <w:spacing w:before="40" w:after="40"/>
              <w:jc w:val="center"/>
            </w:pPr>
            <w:r w:rsidRPr="00783571">
              <w:t>1.065</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12214D4C" w14:textId="0A4A14CA" w:rsidR="00FB56CA" w:rsidRPr="00783571" w:rsidRDefault="00FB56CA" w:rsidP="001A6C07">
            <w:pPr>
              <w:pStyle w:val="TableText"/>
              <w:spacing w:before="40" w:after="40"/>
              <w:jc w:val="center"/>
            </w:pPr>
            <w:r w:rsidRPr="00783571">
              <w:t>1.301</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229F08AB" w14:textId="77777777" w:rsidR="00FB56CA" w:rsidRPr="00783571" w:rsidRDefault="00FB56CA" w:rsidP="001A6C07">
            <w:pPr>
              <w:pStyle w:val="TableText"/>
              <w:spacing w:before="40" w:after="40"/>
            </w:pPr>
          </w:p>
        </w:tc>
      </w:tr>
      <w:tr w:rsidR="00F539FC" w:rsidRPr="00783571" w14:paraId="50E649B1"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3CC778F9" w14:textId="0C10F083" w:rsidR="00F539FC" w:rsidRPr="00783571" w:rsidRDefault="00F77D76" w:rsidP="001A6C07">
            <w:pPr>
              <w:pStyle w:val="TableText"/>
              <w:spacing w:before="40" w:after="40"/>
              <w:ind w:left="180"/>
            </w:pPr>
            <w:r w:rsidRPr="00783571">
              <w:t>PWID</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4B78B7F5" w14:textId="77777777" w:rsidR="00F539FC" w:rsidRPr="00783571" w:rsidRDefault="00F539FC" w:rsidP="001A6C07">
            <w:pPr>
              <w:pStyle w:val="TableText"/>
              <w:spacing w:before="40" w:after="40"/>
              <w:jc w:val="center"/>
            </w:pP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71360120" w14:textId="77777777" w:rsidR="00F539FC" w:rsidRPr="00783571" w:rsidRDefault="00F539FC" w:rsidP="001A6C07">
            <w:pPr>
              <w:pStyle w:val="TableText"/>
              <w:spacing w:before="40" w:after="40"/>
              <w:jc w:val="center"/>
            </w:pP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3FD621A2" w14:textId="77777777" w:rsidR="00F539FC" w:rsidRPr="00783571" w:rsidRDefault="00F539FC" w:rsidP="001A6C07">
            <w:pPr>
              <w:pStyle w:val="TableText"/>
              <w:spacing w:before="40" w:after="40"/>
              <w:jc w:val="center"/>
            </w:pPr>
          </w:p>
        </w:tc>
        <w:tc>
          <w:tcPr>
            <w:tcW w:w="2911" w:type="dxa"/>
            <w:tcBorders>
              <w:top w:val="single" w:sz="6" w:space="0" w:color="808080" w:themeColor="background1" w:themeShade="80"/>
              <w:bottom w:val="single" w:sz="6" w:space="0" w:color="808080" w:themeColor="background1" w:themeShade="80"/>
            </w:tcBorders>
            <w:shd w:val="clear" w:color="auto" w:fill="auto"/>
            <w:noWrap/>
          </w:tcPr>
          <w:p w14:paraId="14D52B2E" w14:textId="77777777" w:rsidR="00F539FC" w:rsidRPr="00783571" w:rsidRDefault="00F539FC" w:rsidP="001A6C07">
            <w:pPr>
              <w:pStyle w:val="TableText"/>
              <w:spacing w:before="40" w:after="40"/>
            </w:pPr>
          </w:p>
        </w:tc>
      </w:tr>
      <w:tr w:rsidR="00236060" w:rsidRPr="00783571" w14:paraId="7C8D92A6"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2DA5FE2B" w14:textId="77777777" w:rsidR="00236060" w:rsidRPr="00783571" w:rsidRDefault="00236060" w:rsidP="001A6C07">
            <w:pPr>
              <w:pStyle w:val="TableText"/>
              <w:spacing w:before="40" w:after="40"/>
              <w:ind w:left="450"/>
            </w:pPr>
            <w:r w:rsidRPr="00783571">
              <w:t>Uninfected</w:t>
            </w:r>
          </w:p>
        </w:tc>
        <w:tc>
          <w:tcPr>
            <w:tcW w:w="2231" w:type="dxa"/>
            <w:tcBorders>
              <w:top w:val="single" w:sz="6" w:space="0" w:color="808080" w:themeColor="background1" w:themeShade="80"/>
              <w:bottom w:val="single" w:sz="6" w:space="0" w:color="808080" w:themeColor="background1" w:themeShade="80"/>
            </w:tcBorders>
            <w:shd w:val="clear" w:color="auto" w:fill="auto"/>
            <w:noWrap/>
            <w:vAlign w:val="center"/>
          </w:tcPr>
          <w:p w14:paraId="54147C8E" w14:textId="3F6DE9B1" w:rsidR="00236060" w:rsidRPr="00783571" w:rsidRDefault="00236060" w:rsidP="001A6C07">
            <w:pPr>
              <w:pStyle w:val="TableText"/>
              <w:spacing w:before="40" w:after="40"/>
              <w:jc w:val="center"/>
            </w:pPr>
            <w:r w:rsidRPr="00783571">
              <w:t>0.</w:t>
            </w:r>
            <w:r w:rsidR="00FB56CA" w:rsidRPr="00783571">
              <w:t>159</w:t>
            </w:r>
          </w:p>
        </w:tc>
        <w:tc>
          <w:tcPr>
            <w:tcW w:w="2319" w:type="dxa"/>
            <w:tcBorders>
              <w:top w:val="single" w:sz="6" w:space="0" w:color="808080" w:themeColor="background1" w:themeShade="80"/>
              <w:bottom w:val="single" w:sz="6" w:space="0" w:color="808080" w:themeColor="background1" w:themeShade="80"/>
            </w:tcBorders>
            <w:shd w:val="clear" w:color="auto" w:fill="auto"/>
            <w:noWrap/>
            <w:vAlign w:val="bottom"/>
          </w:tcPr>
          <w:p w14:paraId="30FB319F" w14:textId="34AE43EB" w:rsidR="00236060" w:rsidRPr="00783571" w:rsidRDefault="00236060" w:rsidP="001A6C07">
            <w:pPr>
              <w:pStyle w:val="TableText"/>
              <w:spacing w:before="40" w:after="40"/>
              <w:jc w:val="center"/>
            </w:pPr>
            <w:r w:rsidRPr="00783571">
              <w:t>0.</w:t>
            </w:r>
            <w:r w:rsidR="00FB56CA" w:rsidRPr="00783571">
              <w:t>174</w:t>
            </w:r>
          </w:p>
        </w:tc>
        <w:tc>
          <w:tcPr>
            <w:tcW w:w="2319" w:type="dxa"/>
            <w:tcBorders>
              <w:top w:val="single" w:sz="6" w:space="0" w:color="808080" w:themeColor="background1" w:themeShade="80"/>
              <w:bottom w:val="single" w:sz="6" w:space="0" w:color="808080" w:themeColor="background1" w:themeShade="80"/>
            </w:tcBorders>
            <w:shd w:val="clear" w:color="auto" w:fill="auto"/>
            <w:noWrap/>
            <w:vAlign w:val="bottom"/>
          </w:tcPr>
          <w:p w14:paraId="2FAB7907" w14:textId="529F16E9" w:rsidR="00236060" w:rsidRPr="00783571" w:rsidRDefault="00236060" w:rsidP="001A6C07">
            <w:pPr>
              <w:pStyle w:val="TableText"/>
              <w:spacing w:before="40" w:after="40"/>
              <w:jc w:val="center"/>
            </w:pPr>
            <w:r w:rsidRPr="00783571">
              <w:t>0.</w:t>
            </w:r>
            <w:r w:rsidR="00FB56CA" w:rsidRPr="00783571">
              <w:t>212</w:t>
            </w:r>
          </w:p>
        </w:tc>
        <w:tc>
          <w:tcPr>
            <w:tcW w:w="2911" w:type="dxa"/>
            <w:vMerge w:val="restart"/>
            <w:tcBorders>
              <w:top w:val="single" w:sz="6" w:space="0" w:color="808080" w:themeColor="background1" w:themeShade="80"/>
              <w:bottom w:val="single" w:sz="6" w:space="0" w:color="808080" w:themeColor="background1" w:themeShade="80"/>
            </w:tcBorders>
            <w:shd w:val="clear" w:color="auto" w:fill="auto"/>
            <w:noWrap/>
          </w:tcPr>
          <w:p w14:paraId="787D5E0A" w14:textId="7B55F6DA" w:rsidR="00236060" w:rsidRPr="00783571" w:rsidRDefault="00236060" w:rsidP="001A6C07">
            <w:pPr>
              <w:pStyle w:val="TableText"/>
              <w:spacing w:before="40" w:after="40"/>
            </w:pPr>
            <w:r w:rsidRPr="00783571">
              <w:t>Calculated</w:t>
            </w:r>
            <w:r w:rsidRPr="00783571">
              <w:rPr>
                <w:vertAlign w:val="superscript"/>
              </w:rPr>
              <w:t>a</w:t>
            </w:r>
          </w:p>
        </w:tc>
      </w:tr>
      <w:tr w:rsidR="00FB56CA" w:rsidRPr="00783571" w14:paraId="56DB0CE1"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5E3FF598" w14:textId="77777777" w:rsidR="00FB56CA" w:rsidRPr="00783571" w:rsidRDefault="00FB56CA" w:rsidP="001A6C07">
            <w:pPr>
              <w:pStyle w:val="TableText"/>
              <w:spacing w:before="40" w:after="40"/>
              <w:ind w:left="450"/>
            </w:pPr>
            <w:r w:rsidRPr="00783571">
              <w:t>Acute</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56BDBBD5" w14:textId="4E9787EE" w:rsidR="00FB56CA" w:rsidRPr="00783571" w:rsidRDefault="00FB56CA" w:rsidP="001A6C07">
            <w:pPr>
              <w:pStyle w:val="TableText"/>
              <w:spacing w:before="40" w:after="40"/>
              <w:jc w:val="center"/>
            </w:pPr>
            <w:r w:rsidRPr="00783571">
              <w:t>0.380</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47DBBEA2" w14:textId="14086FBC" w:rsidR="00FB56CA" w:rsidRPr="00783571" w:rsidRDefault="00FB56CA" w:rsidP="001A6C07">
            <w:pPr>
              <w:pStyle w:val="TableText"/>
              <w:spacing w:before="40" w:after="40"/>
              <w:jc w:val="center"/>
            </w:pPr>
            <w:r w:rsidRPr="00783571">
              <w:t>0.416</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542D280A" w14:textId="6698A424" w:rsidR="00FB56CA" w:rsidRPr="00783571" w:rsidRDefault="00FB56CA" w:rsidP="001A6C07">
            <w:pPr>
              <w:pStyle w:val="TableText"/>
              <w:spacing w:before="40" w:after="40"/>
              <w:jc w:val="center"/>
            </w:pPr>
            <w:r w:rsidRPr="00783571">
              <w:t>0.508</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6365E3A5" w14:textId="77777777" w:rsidR="00FB56CA" w:rsidRPr="00783571" w:rsidRDefault="00FB56CA" w:rsidP="001A6C07">
            <w:pPr>
              <w:pStyle w:val="TableText"/>
              <w:spacing w:before="40" w:after="40"/>
            </w:pPr>
          </w:p>
        </w:tc>
      </w:tr>
      <w:tr w:rsidR="00FB56CA" w:rsidRPr="00783571" w14:paraId="10269A1B"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2C89E8B5" w14:textId="77777777" w:rsidR="00FB56CA" w:rsidRPr="00783571" w:rsidRDefault="00FB56CA" w:rsidP="001A6C07">
            <w:pPr>
              <w:pStyle w:val="TableText"/>
              <w:spacing w:before="40" w:after="40"/>
              <w:ind w:left="450"/>
            </w:pPr>
            <w:r w:rsidRPr="00783571">
              <w:t>CD4 &gt; 500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41B140D8" w14:textId="793B412C" w:rsidR="00FB56CA" w:rsidRPr="00783571" w:rsidRDefault="00FB56CA" w:rsidP="001A6C07">
            <w:pPr>
              <w:pStyle w:val="TableText"/>
              <w:spacing w:before="40" w:after="40"/>
              <w:jc w:val="center"/>
            </w:pPr>
            <w:r w:rsidRPr="00783571">
              <w:t>0.366</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4811772F" w14:textId="16A50710" w:rsidR="00FB56CA" w:rsidRPr="00783571" w:rsidRDefault="00FB56CA" w:rsidP="001A6C07">
            <w:pPr>
              <w:pStyle w:val="TableText"/>
              <w:spacing w:before="40" w:after="40"/>
              <w:jc w:val="center"/>
            </w:pPr>
            <w:r w:rsidRPr="00783571">
              <w:t>0.400</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6116224F" w14:textId="3989BB4F" w:rsidR="00FB56CA" w:rsidRPr="00783571" w:rsidRDefault="00FB56CA" w:rsidP="001A6C07">
            <w:pPr>
              <w:pStyle w:val="TableText"/>
              <w:spacing w:before="40" w:after="40"/>
              <w:jc w:val="center"/>
            </w:pPr>
            <w:r w:rsidRPr="00783571">
              <w:t>0.489</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292F218B" w14:textId="77777777" w:rsidR="00FB56CA" w:rsidRPr="00783571" w:rsidRDefault="00FB56CA" w:rsidP="001A6C07">
            <w:pPr>
              <w:pStyle w:val="TableText"/>
              <w:spacing w:before="40" w:after="40"/>
            </w:pPr>
          </w:p>
        </w:tc>
      </w:tr>
      <w:tr w:rsidR="00FB56CA" w:rsidRPr="00783571" w14:paraId="23923C45"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33F2B1A9" w14:textId="77777777" w:rsidR="00FB56CA" w:rsidRPr="00783571" w:rsidRDefault="00FB56CA" w:rsidP="001A6C07">
            <w:pPr>
              <w:pStyle w:val="TableText"/>
              <w:spacing w:before="40" w:after="40"/>
              <w:ind w:left="450"/>
            </w:pPr>
            <w:r w:rsidRPr="00783571">
              <w:t>CD4 350–500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00966E8D" w14:textId="3414B133" w:rsidR="00FB56CA" w:rsidRPr="00783571" w:rsidRDefault="00FB56CA" w:rsidP="001A6C07">
            <w:pPr>
              <w:pStyle w:val="TableText"/>
              <w:spacing w:before="40" w:after="40"/>
              <w:jc w:val="center"/>
            </w:pPr>
            <w:r w:rsidRPr="00783571">
              <w:t>0.777</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261BB5A5" w14:textId="12D8AD51" w:rsidR="00FB56CA" w:rsidRPr="00783571" w:rsidRDefault="00FB56CA" w:rsidP="001A6C07">
            <w:pPr>
              <w:pStyle w:val="TableText"/>
              <w:spacing w:before="40" w:after="40"/>
              <w:jc w:val="center"/>
            </w:pPr>
            <w:r w:rsidRPr="00783571">
              <w:t>0.849</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10144B0B" w14:textId="3EE10EB7" w:rsidR="00FB56CA" w:rsidRPr="00783571" w:rsidRDefault="00FB56CA" w:rsidP="001A6C07">
            <w:pPr>
              <w:pStyle w:val="TableText"/>
              <w:spacing w:before="40" w:after="40"/>
              <w:jc w:val="center"/>
            </w:pPr>
            <w:r w:rsidRPr="00783571">
              <w:t>1.038</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758FAAA4" w14:textId="77777777" w:rsidR="00FB56CA" w:rsidRPr="00783571" w:rsidRDefault="00FB56CA" w:rsidP="001A6C07">
            <w:pPr>
              <w:pStyle w:val="TableText"/>
              <w:spacing w:before="40" w:after="40"/>
            </w:pPr>
          </w:p>
        </w:tc>
      </w:tr>
      <w:tr w:rsidR="00FB56CA" w:rsidRPr="00783571" w14:paraId="333D7849"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3C1EE77A" w14:textId="77777777" w:rsidR="00FB56CA" w:rsidRPr="00783571" w:rsidRDefault="00FB56CA" w:rsidP="001A6C07">
            <w:pPr>
              <w:pStyle w:val="TableText"/>
              <w:spacing w:before="40" w:after="40"/>
              <w:ind w:left="450"/>
            </w:pPr>
            <w:r w:rsidRPr="00783571">
              <w:t>CD4 200–350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08A306F2" w14:textId="0C910952" w:rsidR="00FB56CA" w:rsidRPr="00783571" w:rsidRDefault="00FB56CA" w:rsidP="001A6C07">
            <w:pPr>
              <w:pStyle w:val="TableText"/>
              <w:spacing w:before="40" w:after="40"/>
              <w:jc w:val="center"/>
            </w:pPr>
            <w:r w:rsidRPr="00783571">
              <w:t>1.338</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714E1A4C" w14:textId="6E97843F" w:rsidR="00FB56CA" w:rsidRPr="00783571" w:rsidRDefault="00FB56CA" w:rsidP="001A6C07">
            <w:pPr>
              <w:pStyle w:val="TableText"/>
              <w:spacing w:before="40" w:after="40"/>
              <w:jc w:val="center"/>
            </w:pPr>
            <w:r w:rsidRPr="00783571">
              <w:t>1.463</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5C53D224" w14:textId="21F8A9F5" w:rsidR="00FB56CA" w:rsidRPr="00783571" w:rsidRDefault="00FB56CA" w:rsidP="001A6C07">
            <w:pPr>
              <w:pStyle w:val="TableText"/>
              <w:spacing w:before="40" w:after="40"/>
              <w:jc w:val="center"/>
            </w:pPr>
            <w:r w:rsidRPr="00783571">
              <w:t>1.787</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16B184B9" w14:textId="77777777" w:rsidR="00FB56CA" w:rsidRPr="00783571" w:rsidRDefault="00FB56CA" w:rsidP="001A6C07">
            <w:pPr>
              <w:pStyle w:val="TableText"/>
              <w:spacing w:before="40" w:after="40"/>
            </w:pPr>
          </w:p>
        </w:tc>
      </w:tr>
      <w:tr w:rsidR="00FB56CA" w:rsidRPr="00783571" w14:paraId="2CD319FE"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583C6282" w14:textId="77777777" w:rsidR="00FB56CA" w:rsidRPr="00783571" w:rsidRDefault="00FB56CA" w:rsidP="001A6C07">
            <w:pPr>
              <w:pStyle w:val="TableText"/>
              <w:spacing w:before="40" w:after="40"/>
              <w:ind w:left="450"/>
            </w:pPr>
            <w:r w:rsidRPr="00783571">
              <w:t>CD4 &lt; 200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1F9BF4D6" w14:textId="16628CFC" w:rsidR="00FB56CA" w:rsidRPr="00783571" w:rsidRDefault="00FB56CA" w:rsidP="001A6C07">
            <w:pPr>
              <w:pStyle w:val="TableText"/>
              <w:spacing w:before="40" w:after="40"/>
              <w:jc w:val="center"/>
            </w:pPr>
            <w:r w:rsidRPr="00783571">
              <w:t>2.355</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3D0C86E4" w14:textId="13CB5C6B" w:rsidR="00FB56CA" w:rsidRPr="00783571" w:rsidRDefault="00FB56CA" w:rsidP="001A6C07">
            <w:pPr>
              <w:pStyle w:val="TableText"/>
              <w:spacing w:before="40" w:after="40"/>
              <w:jc w:val="center"/>
            </w:pPr>
            <w:r w:rsidRPr="00783571">
              <w:t>2.574</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249FA7CE" w14:textId="4031353E" w:rsidR="00FB56CA" w:rsidRPr="00783571" w:rsidRDefault="00FB56CA" w:rsidP="001A6C07">
            <w:pPr>
              <w:pStyle w:val="TableText"/>
              <w:spacing w:before="40" w:after="40"/>
              <w:jc w:val="center"/>
            </w:pPr>
            <w:r w:rsidRPr="00783571">
              <w:t>3.144</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1BF54E8C" w14:textId="77777777" w:rsidR="00FB56CA" w:rsidRPr="00783571" w:rsidRDefault="00FB56CA" w:rsidP="001A6C07">
            <w:pPr>
              <w:pStyle w:val="TableText"/>
              <w:spacing w:before="40" w:after="40"/>
            </w:pPr>
          </w:p>
        </w:tc>
      </w:tr>
      <w:tr w:rsidR="00F539FC" w:rsidRPr="00783571" w14:paraId="3B0F4148"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3998E38A" w14:textId="77777777" w:rsidR="00F539FC" w:rsidRPr="00783571" w:rsidRDefault="00F539FC" w:rsidP="001A6C07">
            <w:pPr>
              <w:pStyle w:val="TableText"/>
              <w:spacing w:before="40" w:after="40"/>
              <w:ind w:left="180"/>
            </w:pPr>
            <w:r w:rsidRPr="00783571">
              <w:t>MSM</w:t>
            </w:r>
          </w:p>
        </w:tc>
        <w:tc>
          <w:tcPr>
            <w:tcW w:w="2231" w:type="dxa"/>
            <w:tcBorders>
              <w:top w:val="single" w:sz="6" w:space="0" w:color="808080" w:themeColor="background1" w:themeShade="80"/>
              <w:bottom w:val="single" w:sz="6" w:space="0" w:color="808080" w:themeColor="background1" w:themeShade="80"/>
            </w:tcBorders>
            <w:shd w:val="clear" w:color="auto" w:fill="auto"/>
            <w:noWrap/>
            <w:vAlign w:val="bottom"/>
          </w:tcPr>
          <w:p w14:paraId="395DFCCD" w14:textId="77777777" w:rsidR="00F539FC" w:rsidRPr="00783571" w:rsidRDefault="00F539FC" w:rsidP="001A6C07">
            <w:pPr>
              <w:pStyle w:val="TableText"/>
              <w:spacing w:before="40" w:after="40"/>
              <w:jc w:val="center"/>
            </w:pP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65B80BE1" w14:textId="77777777" w:rsidR="00F539FC" w:rsidRPr="00783571" w:rsidRDefault="00F539FC" w:rsidP="001A6C07">
            <w:pPr>
              <w:pStyle w:val="TableText"/>
              <w:spacing w:before="40" w:after="40"/>
              <w:jc w:val="center"/>
            </w:pP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60AC948C" w14:textId="77777777" w:rsidR="00F539FC" w:rsidRPr="00783571" w:rsidRDefault="00F539FC" w:rsidP="001A6C07">
            <w:pPr>
              <w:pStyle w:val="TableText"/>
              <w:spacing w:before="40" w:after="40"/>
              <w:jc w:val="center"/>
            </w:pPr>
          </w:p>
        </w:tc>
        <w:tc>
          <w:tcPr>
            <w:tcW w:w="2911" w:type="dxa"/>
            <w:tcBorders>
              <w:top w:val="single" w:sz="6" w:space="0" w:color="808080" w:themeColor="background1" w:themeShade="80"/>
              <w:bottom w:val="single" w:sz="6" w:space="0" w:color="808080" w:themeColor="background1" w:themeShade="80"/>
            </w:tcBorders>
            <w:shd w:val="clear" w:color="auto" w:fill="auto"/>
            <w:noWrap/>
          </w:tcPr>
          <w:p w14:paraId="57CBA895" w14:textId="77777777" w:rsidR="00F539FC" w:rsidRPr="00783571" w:rsidRDefault="00F539FC" w:rsidP="001A6C07">
            <w:pPr>
              <w:pStyle w:val="TableText"/>
              <w:spacing w:before="40" w:after="40"/>
            </w:pPr>
          </w:p>
        </w:tc>
      </w:tr>
      <w:tr w:rsidR="00236060" w:rsidRPr="00783571" w14:paraId="4999BF69"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5348493D" w14:textId="77777777" w:rsidR="00236060" w:rsidRPr="00783571" w:rsidRDefault="00236060" w:rsidP="001A6C07">
            <w:pPr>
              <w:pStyle w:val="TableText"/>
              <w:spacing w:before="40" w:after="40"/>
              <w:ind w:left="450"/>
            </w:pPr>
            <w:r w:rsidRPr="00783571">
              <w:t>Uninfected</w:t>
            </w:r>
          </w:p>
        </w:tc>
        <w:tc>
          <w:tcPr>
            <w:tcW w:w="2231" w:type="dxa"/>
            <w:tcBorders>
              <w:top w:val="single" w:sz="6" w:space="0" w:color="808080" w:themeColor="background1" w:themeShade="80"/>
              <w:bottom w:val="single" w:sz="6" w:space="0" w:color="808080" w:themeColor="background1" w:themeShade="80"/>
            </w:tcBorders>
            <w:shd w:val="clear" w:color="auto" w:fill="auto"/>
            <w:noWrap/>
            <w:vAlign w:val="bottom"/>
          </w:tcPr>
          <w:p w14:paraId="172E7A16" w14:textId="70C3FF35" w:rsidR="00236060" w:rsidRPr="00783571" w:rsidRDefault="00236060" w:rsidP="001A6C07">
            <w:pPr>
              <w:pStyle w:val="TableText"/>
              <w:spacing w:before="40" w:after="40"/>
              <w:jc w:val="center"/>
            </w:pPr>
            <w:r w:rsidRPr="00783571">
              <w:t>0.</w:t>
            </w:r>
            <w:r w:rsidR="00FB56CA" w:rsidRPr="00783571">
              <w:t>183</w:t>
            </w:r>
          </w:p>
        </w:tc>
        <w:tc>
          <w:tcPr>
            <w:tcW w:w="2319" w:type="dxa"/>
            <w:tcBorders>
              <w:top w:val="single" w:sz="6" w:space="0" w:color="808080" w:themeColor="background1" w:themeShade="80"/>
              <w:bottom w:val="single" w:sz="6" w:space="0" w:color="808080" w:themeColor="background1" w:themeShade="80"/>
            </w:tcBorders>
            <w:shd w:val="clear" w:color="auto" w:fill="auto"/>
            <w:noWrap/>
            <w:vAlign w:val="center"/>
          </w:tcPr>
          <w:p w14:paraId="6D0E580F" w14:textId="7F22BB10" w:rsidR="00236060" w:rsidRPr="00783571" w:rsidRDefault="00236060" w:rsidP="001A6C07">
            <w:pPr>
              <w:pStyle w:val="TableText"/>
              <w:spacing w:before="40" w:after="40"/>
              <w:jc w:val="center"/>
            </w:pPr>
            <w:r w:rsidRPr="00783571">
              <w:t>0.</w:t>
            </w:r>
            <w:r w:rsidR="00FB56CA" w:rsidRPr="00783571">
              <w:t>200</w:t>
            </w:r>
          </w:p>
        </w:tc>
        <w:tc>
          <w:tcPr>
            <w:tcW w:w="2319" w:type="dxa"/>
            <w:tcBorders>
              <w:top w:val="single" w:sz="6" w:space="0" w:color="808080" w:themeColor="background1" w:themeShade="80"/>
              <w:bottom w:val="single" w:sz="6" w:space="0" w:color="808080" w:themeColor="background1" w:themeShade="80"/>
            </w:tcBorders>
            <w:shd w:val="clear" w:color="auto" w:fill="auto"/>
            <w:noWrap/>
            <w:vAlign w:val="center"/>
          </w:tcPr>
          <w:p w14:paraId="5A552EE2" w14:textId="720ACA0A" w:rsidR="00236060" w:rsidRPr="00783571" w:rsidRDefault="00236060" w:rsidP="001A6C07">
            <w:pPr>
              <w:pStyle w:val="TableText"/>
              <w:spacing w:before="40" w:after="40"/>
              <w:jc w:val="center"/>
            </w:pPr>
            <w:r w:rsidRPr="00783571">
              <w:t>0.</w:t>
            </w:r>
            <w:r w:rsidR="00FB56CA" w:rsidRPr="00783571">
              <w:t>245</w:t>
            </w:r>
          </w:p>
        </w:tc>
        <w:tc>
          <w:tcPr>
            <w:tcW w:w="2911" w:type="dxa"/>
            <w:vMerge w:val="restart"/>
            <w:tcBorders>
              <w:top w:val="single" w:sz="6" w:space="0" w:color="808080" w:themeColor="background1" w:themeShade="80"/>
              <w:bottom w:val="single" w:sz="6" w:space="0" w:color="808080" w:themeColor="background1" w:themeShade="80"/>
            </w:tcBorders>
            <w:shd w:val="clear" w:color="auto" w:fill="auto"/>
            <w:noWrap/>
          </w:tcPr>
          <w:p w14:paraId="0970DB4D" w14:textId="0118A727" w:rsidR="00236060" w:rsidRPr="00783571" w:rsidRDefault="00236060" w:rsidP="001A6C07">
            <w:pPr>
              <w:pStyle w:val="TableText"/>
              <w:spacing w:before="40" w:after="40"/>
            </w:pPr>
            <w:r w:rsidRPr="00783571">
              <w:t>Calculated</w:t>
            </w:r>
            <w:r w:rsidRPr="00783571">
              <w:rPr>
                <w:vertAlign w:val="superscript"/>
              </w:rPr>
              <w:t>a</w:t>
            </w:r>
          </w:p>
        </w:tc>
      </w:tr>
      <w:tr w:rsidR="00FB56CA" w:rsidRPr="00783571" w14:paraId="075310C1"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2A50FFF4" w14:textId="77777777" w:rsidR="00FB56CA" w:rsidRPr="00783571" w:rsidRDefault="00FB56CA" w:rsidP="001A6C07">
            <w:pPr>
              <w:pStyle w:val="TableText"/>
              <w:spacing w:before="40" w:after="40"/>
              <w:ind w:left="450"/>
            </w:pPr>
            <w:r w:rsidRPr="00783571">
              <w:t>Acute</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00780132" w14:textId="61AE66E0" w:rsidR="00FB56CA" w:rsidRPr="00783571" w:rsidRDefault="00FB56CA" w:rsidP="001A6C07">
            <w:pPr>
              <w:pStyle w:val="TableText"/>
              <w:spacing w:before="40" w:after="40"/>
              <w:jc w:val="center"/>
            </w:pPr>
            <w:r w:rsidRPr="00783571">
              <w:t>0.438</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16D28E91" w14:textId="7606BEFC" w:rsidR="00FB56CA" w:rsidRPr="00783571" w:rsidRDefault="00FB56CA" w:rsidP="001A6C07">
            <w:pPr>
              <w:pStyle w:val="TableText"/>
              <w:spacing w:before="40" w:after="40"/>
              <w:jc w:val="center"/>
            </w:pPr>
            <w:r w:rsidRPr="00783571">
              <w:t>0.479</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26B41B62" w14:textId="68297E30" w:rsidR="00FB56CA" w:rsidRPr="00783571" w:rsidRDefault="00FB56CA" w:rsidP="001A6C07">
            <w:pPr>
              <w:pStyle w:val="TableText"/>
              <w:spacing w:before="40" w:after="40"/>
              <w:jc w:val="center"/>
            </w:pPr>
            <w:r w:rsidRPr="00783571">
              <w:t>0.585</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668B4140" w14:textId="77777777" w:rsidR="00FB56CA" w:rsidRPr="00783571" w:rsidRDefault="00FB56CA" w:rsidP="001A6C07">
            <w:pPr>
              <w:pStyle w:val="TableText"/>
              <w:spacing w:before="40" w:after="40"/>
            </w:pPr>
          </w:p>
        </w:tc>
      </w:tr>
      <w:tr w:rsidR="00FB56CA" w:rsidRPr="00783571" w14:paraId="39EBBF4D"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18B6657A" w14:textId="77777777" w:rsidR="00FB56CA" w:rsidRPr="00783571" w:rsidRDefault="00FB56CA" w:rsidP="001A6C07">
            <w:pPr>
              <w:pStyle w:val="TableText"/>
              <w:spacing w:before="40" w:after="40"/>
              <w:ind w:left="450"/>
            </w:pPr>
            <w:r w:rsidRPr="00783571">
              <w:t>CD4 &gt; 500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285FB6FD" w14:textId="77E3C4E4" w:rsidR="00FB56CA" w:rsidRPr="00783571" w:rsidRDefault="00FB56CA" w:rsidP="001A6C07">
            <w:pPr>
              <w:pStyle w:val="TableText"/>
              <w:spacing w:before="40" w:after="40"/>
              <w:jc w:val="center"/>
            </w:pPr>
            <w:r w:rsidRPr="00783571">
              <w:t>0.422</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7AFBCE31" w14:textId="741CD55E" w:rsidR="00FB56CA" w:rsidRPr="00783571" w:rsidRDefault="00FB56CA" w:rsidP="001A6C07">
            <w:pPr>
              <w:pStyle w:val="TableText"/>
              <w:spacing w:before="40" w:after="40"/>
              <w:jc w:val="center"/>
            </w:pPr>
            <w:r w:rsidRPr="00783571">
              <w:t>0.461</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2922162D" w14:textId="5DBAC3FE" w:rsidR="00FB56CA" w:rsidRPr="00783571" w:rsidRDefault="00FB56CA" w:rsidP="001A6C07">
            <w:pPr>
              <w:pStyle w:val="TableText"/>
              <w:spacing w:before="40" w:after="40"/>
              <w:jc w:val="center"/>
            </w:pPr>
            <w:r w:rsidRPr="00783571">
              <w:t>0.564</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1BB9973D" w14:textId="77777777" w:rsidR="00FB56CA" w:rsidRPr="00783571" w:rsidRDefault="00FB56CA" w:rsidP="001A6C07">
            <w:pPr>
              <w:pStyle w:val="TableText"/>
              <w:spacing w:before="40" w:after="40"/>
            </w:pPr>
          </w:p>
        </w:tc>
      </w:tr>
      <w:tr w:rsidR="00FB56CA" w:rsidRPr="00783571" w14:paraId="485DC444"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2416B308" w14:textId="77777777" w:rsidR="00FB56CA" w:rsidRPr="00783571" w:rsidRDefault="00FB56CA" w:rsidP="001A6C07">
            <w:pPr>
              <w:pStyle w:val="TableText"/>
              <w:spacing w:before="40" w:after="40"/>
              <w:ind w:left="450"/>
            </w:pPr>
            <w:r w:rsidRPr="00783571">
              <w:t>CD4 350–500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15DF0D61" w14:textId="2D8769AA" w:rsidR="00FB56CA" w:rsidRPr="00783571" w:rsidRDefault="00FB56CA" w:rsidP="001A6C07">
            <w:pPr>
              <w:pStyle w:val="TableText"/>
              <w:spacing w:before="40" w:after="40"/>
              <w:jc w:val="center"/>
            </w:pPr>
            <w:r w:rsidRPr="00783571">
              <w:t>0.895</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2911030E" w14:textId="1D428114" w:rsidR="00FB56CA" w:rsidRPr="00783571" w:rsidRDefault="00FB56CA" w:rsidP="001A6C07">
            <w:pPr>
              <w:pStyle w:val="TableText"/>
              <w:spacing w:before="40" w:after="40"/>
              <w:jc w:val="center"/>
            </w:pPr>
            <w:r w:rsidRPr="00783571">
              <w:t>0.978</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0CAEE823" w14:textId="13340F33" w:rsidR="00FB56CA" w:rsidRPr="00783571" w:rsidRDefault="00FB56CA" w:rsidP="001A6C07">
            <w:pPr>
              <w:pStyle w:val="TableText"/>
              <w:spacing w:before="40" w:after="40"/>
              <w:jc w:val="center"/>
            </w:pPr>
            <w:r w:rsidRPr="00783571">
              <w:t>1.195</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2D0C3519" w14:textId="77777777" w:rsidR="00FB56CA" w:rsidRPr="00783571" w:rsidRDefault="00FB56CA" w:rsidP="001A6C07">
            <w:pPr>
              <w:pStyle w:val="TableText"/>
              <w:spacing w:before="40" w:after="40"/>
            </w:pPr>
          </w:p>
        </w:tc>
      </w:tr>
      <w:tr w:rsidR="00FB56CA" w:rsidRPr="00783571" w14:paraId="533C23A7" w14:textId="77777777" w:rsidTr="00D05643">
        <w:trPr>
          <w:cantSplit/>
        </w:trPr>
        <w:tc>
          <w:tcPr>
            <w:tcW w:w="3410" w:type="dxa"/>
            <w:tcBorders>
              <w:top w:val="single" w:sz="6" w:space="0" w:color="808080" w:themeColor="background1" w:themeShade="80"/>
              <w:bottom w:val="single" w:sz="6" w:space="0" w:color="808080" w:themeColor="background1" w:themeShade="80"/>
            </w:tcBorders>
            <w:shd w:val="clear" w:color="auto" w:fill="auto"/>
            <w:noWrap/>
          </w:tcPr>
          <w:p w14:paraId="503F49C8" w14:textId="77777777" w:rsidR="00FB56CA" w:rsidRPr="00783571" w:rsidRDefault="00FB56CA" w:rsidP="001A6C07">
            <w:pPr>
              <w:pStyle w:val="TableText"/>
              <w:spacing w:before="40" w:after="40"/>
              <w:ind w:left="450"/>
            </w:pPr>
            <w:r w:rsidRPr="00783571">
              <w:t>CD4 200–350</w:t>
            </w:r>
          </w:p>
        </w:tc>
        <w:tc>
          <w:tcPr>
            <w:tcW w:w="2231" w:type="dxa"/>
            <w:tcBorders>
              <w:top w:val="single" w:sz="6" w:space="0" w:color="808080" w:themeColor="background1" w:themeShade="80"/>
              <w:bottom w:val="single" w:sz="6" w:space="0" w:color="808080" w:themeColor="background1" w:themeShade="80"/>
            </w:tcBorders>
            <w:shd w:val="clear" w:color="auto" w:fill="auto"/>
            <w:noWrap/>
          </w:tcPr>
          <w:p w14:paraId="26FE58C5" w14:textId="2871B2C0" w:rsidR="00FB56CA" w:rsidRPr="00783571" w:rsidRDefault="00FB56CA" w:rsidP="001A6C07">
            <w:pPr>
              <w:pStyle w:val="TableText"/>
              <w:spacing w:before="40" w:after="40"/>
              <w:jc w:val="center"/>
            </w:pPr>
            <w:r w:rsidRPr="00783571">
              <w:t>1.542</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06A0529D" w14:textId="5013C223" w:rsidR="00FB56CA" w:rsidRPr="00783571" w:rsidRDefault="00FB56CA" w:rsidP="001A6C07">
            <w:pPr>
              <w:pStyle w:val="TableText"/>
              <w:spacing w:before="40" w:after="40"/>
              <w:jc w:val="center"/>
            </w:pPr>
            <w:r w:rsidRPr="00783571">
              <w:t>1.685</w:t>
            </w:r>
          </w:p>
        </w:tc>
        <w:tc>
          <w:tcPr>
            <w:tcW w:w="2319" w:type="dxa"/>
            <w:tcBorders>
              <w:top w:val="single" w:sz="6" w:space="0" w:color="808080" w:themeColor="background1" w:themeShade="80"/>
              <w:bottom w:val="single" w:sz="6" w:space="0" w:color="808080" w:themeColor="background1" w:themeShade="80"/>
            </w:tcBorders>
            <w:shd w:val="clear" w:color="auto" w:fill="auto"/>
            <w:noWrap/>
          </w:tcPr>
          <w:p w14:paraId="4F8E0ABB" w14:textId="7301D1BC" w:rsidR="00FB56CA" w:rsidRPr="00783571" w:rsidRDefault="00FB56CA" w:rsidP="001A6C07">
            <w:pPr>
              <w:pStyle w:val="TableText"/>
              <w:spacing w:before="40" w:after="40"/>
              <w:jc w:val="center"/>
            </w:pPr>
            <w:r w:rsidRPr="00783571">
              <w:t>2.059</w:t>
            </w:r>
          </w:p>
        </w:tc>
        <w:tc>
          <w:tcPr>
            <w:tcW w:w="2911" w:type="dxa"/>
            <w:vMerge/>
            <w:tcBorders>
              <w:top w:val="single" w:sz="6" w:space="0" w:color="808080" w:themeColor="background1" w:themeShade="80"/>
              <w:bottom w:val="single" w:sz="6" w:space="0" w:color="808080" w:themeColor="background1" w:themeShade="80"/>
            </w:tcBorders>
            <w:shd w:val="clear" w:color="auto" w:fill="auto"/>
            <w:noWrap/>
          </w:tcPr>
          <w:p w14:paraId="173E7C88" w14:textId="77777777" w:rsidR="00FB56CA" w:rsidRPr="00783571" w:rsidRDefault="00FB56CA" w:rsidP="001A6C07">
            <w:pPr>
              <w:pStyle w:val="TableText"/>
              <w:spacing w:before="40" w:after="40"/>
            </w:pPr>
          </w:p>
        </w:tc>
      </w:tr>
      <w:tr w:rsidR="00FB56CA" w:rsidRPr="00783571" w14:paraId="0D1A0DED" w14:textId="77777777" w:rsidTr="00D05643">
        <w:trPr>
          <w:cantSplit/>
        </w:trPr>
        <w:tc>
          <w:tcPr>
            <w:tcW w:w="3410" w:type="dxa"/>
            <w:tcBorders>
              <w:top w:val="single" w:sz="6" w:space="0" w:color="808080" w:themeColor="background1" w:themeShade="80"/>
              <w:bottom w:val="single" w:sz="12" w:space="0" w:color="000000"/>
            </w:tcBorders>
            <w:shd w:val="clear" w:color="auto" w:fill="auto"/>
            <w:noWrap/>
          </w:tcPr>
          <w:p w14:paraId="4530AAFD" w14:textId="77777777" w:rsidR="00FB56CA" w:rsidRPr="00783571" w:rsidRDefault="00FB56CA" w:rsidP="001A6C07">
            <w:pPr>
              <w:pStyle w:val="TableText"/>
              <w:spacing w:before="40" w:after="40"/>
              <w:ind w:left="450"/>
            </w:pPr>
            <w:r w:rsidRPr="00783571">
              <w:t>CD4 &lt; 200</w:t>
            </w:r>
          </w:p>
        </w:tc>
        <w:tc>
          <w:tcPr>
            <w:tcW w:w="2231" w:type="dxa"/>
            <w:tcBorders>
              <w:top w:val="single" w:sz="6" w:space="0" w:color="808080" w:themeColor="background1" w:themeShade="80"/>
              <w:bottom w:val="single" w:sz="12" w:space="0" w:color="000000"/>
            </w:tcBorders>
            <w:shd w:val="clear" w:color="auto" w:fill="auto"/>
            <w:noWrap/>
          </w:tcPr>
          <w:p w14:paraId="771C8645" w14:textId="0A370698" w:rsidR="00FB56CA" w:rsidRPr="00783571" w:rsidRDefault="00FB56CA" w:rsidP="001A6C07">
            <w:pPr>
              <w:pStyle w:val="TableText"/>
              <w:spacing w:before="40" w:after="40"/>
              <w:jc w:val="center"/>
            </w:pPr>
            <w:r w:rsidRPr="00783571">
              <w:t>2.713</w:t>
            </w:r>
          </w:p>
        </w:tc>
        <w:tc>
          <w:tcPr>
            <w:tcW w:w="2319" w:type="dxa"/>
            <w:tcBorders>
              <w:top w:val="single" w:sz="6" w:space="0" w:color="808080" w:themeColor="background1" w:themeShade="80"/>
              <w:bottom w:val="single" w:sz="12" w:space="0" w:color="000000"/>
            </w:tcBorders>
            <w:shd w:val="clear" w:color="auto" w:fill="auto"/>
            <w:noWrap/>
          </w:tcPr>
          <w:p w14:paraId="1C580785" w14:textId="14475CE7" w:rsidR="00FB56CA" w:rsidRPr="00783571" w:rsidRDefault="00FB56CA" w:rsidP="001A6C07">
            <w:pPr>
              <w:pStyle w:val="TableText"/>
              <w:spacing w:before="40" w:after="40"/>
              <w:jc w:val="center"/>
            </w:pPr>
            <w:r w:rsidRPr="00783571">
              <w:t>2.965</w:t>
            </w:r>
          </w:p>
        </w:tc>
        <w:tc>
          <w:tcPr>
            <w:tcW w:w="2319" w:type="dxa"/>
            <w:tcBorders>
              <w:top w:val="single" w:sz="6" w:space="0" w:color="808080" w:themeColor="background1" w:themeShade="80"/>
              <w:bottom w:val="single" w:sz="12" w:space="0" w:color="000000"/>
            </w:tcBorders>
            <w:shd w:val="clear" w:color="auto" w:fill="auto"/>
            <w:noWrap/>
          </w:tcPr>
          <w:p w14:paraId="782535EE" w14:textId="65B0A8CA" w:rsidR="00FB56CA" w:rsidRPr="00783571" w:rsidRDefault="00FB56CA" w:rsidP="001A6C07">
            <w:pPr>
              <w:pStyle w:val="TableText"/>
              <w:spacing w:before="40" w:after="40"/>
              <w:jc w:val="center"/>
            </w:pPr>
            <w:r w:rsidRPr="00783571">
              <w:t>3.622</w:t>
            </w:r>
          </w:p>
        </w:tc>
        <w:tc>
          <w:tcPr>
            <w:tcW w:w="2911" w:type="dxa"/>
            <w:vMerge/>
            <w:tcBorders>
              <w:top w:val="single" w:sz="6" w:space="0" w:color="808080" w:themeColor="background1" w:themeShade="80"/>
              <w:bottom w:val="single" w:sz="12" w:space="0" w:color="000000"/>
            </w:tcBorders>
            <w:shd w:val="clear" w:color="auto" w:fill="auto"/>
            <w:noWrap/>
          </w:tcPr>
          <w:p w14:paraId="4692E9A4" w14:textId="77777777" w:rsidR="00FB56CA" w:rsidRPr="00783571" w:rsidRDefault="00FB56CA" w:rsidP="001A6C07">
            <w:pPr>
              <w:pStyle w:val="TableText"/>
              <w:spacing w:before="40" w:after="40"/>
            </w:pPr>
          </w:p>
        </w:tc>
      </w:tr>
    </w:tbl>
    <w:p w14:paraId="3B94EC4E" w14:textId="22CCDB77" w:rsidR="00A57EF2" w:rsidRPr="00783571" w:rsidRDefault="00D25FAD" w:rsidP="00D05643">
      <w:pPr>
        <w:pStyle w:val="Source2"/>
      </w:pPr>
      <w:r w:rsidRPr="00783571">
        <w:t xml:space="preserve">Note: </w:t>
      </w:r>
      <w:r w:rsidR="00A57EF2" w:rsidRPr="00783571">
        <w:t>HET</w:t>
      </w:r>
      <w:r w:rsidR="00E628BE" w:rsidRPr="00783571">
        <w:t> = </w:t>
      </w:r>
      <w:r w:rsidR="00A57EF2" w:rsidRPr="00783571">
        <w:t>heterosexual; HIV</w:t>
      </w:r>
      <w:r w:rsidR="00E628BE" w:rsidRPr="00783571">
        <w:t> = </w:t>
      </w:r>
      <w:r w:rsidR="00A57EF2" w:rsidRPr="00783571">
        <w:t>human immunodeficiency virus; MSM</w:t>
      </w:r>
      <w:r w:rsidR="00E628BE" w:rsidRPr="00783571">
        <w:t> = </w:t>
      </w:r>
      <w:r w:rsidR="00A57EF2" w:rsidRPr="00783571">
        <w:t>men who have sex with men</w:t>
      </w:r>
      <w:r w:rsidR="00F77D76" w:rsidRPr="00783571">
        <w:t>; PWID</w:t>
      </w:r>
      <w:r w:rsidR="00E628BE" w:rsidRPr="00783571">
        <w:t> = </w:t>
      </w:r>
      <w:r w:rsidR="00F77D76" w:rsidRPr="00783571">
        <w:t>people who inject drugs</w:t>
      </w:r>
    </w:p>
    <w:p w14:paraId="7124DDEE" w14:textId="4197508F" w:rsidR="00CE0D1D" w:rsidRPr="00783571" w:rsidRDefault="00A57EF2" w:rsidP="00D05643">
      <w:pPr>
        <w:pStyle w:val="Source4"/>
      </w:pPr>
      <w:r w:rsidRPr="00783571">
        <w:rPr>
          <w:vertAlign w:val="superscript"/>
        </w:rPr>
        <w:t>a</w:t>
      </w:r>
      <w:r w:rsidR="00786610" w:rsidRPr="00783571">
        <w:rPr>
          <w:vertAlign w:val="superscript"/>
        </w:rPr>
        <w:t xml:space="preserve"> </w:t>
      </w:r>
      <w:r w:rsidRPr="00783571">
        <w:t xml:space="preserve">Calculated as the product of the annual </w:t>
      </w:r>
      <w:r w:rsidR="00436213" w:rsidRPr="00783571">
        <w:t xml:space="preserve">rate </w:t>
      </w:r>
      <w:r w:rsidRPr="00783571">
        <w:t>of getting tested for a reference group (</w:t>
      </w:r>
      <w:r w:rsidR="006B24BF" w:rsidRPr="00783571">
        <w:t>b</w:t>
      </w:r>
      <w:r w:rsidRPr="00783571">
        <w:t xml:space="preserve">lack </w:t>
      </w:r>
      <w:r w:rsidR="003C150A" w:rsidRPr="00783571">
        <w:t>HIV-</w:t>
      </w:r>
      <w:r w:rsidR="00436213" w:rsidRPr="00783571">
        <w:t xml:space="preserve">infected </w:t>
      </w:r>
      <w:r w:rsidRPr="00783571">
        <w:t xml:space="preserve">HET with </w:t>
      </w:r>
      <w:r w:rsidR="00436213" w:rsidRPr="00783571">
        <w:t>CD4 &gt;500</w:t>
      </w:r>
      <w:r w:rsidRPr="00783571">
        <w:t>) and relative risk values specific to that individual’s transmission group, race</w:t>
      </w:r>
      <w:r w:rsidR="00D25FAD" w:rsidRPr="00783571">
        <w:t>/ethnicity</w:t>
      </w:r>
      <w:r w:rsidRPr="00783571">
        <w:t>, and HIV sta</w:t>
      </w:r>
      <w:r w:rsidR="00850345" w:rsidRPr="00783571">
        <w:t>tus</w:t>
      </w:r>
      <w:r w:rsidR="000E7901" w:rsidRPr="00783571">
        <w:t xml:space="preserve">, as reported in </w:t>
      </w:r>
      <w:r w:rsidR="00814158" w:rsidRPr="00783571">
        <w:t>Table </w:t>
      </w:r>
      <w:r w:rsidR="000E7901" w:rsidRPr="00783571">
        <w:t>5.2</w:t>
      </w:r>
      <w:r w:rsidR="00850345" w:rsidRPr="00783571">
        <w:t>.</w:t>
      </w:r>
    </w:p>
    <w:p w14:paraId="62616386" w14:textId="53FFB071" w:rsidR="00064571" w:rsidRPr="00783571" w:rsidRDefault="004F4E6D" w:rsidP="00260D8A">
      <w:pPr>
        <w:pStyle w:val="TableTitle"/>
        <w:ind w:left="1530"/>
      </w:pPr>
      <w:bookmarkStart w:id="24" w:name="_Toc510104020"/>
      <w:r w:rsidRPr="00783571">
        <w:t>Table 5.</w:t>
      </w:r>
      <w:r w:rsidR="00064571" w:rsidRPr="00783571">
        <w:t>4</w:t>
      </w:r>
      <w:r w:rsidR="009508BA" w:rsidRPr="00783571">
        <w:t>.</w:t>
      </w:r>
      <w:r w:rsidR="009508BA" w:rsidRPr="00783571">
        <w:tab/>
        <w:t xml:space="preserve">Testing </w:t>
      </w:r>
      <w:r w:rsidR="003C150A" w:rsidRPr="00783571">
        <w:t xml:space="preserve">Performance </w:t>
      </w:r>
      <w:r w:rsidR="009508BA" w:rsidRPr="00783571">
        <w:t>Parameters</w:t>
      </w:r>
      <w:bookmarkEnd w:id="24"/>
    </w:p>
    <w:tbl>
      <w:tblPr>
        <w:tblW w:w="129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4259"/>
        <w:gridCol w:w="2547"/>
        <w:gridCol w:w="6154"/>
      </w:tblGrid>
      <w:tr w:rsidR="00C55552" w:rsidRPr="00783571" w14:paraId="39962DCC" w14:textId="77777777" w:rsidTr="00D05643">
        <w:trPr>
          <w:cantSplit/>
          <w:tblHeader/>
        </w:trPr>
        <w:tc>
          <w:tcPr>
            <w:tcW w:w="4259" w:type="dxa"/>
            <w:tcBorders>
              <w:top w:val="single" w:sz="12" w:space="0" w:color="000000"/>
              <w:bottom w:val="single" w:sz="6" w:space="0" w:color="auto"/>
            </w:tcBorders>
            <w:shd w:val="clear" w:color="auto" w:fill="auto"/>
          </w:tcPr>
          <w:p w14:paraId="4D33EAEA" w14:textId="77777777" w:rsidR="00C55552" w:rsidRPr="00783571" w:rsidRDefault="00C55552" w:rsidP="00D81284">
            <w:pPr>
              <w:pStyle w:val="TableHeaders"/>
              <w:spacing w:before="30" w:after="30"/>
              <w:jc w:val="left"/>
              <w:rPr>
                <w:szCs w:val="18"/>
              </w:rPr>
            </w:pPr>
            <w:r w:rsidRPr="00783571">
              <w:rPr>
                <w:szCs w:val="18"/>
              </w:rPr>
              <w:t>Input</w:t>
            </w:r>
          </w:p>
        </w:tc>
        <w:tc>
          <w:tcPr>
            <w:tcW w:w="2547" w:type="dxa"/>
            <w:tcBorders>
              <w:top w:val="single" w:sz="12" w:space="0" w:color="000000"/>
              <w:bottom w:val="single" w:sz="6" w:space="0" w:color="auto"/>
            </w:tcBorders>
            <w:shd w:val="clear" w:color="auto" w:fill="auto"/>
            <w:noWrap/>
          </w:tcPr>
          <w:p w14:paraId="5BC7E7AD" w14:textId="77777777" w:rsidR="00C55552" w:rsidRPr="00783571" w:rsidRDefault="00C55552" w:rsidP="00D81284">
            <w:pPr>
              <w:pStyle w:val="TableHeaders"/>
              <w:spacing w:before="30" w:after="30"/>
              <w:jc w:val="left"/>
              <w:rPr>
                <w:szCs w:val="18"/>
              </w:rPr>
            </w:pPr>
            <w:r w:rsidRPr="00783571">
              <w:rPr>
                <w:szCs w:val="18"/>
              </w:rPr>
              <w:t>Value</w:t>
            </w:r>
          </w:p>
        </w:tc>
        <w:tc>
          <w:tcPr>
            <w:tcW w:w="6154" w:type="dxa"/>
            <w:tcBorders>
              <w:top w:val="single" w:sz="12" w:space="0" w:color="000000"/>
              <w:bottom w:val="single" w:sz="6" w:space="0" w:color="auto"/>
            </w:tcBorders>
            <w:shd w:val="clear" w:color="auto" w:fill="auto"/>
          </w:tcPr>
          <w:p w14:paraId="1F0FBB6E" w14:textId="77777777" w:rsidR="00C55552" w:rsidRPr="00783571" w:rsidRDefault="00C55552" w:rsidP="00D81284">
            <w:pPr>
              <w:pStyle w:val="TableHeaders"/>
              <w:spacing w:before="30" w:after="30"/>
              <w:jc w:val="left"/>
              <w:rPr>
                <w:szCs w:val="18"/>
              </w:rPr>
            </w:pPr>
            <w:r w:rsidRPr="00783571">
              <w:rPr>
                <w:szCs w:val="18"/>
              </w:rPr>
              <w:t>Source</w:t>
            </w:r>
          </w:p>
        </w:tc>
      </w:tr>
      <w:tr w:rsidR="00C55552" w:rsidRPr="00783571" w14:paraId="5EEEAEC7" w14:textId="77777777" w:rsidTr="00D05643">
        <w:trPr>
          <w:cantSplit/>
        </w:trPr>
        <w:tc>
          <w:tcPr>
            <w:tcW w:w="4259" w:type="dxa"/>
            <w:tcBorders>
              <w:top w:val="single" w:sz="6" w:space="0" w:color="auto"/>
              <w:bottom w:val="single" w:sz="6" w:space="0" w:color="808080" w:themeColor="background1" w:themeShade="80"/>
            </w:tcBorders>
          </w:tcPr>
          <w:p w14:paraId="5167C5D9" w14:textId="52552B5E" w:rsidR="00C55552" w:rsidRPr="00783571" w:rsidRDefault="00C55552" w:rsidP="008E4A7C">
            <w:pPr>
              <w:pStyle w:val="TableText"/>
              <w:spacing w:before="30" w:after="30"/>
              <w:rPr>
                <w:szCs w:val="18"/>
              </w:rPr>
            </w:pPr>
            <w:r w:rsidRPr="00783571">
              <w:rPr>
                <w:szCs w:val="18"/>
              </w:rPr>
              <w:t>Test sensitivity</w:t>
            </w:r>
            <w:r w:rsidR="008E4A7C" w:rsidRPr="00783571">
              <w:rPr>
                <w:szCs w:val="18"/>
              </w:rPr>
              <w:t>,</w:t>
            </w:r>
            <w:r w:rsidR="00F539FC" w:rsidRPr="00783571">
              <w:rPr>
                <w:szCs w:val="18"/>
                <w:vertAlign w:val="superscript"/>
              </w:rPr>
              <w:t>a</w:t>
            </w:r>
            <w:r w:rsidR="008E4A7C" w:rsidRPr="00783571">
              <w:rPr>
                <w:szCs w:val="18"/>
              </w:rPr>
              <w:t xml:space="preserve"> a</w:t>
            </w:r>
            <w:r w:rsidRPr="00783571">
              <w:rPr>
                <w:szCs w:val="18"/>
              </w:rPr>
              <w:t xml:space="preserve">cute HIV </w:t>
            </w:r>
          </w:p>
        </w:tc>
        <w:tc>
          <w:tcPr>
            <w:tcW w:w="2547" w:type="dxa"/>
            <w:tcBorders>
              <w:top w:val="single" w:sz="6" w:space="0" w:color="auto"/>
              <w:bottom w:val="single" w:sz="6" w:space="0" w:color="808080" w:themeColor="background1" w:themeShade="80"/>
            </w:tcBorders>
            <w:shd w:val="clear" w:color="auto" w:fill="auto"/>
            <w:noWrap/>
          </w:tcPr>
          <w:p w14:paraId="151DEE66" w14:textId="77777777" w:rsidR="00C55552" w:rsidRPr="00783571" w:rsidRDefault="00C55552" w:rsidP="00D81284">
            <w:pPr>
              <w:pStyle w:val="TableText"/>
              <w:spacing w:before="30" w:after="30"/>
              <w:rPr>
                <w:szCs w:val="18"/>
              </w:rPr>
            </w:pPr>
          </w:p>
        </w:tc>
        <w:tc>
          <w:tcPr>
            <w:tcW w:w="6154" w:type="dxa"/>
            <w:tcBorders>
              <w:top w:val="single" w:sz="6" w:space="0" w:color="auto"/>
              <w:bottom w:val="single" w:sz="6" w:space="0" w:color="808080" w:themeColor="background1" w:themeShade="80"/>
            </w:tcBorders>
          </w:tcPr>
          <w:p w14:paraId="384F8D5B" w14:textId="77777777" w:rsidR="00C55552" w:rsidRPr="00783571" w:rsidRDefault="00C55552" w:rsidP="00D81284">
            <w:pPr>
              <w:pStyle w:val="TableText"/>
              <w:spacing w:before="30" w:after="30"/>
              <w:rPr>
                <w:szCs w:val="18"/>
              </w:rPr>
            </w:pPr>
          </w:p>
        </w:tc>
      </w:tr>
      <w:tr w:rsidR="00C55552" w:rsidRPr="00783571" w14:paraId="76766D6A"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05B3F684" w14:textId="77777777" w:rsidR="00C55552" w:rsidRPr="00783571" w:rsidRDefault="00C55552" w:rsidP="00D81284">
            <w:pPr>
              <w:pStyle w:val="TableTextIndent1"/>
              <w:spacing w:before="30" w:after="30"/>
              <w:rPr>
                <w:szCs w:val="18"/>
              </w:rPr>
            </w:pPr>
            <w:r w:rsidRPr="00783571">
              <w:rPr>
                <w:szCs w:val="18"/>
              </w:rPr>
              <w:t>Rapid screen</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6404E0D8" w14:textId="77777777" w:rsidR="00C55552" w:rsidRPr="00783571" w:rsidRDefault="00C55552" w:rsidP="00D81284">
            <w:pPr>
              <w:pStyle w:val="TableText"/>
              <w:spacing w:before="30" w:after="30"/>
              <w:rPr>
                <w:szCs w:val="18"/>
              </w:rPr>
            </w:pPr>
            <w:r w:rsidRPr="00783571">
              <w:rPr>
                <w:szCs w:val="18"/>
              </w:rPr>
              <w:t>0.0173</w:t>
            </w:r>
          </w:p>
        </w:tc>
        <w:tc>
          <w:tcPr>
            <w:tcW w:w="6154" w:type="dxa"/>
            <w:tcBorders>
              <w:top w:val="single" w:sz="6" w:space="0" w:color="808080" w:themeColor="background1" w:themeShade="80"/>
              <w:bottom w:val="single" w:sz="6" w:space="0" w:color="808080" w:themeColor="background1" w:themeShade="80"/>
            </w:tcBorders>
          </w:tcPr>
          <w:p w14:paraId="2A32B5D5" w14:textId="77777777" w:rsidR="00C55552" w:rsidRPr="00783571" w:rsidRDefault="00C55552" w:rsidP="00D81284">
            <w:pPr>
              <w:pStyle w:val="TableText"/>
              <w:spacing w:before="30" w:after="30"/>
              <w:rPr>
                <w:szCs w:val="18"/>
              </w:rPr>
            </w:pPr>
            <w:r w:rsidRPr="00783571">
              <w:rPr>
                <w:szCs w:val="18"/>
              </w:rPr>
              <w:t>Average of Oraquick and Clearview tests from Pilcher et al. (2013)</w:t>
            </w:r>
            <w:r w:rsidR="004B05DC" w:rsidRPr="00783571">
              <w:rPr>
                <w:szCs w:val="18"/>
                <w:vertAlign w:val="superscript"/>
              </w:rPr>
              <w:t>b</w:t>
            </w:r>
          </w:p>
        </w:tc>
      </w:tr>
      <w:tr w:rsidR="00C55552" w:rsidRPr="00783571" w14:paraId="06685D2D" w14:textId="77777777" w:rsidTr="00D05643">
        <w:trPr>
          <w:cantSplit/>
        </w:trPr>
        <w:tc>
          <w:tcPr>
            <w:tcW w:w="4259" w:type="dxa"/>
            <w:vMerge w:val="restart"/>
            <w:tcBorders>
              <w:top w:val="single" w:sz="6" w:space="0" w:color="808080" w:themeColor="background1" w:themeShade="80"/>
              <w:bottom w:val="single" w:sz="6" w:space="0" w:color="808080" w:themeColor="background1" w:themeShade="80"/>
            </w:tcBorders>
          </w:tcPr>
          <w:p w14:paraId="38506ED3" w14:textId="77777777" w:rsidR="00C55552" w:rsidRPr="00783571" w:rsidRDefault="00C55552" w:rsidP="00D81284">
            <w:pPr>
              <w:pStyle w:val="TableTextIndent1"/>
              <w:spacing w:before="30" w:after="30"/>
              <w:rPr>
                <w:szCs w:val="18"/>
              </w:rPr>
            </w:pPr>
            <w:r w:rsidRPr="00783571">
              <w:rPr>
                <w:szCs w:val="18"/>
              </w:rPr>
              <w:t>Conventional screen</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00B85D1D" w14:textId="7C25344A" w:rsidR="00C55552" w:rsidRPr="00783571" w:rsidRDefault="00C55552" w:rsidP="00D81284">
            <w:pPr>
              <w:pStyle w:val="Tabletext0"/>
              <w:spacing w:before="30" w:after="30" w:line="240" w:lineRule="auto"/>
              <w:rPr>
                <w:rFonts w:ascii="Verdana" w:hAnsi="Verdana"/>
                <w:sz w:val="18"/>
                <w:szCs w:val="18"/>
              </w:rPr>
            </w:pPr>
            <w:r w:rsidRPr="00783571">
              <w:rPr>
                <w:rFonts w:ascii="Verdana" w:hAnsi="Verdana"/>
                <w:sz w:val="18"/>
                <w:szCs w:val="18"/>
              </w:rPr>
              <w:t>3G: 0.509</w:t>
            </w:r>
            <w:r w:rsidR="00A249F6" w:rsidRPr="00783571">
              <w:rPr>
                <w:rFonts w:ascii="Verdana" w:hAnsi="Verdana"/>
                <w:sz w:val="18"/>
                <w:szCs w:val="18"/>
              </w:rPr>
              <w:t>0</w:t>
            </w:r>
          </w:p>
        </w:tc>
        <w:tc>
          <w:tcPr>
            <w:tcW w:w="6154" w:type="dxa"/>
            <w:tcBorders>
              <w:top w:val="single" w:sz="6" w:space="0" w:color="808080" w:themeColor="background1" w:themeShade="80"/>
              <w:bottom w:val="single" w:sz="6" w:space="0" w:color="808080" w:themeColor="background1" w:themeShade="80"/>
            </w:tcBorders>
          </w:tcPr>
          <w:p w14:paraId="3BD8C773" w14:textId="77777777" w:rsidR="00C55552" w:rsidRPr="00783571" w:rsidRDefault="00C55552" w:rsidP="00D81284">
            <w:pPr>
              <w:pStyle w:val="Tabletext0"/>
              <w:spacing w:before="30" w:after="30" w:line="240" w:lineRule="auto"/>
              <w:rPr>
                <w:rFonts w:ascii="Verdana" w:hAnsi="Verdana"/>
                <w:sz w:val="18"/>
                <w:szCs w:val="18"/>
              </w:rPr>
            </w:pPr>
            <w:r w:rsidRPr="00783571">
              <w:rPr>
                <w:rFonts w:ascii="Verdana" w:hAnsi="Verdana"/>
                <w:sz w:val="18"/>
                <w:szCs w:val="18"/>
              </w:rPr>
              <w:t>3G: Hutchinson et al. (2013)</w:t>
            </w:r>
          </w:p>
        </w:tc>
      </w:tr>
      <w:tr w:rsidR="00C55552" w:rsidRPr="00783571" w14:paraId="54DFFDBD" w14:textId="77777777" w:rsidTr="00D05643">
        <w:trPr>
          <w:cantSplit/>
        </w:trPr>
        <w:tc>
          <w:tcPr>
            <w:tcW w:w="4259" w:type="dxa"/>
            <w:vMerge/>
            <w:tcBorders>
              <w:top w:val="single" w:sz="6" w:space="0" w:color="808080" w:themeColor="background1" w:themeShade="80"/>
              <w:bottom w:val="single" w:sz="6" w:space="0" w:color="808080" w:themeColor="background1" w:themeShade="80"/>
            </w:tcBorders>
          </w:tcPr>
          <w:p w14:paraId="6CCB307B" w14:textId="77777777" w:rsidR="00C55552" w:rsidRPr="00783571" w:rsidRDefault="00C55552" w:rsidP="00D81284">
            <w:pPr>
              <w:pStyle w:val="TableText"/>
              <w:spacing w:before="30" w:after="30"/>
              <w:rPr>
                <w:szCs w:val="18"/>
              </w:rPr>
            </w:pP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4A0FD42C" w14:textId="77777777" w:rsidR="00C55552" w:rsidRPr="00783571" w:rsidRDefault="00C55552" w:rsidP="00D81284">
            <w:pPr>
              <w:pStyle w:val="Tabletext0"/>
              <w:spacing w:before="30" w:after="30" w:line="240" w:lineRule="auto"/>
              <w:rPr>
                <w:rFonts w:ascii="Verdana" w:hAnsi="Verdana"/>
                <w:sz w:val="18"/>
                <w:szCs w:val="18"/>
              </w:rPr>
            </w:pPr>
            <w:r w:rsidRPr="00783571">
              <w:rPr>
                <w:rFonts w:ascii="Verdana" w:hAnsi="Verdana"/>
                <w:sz w:val="18"/>
                <w:szCs w:val="18"/>
              </w:rPr>
              <w:t>4G: 0.8276</w:t>
            </w:r>
          </w:p>
        </w:tc>
        <w:tc>
          <w:tcPr>
            <w:tcW w:w="6154" w:type="dxa"/>
            <w:tcBorders>
              <w:top w:val="single" w:sz="6" w:space="0" w:color="808080" w:themeColor="background1" w:themeShade="80"/>
              <w:bottom w:val="single" w:sz="6" w:space="0" w:color="808080" w:themeColor="background1" w:themeShade="80"/>
            </w:tcBorders>
          </w:tcPr>
          <w:p w14:paraId="5C4B6EA1" w14:textId="77777777" w:rsidR="00C55552" w:rsidRPr="00783571" w:rsidRDefault="00C55552" w:rsidP="00D81284">
            <w:pPr>
              <w:pStyle w:val="Tabletext0"/>
              <w:spacing w:before="30" w:after="30" w:line="240" w:lineRule="auto"/>
              <w:rPr>
                <w:rFonts w:ascii="Verdana" w:hAnsi="Verdana"/>
                <w:sz w:val="18"/>
                <w:szCs w:val="18"/>
              </w:rPr>
            </w:pPr>
            <w:r w:rsidRPr="00783571">
              <w:rPr>
                <w:rFonts w:ascii="Verdana" w:hAnsi="Verdana"/>
                <w:sz w:val="18"/>
                <w:szCs w:val="18"/>
              </w:rPr>
              <w:t>4G: Hutchinson et al. (2013), which cited Chavez et al. (2011)</w:t>
            </w:r>
          </w:p>
        </w:tc>
      </w:tr>
      <w:tr w:rsidR="00C55552" w:rsidRPr="00783571" w14:paraId="3BCFE654"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3016210A" w14:textId="77777777" w:rsidR="00C55552" w:rsidRPr="00783571" w:rsidRDefault="00C55552" w:rsidP="00DB78B1">
            <w:pPr>
              <w:pStyle w:val="TableTextIndent1"/>
              <w:spacing w:before="30" w:after="30"/>
              <w:rPr>
                <w:szCs w:val="18"/>
              </w:rPr>
            </w:pPr>
            <w:r w:rsidRPr="00783571">
              <w:rPr>
                <w:szCs w:val="18"/>
              </w:rPr>
              <w:t>Confirmatory test</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5BFE4D41" w14:textId="77777777" w:rsidR="00C55552" w:rsidRPr="00783571" w:rsidRDefault="00C55552" w:rsidP="00D81284">
            <w:pPr>
              <w:pStyle w:val="Tabletext0"/>
              <w:spacing w:before="30" w:after="30" w:line="240" w:lineRule="auto"/>
              <w:rPr>
                <w:rFonts w:ascii="Verdana" w:hAnsi="Verdana"/>
                <w:sz w:val="18"/>
                <w:szCs w:val="18"/>
              </w:rPr>
            </w:pPr>
            <w:r w:rsidRPr="00783571">
              <w:rPr>
                <w:rFonts w:ascii="Verdana" w:hAnsi="Verdana"/>
                <w:sz w:val="18"/>
                <w:szCs w:val="18"/>
              </w:rPr>
              <w:t>Western blot: 0.0</w:t>
            </w:r>
          </w:p>
        </w:tc>
        <w:tc>
          <w:tcPr>
            <w:tcW w:w="6154" w:type="dxa"/>
            <w:tcBorders>
              <w:top w:val="single" w:sz="6" w:space="0" w:color="808080" w:themeColor="background1" w:themeShade="80"/>
              <w:bottom w:val="single" w:sz="6" w:space="0" w:color="808080" w:themeColor="background1" w:themeShade="80"/>
            </w:tcBorders>
          </w:tcPr>
          <w:p w14:paraId="45E6A189" w14:textId="13DC0A2B" w:rsidR="00C55552" w:rsidRPr="00783571" w:rsidRDefault="00C55552" w:rsidP="006B24BF">
            <w:pPr>
              <w:pStyle w:val="Tabletext0"/>
              <w:spacing w:before="30" w:after="30" w:line="240" w:lineRule="auto"/>
              <w:rPr>
                <w:rFonts w:ascii="Verdana" w:hAnsi="Verdana"/>
                <w:sz w:val="18"/>
                <w:szCs w:val="18"/>
              </w:rPr>
            </w:pPr>
            <w:r w:rsidRPr="00783571">
              <w:rPr>
                <w:rFonts w:ascii="Verdana" w:hAnsi="Verdana"/>
                <w:sz w:val="18"/>
                <w:szCs w:val="18"/>
              </w:rPr>
              <w:t xml:space="preserve">Assumption based on length </w:t>
            </w:r>
            <w:r w:rsidR="003C1901" w:rsidRPr="00783571">
              <w:rPr>
                <w:rFonts w:ascii="Verdana" w:hAnsi="Verdana"/>
                <w:sz w:val="18"/>
                <w:szCs w:val="18"/>
              </w:rPr>
              <w:t xml:space="preserve">of </w:t>
            </w:r>
            <w:r w:rsidRPr="00783571">
              <w:rPr>
                <w:rFonts w:ascii="Verdana" w:hAnsi="Verdana"/>
                <w:sz w:val="18"/>
                <w:szCs w:val="18"/>
              </w:rPr>
              <w:t>Western blot window period (Feibig et al</w:t>
            </w:r>
            <w:r w:rsidR="006B24BF" w:rsidRPr="00783571">
              <w:rPr>
                <w:rFonts w:ascii="Verdana" w:hAnsi="Verdana"/>
                <w:sz w:val="18"/>
                <w:szCs w:val="18"/>
              </w:rPr>
              <w:t>.</w:t>
            </w:r>
            <w:r w:rsidRPr="00783571">
              <w:rPr>
                <w:rFonts w:ascii="Verdana" w:hAnsi="Verdana"/>
                <w:sz w:val="18"/>
                <w:szCs w:val="18"/>
              </w:rPr>
              <w:t>, 2003)</w:t>
            </w:r>
          </w:p>
        </w:tc>
      </w:tr>
      <w:tr w:rsidR="00C55552" w:rsidRPr="00783571" w14:paraId="03D07711"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31C3EB06" w14:textId="762CE698" w:rsidR="00C55552" w:rsidRPr="00783571" w:rsidRDefault="008E4A7C" w:rsidP="00DB78B1">
            <w:pPr>
              <w:pStyle w:val="TableText"/>
              <w:spacing w:before="30" w:after="30"/>
              <w:rPr>
                <w:szCs w:val="18"/>
              </w:rPr>
            </w:pPr>
            <w:r w:rsidRPr="00783571">
              <w:rPr>
                <w:szCs w:val="18"/>
              </w:rPr>
              <w:t>Test sensitivity, c</w:t>
            </w:r>
            <w:r w:rsidR="00C55552" w:rsidRPr="00783571">
              <w:rPr>
                <w:szCs w:val="18"/>
              </w:rPr>
              <w:t>hronic HIV</w:t>
            </w:r>
            <w:r w:rsidR="004B05DC" w:rsidRPr="00783571">
              <w:rPr>
                <w:szCs w:val="18"/>
                <w:vertAlign w:val="superscript"/>
              </w:rPr>
              <w:t>c</w:t>
            </w:r>
            <w:r w:rsidR="00C55552" w:rsidRPr="00783571">
              <w:rPr>
                <w:szCs w:val="18"/>
              </w:rPr>
              <w:t xml:space="preserve"> </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441C1C19" w14:textId="77777777" w:rsidR="00C55552" w:rsidRPr="00783571" w:rsidRDefault="00C55552" w:rsidP="00D81284">
            <w:pPr>
              <w:pStyle w:val="TableText"/>
              <w:spacing w:before="30" w:after="30"/>
              <w:rPr>
                <w:szCs w:val="18"/>
              </w:rPr>
            </w:pPr>
          </w:p>
        </w:tc>
        <w:tc>
          <w:tcPr>
            <w:tcW w:w="6154" w:type="dxa"/>
            <w:tcBorders>
              <w:top w:val="single" w:sz="6" w:space="0" w:color="808080" w:themeColor="background1" w:themeShade="80"/>
              <w:bottom w:val="single" w:sz="6" w:space="0" w:color="808080" w:themeColor="background1" w:themeShade="80"/>
            </w:tcBorders>
          </w:tcPr>
          <w:p w14:paraId="056EB989" w14:textId="77777777" w:rsidR="00C55552" w:rsidRPr="00783571" w:rsidRDefault="00C55552" w:rsidP="00D81284">
            <w:pPr>
              <w:pStyle w:val="Tabletext0"/>
              <w:spacing w:before="30" w:after="30" w:line="240" w:lineRule="auto"/>
              <w:rPr>
                <w:rFonts w:ascii="Verdana" w:hAnsi="Verdana"/>
                <w:sz w:val="18"/>
                <w:szCs w:val="18"/>
              </w:rPr>
            </w:pPr>
          </w:p>
        </w:tc>
      </w:tr>
      <w:tr w:rsidR="00C55552" w:rsidRPr="00783571" w14:paraId="7DEDEBD0"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6F7486CA" w14:textId="77777777" w:rsidR="00C55552" w:rsidRPr="00783571" w:rsidRDefault="00C55552" w:rsidP="00D81284">
            <w:pPr>
              <w:pStyle w:val="TableTextIndent1"/>
              <w:spacing w:before="30" w:after="30"/>
              <w:rPr>
                <w:szCs w:val="18"/>
              </w:rPr>
            </w:pPr>
            <w:r w:rsidRPr="00783571">
              <w:rPr>
                <w:szCs w:val="18"/>
              </w:rPr>
              <w:t>Rapid screen</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6463D563" w14:textId="77777777" w:rsidR="00C55552" w:rsidRPr="00783571" w:rsidRDefault="00C55552" w:rsidP="00CB2F8F">
            <w:pPr>
              <w:pStyle w:val="TableText"/>
              <w:spacing w:before="30" w:after="30"/>
              <w:rPr>
                <w:szCs w:val="18"/>
              </w:rPr>
            </w:pPr>
            <w:r w:rsidRPr="00783571">
              <w:rPr>
                <w:szCs w:val="18"/>
              </w:rPr>
              <w:t>0.993</w:t>
            </w:r>
          </w:p>
        </w:tc>
        <w:tc>
          <w:tcPr>
            <w:tcW w:w="6154" w:type="dxa"/>
            <w:tcBorders>
              <w:top w:val="single" w:sz="6" w:space="0" w:color="808080" w:themeColor="background1" w:themeShade="80"/>
              <w:bottom w:val="single" w:sz="6" w:space="0" w:color="808080" w:themeColor="background1" w:themeShade="80"/>
            </w:tcBorders>
          </w:tcPr>
          <w:p w14:paraId="64FE2748" w14:textId="77777777" w:rsidR="00C55552" w:rsidRPr="00783571" w:rsidRDefault="00C55552" w:rsidP="00D81284">
            <w:pPr>
              <w:pStyle w:val="Tabletext0"/>
              <w:spacing w:before="30" w:after="30" w:line="240" w:lineRule="auto"/>
              <w:rPr>
                <w:rFonts w:ascii="Verdana" w:hAnsi="Verdana"/>
                <w:sz w:val="18"/>
                <w:szCs w:val="18"/>
              </w:rPr>
            </w:pPr>
            <w:r w:rsidRPr="00783571">
              <w:rPr>
                <w:rFonts w:ascii="Verdana" w:hAnsi="Verdana"/>
                <w:sz w:val="18"/>
                <w:szCs w:val="18"/>
              </w:rPr>
              <w:t>OraQuick ADVANCE:</w:t>
            </w:r>
          </w:p>
          <w:p w14:paraId="0535D9B7" w14:textId="77777777" w:rsidR="00C55552" w:rsidRPr="00783571" w:rsidRDefault="00C55552" w:rsidP="00D81284">
            <w:pPr>
              <w:pStyle w:val="TableText"/>
              <w:spacing w:before="30" w:after="30"/>
              <w:rPr>
                <w:szCs w:val="18"/>
              </w:rPr>
            </w:pPr>
            <w:r w:rsidRPr="00783571">
              <w:rPr>
                <w:szCs w:val="18"/>
              </w:rPr>
              <w:t>Rapid HIV-1/2 Antibody Test package insert</w:t>
            </w:r>
          </w:p>
        </w:tc>
      </w:tr>
      <w:tr w:rsidR="00E200F3" w:rsidRPr="00783571" w14:paraId="6555C53C"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2B7C7C75" w14:textId="77777777" w:rsidR="00E200F3" w:rsidRPr="00783571" w:rsidRDefault="00E200F3" w:rsidP="00896106">
            <w:pPr>
              <w:pStyle w:val="TableTextIndent1"/>
              <w:spacing w:before="30" w:after="30"/>
              <w:rPr>
                <w:szCs w:val="18"/>
              </w:rPr>
            </w:pPr>
            <w:r w:rsidRPr="00783571">
              <w:rPr>
                <w:szCs w:val="18"/>
              </w:rPr>
              <w:t>Conventional screen</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61BF4B93" w14:textId="77777777" w:rsidR="00E200F3" w:rsidRPr="00783571" w:rsidRDefault="00E200F3" w:rsidP="00896106">
            <w:pPr>
              <w:pStyle w:val="Tabletext0"/>
              <w:spacing w:before="30" w:after="30" w:line="240" w:lineRule="auto"/>
              <w:rPr>
                <w:rFonts w:ascii="Verdana" w:hAnsi="Verdana"/>
                <w:sz w:val="18"/>
                <w:szCs w:val="18"/>
              </w:rPr>
            </w:pPr>
            <w:r w:rsidRPr="00783571">
              <w:rPr>
                <w:rFonts w:ascii="Verdana" w:hAnsi="Verdana"/>
                <w:sz w:val="18"/>
                <w:szCs w:val="18"/>
              </w:rPr>
              <w:t>3G: 0.9968</w:t>
            </w:r>
          </w:p>
          <w:p w14:paraId="02C333A7" w14:textId="77777777" w:rsidR="00E200F3" w:rsidRPr="00783571" w:rsidRDefault="00E200F3" w:rsidP="00896106">
            <w:pPr>
              <w:pStyle w:val="TableText"/>
              <w:spacing w:before="30" w:after="30"/>
              <w:rPr>
                <w:szCs w:val="18"/>
              </w:rPr>
            </w:pPr>
            <w:r w:rsidRPr="00783571">
              <w:rPr>
                <w:szCs w:val="18"/>
              </w:rPr>
              <w:t>4G: 0.9986</w:t>
            </w:r>
          </w:p>
        </w:tc>
        <w:tc>
          <w:tcPr>
            <w:tcW w:w="6154" w:type="dxa"/>
            <w:tcBorders>
              <w:top w:val="single" w:sz="6" w:space="0" w:color="808080" w:themeColor="background1" w:themeShade="80"/>
              <w:bottom w:val="single" w:sz="6" w:space="0" w:color="808080" w:themeColor="background1" w:themeShade="80"/>
            </w:tcBorders>
          </w:tcPr>
          <w:p w14:paraId="15A13AB4" w14:textId="1E92E96B" w:rsidR="00E200F3" w:rsidRPr="00783571" w:rsidRDefault="00E200F3" w:rsidP="00896106">
            <w:pPr>
              <w:pStyle w:val="TableText"/>
              <w:spacing w:before="30" w:after="30"/>
              <w:rPr>
                <w:szCs w:val="18"/>
              </w:rPr>
            </w:pPr>
            <w:r w:rsidRPr="00783571">
              <w:rPr>
                <w:szCs w:val="18"/>
              </w:rPr>
              <w:t xml:space="preserve">Hutchinson et al. (2013), which cited package insert data (3G) and Chavez </w:t>
            </w:r>
            <w:r w:rsidR="006B24BF" w:rsidRPr="00783571">
              <w:rPr>
                <w:szCs w:val="18"/>
              </w:rPr>
              <w:t>et al. (</w:t>
            </w:r>
            <w:r w:rsidRPr="00783571">
              <w:rPr>
                <w:szCs w:val="18"/>
              </w:rPr>
              <w:t>2011</w:t>
            </w:r>
            <w:r w:rsidR="006B24BF" w:rsidRPr="00783571">
              <w:rPr>
                <w:szCs w:val="18"/>
              </w:rPr>
              <w:t>)</w:t>
            </w:r>
            <w:r w:rsidRPr="00783571">
              <w:rPr>
                <w:szCs w:val="18"/>
              </w:rPr>
              <w:t xml:space="preserve"> (4G)</w:t>
            </w:r>
          </w:p>
        </w:tc>
      </w:tr>
      <w:tr w:rsidR="00C55552" w:rsidRPr="00783571" w14:paraId="1DCC248E"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267C8855" w14:textId="77777777" w:rsidR="00C55552" w:rsidRPr="00783571" w:rsidRDefault="00E200F3" w:rsidP="004B05DC">
            <w:pPr>
              <w:pStyle w:val="TableTextIndent1"/>
              <w:spacing w:before="30" w:after="30"/>
              <w:rPr>
                <w:szCs w:val="18"/>
              </w:rPr>
            </w:pPr>
            <w:r w:rsidRPr="00783571">
              <w:rPr>
                <w:szCs w:val="18"/>
              </w:rPr>
              <w:t>Confirmatory test</w:t>
            </w:r>
            <w:r w:rsidR="004B05DC" w:rsidRPr="00783571">
              <w:rPr>
                <w:szCs w:val="18"/>
                <w:vertAlign w:val="superscript"/>
              </w:rPr>
              <w:t>d</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1286F02F" w14:textId="77777777" w:rsidR="00C55552" w:rsidRPr="00783571" w:rsidRDefault="00E200F3" w:rsidP="00D81284">
            <w:pPr>
              <w:pStyle w:val="TableText"/>
              <w:spacing w:before="30" w:after="30"/>
              <w:rPr>
                <w:szCs w:val="18"/>
              </w:rPr>
            </w:pPr>
            <w:r w:rsidRPr="00783571">
              <w:rPr>
                <w:szCs w:val="18"/>
              </w:rPr>
              <w:t>Western blot: 1.0</w:t>
            </w:r>
          </w:p>
        </w:tc>
        <w:tc>
          <w:tcPr>
            <w:tcW w:w="6154" w:type="dxa"/>
            <w:tcBorders>
              <w:top w:val="single" w:sz="6" w:space="0" w:color="808080" w:themeColor="background1" w:themeShade="80"/>
              <w:bottom w:val="single" w:sz="6" w:space="0" w:color="808080" w:themeColor="background1" w:themeShade="80"/>
            </w:tcBorders>
          </w:tcPr>
          <w:p w14:paraId="5DB9039A" w14:textId="77777777" w:rsidR="00C55552" w:rsidRPr="00783571" w:rsidRDefault="00E200F3" w:rsidP="00D81284">
            <w:pPr>
              <w:pStyle w:val="TableText"/>
              <w:spacing w:before="30" w:after="30"/>
              <w:rPr>
                <w:szCs w:val="18"/>
              </w:rPr>
            </w:pPr>
            <w:r w:rsidRPr="00783571">
              <w:rPr>
                <w:szCs w:val="18"/>
              </w:rPr>
              <w:t>Assumption in Hutchinson et al. (2013)</w:t>
            </w:r>
          </w:p>
        </w:tc>
      </w:tr>
      <w:tr w:rsidR="00C55552" w:rsidRPr="00783571" w14:paraId="7E231554" w14:textId="77777777" w:rsidTr="00D05643">
        <w:trPr>
          <w:cantSplit/>
        </w:trPr>
        <w:tc>
          <w:tcPr>
            <w:tcW w:w="12960" w:type="dxa"/>
            <w:gridSpan w:val="3"/>
            <w:tcBorders>
              <w:top w:val="single" w:sz="6" w:space="0" w:color="808080" w:themeColor="background1" w:themeShade="80"/>
              <w:bottom w:val="single" w:sz="6" w:space="0" w:color="808080" w:themeColor="background1" w:themeShade="80"/>
            </w:tcBorders>
          </w:tcPr>
          <w:p w14:paraId="3BA32DDC" w14:textId="77777777" w:rsidR="00C55552" w:rsidRPr="00783571" w:rsidRDefault="00C55552" w:rsidP="00D81284">
            <w:pPr>
              <w:pStyle w:val="TableText"/>
              <w:spacing w:before="30" w:after="30"/>
              <w:rPr>
                <w:szCs w:val="18"/>
              </w:rPr>
            </w:pPr>
            <w:r w:rsidRPr="00783571">
              <w:rPr>
                <w:szCs w:val="18"/>
              </w:rPr>
              <w:t xml:space="preserve">Percent compliance with testing at a specified interval (without outreach) </w:t>
            </w:r>
          </w:p>
        </w:tc>
      </w:tr>
      <w:tr w:rsidR="00C31CB8" w:rsidRPr="00783571" w14:paraId="44CC686F"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40DAB0D2" w14:textId="02C678D3" w:rsidR="00C31CB8" w:rsidRPr="00783571" w:rsidRDefault="00C31CB8" w:rsidP="00B718A7">
            <w:pPr>
              <w:pStyle w:val="TableText"/>
              <w:spacing w:before="30" w:after="30"/>
              <w:ind w:left="274"/>
              <w:rPr>
                <w:szCs w:val="18"/>
              </w:rPr>
            </w:pPr>
            <w:r w:rsidRPr="00783571">
              <w:rPr>
                <w:szCs w:val="18"/>
              </w:rPr>
              <w:t>Ages 18</w:t>
            </w:r>
            <w:r w:rsidR="00740DFC" w:rsidRPr="00783571">
              <w:rPr>
                <w:szCs w:val="18"/>
              </w:rPr>
              <w:t>–6</w:t>
            </w:r>
            <w:r w:rsidRPr="00783571">
              <w:rPr>
                <w:szCs w:val="18"/>
              </w:rPr>
              <w:t>4</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20BE3817" w14:textId="77777777" w:rsidR="00C31CB8" w:rsidRPr="00783571" w:rsidRDefault="00C31CB8" w:rsidP="00B718A7">
            <w:pPr>
              <w:pStyle w:val="TableText"/>
              <w:spacing w:before="30" w:after="30"/>
              <w:rPr>
                <w:szCs w:val="18"/>
              </w:rPr>
            </w:pPr>
          </w:p>
        </w:tc>
        <w:tc>
          <w:tcPr>
            <w:tcW w:w="6154" w:type="dxa"/>
            <w:tcBorders>
              <w:top w:val="single" w:sz="6" w:space="0" w:color="808080" w:themeColor="background1" w:themeShade="80"/>
              <w:bottom w:val="single" w:sz="6" w:space="0" w:color="808080" w:themeColor="background1" w:themeShade="80"/>
            </w:tcBorders>
          </w:tcPr>
          <w:p w14:paraId="3C7A8EFE" w14:textId="77777777" w:rsidR="00C31CB8" w:rsidRPr="00783571" w:rsidRDefault="00C31CB8" w:rsidP="00B718A7">
            <w:pPr>
              <w:pStyle w:val="Tabletext0"/>
              <w:spacing w:before="30" w:after="30" w:line="240" w:lineRule="auto"/>
              <w:rPr>
                <w:rFonts w:ascii="Verdana" w:hAnsi="Verdana"/>
                <w:sz w:val="18"/>
                <w:szCs w:val="18"/>
              </w:rPr>
            </w:pPr>
          </w:p>
        </w:tc>
      </w:tr>
      <w:tr w:rsidR="00C31CB8" w:rsidRPr="00783571" w14:paraId="3D85AF4F"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70CF5312" w14:textId="3072CD32" w:rsidR="00C31CB8" w:rsidRPr="00783571" w:rsidRDefault="008E4A7C" w:rsidP="00B718A7">
            <w:pPr>
              <w:pStyle w:val="TableTextIndent1"/>
              <w:spacing w:before="30" w:after="30"/>
              <w:ind w:left="634"/>
              <w:rPr>
                <w:szCs w:val="18"/>
              </w:rPr>
            </w:pPr>
            <w:r w:rsidRPr="00783571">
              <w:rPr>
                <w:szCs w:val="18"/>
              </w:rPr>
              <w:t>Low r</w:t>
            </w:r>
            <w:r w:rsidR="00C31CB8" w:rsidRPr="00783571">
              <w:rPr>
                <w:szCs w:val="18"/>
              </w:rPr>
              <w:t>isk</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5CB2D731" w14:textId="77777777" w:rsidR="00C31CB8" w:rsidRPr="00783571" w:rsidRDefault="00C31CB8" w:rsidP="00B718A7">
            <w:pPr>
              <w:pStyle w:val="TableText"/>
              <w:spacing w:before="30" w:after="30"/>
              <w:rPr>
                <w:szCs w:val="18"/>
              </w:rPr>
            </w:pPr>
            <w:r w:rsidRPr="00783571">
              <w:rPr>
                <w:szCs w:val="18"/>
              </w:rPr>
              <w:t>35.0%</w:t>
            </w:r>
          </w:p>
        </w:tc>
        <w:tc>
          <w:tcPr>
            <w:tcW w:w="6154" w:type="dxa"/>
            <w:vMerge w:val="restart"/>
            <w:tcBorders>
              <w:top w:val="single" w:sz="6" w:space="0" w:color="808080" w:themeColor="background1" w:themeShade="80"/>
              <w:bottom w:val="single" w:sz="6" w:space="0" w:color="808080" w:themeColor="background1" w:themeShade="80"/>
            </w:tcBorders>
          </w:tcPr>
          <w:p w14:paraId="2E6D98A5" w14:textId="67427A3B" w:rsidR="00C31CB8" w:rsidRPr="00783571" w:rsidRDefault="00D05643" w:rsidP="00B718A7">
            <w:pPr>
              <w:pStyle w:val="Tabletext0"/>
              <w:spacing w:before="30" w:after="30" w:line="240" w:lineRule="auto"/>
              <w:rPr>
                <w:rFonts w:ascii="Verdana" w:hAnsi="Verdana"/>
                <w:sz w:val="18"/>
                <w:szCs w:val="18"/>
              </w:rPr>
            </w:pPr>
            <w:r w:rsidRPr="00783571">
              <w:rPr>
                <w:rFonts w:ascii="Verdana" w:hAnsi="Verdana"/>
                <w:sz w:val="18"/>
                <w:szCs w:val="18"/>
              </w:rPr>
              <w:t>Chou et al. (2012)</w:t>
            </w:r>
          </w:p>
        </w:tc>
      </w:tr>
      <w:tr w:rsidR="00C31CB8" w:rsidRPr="00783571" w14:paraId="75CD74C2"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4CA33A79" w14:textId="30DB14A1" w:rsidR="00C31CB8" w:rsidRPr="00783571" w:rsidRDefault="00C31CB8" w:rsidP="008E4A7C">
            <w:pPr>
              <w:pStyle w:val="TableTextIndent1"/>
              <w:spacing w:before="30" w:after="30"/>
              <w:ind w:left="634"/>
              <w:rPr>
                <w:szCs w:val="18"/>
              </w:rPr>
            </w:pPr>
            <w:r w:rsidRPr="00783571">
              <w:rPr>
                <w:szCs w:val="18"/>
              </w:rPr>
              <w:t xml:space="preserve">High </w:t>
            </w:r>
            <w:r w:rsidR="008E4A7C" w:rsidRPr="00783571">
              <w:rPr>
                <w:szCs w:val="18"/>
              </w:rPr>
              <w:t>r</w:t>
            </w:r>
            <w:r w:rsidRPr="00783571">
              <w:rPr>
                <w:szCs w:val="18"/>
              </w:rPr>
              <w:t xml:space="preserve">isk </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2D070674" w14:textId="77777777" w:rsidR="00C31CB8" w:rsidRPr="00783571" w:rsidRDefault="00C31CB8" w:rsidP="00B718A7">
            <w:pPr>
              <w:pStyle w:val="TableText"/>
              <w:spacing w:before="30" w:after="30"/>
              <w:rPr>
                <w:szCs w:val="18"/>
              </w:rPr>
            </w:pPr>
            <w:r w:rsidRPr="00783571">
              <w:rPr>
                <w:szCs w:val="18"/>
              </w:rPr>
              <w:t>60.0%</w:t>
            </w:r>
          </w:p>
        </w:tc>
        <w:tc>
          <w:tcPr>
            <w:tcW w:w="6154" w:type="dxa"/>
            <w:vMerge/>
            <w:tcBorders>
              <w:top w:val="single" w:sz="6" w:space="0" w:color="808080" w:themeColor="background1" w:themeShade="80"/>
              <w:bottom w:val="single" w:sz="6" w:space="0" w:color="808080" w:themeColor="background1" w:themeShade="80"/>
            </w:tcBorders>
          </w:tcPr>
          <w:p w14:paraId="018F6976" w14:textId="77777777" w:rsidR="00C31CB8" w:rsidRPr="00783571" w:rsidRDefault="00C31CB8" w:rsidP="00B718A7">
            <w:pPr>
              <w:pStyle w:val="Tabletext0"/>
              <w:spacing w:before="30" w:after="30" w:line="240" w:lineRule="auto"/>
              <w:rPr>
                <w:rFonts w:ascii="Verdana" w:hAnsi="Verdana"/>
                <w:sz w:val="18"/>
                <w:szCs w:val="18"/>
              </w:rPr>
            </w:pPr>
          </w:p>
        </w:tc>
      </w:tr>
      <w:tr w:rsidR="00C31CB8" w:rsidRPr="00783571" w14:paraId="401F4531"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66052CB6" w14:textId="126A600F" w:rsidR="00C31CB8" w:rsidRPr="00783571" w:rsidRDefault="00C31CB8" w:rsidP="00B718A7">
            <w:pPr>
              <w:pStyle w:val="TableText"/>
              <w:spacing w:before="30" w:after="30"/>
              <w:ind w:left="274"/>
              <w:rPr>
                <w:szCs w:val="18"/>
              </w:rPr>
            </w:pPr>
            <w:r w:rsidRPr="00783571">
              <w:rPr>
                <w:szCs w:val="18"/>
              </w:rPr>
              <w:t>Ages 13</w:t>
            </w:r>
            <w:r w:rsidR="00740DFC" w:rsidRPr="00783571">
              <w:rPr>
                <w:szCs w:val="18"/>
              </w:rPr>
              <w:t>–1</w:t>
            </w:r>
            <w:r w:rsidRPr="00783571">
              <w:rPr>
                <w:szCs w:val="18"/>
              </w:rPr>
              <w:t>7</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6F913F9F" w14:textId="77777777" w:rsidR="00C31CB8" w:rsidRPr="00783571" w:rsidRDefault="00C31CB8" w:rsidP="00B718A7">
            <w:pPr>
              <w:pStyle w:val="Tabletext0"/>
              <w:spacing w:before="30" w:after="30" w:line="240" w:lineRule="auto"/>
              <w:rPr>
                <w:rFonts w:ascii="Verdana" w:hAnsi="Verdana"/>
                <w:sz w:val="18"/>
                <w:szCs w:val="18"/>
              </w:rPr>
            </w:pPr>
          </w:p>
        </w:tc>
        <w:tc>
          <w:tcPr>
            <w:tcW w:w="6154" w:type="dxa"/>
            <w:tcBorders>
              <w:top w:val="single" w:sz="6" w:space="0" w:color="808080" w:themeColor="background1" w:themeShade="80"/>
              <w:bottom w:val="single" w:sz="6" w:space="0" w:color="808080" w:themeColor="background1" w:themeShade="80"/>
            </w:tcBorders>
          </w:tcPr>
          <w:p w14:paraId="32429A1E" w14:textId="77777777" w:rsidR="00C31CB8" w:rsidRPr="00783571" w:rsidRDefault="00C31CB8" w:rsidP="00B718A7">
            <w:pPr>
              <w:pStyle w:val="Tabletext0"/>
              <w:spacing w:before="30" w:after="30" w:line="240" w:lineRule="auto"/>
              <w:rPr>
                <w:rFonts w:ascii="Verdana" w:hAnsi="Verdana"/>
                <w:sz w:val="18"/>
                <w:szCs w:val="18"/>
              </w:rPr>
            </w:pPr>
          </w:p>
        </w:tc>
      </w:tr>
      <w:tr w:rsidR="00C31CB8" w:rsidRPr="00783571" w14:paraId="14941CB2"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0AAE4FE8" w14:textId="7B96BFB8" w:rsidR="00C31CB8" w:rsidRPr="00783571" w:rsidRDefault="008E4A7C" w:rsidP="00B718A7">
            <w:pPr>
              <w:pStyle w:val="TableTextIndent1"/>
              <w:spacing w:before="30" w:after="30"/>
              <w:ind w:left="634"/>
              <w:rPr>
                <w:szCs w:val="18"/>
              </w:rPr>
            </w:pPr>
            <w:r w:rsidRPr="00783571">
              <w:rPr>
                <w:szCs w:val="18"/>
              </w:rPr>
              <w:t>Low r</w:t>
            </w:r>
            <w:r w:rsidR="00C31CB8" w:rsidRPr="00783571">
              <w:rPr>
                <w:szCs w:val="18"/>
              </w:rPr>
              <w:t>isk</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5C3C285C" w14:textId="77777777" w:rsidR="00C31CB8" w:rsidRPr="00783571" w:rsidRDefault="00C31CB8" w:rsidP="00B718A7">
            <w:pPr>
              <w:pStyle w:val="Tabletext0"/>
              <w:spacing w:before="30" w:after="30" w:line="240" w:lineRule="auto"/>
              <w:rPr>
                <w:rFonts w:ascii="Verdana" w:hAnsi="Verdana"/>
                <w:sz w:val="18"/>
                <w:szCs w:val="18"/>
              </w:rPr>
            </w:pPr>
            <w:r w:rsidRPr="00783571">
              <w:rPr>
                <w:rFonts w:ascii="Verdana" w:hAnsi="Verdana"/>
                <w:sz w:val="18"/>
                <w:szCs w:val="18"/>
              </w:rPr>
              <w:t>31.5%</w:t>
            </w:r>
          </w:p>
        </w:tc>
        <w:tc>
          <w:tcPr>
            <w:tcW w:w="6154" w:type="dxa"/>
            <w:vMerge w:val="restart"/>
            <w:tcBorders>
              <w:top w:val="single" w:sz="6" w:space="0" w:color="808080" w:themeColor="background1" w:themeShade="80"/>
              <w:bottom w:val="single" w:sz="6" w:space="0" w:color="808080" w:themeColor="background1" w:themeShade="80"/>
            </w:tcBorders>
          </w:tcPr>
          <w:p w14:paraId="0AE52A4A" w14:textId="106DA0BD" w:rsidR="00C31CB8" w:rsidRPr="00783571" w:rsidRDefault="00C31CB8" w:rsidP="006B24BF">
            <w:pPr>
              <w:pStyle w:val="Tabletext0"/>
              <w:spacing w:before="30" w:after="30" w:line="240" w:lineRule="auto"/>
              <w:rPr>
                <w:rFonts w:ascii="Verdana" w:hAnsi="Verdana"/>
                <w:sz w:val="18"/>
                <w:szCs w:val="18"/>
              </w:rPr>
            </w:pPr>
            <w:r w:rsidRPr="00783571">
              <w:rPr>
                <w:rFonts w:ascii="Verdana" w:hAnsi="Verdana"/>
                <w:sz w:val="18"/>
                <w:szCs w:val="18"/>
              </w:rPr>
              <w:t>Freeman et al. (2009) found uptake of 82% among teens and 91% among adults, which was equivalent to a 10% reduction in uptake in teens versus adults. Applied same relative reduction to ages 13</w:t>
            </w:r>
            <w:r w:rsidR="006B24BF" w:rsidRPr="00783571">
              <w:rPr>
                <w:rFonts w:ascii="Verdana" w:hAnsi="Verdana"/>
                <w:sz w:val="18"/>
                <w:szCs w:val="18"/>
              </w:rPr>
              <w:t xml:space="preserve"> to </w:t>
            </w:r>
            <w:r w:rsidRPr="00783571">
              <w:rPr>
                <w:rFonts w:ascii="Verdana" w:hAnsi="Verdana"/>
                <w:sz w:val="18"/>
                <w:szCs w:val="18"/>
              </w:rPr>
              <w:t>17 versus 18</w:t>
            </w:r>
            <w:r w:rsidR="006B24BF" w:rsidRPr="00783571">
              <w:rPr>
                <w:rFonts w:ascii="Verdana" w:hAnsi="Verdana"/>
                <w:sz w:val="18"/>
                <w:szCs w:val="18"/>
              </w:rPr>
              <w:t xml:space="preserve"> to </w:t>
            </w:r>
            <w:r w:rsidRPr="00783571">
              <w:rPr>
                <w:rFonts w:ascii="Verdana" w:hAnsi="Verdana"/>
                <w:sz w:val="18"/>
                <w:szCs w:val="18"/>
              </w:rPr>
              <w:t>64 for both risk levels.</w:t>
            </w:r>
          </w:p>
        </w:tc>
      </w:tr>
      <w:tr w:rsidR="00C31CB8" w:rsidRPr="00783571" w14:paraId="7CA2D03F" w14:textId="77777777" w:rsidTr="00D05643">
        <w:trPr>
          <w:cantSplit/>
        </w:trPr>
        <w:tc>
          <w:tcPr>
            <w:tcW w:w="4259" w:type="dxa"/>
            <w:tcBorders>
              <w:top w:val="single" w:sz="6" w:space="0" w:color="808080" w:themeColor="background1" w:themeShade="80"/>
              <w:bottom w:val="single" w:sz="6" w:space="0" w:color="808080" w:themeColor="background1" w:themeShade="80"/>
            </w:tcBorders>
          </w:tcPr>
          <w:p w14:paraId="111D9AE7" w14:textId="252F578D" w:rsidR="00C31CB8" w:rsidRPr="00783571" w:rsidRDefault="008E4A7C" w:rsidP="00B718A7">
            <w:pPr>
              <w:pStyle w:val="TableTextIndent1"/>
              <w:spacing w:before="30" w:after="30"/>
              <w:ind w:left="634"/>
              <w:rPr>
                <w:szCs w:val="18"/>
              </w:rPr>
            </w:pPr>
            <w:r w:rsidRPr="00783571">
              <w:rPr>
                <w:szCs w:val="18"/>
              </w:rPr>
              <w:t>High r</w:t>
            </w:r>
            <w:r w:rsidR="00C31CB8" w:rsidRPr="00783571">
              <w:rPr>
                <w:szCs w:val="18"/>
              </w:rPr>
              <w:t xml:space="preserve">isk </w:t>
            </w:r>
          </w:p>
        </w:tc>
        <w:tc>
          <w:tcPr>
            <w:tcW w:w="2547" w:type="dxa"/>
            <w:tcBorders>
              <w:top w:val="single" w:sz="6" w:space="0" w:color="808080" w:themeColor="background1" w:themeShade="80"/>
              <w:bottom w:val="single" w:sz="6" w:space="0" w:color="808080" w:themeColor="background1" w:themeShade="80"/>
            </w:tcBorders>
            <w:shd w:val="clear" w:color="auto" w:fill="auto"/>
            <w:noWrap/>
          </w:tcPr>
          <w:p w14:paraId="37CC5946" w14:textId="11D9B83F" w:rsidR="00C31CB8" w:rsidRPr="00783571" w:rsidRDefault="00C31CB8" w:rsidP="0006025F">
            <w:pPr>
              <w:pStyle w:val="TableText"/>
              <w:spacing w:before="30" w:after="30"/>
              <w:rPr>
                <w:szCs w:val="18"/>
              </w:rPr>
            </w:pPr>
            <w:r w:rsidRPr="00783571">
              <w:rPr>
                <w:szCs w:val="18"/>
              </w:rPr>
              <w:t>54.</w:t>
            </w:r>
            <w:r w:rsidR="0006025F" w:rsidRPr="00783571">
              <w:rPr>
                <w:szCs w:val="18"/>
              </w:rPr>
              <w:t>1</w:t>
            </w:r>
            <w:r w:rsidRPr="00783571">
              <w:rPr>
                <w:szCs w:val="18"/>
              </w:rPr>
              <w:t>%</w:t>
            </w:r>
          </w:p>
        </w:tc>
        <w:tc>
          <w:tcPr>
            <w:tcW w:w="6154" w:type="dxa"/>
            <w:vMerge/>
            <w:tcBorders>
              <w:top w:val="single" w:sz="6" w:space="0" w:color="808080" w:themeColor="background1" w:themeShade="80"/>
              <w:bottom w:val="single" w:sz="6" w:space="0" w:color="808080" w:themeColor="background1" w:themeShade="80"/>
            </w:tcBorders>
          </w:tcPr>
          <w:p w14:paraId="3589A59A" w14:textId="77777777" w:rsidR="00C31CB8" w:rsidRPr="00783571" w:rsidRDefault="00C31CB8" w:rsidP="00B718A7">
            <w:pPr>
              <w:pStyle w:val="Tabletext0"/>
              <w:spacing w:before="30" w:after="30" w:line="240" w:lineRule="auto"/>
              <w:rPr>
                <w:rFonts w:ascii="Verdana" w:hAnsi="Verdana"/>
                <w:sz w:val="18"/>
                <w:szCs w:val="18"/>
              </w:rPr>
            </w:pPr>
          </w:p>
        </w:tc>
      </w:tr>
      <w:tr w:rsidR="00D81284" w:rsidRPr="00783571" w14:paraId="08D9C479" w14:textId="77777777" w:rsidTr="00D05643">
        <w:trPr>
          <w:cantSplit/>
        </w:trPr>
        <w:tc>
          <w:tcPr>
            <w:tcW w:w="4259" w:type="dxa"/>
            <w:tcBorders>
              <w:top w:val="single" w:sz="6" w:space="0" w:color="808080" w:themeColor="background1" w:themeShade="80"/>
              <w:bottom w:val="single" w:sz="12" w:space="0" w:color="auto"/>
            </w:tcBorders>
          </w:tcPr>
          <w:p w14:paraId="618A99A4" w14:textId="77777777" w:rsidR="00D81284" w:rsidRPr="00783571" w:rsidRDefault="00D81284" w:rsidP="00D81284">
            <w:pPr>
              <w:pStyle w:val="TableText"/>
              <w:spacing w:before="30" w:after="30"/>
              <w:rPr>
                <w:szCs w:val="18"/>
              </w:rPr>
            </w:pPr>
            <w:r w:rsidRPr="00783571">
              <w:rPr>
                <w:szCs w:val="18"/>
              </w:rPr>
              <w:t xml:space="preserve">Effect of outreach, as measured by relative increase in compliance with testing </w:t>
            </w:r>
          </w:p>
        </w:tc>
        <w:tc>
          <w:tcPr>
            <w:tcW w:w="2547" w:type="dxa"/>
            <w:tcBorders>
              <w:top w:val="single" w:sz="6" w:space="0" w:color="808080" w:themeColor="background1" w:themeShade="80"/>
              <w:bottom w:val="single" w:sz="12" w:space="0" w:color="auto"/>
            </w:tcBorders>
            <w:shd w:val="clear" w:color="auto" w:fill="auto"/>
            <w:noWrap/>
          </w:tcPr>
          <w:p w14:paraId="1D350CFC" w14:textId="77777777" w:rsidR="00D81284" w:rsidRPr="00783571" w:rsidRDefault="00D81284" w:rsidP="00D81284">
            <w:pPr>
              <w:pStyle w:val="TableText"/>
              <w:spacing w:before="30" w:after="30"/>
              <w:rPr>
                <w:szCs w:val="18"/>
              </w:rPr>
            </w:pPr>
            <w:r w:rsidRPr="00783571">
              <w:rPr>
                <w:szCs w:val="18"/>
              </w:rPr>
              <w:t>30</w:t>
            </w:r>
            <w:r w:rsidR="006449A5" w:rsidRPr="00783571">
              <w:rPr>
                <w:szCs w:val="18"/>
              </w:rPr>
              <w:t>.0</w:t>
            </w:r>
            <w:r w:rsidRPr="00783571">
              <w:rPr>
                <w:szCs w:val="18"/>
              </w:rPr>
              <w:t>%</w:t>
            </w:r>
          </w:p>
        </w:tc>
        <w:tc>
          <w:tcPr>
            <w:tcW w:w="6154" w:type="dxa"/>
            <w:tcBorders>
              <w:top w:val="single" w:sz="6" w:space="0" w:color="808080" w:themeColor="background1" w:themeShade="80"/>
              <w:bottom w:val="single" w:sz="12" w:space="0" w:color="auto"/>
            </w:tcBorders>
          </w:tcPr>
          <w:p w14:paraId="173FE250" w14:textId="07A72BC6" w:rsidR="00D81284" w:rsidRPr="00783571" w:rsidRDefault="00D81284" w:rsidP="00D81284">
            <w:pPr>
              <w:pStyle w:val="TableText"/>
              <w:spacing w:before="30" w:after="30"/>
              <w:rPr>
                <w:szCs w:val="18"/>
              </w:rPr>
            </w:pPr>
            <w:r w:rsidRPr="00783571">
              <w:rPr>
                <w:szCs w:val="18"/>
              </w:rPr>
              <w:t>Assumption</w:t>
            </w:r>
            <w:r w:rsidR="009434EB" w:rsidRPr="00783571">
              <w:rPr>
                <w:szCs w:val="18"/>
              </w:rPr>
              <w:t xml:space="preserve"> based on a hypothetical outreach program with 30% effectiveness at increasing compliance.</w:t>
            </w:r>
            <w:r w:rsidRPr="00783571">
              <w:rPr>
                <w:szCs w:val="18"/>
              </w:rPr>
              <w:t xml:space="preserve"> </w:t>
            </w:r>
          </w:p>
        </w:tc>
      </w:tr>
    </w:tbl>
    <w:p w14:paraId="25530C48" w14:textId="506D435D" w:rsidR="00DB78B1" w:rsidRPr="00783571" w:rsidRDefault="00F539FC" w:rsidP="00D05643">
      <w:pPr>
        <w:pStyle w:val="Source2"/>
      </w:pPr>
      <w:r w:rsidRPr="00783571">
        <w:rPr>
          <w:vertAlign w:val="superscript"/>
        </w:rPr>
        <w:t>a</w:t>
      </w:r>
      <w:r w:rsidR="00064571" w:rsidRPr="00783571">
        <w:rPr>
          <w:rFonts w:ascii="Calibri" w:hAnsi="Calibri"/>
        </w:rPr>
        <w:t xml:space="preserve"> </w:t>
      </w:r>
      <w:r w:rsidR="00DB78B1" w:rsidRPr="00783571">
        <w:t>The window period during which acute HIV is not detectable is factored into the calculation of test sensitivity for individuals with acute HIV.</w:t>
      </w:r>
    </w:p>
    <w:p w14:paraId="7E0AF414" w14:textId="77777777" w:rsidR="004B05DC" w:rsidRPr="00783571" w:rsidRDefault="004B05DC" w:rsidP="00D05643">
      <w:pPr>
        <w:pStyle w:val="Source3"/>
      </w:pPr>
      <w:r w:rsidRPr="00783571">
        <w:rPr>
          <w:vertAlign w:val="superscript"/>
        </w:rPr>
        <w:t xml:space="preserve">b </w:t>
      </w:r>
      <w:r w:rsidRPr="00783571">
        <w:t>Calculated as average test sensitivity for Oraquick and Clearview tests for acute HIV.</w:t>
      </w:r>
    </w:p>
    <w:p w14:paraId="05429FE0" w14:textId="77777777" w:rsidR="004B05DC" w:rsidRPr="00783571" w:rsidRDefault="004B05DC" w:rsidP="00D05643">
      <w:pPr>
        <w:pStyle w:val="Source3"/>
        <w:rPr>
          <w:rFonts w:ascii="Calibri" w:hAnsi="Calibri"/>
        </w:rPr>
      </w:pPr>
      <w:r w:rsidRPr="00783571">
        <w:rPr>
          <w:vertAlign w:val="superscript"/>
        </w:rPr>
        <w:t xml:space="preserve">c </w:t>
      </w:r>
      <w:r w:rsidRPr="00783571">
        <w:t>Early infection, the time after acute infection but before viral set point when transmission risk per contact is elevated and testing is less sensitive is not accounted for in the model.</w:t>
      </w:r>
    </w:p>
    <w:p w14:paraId="67FC0A8C" w14:textId="3E8B628B" w:rsidR="00A57EF2" w:rsidRPr="00783571" w:rsidRDefault="004B05DC" w:rsidP="00D05643">
      <w:pPr>
        <w:pStyle w:val="Source3"/>
        <w:rPr>
          <w:rFonts w:ascii="Calibri" w:hAnsi="Calibri"/>
        </w:rPr>
      </w:pPr>
      <w:r w:rsidRPr="00783571">
        <w:rPr>
          <w:rFonts w:ascii="Calibri" w:hAnsi="Calibri"/>
          <w:vertAlign w:val="superscript"/>
        </w:rPr>
        <w:t>d</w:t>
      </w:r>
      <w:r w:rsidR="00DB78B1" w:rsidRPr="00783571">
        <w:rPr>
          <w:rFonts w:ascii="Calibri" w:hAnsi="Calibri"/>
        </w:rPr>
        <w:t xml:space="preserve"> </w:t>
      </w:r>
      <w:r w:rsidR="005B2EF3" w:rsidRPr="00783571">
        <w:t xml:space="preserve">Because all negative confirmatory tests are followed up by a </w:t>
      </w:r>
      <w:r w:rsidR="00A249F6" w:rsidRPr="00783571">
        <w:t>nucleic acid amplification test (</w:t>
      </w:r>
      <w:r w:rsidR="005B2EF3" w:rsidRPr="00783571">
        <w:t>NAT</w:t>
      </w:r>
      <w:r w:rsidR="00A249F6" w:rsidRPr="00783571">
        <w:t>)</w:t>
      </w:r>
      <w:r w:rsidR="005B2EF3" w:rsidRPr="00783571">
        <w:t xml:space="preserve"> with 100% sensitivity, the sensitivity of the screening process to determine progression does not consider sensitivity of the confirmatory test. The only effect is on cost</w:t>
      </w:r>
      <w:r w:rsidR="00E200F3" w:rsidRPr="00783571">
        <w:t>.</w:t>
      </w:r>
    </w:p>
    <w:p w14:paraId="4B2D8336" w14:textId="5592756B" w:rsidR="00A57EF2" w:rsidRPr="00783571" w:rsidRDefault="004F4E6D" w:rsidP="00260D8A">
      <w:pPr>
        <w:pStyle w:val="TableTitle"/>
        <w:ind w:left="1530"/>
      </w:pPr>
      <w:bookmarkStart w:id="25" w:name="_Toc510104021"/>
      <w:r w:rsidRPr="00783571">
        <w:t>Table 5.</w:t>
      </w:r>
      <w:r w:rsidR="00051B41" w:rsidRPr="00783571">
        <w:t>5</w:t>
      </w:r>
      <w:r w:rsidR="00A57EF2" w:rsidRPr="00783571">
        <w:t>.</w:t>
      </w:r>
      <w:r w:rsidR="00A57EF2" w:rsidRPr="00783571">
        <w:tab/>
        <w:t xml:space="preserve">Annual Probability of </w:t>
      </w:r>
      <w:r w:rsidR="008101D3" w:rsidRPr="00783571">
        <w:t xml:space="preserve">Being Prescribed </w:t>
      </w:r>
      <w:r w:rsidR="00A57EF2" w:rsidRPr="00783571">
        <w:t>ART</w:t>
      </w:r>
      <w:r w:rsidR="000B68B7" w:rsidRPr="00783571">
        <w:t xml:space="preserve"> in Second and Third Time Periods</w:t>
      </w:r>
      <w:bookmarkEnd w:id="25"/>
    </w:p>
    <w:tbl>
      <w:tblPr>
        <w:tblW w:w="5000" w:type="pct"/>
        <w:tblBorders>
          <w:top w:val="single" w:sz="12" w:space="0" w:color="000000"/>
          <w:bottom w:val="single" w:sz="12" w:space="0" w:color="000000"/>
          <w:insideH w:val="single" w:sz="2" w:space="0" w:color="DDDDDD"/>
        </w:tblBorders>
        <w:tblLayout w:type="fixed"/>
        <w:tblLook w:val="04A0" w:firstRow="1" w:lastRow="0" w:firstColumn="1" w:lastColumn="0" w:noHBand="0" w:noVBand="1"/>
      </w:tblPr>
      <w:tblGrid>
        <w:gridCol w:w="2495"/>
        <w:gridCol w:w="1541"/>
        <w:gridCol w:w="1541"/>
        <w:gridCol w:w="1541"/>
        <w:gridCol w:w="1541"/>
        <w:gridCol w:w="1541"/>
        <w:gridCol w:w="2760"/>
      </w:tblGrid>
      <w:tr w:rsidR="00A57EF2" w:rsidRPr="00783571" w14:paraId="6E3F329A" w14:textId="77777777" w:rsidTr="00D05643">
        <w:trPr>
          <w:tblHeader/>
        </w:trPr>
        <w:tc>
          <w:tcPr>
            <w:tcW w:w="2538" w:type="dxa"/>
            <w:tcBorders>
              <w:top w:val="single" w:sz="12" w:space="0" w:color="000000"/>
              <w:bottom w:val="single" w:sz="6" w:space="0" w:color="auto"/>
            </w:tcBorders>
            <w:shd w:val="clear" w:color="auto" w:fill="auto"/>
            <w:noWrap/>
            <w:vAlign w:val="bottom"/>
            <w:hideMark/>
          </w:tcPr>
          <w:p w14:paraId="2C0F8D1A" w14:textId="77777777" w:rsidR="00A57EF2" w:rsidRPr="00783571" w:rsidRDefault="000F52F1" w:rsidP="003B19DD">
            <w:pPr>
              <w:pStyle w:val="TableHeaders"/>
            </w:pPr>
            <w:r w:rsidRPr="00783571">
              <w:t>Parameter</w:t>
            </w:r>
          </w:p>
        </w:tc>
        <w:tc>
          <w:tcPr>
            <w:tcW w:w="1566" w:type="dxa"/>
            <w:tcBorders>
              <w:top w:val="single" w:sz="12" w:space="0" w:color="000000"/>
              <w:bottom w:val="single" w:sz="6" w:space="0" w:color="auto"/>
            </w:tcBorders>
            <w:shd w:val="clear" w:color="auto" w:fill="auto"/>
            <w:noWrap/>
            <w:vAlign w:val="bottom"/>
            <w:hideMark/>
          </w:tcPr>
          <w:p w14:paraId="6BA4FA28" w14:textId="5D3CDA86" w:rsidR="00A57EF2" w:rsidRPr="00783571" w:rsidRDefault="00A57EF2" w:rsidP="003B19DD">
            <w:pPr>
              <w:pStyle w:val="TableHeaders"/>
            </w:pPr>
            <w:r w:rsidRPr="00783571">
              <w:t>Acute</w:t>
            </w:r>
          </w:p>
        </w:tc>
        <w:tc>
          <w:tcPr>
            <w:tcW w:w="1566" w:type="dxa"/>
            <w:tcBorders>
              <w:top w:val="single" w:sz="12" w:space="0" w:color="000000"/>
              <w:bottom w:val="single" w:sz="6" w:space="0" w:color="auto"/>
            </w:tcBorders>
            <w:shd w:val="clear" w:color="auto" w:fill="auto"/>
            <w:noWrap/>
            <w:vAlign w:val="bottom"/>
            <w:hideMark/>
          </w:tcPr>
          <w:p w14:paraId="331DB6F6" w14:textId="5B5B6BA1" w:rsidR="00A57EF2" w:rsidRPr="00783571" w:rsidRDefault="00A57EF2" w:rsidP="003B19DD">
            <w:pPr>
              <w:pStyle w:val="TableHeaders"/>
            </w:pPr>
            <w:r w:rsidRPr="00783571">
              <w:t>CD4 &gt; 500</w:t>
            </w:r>
          </w:p>
        </w:tc>
        <w:tc>
          <w:tcPr>
            <w:tcW w:w="1566" w:type="dxa"/>
            <w:tcBorders>
              <w:top w:val="single" w:sz="12" w:space="0" w:color="000000"/>
              <w:bottom w:val="single" w:sz="6" w:space="0" w:color="auto"/>
            </w:tcBorders>
            <w:shd w:val="clear" w:color="auto" w:fill="auto"/>
            <w:noWrap/>
            <w:vAlign w:val="bottom"/>
            <w:hideMark/>
          </w:tcPr>
          <w:p w14:paraId="1600BA89" w14:textId="6332B333" w:rsidR="00A57EF2" w:rsidRPr="00783571" w:rsidRDefault="00A57EF2" w:rsidP="003B19DD">
            <w:pPr>
              <w:pStyle w:val="TableHeaders"/>
            </w:pPr>
            <w:r w:rsidRPr="00783571">
              <w:t xml:space="preserve">CD4 </w:t>
            </w:r>
            <w:r w:rsidR="00D81284" w:rsidRPr="00783571">
              <w:br/>
            </w:r>
            <w:r w:rsidRPr="00783571">
              <w:t>350–500</w:t>
            </w:r>
          </w:p>
        </w:tc>
        <w:tc>
          <w:tcPr>
            <w:tcW w:w="1566" w:type="dxa"/>
            <w:tcBorders>
              <w:top w:val="single" w:sz="12" w:space="0" w:color="000000"/>
              <w:bottom w:val="single" w:sz="6" w:space="0" w:color="auto"/>
            </w:tcBorders>
            <w:shd w:val="clear" w:color="auto" w:fill="auto"/>
            <w:noWrap/>
            <w:vAlign w:val="bottom"/>
            <w:hideMark/>
          </w:tcPr>
          <w:p w14:paraId="3500D1F7" w14:textId="6F211515" w:rsidR="00A57EF2" w:rsidRPr="00783571" w:rsidRDefault="00A57EF2" w:rsidP="003B19DD">
            <w:pPr>
              <w:pStyle w:val="TableHeaders"/>
            </w:pPr>
            <w:r w:rsidRPr="00783571">
              <w:t xml:space="preserve">CD4 </w:t>
            </w:r>
            <w:r w:rsidR="00D81284" w:rsidRPr="00783571">
              <w:br/>
            </w:r>
            <w:r w:rsidRPr="00783571">
              <w:t>200–350</w:t>
            </w:r>
          </w:p>
        </w:tc>
        <w:tc>
          <w:tcPr>
            <w:tcW w:w="1566" w:type="dxa"/>
            <w:tcBorders>
              <w:top w:val="single" w:sz="12" w:space="0" w:color="000000"/>
              <w:bottom w:val="single" w:sz="6" w:space="0" w:color="auto"/>
            </w:tcBorders>
            <w:shd w:val="clear" w:color="auto" w:fill="auto"/>
            <w:noWrap/>
            <w:vAlign w:val="bottom"/>
            <w:hideMark/>
          </w:tcPr>
          <w:p w14:paraId="7B83D368" w14:textId="2B118D03" w:rsidR="00A57EF2" w:rsidRPr="00783571" w:rsidRDefault="00A57EF2" w:rsidP="003B19DD">
            <w:pPr>
              <w:pStyle w:val="TableHeaders"/>
            </w:pPr>
            <w:r w:rsidRPr="00783571">
              <w:t>CD4 &lt; 200</w:t>
            </w:r>
          </w:p>
        </w:tc>
        <w:tc>
          <w:tcPr>
            <w:tcW w:w="2808" w:type="dxa"/>
            <w:tcBorders>
              <w:top w:val="single" w:sz="12" w:space="0" w:color="000000"/>
              <w:bottom w:val="single" w:sz="6" w:space="0" w:color="auto"/>
            </w:tcBorders>
            <w:shd w:val="clear" w:color="auto" w:fill="auto"/>
            <w:noWrap/>
            <w:vAlign w:val="bottom"/>
            <w:hideMark/>
          </w:tcPr>
          <w:p w14:paraId="0B524574" w14:textId="77777777" w:rsidR="00A57EF2" w:rsidRPr="00783571" w:rsidRDefault="00A57EF2" w:rsidP="003B19DD">
            <w:pPr>
              <w:pStyle w:val="TableHeaders"/>
            </w:pPr>
            <w:r w:rsidRPr="00783571">
              <w:t>Source</w:t>
            </w:r>
          </w:p>
        </w:tc>
      </w:tr>
      <w:tr w:rsidR="00A57EF2" w:rsidRPr="00783571" w14:paraId="56D0B395" w14:textId="77777777" w:rsidTr="00D05643">
        <w:tc>
          <w:tcPr>
            <w:tcW w:w="13176" w:type="dxa"/>
            <w:gridSpan w:val="7"/>
            <w:tcBorders>
              <w:top w:val="single" w:sz="6" w:space="0" w:color="auto"/>
              <w:bottom w:val="single" w:sz="6" w:space="0" w:color="808080" w:themeColor="background1" w:themeShade="80"/>
            </w:tcBorders>
            <w:shd w:val="clear" w:color="auto" w:fill="auto"/>
            <w:noWrap/>
            <w:hideMark/>
          </w:tcPr>
          <w:p w14:paraId="09853862" w14:textId="32059E87" w:rsidR="00A57EF2" w:rsidRPr="00783571" w:rsidRDefault="00A57EF2" w:rsidP="008D3BC3">
            <w:pPr>
              <w:pStyle w:val="TableText"/>
            </w:pPr>
            <w:r w:rsidRPr="00783571">
              <w:t xml:space="preserve">Annual </w:t>
            </w:r>
            <w:r w:rsidR="00D25FAD" w:rsidRPr="00783571">
              <w:t xml:space="preserve">probability of </w:t>
            </w:r>
            <w:r w:rsidR="008101D3" w:rsidRPr="00783571">
              <w:t xml:space="preserve">being prescribed </w:t>
            </w:r>
            <w:r w:rsidRPr="00783571">
              <w:t>ART</w:t>
            </w:r>
            <w:r w:rsidR="00853C09" w:rsidRPr="00783571">
              <w:t>, for reference case</w:t>
            </w:r>
            <w:r w:rsidR="000B68B7" w:rsidRPr="00783571">
              <w:t xml:space="preserve"> in second and third time periods</w:t>
            </w:r>
            <w:r w:rsidR="001F5372" w:rsidRPr="00783571">
              <w:t xml:space="preserve"> </w:t>
            </w:r>
          </w:p>
        </w:tc>
      </w:tr>
      <w:tr w:rsidR="00A57EF2" w:rsidRPr="00783571" w14:paraId="1A25982B" w14:textId="77777777" w:rsidTr="00D05643">
        <w:tc>
          <w:tcPr>
            <w:tcW w:w="2538" w:type="dxa"/>
            <w:tcBorders>
              <w:top w:val="single" w:sz="6" w:space="0" w:color="808080" w:themeColor="background1" w:themeShade="80"/>
              <w:bottom w:val="single" w:sz="6" w:space="0" w:color="808080" w:themeColor="background1" w:themeShade="80"/>
            </w:tcBorders>
            <w:shd w:val="clear" w:color="auto" w:fill="auto"/>
            <w:noWrap/>
            <w:hideMark/>
          </w:tcPr>
          <w:p w14:paraId="1F864CDF" w14:textId="77777777" w:rsidR="00A57EF2" w:rsidRPr="00783571" w:rsidRDefault="00A57EF2" w:rsidP="004F50A9">
            <w:pPr>
              <w:pStyle w:val="TableText"/>
              <w:ind w:left="270"/>
            </w:pPr>
          </w:p>
        </w:tc>
        <w:tc>
          <w:tcPr>
            <w:tcW w:w="1566" w:type="dxa"/>
            <w:tcBorders>
              <w:top w:val="single" w:sz="6" w:space="0" w:color="808080" w:themeColor="background1" w:themeShade="80"/>
              <w:bottom w:val="single" w:sz="6" w:space="0" w:color="808080" w:themeColor="background1" w:themeShade="80"/>
            </w:tcBorders>
            <w:shd w:val="clear" w:color="auto" w:fill="auto"/>
            <w:noWrap/>
          </w:tcPr>
          <w:p w14:paraId="7E3FD682" w14:textId="77777777" w:rsidR="00A57EF2" w:rsidRPr="00783571" w:rsidRDefault="00853C09" w:rsidP="00D562D5">
            <w:pPr>
              <w:pStyle w:val="TableTextDec"/>
              <w:tabs>
                <w:tab w:val="clear" w:pos="1015"/>
                <w:tab w:val="decimal" w:pos="635"/>
              </w:tabs>
            </w:pPr>
            <w:r w:rsidRPr="00783571">
              <w:t>0.000</w:t>
            </w:r>
          </w:p>
        </w:tc>
        <w:tc>
          <w:tcPr>
            <w:tcW w:w="1566" w:type="dxa"/>
            <w:tcBorders>
              <w:top w:val="single" w:sz="6" w:space="0" w:color="808080" w:themeColor="background1" w:themeShade="80"/>
              <w:bottom w:val="single" w:sz="6" w:space="0" w:color="808080" w:themeColor="background1" w:themeShade="80"/>
            </w:tcBorders>
            <w:shd w:val="clear" w:color="auto" w:fill="auto"/>
            <w:noWrap/>
          </w:tcPr>
          <w:p w14:paraId="72152EB6" w14:textId="738F915B" w:rsidR="00A57EF2" w:rsidRPr="00783571" w:rsidRDefault="00853C09" w:rsidP="003B19DD">
            <w:pPr>
              <w:pStyle w:val="TableTextDec"/>
              <w:tabs>
                <w:tab w:val="clear" w:pos="1015"/>
                <w:tab w:val="decimal" w:pos="635"/>
              </w:tabs>
            </w:pPr>
            <w:r w:rsidRPr="00783571">
              <w:t>0.</w:t>
            </w:r>
            <w:r w:rsidR="0031066A" w:rsidRPr="00783571">
              <w:t>540</w:t>
            </w:r>
          </w:p>
        </w:tc>
        <w:tc>
          <w:tcPr>
            <w:tcW w:w="1566" w:type="dxa"/>
            <w:tcBorders>
              <w:top w:val="single" w:sz="6" w:space="0" w:color="808080" w:themeColor="background1" w:themeShade="80"/>
              <w:bottom w:val="single" w:sz="6" w:space="0" w:color="808080" w:themeColor="background1" w:themeShade="80"/>
            </w:tcBorders>
            <w:shd w:val="clear" w:color="auto" w:fill="auto"/>
            <w:noWrap/>
          </w:tcPr>
          <w:p w14:paraId="31ADF521" w14:textId="65C8434C" w:rsidR="00A57EF2" w:rsidRPr="00783571" w:rsidRDefault="00853C09" w:rsidP="003B19DD">
            <w:pPr>
              <w:pStyle w:val="TableTextDec"/>
              <w:tabs>
                <w:tab w:val="clear" w:pos="1015"/>
                <w:tab w:val="decimal" w:pos="635"/>
              </w:tabs>
            </w:pPr>
            <w:r w:rsidRPr="00783571">
              <w:t>0.</w:t>
            </w:r>
            <w:r w:rsidR="0031066A" w:rsidRPr="00783571">
              <w:t>600</w:t>
            </w:r>
          </w:p>
        </w:tc>
        <w:tc>
          <w:tcPr>
            <w:tcW w:w="1566" w:type="dxa"/>
            <w:tcBorders>
              <w:top w:val="single" w:sz="6" w:space="0" w:color="808080" w:themeColor="background1" w:themeShade="80"/>
              <w:bottom w:val="single" w:sz="6" w:space="0" w:color="808080" w:themeColor="background1" w:themeShade="80"/>
            </w:tcBorders>
            <w:shd w:val="clear" w:color="auto" w:fill="auto"/>
            <w:noWrap/>
          </w:tcPr>
          <w:p w14:paraId="79A1B3F3" w14:textId="4ECAA289" w:rsidR="00A57EF2" w:rsidRPr="00783571" w:rsidRDefault="00853C09" w:rsidP="003B19DD">
            <w:pPr>
              <w:pStyle w:val="TableTextDec"/>
              <w:tabs>
                <w:tab w:val="clear" w:pos="1015"/>
                <w:tab w:val="decimal" w:pos="635"/>
              </w:tabs>
            </w:pPr>
            <w:r w:rsidRPr="00783571">
              <w:t>0.7</w:t>
            </w:r>
            <w:r w:rsidR="0031066A" w:rsidRPr="00783571">
              <w:t>50</w:t>
            </w:r>
          </w:p>
        </w:tc>
        <w:tc>
          <w:tcPr>
            <w:tcW w:w="1566" w:type="dxa"/>
            <w:tcBorders>
              <w:top w:val="single" w:sz="6" w:space="0" w:color="808080" w:themeColor="background1" w:themeShade="80"/>
              <w:bottom w:val="single" w:sz="6" w:space="0" w:color="808080" w:themeColor="background1" w:themeShade="80"/>
            </w:tcBorders>
            <w:shd w:val="clear" w:color="auto" w:fill="auto"/>
            <w:noWrap/>
          </w:tcPr>
          <w:p w14:paraId="4B815DA0" w14:textId="4ECA3923" w:rsidR="00A57EF2" w:rsidRPr="00783571" w:rsidRDefault="00853C09" w:rsidP="003B19DD">
            <w:pPr>
              <w:pStyle w:val="TableTextDec"/>
              <w:tabs>
                <w:tab w:val="clear" w:pos="1015"/>
                <w:tab w:val="decimal" w:pos="635"/>
              </w:tabs>
            </w:pPr>
            <w:r w:rsidRPr="00783571">
              <w:t>0.9</w:t>
            </w:r>
            <w:r w:rsidR="0031066A" w:rsidRPr="00783571">
              <w:t>20</w:t>
            </w:r>
          </w:p>
        </w:tc>
        <w:tc>
          <w:tcPr>
            <w:tcW w:w="2808" w:type="dxa"/>
            <w:tcBorders>
              <w:top w:val="single" w:sz="6" w:space="0" w:color="808080" w:themeColor="background1" w:themeShade="80"/>
              <w:bottom w:val="single" w:sz="6" w:space="0" w:color="808080" w:themeColor="background1" w:themeShade="80"/>
            </w:tcBorders>
            <w:shd w:val="clear" w:color="auto" w:fill="auto"/>
            <w:noWrap/>
            <w:hideMark/>
          </w:tcPr>
          <w:p w14:paraId="3CF18FC7" w14:textId="4EEFDFF7" w:rsidR="00A57EF2" w:rsidRPr="00783571" w:rsidRDefault="0031066A" w:rsidP="00342B01">
            <w:pPr>
              <w:pStyle w:val="TableText"/>
              <w:rPr>
                <w:vertAlign w:val="superscript"/>
              </w:rPr>
            </w:pPr>
            <w:r w:rsidRPr="00783571">
              <w:t>Fleishman et al. (2012)</w:t>
            </w:r>
            <w:r w:rsidR="00293B36" w:rsidRPr="00783571">
              <w:rPr>
                <w:vertAlign w:val="superscript"/>
              </w:rPr>
              <w:t>a</w:t>
            </w:r>
          </w:p>
        </w:tc>
      </w:tr>
      <w:tr w:rsidR="00853C09" w:rsidRPr="00783571" w14:paraId="78A420BC" w14:textId="77777777" w:rsidTr="00D05643">
        <w:tc>
          <w:tcPr>
            <w:tcW w:w="13176" w:type="dxa"/>
            <w:gridSpan w:val="7"/>
            <w:tcBorders>
              <w:top w:val="single" w:sz="6" w:space="0" w:color="808080" w:themeColor="background1" w:themeShade="80"/>
              <w:bottom w:val="single" w:sz="6" w:space="0" w:color="808080" w:themeColor="background1" w:themeShade="80"/>
            </w:tcBorders>
            <w:shd w:val="clear" w:color="auto" w:fill="auto"/>
            <w:noWrap/>
          </w:tcPr>
          <w:p w14:paraId="2F4B590D" w14:textId="582EF9E1" w:rsidR="00853C09" w:rsidRPr="00783571" w:rsidDel="00610C50" w:rsidRDefault="00853C09" w:rsidP="000B68B7">
            <w:pPr>
              <w:pStyle w:val="TableText"/>
            </w:pPr>
            <w:r w:rsidRPr="00783571">
              <w:t>Relative risk of being prescribed ART</w:t>
            </w:r>
            <w:r w:rsidR="00BE2E41" w:rsidRPr="00783571">
              <w:t xml:space="preserve"> </w:t>
            </w:r>
            <w:r w:rsidR="000B68B7" w:rsidRPr="00783571">
              <w:t>in second and third time periods</w:t>
            </w:r>
            <w:r w:rsidR="006E5DFF" w:rsidRPr="00783571">
              <w:t>,</w:t>
            </w:r>
            <w:r w:rsidRPr="00783571">
              <w:t xml:space="preserve"> by race/ethnicity</w:t>
            </w:r>
            <w:r w:rsidR="00FE18DB" w:rsidRPr="00783571">
              <w:t xml:space="preserve"> </w:t>
            </w:r>
          </w:p>
        </w:tc>
      </w:tr>
      <w:tr w:rsidR="00D5253D" w:rsidRPr="00783571" w14:paraId="1117394F" w14:textId="77777777" w:rsidTr="00D05643">
        <w:tc>
          <w:tcPr>
            <w:tcW w:w="2538" w:type="dxa"/>
            <w:tcBorders>
              <w:top w:val="single" w:sz="6" w:space="0" w:color="808080" w:themeColor="background1" w:themeShade="80"/>
              <w:bottom w:val="single" w:sz="6" w:space="0" w:color="808080" w:themeColor="background1" w:themeShade="80"/>
            </w:tcBorders>
            <w:shd w:val="clear" w:color="auto" w:fill="auto"/>
            <w:noWrap/>
          </w:tcPr>
          <w:p w14:paraId="5910D7C0" w14:textId="1FA8FEDC" w:rsidR="00D5253D" w:rsidRPr="00783571" w:rsidRDefault="00D5253D" w:rsidP="004F50A9">
            <w:pPr>
              <w:pStyle w:val="TableText"/>
              <w:ind w:left="270"/>
            </w:pPr>
            <w:r w:rsidRPr="00783571">
              <w:t>Black</w:t>
            </w:r>
          </w:p>
        </w:tc>
        <w:tc>
          <w:tcPr>
            <w:tcW w:w="7830" w:type="dxa"/>
            <w:gridSpan w:val="5"/>
            <w:tcBorders>
              <w:top w:val="single" w:sz="6" w:space="0" w:color="808080" w:themeColor="background1" w:themeShade="80"/>
              <w:bottom w:val="single" w:sz="6" w:space="0" w:color="808080" w:themeColor="background1" w:themeShade="80"/>
            </w:tcBorders>
            <w:shd w:val="clear" w:color="auto" w:fill="auto"/>
            <w:noWrap/>
          </w:tcPr>
          <w:p w14:paraId="7631B9FD" w14:textId="0B1AA146" w:rsidR="00D5253D" w:rsidRPr="00783571" w:rsidRDefault="00D5253D" w:rsidP="003B19DD">
            <w:pPr>
              <w:pStyle w:val="TableTextDec"/>
              <w:tabs>
                <w:tab w:val="clear" w:pos="1015"/>
                <w:tab w:val="decimal" w:pos="635"/>
              </w:tabs>
            </w:pPr>
            <w:r w:rsidRPr="00783571">
              <w:t>---------------------------------------------</w:t>
            </w:r>
            <w:r w:rsidR="00E16A72" w:rsidRPr="00783571">
              <w:t>1.88</w:t>
            </w:r>
            <w:r w:rsidRPr="00783571">
              <w:t>----------------------------------------</w:t>
            </w:r>
          </w:p>
        </w:tc>
        <w:tc>
          <w:tcPr>
            <w:tcW w:w="2808" w:type="dxa"/>
            <w:vMerge w:val="restart"/>
            <w:tcBorders>
              <w:top w:val="single" w:sz="6" w:space="0" w:color="808080" w:themeColor="background1" w:themeShade="80"/>
            </w:tcBorders>
            <w:shd w:val="clear" w:color="auto" w:fill="auto"/>
            <w:noWrap/>
          </w:tcPr>
          <w:p w14:paraId="6CB9058F" w14:textId="027CE4D5" w:rsidR="00D5253D" w:rsidRPr="00783571" w:rsidRDefault="00D5253D" w:rsidP="003B19DD">
            <w:pPr>
              <w:pStyle w:val="TableText"/>
            </w:pPr>
            <w:r w:rsidRPr="00783571">
              <w:t>Determined by calibration</w:t>
            </w:r>
          </w:p>
        </w:tc>
      </w:tr>
      <w:tr w:rsidR="00D5253D" w:rsidRPr="00783571" w14:paraId="4731CE18" w14:textId="77777777" w:rsidTr="00D05643">
        <w:tc>
          <w:tcPr>
            <w:tcW w:w="2538" w:type="dxa"/>
            <w:tcBorders>
              <w:top w:val="single" w:sz="6" w:space="0" w:color="808080" w:themeColor="background1" w:themeShade="80"/>
              <w:bottom w:val="single" w:sz="6" w:space="0" w:color="808080" w:themeColor="background1" w:themeShade="80"/>
            </w:tcBorders>
            <w:shd w:val="clear" w:color="auto" w:fill="auto"/>
            <w:noWrap/>
          </w:tcPr>
          <w:p w14:paraId="4B88C468" w14:textId="77777777" w:rsidR="00D5253D" w:rsidRPr="00783571" w:rsidDel="00610C50" w:rsidRDefault="00D5253D" w:rsidP="004F50A9">
            <w:pPr>
              <w:pStyle w:val="TableText"/>
              <w:ind w:left="270"/>
            </w:pPr>
            <w:r w:rsidRPr="00783571">
              <w:t>Hispanic</w:t>
            </w:r>
          </w:p>
        </w:tc>
        <w:tc>
          <w:tcPr>
            <w:tcW w:w="7830" w:type="dxa"/>
            <w:gridSpan w:val="5"/>
            <w:tcBorders>
              <w:top w:val="single" w:sz="6" w:space="0" w:color="808080" w:themeColor="background1" w:themeShade="80"/>
              <w:bottom w:val="single" w:sz="6" w:space="0" w:color="808080" w:themeColor="background1" w:themeShade="80"/>
            </w:tcBorders>
            <w:shd w:val="clear" w:color="auto" w:fill="auto"/>
            <w:noWrap/>
          </w:tcPr>
          <w:p w14:paraId="58E3AA36" w14:textId="02DA26A0" w:rsidR="00D5253D" w:rsidRPr="00783571" w:rsidRDefault="00D5253D" w:rsidP="003B19DD">
            <w:pPr>
              <w:pStyle w:val="TableTextDec"/>
              <w:tabs>
                <w:tab w:val="clear" w:pos="1015"/>
                <w:tab w:val="decimal" w:pos="635"/>
              </w:tabs>
            </w:pPr>
            <w:r w:rsidRPr="00783571">
              <w:t>---------------------------------------------</w:t>
            </w:r>
            <w:r w:rsidR="00E16A72" w:rsidRPr="00783571">
              <w:t>1.26</w:t>
            </w:r>
            <w:r w:rsidRPr="00783571">
              <w:t>----------------------------------------</w:t>
            </w:r>
          </w:p>
        </w:tc>
        <w:tc>
          <w:tcPr>
            <w:tcW w:w="2808" w:type="dxa"/>
            <w:vMerge/>
            <w:shd w:val="clear" w:color="auto" w:fill="auto"/>
            <w:noWrap/>
          </w:tcPr>
          <w:p w14:paraId="3105D10E" w14:textId="4248EB6F" w:rsidR="00D5253D" w:rsidRPr="00783571" w:rsidDel="00610C50" w:rsidRDefault="00D5253D" w:rsidP="003B19DD">
            <w:pPr>
              <w:pStyle w:val="TableText"/>
            </w:pPr>
          </w:p>
        </w:tc>
      </w:tr>
      <w:tr w:rsidR="00D5253D" w:rsidRPr="00783571" w14:paraId="53BC405D" w14:textId="77777777" w:rsidTr="00D05643">
        <w:tc>
          <w:tcPr>
            <w:tcW w:w="2538" w:type="dxa"/>
            <w:tcBorders>
              <w:top w:val="single" w:sz="6" w:space="0" w:color="808080" w:themeColor="background1" w:themeShade="80"/>
              <w:bottom w:val="single" w:sz="12" w:space="0" w:color="auto"/>
            </w:tcBorders>
            <w:shd w:val="clear" w:color="auto" w:fill="auto"/>
            <w:noWrap/>
          </w:tcPr>
          <w:p w14:paraId="5CBC378C" w14:textId="77777777" w:rsidR="00D5253D" w:rsidRPr="00783571" w:rsidRDefault="00D5253D" w:rsidP="004F50A9">
            <w:pPr>
              <w:pStyle w:val="TableText"/>
              <w:ind w:left="270"/>
            </w:pPr>
            <w:r w:rsidRPr="00783571">
              <w:t>Other</w:t>
            </w:r>
          </w:p>
        </w:tc>
        <w:tc>
          <w:tcPr>
            <w:tcW w:w="7830" w:type="dxa"/>
            <w:gridSpan w:val="5"/>
            <w:tcBorders>
              <w:top w:val="single" w:sz="6" w:space="0" w:color="808080" w:themeColor="background1" w:themeShade="80"/>
              <w:bottom w:val="single" w:sz="12" w:space="0" w:color="auto"/>
            </w:tcBorders>
            <w:shd w:val="clear" w:color="auto" w:fill="auto"/>
            <w:noWrap/>
          </w:tcPr>
          <w:p w14:paraId="3BABE4FB" w14:textId="12682E58" w:rsidR="00D5253D" w:rsidRPr="00783571" w:rsidRDefault="00D5253D" w:rsidP="003B19DD">
            <w:pPr>
              <w:pStyle w:val="TableTextDec"/>
              <w:tabs>
                <w:tab w:val="clear" w:pos="1015"/>
                <w:tab w:val="decimal" w:pos="635"/>
              </w:tabs>
            </w:pPr>
            <w:r w:rsidRPr="00783571">
              <w:t>---------------------------------------------</w:t>
            </w:r>
            <w:r w:rsidR="00E16A72" w:rsidRPr="00783571">
              <w:t>2.577</w:t>
            </w:r>
            <w:r w:rsidRPr="00783571">
              <w:t>----------------------------------------</w:t>
            </w:r>
          </w:p>
        </w:tc>
        <w:tc>
          <w:tcPr>
            <w:tcW w:w="2808" w:type="dxa"/>
            <w:vMerge/>
            <w:tcBorders>
              <w:bottom w:val="single" w:sz="12" w:space="0" w:color="auto"/>
            </w:tcBorders>
            <w:shd w:val="clear" w:color="auto" w:fill="auto"/>
            <w:noWrap/>
          </w:tcPr>
          <w:p w14:paraId="4C7C32F8" w14:textId="77777777" w:rsidR="00D5253D" w:rsidRPr="00783571" w:rsidDel="00610C50" w:rsidRDefault="00D5253D" w:rsidP="003B19DD">
            <w:pPr>
              <w:pStyle w:val="TableText"/>
            </w:pPr>
          </w:p>
        </w:tc>
      </w:tr>
    </w:tbl>
    <w:p w14:paraId="77FE1BAE" w14:textId="4F79343D" w:rsidR="00A57EF2" w:rsidRPr="00783571" w:rsidRDefault="00D25FAD" w:rsidP="00D05643">
      <w:pPr>
        <w:pStyle w:val="Source2"/>
      </w:pPr>
      <w:r w:rsidRPr="00783571">
        <w:t xml:space="preserve">Note: </w:t>
      </w:r>
      <w:r w:rsidR="00A57EF2" w:rsidRPr="00783571">
        <w:t>ART</w:t>
      </w:r>
      <w:r w:rsidR="00E628BE" w:rsidRPr="00783571">
        <w:t> = </w:t>
      </w:r>
      <w:r w:rsidR="00A57EF2" w:rsidRPr="00783571">
        <w:t>antiretroviral therapy; HIV</w:t>
      </w:r>
      <w:r w:rsidR="00E628BE" w:rsidRPr="00783571">
        <w:t> = </w:t>
      </w:r>
      <w:r w:rsidR="00A57EF2" w:rsidRPr="00783571">
        <w:t>human immunodeficiency virus</w:t>
      </w:r>
    </w:p>
    <w:p w14:paraId="2BBB36F4" w14:textId="5C5FD2E6" w:rsidR="009471AC" w:rsidRPr="00783571" w:rsidRDefault="00342B01" w:rsidP="00D05643">
      <w:pPr>
        <w:pStyle w:val="Source4"/>
      </w:pPr>
      <w:r w:rsidRPr="00783571">
        <w:rPr>
          <w:vertAlign w:val="superscript"/>
        </w:rPr>
        <w:t xml:space="preserve">a </w:t>
      </w:r>
      <w:r w:rsidR="005D7306" w:rsidRPr="00783571">
        <w:t xml:space="preserve">Examined ART use as a function of sex, race/ethnicity, </w:t>
      </w:r>
      <w:r w:rsidR="006B24BF" w:rsidRPr="00783571">
        <w:t>HIV</w:t>
      </w:r>
      <w:r w:rsidR="005D7306" w:rsidRPr="00783571">
        <w:t xml:space="preserve"> risk group, age, and CD4 history (no test&lt;</w:t>
      </w:r>
      <w:r w:rsidR="006E0C2B" w:rsidRPr="00783571">
        <w:t xml:space="preserve"> </w:t>
      </w:r>
      <w:r w:rsidR="005D7306" w:rsidRPr="00783571">
        <w:t>500 cells/mm</w:t>
      </w:r>
      <w:r w:rsidR="005D7306" w:rsidRPr="00783571">
        <w:rPr>
          <w:vertAlign w:val="superscript"/>
        </w:rPr>
        <w:t>3</w:t>
      </w:r>
      <w:r w:rsidR="005D7306" w:rsidRPr="00783571">
        <w:t>, one or more tests between 500 and 350 cells/mm</w:t>
      </w:r>
      <w:r w:rsidR="005D7306" w:rsidRPr="00783571">
        <w:rPr>
          <w:vertAlign w:val="superscript"/>
        </w:rPr>
        <w:t>3</w:t>
      </w:r>
      <w:r w:rsidR="005D7306" w:rsidRPr="00783571">
        <w:t xml:space="preserve">, </w:t>
      </w:r>
      <w:r w:rsidR="005B1CD9" w:rsidRPr="00783571">
        <w:t xml:space="preserve">one </w:t>
      </w:r>
      <w:r w:rsidR="005D7306" w:rsidRPr="00783571">
        <w:t>test ≤</w:t>
      </w:r>
      <w:r w:rsidR="006E0C2B" w:rsidRPr="00783571">
        <w:t xml:space="preserve"> </w:t>
      </w:r>
      <w:r w:rsidR="005D7306" w:rsidRPr="00783571">
        <w:t>350 cells/mm</w:t>
      </w:r>
      <w:r w:rsidR="005D7306" w:rsidRPr="00783571">
        <w:rPr>
          <w:vertAlign w:val="superscript"/>
        </w:rPr>
        <w:t>3</w:t>
      </w:r>
      <w:r w:rsidR="005D7306" w:rsidRPr="00783571">
        <w:t xml:space="preserve">, and </w:t>
      </w:r>
      <w:r w:rsidR="005B1CD9" w:rsidRPr="00783571">
        <w:t xml:space="preserve">two </w:t>
      </w:r>
      <w:r w:rsidR="005D7306" w:rsidRPr="00783571">
        <w:t>or more tests ≤</w:t>
      </w:r>
      <w:r w:rsidR="006E0C2B" w:rsidRPr="00783571">
        <w:t xml:space="preserve"> </w:t>
      </w:r>
      <w:r w:rsidR="005D7306" w:rsidRPr="00783571">
        <w:t>350 cells/mm</w:t>
      </w:r>
      <w:r w:rsidR="005D7306" w:rsidRPr="00783571">
        <w:rPr>
          <w:vertAlign w:val="superscript"/>
        </w:rPr>
        <w:t>3</w:t>
      </w:r>
      <w:r w:rsidR="005D7306" w:rsidRPr="00783571">
        <w:t>)</w:t>
      </w:r>
      <w:r w:rsidR="005B1CD9" w:rsidRPr="00783571">
        <w:t>.</w:t>
      </w:r>
      <w:r w:rsidR="005D7306" w:rsidRPr="00783571">
        <w:t xml:space="preserve"> </w:t>
      </w:r>
      <w:r w:rsidR="00E3130F" w:rsidRPr="00783571">
        <w:rPr>
          <w:rFonts w:ascii="Calibri" w:hAnsi="Calibri"/>
          <w:sz w:val="22"/>
          <w:szCs w:val="22"/>
        </w:rPr>
        <w:t>Fleishman et al., (2012) report</w:t>
      </w:r>
      <w:r w:rsidR="006304C4" w:rsidRPr="00783571">
        <w:rPr>
          <w:rFonts w:ascii="Calibri" w:hAnsi="Calibri"/>
          <w:sz w:val="22"/>
          <w:szCs w:val="22"/>
        </w:rPr>
        <w:t>ed</w:t>
      </w:r>
      <w:r w:rsidR="00E3130F" w:rsidRPr="00783571">
        <w:rPr>
          <w:rFonts w:ascii="Calibri" w:hAnsi="Calibri"/>
          <w:sz w:val="22"/>
          <w:szCs w:val="22"/>
        </w:rPr>
        <w:t xml:space="preserve"> the proportion of patients in care who initiated ART in 2008 with CD4 levels of interest based on the HIV Research Network (HIVRN) study of HIV-infected adults (&gt;</w:t>
      </w:r>
      <w:r w:rsidR="006E0C2B" w:rsidRPr="00783571">
        <w:rPr>
          <w:rFonts w:ascii="Calibri" w:hAnsi="Calibri"/>
          <w:sz w:val="22"/>
          <w:szCs w:val="22"/>
        </w:rPr>
        <w:t xml:space="preserve"> </w:t>
      </w:r>
      <w:r w:rsidR="00E3130F" w:rsidRPr="00783571">
        <w:rPr>
          <w:rFonts w:ascii="Calibri" w:hAnsi="Calibri"/>
          <w:sz w:val="22"/>
          <w:szCs w:val="22"/>
        </w:rPr>
        <w:t>18 years of) age who first presented for clinical care during the period from Jan</w:t>
      </w:r>
      <w:r w:rsidR="00D15040" w:rsidRPr="00783571">
        <w:rPr>
          <w:rFonts w:ascii="Calibri" w:hAnsi="Calibri"/>
          <w:sz w:val="22"/>
          <w:szCs w:val="22"/>
        </w:rPr>
        <w:t>uary</w:t>
      </w:r>
      <w:r w:rsidR="00E3130F" w:rsidRPr="00783571">
        <w:rPr>
          <w:rFonts w:ascii="Calibri" w:hAnsi="Calibri"/>
          <w:sz w:val="22"/>
          <w:szCs w:val="22"/>
        </w:rPr>
        <w:t xml:space="preserve"> 1997</w:t>
      </w:r>
      <w:r w:rsidR="00D15040" w:rsidRPr="00783571">
        <w:rPr>
          <w:rFonts w:ascii="Calibri" w:hAnsi="Calibri"/>
          <w:sz w:val="22"/>
          <w:szCs w:val="22"/>
        </w:rPr>
        <w:t xml:space="preserve"> to </w:t>
      </w:r>
      <w:r w:rsidR="00E3130F" w:rsidRPr="00783571">
        <w:rPr>
          <w:rFonts w:ascii="Calibri" w:hAnsi="Calibri"/>
          <w:sz w:val="22"/>
          <w:szCs w:val="22"/>
        </w:rPr>
        <w:t>Dec</w:t>
      </w:r>
      <w:r w:rsidR="00D15040" w:rsidRPr="00783571">
        <w:rPr>
          <w:rFonts w:ascii="Calibri" w:hAnsi="Calibri"/>
          <w:sz w:val="22"/>
          <w:szCs w:val="22"/>
        </w:rPr>
        <w:t>ember</w:t>
      </w:r>
      <w:r w:rsidR="00E3130F" w:rsidRPr="00783571">
        <w:rPr>
          <w:rFonts w:ascii="Calibri" w:hAnsi="Calibri"/>
          <w:sz w:val="22"/>
          <w:szCs w:val="22"/>
        </w:rPr>
        <w:t xml:space="preserve"> 2007. We assumed that </w:t>
      </w:r>
      <w:r w:rsidR="006E0C2B" w:rsidRPr="00783571">
        <w:rPr>
          <w:rFonts w:ascii="Calibri" w:hAnsi="Calibri"/>
          <w:sz w:val="22"/>
          <w:szCs w:val="22"/>
        </w:rPr>
        <w:t>one</w:t>
      </w:r>
      <w:r w:rsidR="00E3130F" w:rsidRPr="00783571">
        <w:rPr>
          <w:rFonts w:ascii="Calibri" w:hAnsi="Calibri"/>
          <w:sz w:val="22"/>
          <w:szCs w:val="22"/>
        </w:rPr>
        <w:t xml:space="preserve"> test with ≤</w:t>
      </w:r>
      <w:r w:rsidR="006E0C2B" w:rsidRPr="00783571">
        <w:rPr>
          <w:rFonts w:ascii="Calibri" w:hAnsi="Calibri"/>
          <w:sz w:val="22"/>
          <w:szCs w:val="22"/>
        </w:rPr>
        <w:t xml:space="preserve"> </w:t>
      </w:r>
      <w:r w:rsidR="00E3130F" w:rsidRPr="00783571">
        <w:rPr>
          <w:rFonts w:ascii="Calibri" w:hAnsi="Calibri"/>
          <w:sz w:val="22"/>
          <w:szCs w:val="22"/>
        </w:rPr>
        <w:t>350 cells/mm</w:t>
      </w:r>
      <w:r w:rsidR="00E3130F" w:rsidRPr="00783571">
        <w:rPr>
          <w:rFonts w:ascii="Calibri" w:hAnsi="Calibri"/>
          <w:sz w:val="22"/>
          <w:szCs w:val="22"/>
          <w:vertAlign w:val="superscript"/>
        </w:rPr>
        <w:t>3</w:t>
      </w:r>
      <w:r w:rsidR="00E3130F" w:rsidRPr="00783571">
        <w:rPr>
          <w:rFonts w:ascii="Calibri" w:hAnsi="Calibri"/>
          <w:sz w:val="22"/>
          <w:szCs w:val="22"/>
        </w:rPr>
        <w:t xml:space="preserve"> is approximation for CD4 250-350 in our model and </w:t>
      </w:r>
      <w:r w:rsidR="006E0C2B" w:rsidRPr="00783571">
        <w:rPr>
          <w:rFonts w:ascii="Calibri" w:hAnsi="Calibri"/>
          <w:sz w:val="22"/>
          <w:szCs w:val="22"/>
        </w:rPr>
        <w:t>two</w:t>
      </w:r>
      <w:r w:rsidR="00E3130F" w:rsidRPr="00783571">
        <w:rPr>
          <w:rFonts w:ascii="Calibri" w:hAnsi="Calibri"/>
          <w:sz w:val="22"/>
          <w:szCs w:val="22"/>
        </w:rPr>
        <w:t xml:space="preserve"> tests with ≤</w:t>
      </w:r>
      <w:r w:rsidR="006E0C2B" w:rsidRPr="00783571">
        <w:rPr>
          <w:rFonts w:ascii="Calibri" w:hAnsi="Calibri"/>
          <w:sz w:val="22"/>
          <w:szCs w:val="22"/>
        </w:rPr>
        <w:t xml:space="preserve"> </w:t>
      </w:r>
      <w:r w:rsidR="00E3130F" w:rsidRPr="00783571">
        <w:rPr>
          <w:rFonts w:ascii="Calibri" w:hAnsi="Calibri"/>
          <w:sz w:val="22"/>
          <w:szCs w:val="22"/>
        </w:rPr>
        <w:t>350 cells/mm</w:t>
      </w:r>
      <w:r w:rsidR="00E3130F" w:rsidRPr="00783571">
        <w:rPr>
          <w:rFonts w:ascii="Calibri" w:hAnsi="Calibri"/>
          <w:sz w:val="22"/>
          <w:szCs w:val="22"/>
          <w:vertAlign w:val="superscript"/>
        </w:rPr>
        <w:t>3</w:t>
      </w:r>
      <w:r w:rsidR="00E3130F" w:rsidRPr="00783571">
        <w:rPr>
          <w:rFonts w:ascii="Calibri" w:hAnsi="Calibri"/>
          <w:sz w:val="22"/>
          <w:szCs w:val="22"/>
        </w:rPr>
        <w:t xml:space="preserve"> is for CD4&lt;200.</w:t>
      </w:r>
    </w:p>
    <w:p w14:paraId="6A78D1A1" w14:textId="07932852" w:rsidR="00A57EF2" w:rsidRPr="00783571" w:rsidRDefault="00A57EF2" w:rsidP="000B68B7">
      <w:pPr>
        <w:pStyle w:val="TableTitle"/>
        <w:spacing w:before="120"/>
      </w:pPr>
      <w:r w:rsidRPr="00783571">
        <w:br w:type="page"/>
      </w:r>
      <w:bookmarkStart w:id="26" w:name="_Toc510104022"/>
      <w:r w:rsidRPr="00783571">
        <w:t xml:space="preserve">Table </w:t>
      </w:r>
      <w:r w:rsidR="00F36478" w:rsidRPr="00783571">
        <w:t>5</w:t>
      </w:r>
      <w:r w:rsidR="00740DFC" w:rsidRPr="00783571">
        <w:t>.</w:t>
      </w:r>
      <w:r w:rsidR="00051B41" w:rsidRPr="00783571">
        <w:t>6</w:t>
      </w:r>
      <w:r w:rsidRPr="00783571">
        <w:t>.</w:t>
      </w:r>
      <w:r w:rsidRPr="00783571">
        <w:tab/>
        <w:t>Other Continuum-of-Care Probabilities</w:t>
      </w:r>
      <w:bookmarkEnd w:id="26"/>
      <w:r w:rsidRPr="00783571">
        <w:t xml:space="preserve"> </w:t>
      </w:r>
    </w:p>
    <w:tbl>
      <w:tblPr>
        <w:tblW w:w="5000"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4071"/>
        <w:gridCol w:w="1761"/>
        <w:gridCol w:w="1761"/>
        <w:gridCol w:w="1762"/>
        <w:gridCol w:w="3605"/>
      </w:tblGrid>
      <w:tr w:rsidR="00A57EF2" w:rsidRPr="00783571" w14:paraId="78E764E7" w14:textId="77777777" w:rsidTr="00260D8A">
        <w:trPr>
          <w:cantSplit/>
          <w:tblHeader/>
        </w:trPr>
        <w:tc>
          <w:tcPr>
            <w:tcW w:w="4071" w:type="dxa"/>
            <w:tcBorders>
              <w:top w:val="single" w:sz="12" w:space="0" w:color="000000"/>
              <w:bottom w:val="single" w:sz="6" w:space="0" w:color="000000"/>
            </w:tcBorders>
            <w:shd w:val="clear" w:color="auto" w:fill="auto"/>
            <w:noWrap/>
            <w:vAlign w:val="bottom"/>
            <w:hideMark/>
          </w:tcPr>
          <w:p w14:paraId="380EEB39" w14:textId="77777777" w:rsidR="00A57EF2" w:rsidRPr="00783571" w:rsidRDefault="000F52F1" w:rsidP="003B19DD">
            <w:pPr>
              <w:pStyle w:val="TableHeaders"/>
            </w:pPr>
            <w:r w:rsidRPr="00783571">
              <w:t>Parameter</w:t>
            </w:r>
          </w:p>
        </w:tc>
        <w:tc>
          <w:tcPr>
            <w:tcW w:w="1761" w:type="dxa"/>
            <w:tcBorders>
              <w:top w:val="single" w:sz="12" w:space="0" w:color="000000"/>
              <w:bottom w:val="single" w:sz="6" w:space="0" w:color="000000"/>
            </w:tcBorders>
            <w:shd w:val="clear" w:color="auto" w:fill="auto"/>
            <w:noWrap/>
            <w:vAlign w:val="bottom"/>
            <w:hideMark/>
          </w:tcPr>
          <w:p w14:paraId="2F62CC77" w14:textId="77777777" w:rsidR="00A57EF2" w:rsidRPr="00783571" w:rsidRDefault="00A57EF2" w:rsidP="003B19DD">
            <w:pPr>
              <w:pStyle w:val="TableHeaders"/>
            </w:pPr>
            <w:r w:rsidRPr="00783571">
              <w:t>Black</w:t>
            </w:r>
          </w:p>
        </w:tc>
        <w:tc>
          <w:tcPr>
            <w:tcW w:w="1761" w:type="dxa"/>
            <w:tcBorders>
              <w:top w:val="single" w:sz="12" w:space="0" w:color="000000"/>
              <w:bottom w:val="single" w:sz="6" w:space="0" w:color="000000"/>
            </w:tcBorders>
            <w:shd w:val="clear" w:color="auto" w:fill="auto"/>
            <w:noWrap/>
            <w:vAlign w:val="bottom"/>
            <w:hideMark/>
          </w:tcPr>
          <w:p w14:paraId="7C4AB423" w14:textId="77777777" w:rsidR="00A57EF2" w:rsidRPr="00783571" w:rsidRDefault="00A57EF2" w:rsidP="003B19DD">
            <w:pPr>
              <w:pStyle w:val="TableHeaders"/>
            </w:pPr>
            <w:r w:rsidRPr="00783571">
              <w:t>Hispanic</w:t>
            </w:r>
          </w:p>
        </w:tc>
        <w:tc>
          <w:tcPr>
            <w:tcW w:w="1762" w:type="dxa"/>
            <w:tcBorders>
              <w:top w:val="single" w:sz="12" w:space="0" w:color="000000"/>
              <w:bottom w:val="single" w:sz="6" w:space="0" w:color="000000"/>
            </w:tcBorders>
            <w:shd w:val="clear" w:color="auto" w:fill="auto"/>
            <w:noWrap/>
            <w:vAlign w:val="bottom"/>
            <w:hideMark/>
          </w:tcPr>
          <w:p w14:paraId="58EDAAC9" w14:textId="77777777" w:rsidR="00A57EF2" w:rsidRPr="00783571" w:rsidRDefault="00A57EF2" w:rsidP="003B19DD">
            <w:pPr>
              <w:pStyle w:val="TableHeaders"/>
            </w:pPr>
            <w:r w:rsidRPr="00783571">
              <w:t>Other</w:t>
            </w:r>
          </w:p>
        </w:tc>
        <w:tc>
          <w:tcPr>
            <w:tcW w:w="3605" w:type="dxa"/>
            <w:tcBorders>
              <w:top w:val="single" w:sz="12" w:space="0" w:color="000000"/>
              <w:bottom w:val="single" w:sz="6" w:space="0" w:color="000000"/>
            </w:tcBorders>
            <w:shd w:val="clear" w:color="auto" w:fill="auto"/>
            <w:noWrap/>
            <w:vAlign w:val="bottom"/>
            <w:hideMark/>
          </w:tcPr>
          <w:p w14:paraId="30BDB577" w14:textId="77777777" w:rsidR="00A57EF2" w:rsidRPr="00783571" w:rsidRDefault="00A57EF2" w:rsidP="003B19DD">
            <w:pPr>
              <w:pStyle w:val="TableHeaders"/>
            </w:pPr>
            <w:r w:rsidRPr="00783571">
              <w:t>Source</w:t>
            </w:r>
          </w:p>
        </w:tc>
      </w:tr>
      <w:tr w:rsidR="00246174" w:rsidRPr="00783571" w14:paraId="2EE8D3A4" w14:textId="77777777" w:rsidTr="00260D8A">
        <w:trPr>
          <w:cantSplit/>
        </w:trPr>
        <w:tc>
          <w:tcPr>
            <w:tcW w:w="4071" w:type="dxa"/>
            <w:tcBorders>
              <w:top w:val="single" w:sz="6" w:space="0" w:color="000000"/>
              <w:bottom w:val="single" w:sz="4" w:space="0" w:color="808080" w:themeColor="background1" w:themeShade="80"/>
            </w:tcBorders>
            <w:shd w:val="clear" w:color="auto" w:fill="auto"/>
            <w:noWrap/>
            <w:hideMark/>
          </w:tcPr>
          <w:p w14:paraId="1634F82E" w14:textId="4A2BD90F" w:rsidR="00246174" w:rsidRPr="00783571" w:rsidRDefault="00246174" w:rsidP="003B19DD">
            <w:pPr>
              <w:pStyle w:val="TableText"/>
              <w:spacing w:before="40"/>
            </w:pPr>
            <w:r w:rsidRPr="00783571">
              <w:t>Percentage of tests that are rapid vs. conventional</w:t>
            </w:r>
          </w:p>
        </w:tc>
        <w:tc>
          <w:tcPr>
            <w:tcW w:w="1761" w:type="dxa"/>
            <w:tcBorders>
              <w:top w:val="single" w:sz="6" w:space="0" w:color="000000"/>
              <w:bottom w:val="single" w:sz="4" w:space="0" w:color="808080" w:themeColor="background1" w:themeShade="80"/>
            </w:tcBorders>
            <w:shd w:val="clear" w:color="auto" w:fill="auto"/>
            <w:noWrap/>
            <w:hideMark/>
          </w:tcPr>
          <w:p w14:paraId="0921AE8B" w14:textId="77777777" w:rsidR="00246174" w:rsidRPr="00783571" w:rsidRDefault="00246174" w:rsidP="003B19DD">
            <w:pPr>
              <w:pStyle w:val="TableTextDec"/>
              <w:tabs>
                <w:tab w:val="clear" w:pos="1015"/>
                <w:tab w:val="decimal" w:pos="715"/>
              </w:tabs>
              <w:spacing w:before="40"/>
            </w:pPr>
            <w:r w:rsidRPr="00783571">
              <w:t>50%</w:t>
            </w:r>
          </w:p>
        </w:tc>
        <w:tc>
          <w:tcPr>
            <w:tcW w:w="1761" w:type="dxa"/>
            <w:tcBorders>
              <w:top w:val="single" w:sz="6" w:space="0" w:color="000000"/>
              <w:bottom w:val="single" w:sz="4" w:space="0" w:color="808080" w:themeColor="background1" w:themeShade="80"/>
            </w:tcBorders>
            <w:shd w:val="clear" w:color="auto" w:fill="auto"/>
            <w:noWrap/>
            <w:hideMark/>
          </w:tcPr>
          <w:p w14:paraId="6C31B5F4" w14:textId="77777777" w:rsidR="00246174" w:rsidRPr="00783571" w:rsidRDefault="00246174" w:rsidP="003B19DD">
            <w:pPr>
              <w:pStyle w:val="TableTextDec"/>
              <w:tabs>
                <w:tab w:val="clear" w:pos="1015"/>
                <w:tab w:val="decimal" w:pos="715"/>
              </w:tabs>
              <w:spacing w:before="40"/>
            </w:pPr>
            <w:r w:rsidRPr="00783571">
              <w:t>50%</w:t>
            </w:r>
          </w:p>
        </w:tc>
        <w:tc>
          <w:tcPr>
            <w:tcW w:w="1762" w:type="dxa"/>
            <w:tcBorders>
              <w:top w:val="single" w:sz="6" w:space="0" w:color="000000"/>
              <w:bottom w:val="single" w:sz="4" w:space="0" w:color="808080" w:themeColor="background1" w:themeShade="80"/>
            </w:tcBorders>
            <w:shd w:val="clear" w:color="auto" w:fill="auto"/>
            <w:noWrap/>
            <w:hideMark/>
          </w:tcPr>
          <w:p w14:paraId="4A1E38F7" w14:textId="77777777" w:rsidR="00246174" w:rsidRPr="00783571" w:rsidRDefault="00246174" w:rsidP="003B19DD">
            <w:pPr>
              <w:pStyle w:val="TableTextDec"/>
              <w:tabs>
                <w:tab w:val="clear" w:pos="1015"/>
                <w:tab w:val="decimal" w:pos="715"/>
              </w:tabs>
              <w:spacing w:before="40"/>
            </w:pPr>
            <w:r w:rsidRPr="00783571">
              <w:t>50%</w:t>
            </w:r>
          </w:p>
        </w:tc>
        <w:tc>
          <w:tcPr>
            <w:tcW w:w="3605" w:type="dxa"/>
            <w:tcBorders>
              <w:top w:val="single" w:sz="6" w:space="0" w:color="000000"/>
              <w:bottom w:val="single" w:sz="4" w:space="0" w:color="808080" w:themeColor="background1" w:themeShade="80"/>
            </w:tcBorders>
            <w:shd w:val="clear" w:color="auto" w:fill="auto"/>
            <w:noWrap/>
            <w:hideMark/>
          </w:tcPr>
          <w:p w14:paraId="047C4828" w14:textId="698B5EC3" w:rsidR="00246174" w:rsidRPr="00783571" w:rsidRDefault="00246174" w:rsidP="0037441C">
            <w:pPr>
              <w:pStyle w:val="TableText"/>
              <w:spacing w:before="40"/>
            </w:pPr>
            <w:r w:rsidRPr="00783571">
              <w:t>Assumption based on expert opinion of Angela Hutchinson (2014)</w:t>
            </w:r>
          </w:p>
        </w:tc>
      </w:tr>
      <w:tr w:rsidR="00246174" w:rsidRPr="00783571" w14:paraId="27B809BD" w14:textId="77777777" w:rsidTr="00260D8A">
        <w:trPr>
          <w:cantSplit/>
        </w:trPr>
        <w:tc>
          <w:tcPr>
            <w:tcW w:w="12960" w:type="dxa"/>
            <w:gridSpan w:val="5"/>
            <w:tcBorders>
              <w:top w:val="single" w:sz="4" w:space="0" w:color="808080" w:themeColor="background1" w:themeShade="80"/>
              <w:bottom w:val="single" w:sz="4" w:space="0" w:color="808080" w:themeColor="background1" w:themeShade="80"/>
            </w:tcBorders>
            <w:shd w:val="clear" w:color="auto" w:fill="auto"/>
            <w:noWrap/>
            <w:hideMark/>
          </w:tcPr>
          <w:p w14:paraId="350BFB64" w14:textId="77777777" w:rsidR="00246174" w:rsidRPr="00783571" w:rsidRDefault="00246174" w:rsidP="003B19DD">
            <w:pPr>
              <w:pStyle w:val="TableText"/>
              <w:spacing w:before="40"/>
            </w:pPr>
            <w:r w:rsidRPr="00783571">
              <w:t>Probability of being notified of status if tested with the following:</w:t>
            </w:r>
          </w:p>
        </w:tc>
      </w:tr>
      <w:tr w:rsidR="00246174" w:rsidRPr="00783571" w14:paraId="6ED8254F" w14:textId="77777777" w:rsidTr="00260D8A">
        <w:trPr>
          <w:cantSplit/>
        </w:trPr>
        <w:tc>
          <w:tcPr>
            <w:tcW w:w="4071" w:type="dxa"/>
            <w:tcBorders>
              <w:top w:val="single" w:sz="4" w:space="0" w:color="808080" w:themeColor="background1" w:themeShade="80"/>
              <w:bottom w:val="single" w:sz="4" w:space="0" w:color="808080" w:themeColor="background1" w:themeShade="80"/>
            </w:tcBorders>
            <w:shd w:val="clear" w:color="auto" w:fill="auto"/>
            <w:noWrap/>
            <w:hideMark/>
          </w:tcPr>
          <w:p w14:paraId="5A5A6C67" w14:textId="77777777" w:rsidR="00246174" w:rsidRPr="00783571" w:rsidRDefault="00246174" w:rsidP="001A6C07">
            <w:pPr>
              <w:pStyle w:val="TableText"/>
              <w:ind w:left="288"/>
            </w:pPr>
            <w:r w:rsidRPr="00783571">
              <w:t>Conventional test</w:t>
            </w:r>
          </w:p>
        </w:tc>
        <w:tc>
          <w:tcPr>
            <w:tcW w:w="5284" w:type="dxa"/>
            <w:gridSpan w:val="3"/>
            <w:tcBorders>
              <w:top w:val="single" w:sz="4" w:space="0" w:color="808080" w:themeColor="background1" w:themeShade="80"/>
              <w:bottom w:val="single" w:sz="4" w:space="0" w:color="808080" w:themeColor="background1" w:themeShade="80"/>
            </w:tcBorders>
            <w:shd w:val="clear" w:color="auto" w:fill="auto"/>
            <w:noWrap/>
            <w:hideMark/>
          </w:tcPr>
          <w:p w14:paraId="59FD95F7" w14:textId="77777777" w:rsidR="00246174" w:rsidRPr="00783571" w:rsidRDefault="00246174" w:rsidP="00613343">
            <w:pPr>
              <w:pStyle w:val="TableText"/>
              <w:spacing w:before="40"/>
            </w:pPr>
            <w:r w:rsidRPr="00783571">
              <w:t>-------------------------0.80-------------------------------</w:t>
            </w:r>
          </w:p>
        </w:tc>
        <w:tc>
          <w:tcPr>
            <w:tcW w:w="3605" w:type="dxa"/>
            <w:vMerge w:val="restart"/>
            <w:tcBorders>
              <w:top w:val="single" w:sz="4" w:space="0" w:color="808080" w:themeColor="background1" w:themeShade="80"/>
              <w:bottom w:val="single" w:sz="4" w:space="0" w:color="808080" w:themeColor="background1" w:themeShade="80"/>
            </w:tcBorders>
            <w:shd w:val="clear" w:color="auto" w:fill="auto"/>
            <w:noWrap/>
            <w:hideMark/>
          </w:tcPr>
          <w:p w14:paraId="706F09CE" w14:textId="6CA65BD0" w:rsidR="00246174" w:rsidRPr="00783571" w:rsidRDefault="00381940" w:rsidP="00C80F5B">
            <w:pPr>
              <w:pStyle w:val="TableText"/>
              <w:spacing w:before="40"/>
            </w:pPr>
            <w:r w:rsidRPr="00783571">
              <w:t xml:space="preserve">Huang </w:t>
            </w:r>
            <w:r w:rsidR="008B7BBC" w:rsidRPr="00783571">
              <w:t xml:space="preserve">et al. </w:t>
            </w:r>
            <w:r w:rsidRPr="00783571">
              <w:t>(</w:t>
            </w:r>
            <w:r w:rsidR="00C80F5B" w:rsidRPr="00783571">
              <w:t>2015</w:t>
            </w:r>
            <w:r w:rsidRPr="00783571">
              <w:t>)</w:t>
            </w:r>
          </w:p>
        </w:tc>
      </w:tr>
      <w:tr w:rsidR="00246174" w:rsidRPr="00783571" w14:paraId="6A8157E5" w14:textId="77777777" w:rsidTr="00260D8A">
        <w:trPr>
          <w:cantSplit/>
        </w:trPr>
        <w:tc>
          <w:tcPr>
            <w:tcW w:w="4071" w:type="dxa"/>
            <w:tcBorders>
              <w:top w:val="single" w:sz="4" w:space="0" w:color="808080" w:themeColor="background1" w:themeShade="80"/>
              <w:bottom w:val="single" w:sz="4" w:space="0" w:color="808080" w:themeColor="background1" w:themeShade="80"/>
            </w:tcBorders>
            <w:shd w:val="clear" w:color="auto" w:fill="auto"/>
            <w:noWrap/>
            <w:hideMark/>
          </w:tcPr>
          <w:p w14:paraId="751C431A" w14:textId="77777777" w:rsidR="00246174" w:rsidRPr="00783571" w:rsidRDefault="00246174" w:rsidP="001A6C07">
            <w:pPr>
              <w:pStyle w:val="TableText"/>
              <w:ind w:left="288"/>
            </w:pPr>
            <w:r w:rsidRPr="00783571">
              <w:t>Rapid test</w:t>
            </w:r>
          </w:p>
        </w:tc>
        <w:tc>
          <w:tcPr>
            <w:tcW w:w="5284" w:type="dxa"/>
            <w:gridSpan w:val="3"/>
            <w:tcBorders>
              <w:top w:val="single" w:sz="4" w:space="0" w:color="808080" w:themeColor="background1" w:themeShade="80"/>
              <w:bottom w:val="single" w:sz="4" w:space="0" w:color="808080" w:themeColor="background1" w:themeShade="80"/>
            </w:tcBorders>
            <w:shd w:val="clear" w:color="auto" w:fill="auto"/>
            <w:noWrap/>
            <w:hideMark/>
          </w:tcPr>
          <w:p w14:paraId="584742F1" w14:textId="77777777" w:rsidR="00246174" w:rsidRPr="00783571" w:rsidRDefault="00246174" w:rsidP="00613343">
            <w:pPr>
              <w:pStyle w:val="TableText"/>
              <w:spacing w:before="40"/>
            </w:pPr>
            <w:r w:rsidRPr="00783571">
              <w:t>-------------------------1.00-------------------------------</w:t>
            </w:r>
          </w:p>
        </w:tc>
        <w:tc>
          <w:tcPr>
            <w:tcW w:w="3605" w:type="dxa"/>
            <w:vMerge/>
            <w:tcBorders>
              <w:top w:val="single" w:sz="4" w:space="0" w:color="808080" w:themeColor="background1" w:themeShade="80"/>
              <w:bottom w:val="single" w:sz="4" w:space="0" w:color="808080" w:themeColor="background1" w:themeShade="80"/>
            </w:tcBorders>
            <w:shd w:val="clear" w:color="auto" w:fill="auto"/>
            <w:noWrap/>
            <w:hideMark/>
          </w:tcPr>
          <w:p w14:paraId="40DFF330" w14:textId="77777777" w:rsidR="00246174" w:rsidRPr="00783571" w:rsidRDefault="00246174" w:rsidP="003B19DD">
            <w:pPr>
              <w:pStyle w:val="Tabletext0"/>
              <w:spacing w:before="40"/>
            </w:pPr>
          </w:p>
        </w:tc>
      </w:tr>
      <w:tr w:rsidR="00246174" w:rsidRPr="00783571" w14:paraId="4C6EE7F4" w14:textId="77777777" w:rsidTr="00260D8A">
        <w:trPr>
          <w:cantSplit/>
        </w:trPr>
        <w:tc>
          <w:tcPr>
            <w:tcW w:w="12960" w:type="dxa"/>
            <w:gridSpan w:val="5"/>
            <w:tcBorders>
              <w:top w:val="single" w:sz="4" w:space="0" w:color="808080" w:themeColor="background1" w:themeShade="80"/>
              <w:bottom w:val="single" w:sz="4" w:space="0" w:color="808080" w:themeColor="background1" w:themeShade="80"/>
            </w:tcBorders>
            <w:shd w:val="clear" w:color="auto" w:fill="auto"/>
            <w:noWrap/>
          </w:tcPr>
          <w:p w14:paraId="2A7E5AD2" w14:textId="2B710FD1" w:rsidR="00246174" w:rsidRPr="00783571" w:rsidRDefault="00246174" w:rsidP="006A1314">
            <w:pPr>
              <w:pStyle w:val="TableText"/>
              <w:spacing w:before="40"/>
            </w:pPr>
            <w:r w:rsidRPr="00783571">
              <w:t xml:space="preserve">Annual probability of diagnosed individual linked to </w:t>
            </w:r>
            <w:r w:rsidR="009E34D9" w:rsidRPr="00783571">
              <w:t xml:space="preserve">HIV </w:t>
            </w:r>
            <w:r w:rsidRPr="00783571">
              <w:t>care at diagnosis</w:t>
            </w:r>
            <w:r w:rsidR="000B68B7" w:rsidRPr="00783571">
              <w:t xml:space="preserve"> in second and third time periods</w:t>
            </w:r>
            <w:r w:rsidR="001F5372" w:rsidRPr="00783571">
              <w:t xml:space="preserve"> </w:t>
            </w:r>
          </w:p>
        </w:tc>
      </w:tr>
      <w:tr w:rsidR="0097096F" w:rsidRPr="00783571" w14:paraId="2203A1E6" w14:textId="77777777" w:rsidTr="00260D8A">
        <w:trPr>
          <w:cantSplit/>
        </w:trPr>
        <w:tc>
          <w:tcPr>
            <w:tcW w:w="4071" w:type="dxa"/>
            <w:tcBorders>
              <w:top w:val="single" w:sz="4" w:space="0" w:color="808080" w:themeColor="background1" w:themeShade="80"/>
              <w:bottom w:val="single" w:sz="4" w:space="0" w:color="808080" w:themeColor="background1" w:themeShade="80"/>
            </w:tcBorders>
            <w:shd w:val="clear" w:color="auto" w:fill="auto"/>
            <w:noWrap/>
          </w:tcPr>
          <w:p w14:paraId="55C56849" w14:textId="5FDB572B" w:rsidR="0097096F" w:rsidRPr="00783571" w:rsidRDefault="0097096F" w:rsidP="006A1314">
            <w:pPr>
              <w:pStyle w:val="TableText"/>
              <w:spacing w:before="40"/>
              <w:ind w:left="270"/>
            </w:pPr>
          </w:p>
        </w:tc>
        <w:tc>
          <w:tcPr>
            <w:tcW w:w="1761" w:type="dxa"/>
            <w:tcBorders>
              <w:top w:val="single" w:sz="4" w:space="0" w:color="808080" w:themeColor="background1" w:themeShade="80"/>
              <w:bottom w:val="single" w:sz="4" w:space="0" w:color="808080" w:themeColor="background1" w:themeShade="80"/>
            </w:tcBorders>
            <w:shd w:val="clear" w:color="auto" w:fill="auto"/>
            <w:noWrap/>
          </w:tcPr>
          <w:p w14:paraId="7A607B68" w14:textId="4DD1DEBB" w:rsidR="0097096F" w:rsidRPr="00783571" w:rsidRDefault="0097096F" w:rsidP="006A1314">
            <w:pPr>
              <w:pStyle w:val="TableTextDec"/>
              <w:tabs>
                <w:tab w:val="clear" w:pos="1015"/>
                <w:tab w:val="decimal" w:pos="715"/>
              </w:tabs>
              <w:spacing w:before="40"/>
            </w:pPr>
            <w:r w:rsidRPr="00783571">
              <w:t>0.790</w:t>
            </w:r>
          </w:p>
        </w:tc>
        <w:tc>
          <w:tcPr>
            <w:tcW w:w="1761" w:type="dxa"/>
            <w:tcBorders>
              <w:top w:val="single" w:sz="4" w:space="0" w:color="808080" w:themeColor="background1" w:themeShade="80"/>
              <w:bottom w:val="single" w:sz="4" w:space="0" w:color="808080" w:themeColor="background1" w:themeShade="80"/>
            </w:tcBorders>
            <w:shd w:val="clear" w:color="auto" w:fill="auto"/>
          </w:tcPr>
          <w:p w14:paraId="626B32B3" w14:textId="16E5B549" w:rsidR="0097096F" w:rsidRPr="00783571" w:rsidRDefault="0097096F" w:rsidP="006A1314">
            <w:pPr>
              <w:pStyle w:val="TableTextDec"/>
              <w:tabs>
                <w:tab w:val="clear" w:pos="1015"/>
                <w:tab w:val="decimal" w:pos="715"/>
              </w:tabs>
              <w:spacing w:before="40"/>
            </w:pPr>
            <w:r w:rsidRPr="00783571">
              <w:t>0.830</w:t>
            </w:r>
          </w:p>
        </w:tc>
        <w:tc>
          <w:tcPr>
            <w:tcW w:w="1762" w:type="dxa"/>
            <w:tcBorders>
              <w:top w:val="single" w:sz="4" w:space="0" w:color="808080" w:themeColor="background1" w:themeShade="80"/>
              <w:bottom w:val="single" w:sz="4" w:space="0" w:color="808080" w:themeColor="background1" w:themeShade="80"/>
            </w:tcBorders>
            <w:shd w:val="clear" w:color="auto" w:fill="auto"/>
          </w:tcPr>
          <w:p w14:paraId="113EA0E6" w14:textId="05686CF1" w:rsidR="0097096F" w:rsidRPr="00783571" w:rsidRDefault="0097096F" w:rsidP="006A1314">
            <w:pPr>
              <w:pStyle w:val="TableTextDec"/>
              <w:tabs>
                <w:tab w:val="clear" w:pos="1015"/>
                <w:tab w:val="decimal" w:pos="715"/>
              </w:tabs>
              <w:spacing w:before="40"/>
            </w:pPr>
            <w:r w:rsidRPr="00783571">
              <w:t>0.860</w:t>
            </w:r>
          </w:p>
        </w:tc>
        <w:tc>
          <w:tcPr>
            <w:tcW w:w="3605" w:type="dxa"/>
            <w:tcBorders>
              <w:top w:val="single" w:sz="4" w:space="0" w:color="808080" w:themeColor="background1" w:themeShade="80"/>
              <w:bottom w:val="single" w:sz="4" w:space="0" w:color="808080" w:themeColor="background1" w:themeShade="80"/>
            </w:tcBorders>
            <w:shd w:val="clear" w:color="auto" w:fill="auto"/>
            <w:noWrap/>
          </w:tcPr>
          <w:p w14:paraId="2AAF4C02" w14:textId="075A8780" w:rsidR="0097096F" w:rsidRPr="00783571" w:rsidRDefault="0097096F" w:rsidP="002558F6">
            <w:pPr>
              <w:pStyle w:val="TableText"/>
              <w:spacing w:before="40"/>
            </w:pPr>
            <w:r w:rsidRPr="00783571">
              <w:t>CDC (</w:t>
            </w:r>
            <w:r w:rsidR="002558F6" w:rsidRPr="00783571">
              <w:t>2015</w:t>
            </w:r>
            <w:r w:rsidRPr="00783571">
              <w:t>)</w:t>
            </w:r>
          </w:p>
        </w:tc>
      </w:tr>
      <w:tr w:rsidR="0097096F" w:rsidRPr="00783571" w14:paraId="00B00566" w14:textId="77777777" w:rsidTr="00260D8A">
        <w:trPr>
          <w:cantSplit/>
        </w:trPr>
        <w:tc>
          <w:tcPr>
            <w:tcW w:w="12960" w:type="dxa"/>
            <w:gridSpan w:val="5"/>
            <w:tcBorders>
              <w:top w:val="single" w:sz="4" w:space="0" w:color="808080" w:themeColor="background1" w:themeShade="80"/>
              <w:bottom w:val="single" w:sz="4" w:space="0" w:color="808080" w:themeColor="background1" w:themeShade="80"/>
            </w:tcBorders>
            <w:shd w:val="clear" w:color="auto" w:fill="auto"/>
            <w:noWrap/>
            <w:hideMark/>
          </w:tcPr>
          <w:p w14:paraId="0066BEBD" w14:textId="4438A0DB" w:rsidR="0097096F" w:rsidRPr="00783571" w:rsidRDefault="0097096F" w:rsidP="007D5399">
            <w:pPr>
              <w:pStyle w:val="TableText"/>
              <w:spacing w:before="40"/>
            </w:pPr>
            <w:r w:rsidRPr="00783571">
              <w:t xml:space="preserve">Annual probability of diagnosed individual linked to </w:t>
            </w:r>
            <w:r w:rsidR="009E34D9" w:rsidRPr="00783571">
              <w:t xml:space="preserve">HIV </w:t>
            </w:r>
            <w:r w:rsidRPr="00783571">
              <w:t>care each year after first year if CD4&gt;350 (</w:t>
            </w:r>
            <w:r w:rsidRPr="00783571">
              <w:rPr>
                <w:i/>
                <w:iCs/>
              </w:rPr>
              <w:t>h</w:t>
            </w:r>
            <w:r w:rsidRPr="00783571">
              <w:t> = 1, 2, 3)</w:t>
            </w:r>
            <w:r w:rsidR="000B68B7" w:rsidRPr="00783571">
              <w:t xml:space="preserve"> in second and third time periods</w:t>
            </w:r>
            <w:r w:rsidR="001F5372" w:rsidRPr="00783571">
              <w:t xml:space="preserve"> </w:t>
            </w:r>
          </w:p>
        </w:tc>
      </w:tr>
      <w:tr w:rsidR="0097096F" w:rsidRPr="00783571" w14:paraId="6B28E9F3" w14:textId="77777777" w:rsidTr="00260D8A">
        <w:trPr>
          <w:cantSplit/>
        </w:trPr>
        <w:tc>
          <w:tcPr>
            <w:tcW w:w="4071" w:type="dxa"/>
            <w:tcBorders>
              <w:top w:val="single" w:sz="4" w:space="0" w:color="808080" w:themeColor="background1" w:themeShade="80"/>
              <w:bottom w:val="single" w:sz="4" w:space="0" w:color="808080" w:themeColor="background1" w:themeShade="80"/>
            </w:tcBorders>
            <w:shd w:val="clear" w:color="auto" w:fill="auto"/>
            <w:noWrap/>
          </w:tcPr>
          <w:p w14:paraId="7BCBB806" w14:textId="77777777" w:rsidR="0097096F" w:rsidRPr="00783571" w:rsidRDefault="0097096F" w:rsidP="006A1314">
            <w:pPr>
              <w:pStyle w:val="TableText"/>
              <w:spacing w:before="40"/>
              <w:ind w:firstLine="270"/>
            </w:pPr>
          </w:p>
        </w:tc>
        <w:tc>
          <w:tcPr>
            <w:tcW w:w="1761" w:type="dxa"/>
            <w:tcBorders>
              <w:top w:val="single" w:sz="4" w:space="0" w:color="808080" w:themeColor="background1" w:themeShade="80"/>
              <w:bottom w:val="single" w:sz="4" w:space="0" w:color="808080" w:themeColor="background1" w:themeShade="80"/>
            </w:tcBorders>
            <w:shd w:val="clear" w:color="auto" w:fill="auto"/>
            <w:noWrap/>
          </w:tcPr>
          <w:p w14:paraId="515FBF91" w14:textId="36B3B51C" w:rsidR="0097096F" w:rsidRPr="00783571" w:rsidRDefault="0097096F" w:rsidP="006A1314">
            <w:pPr>
              <w:pStyle w:val="TableTextDec"/>
              <w:tabs>
                <w:tab w:val="clear" w:pos="1015"/>
                <w:tab w:val="decimal" w:pos="715"/>
              </w:tabs>
              <w:spacing w:before="40"/>
            </w:pPr>
            <w:r w:rsidRPr="00783571">
              <w:t>0.</w:t>
            </w:r>
            <w:r w:rsidR="00E16A72" w:rsidRPr="00783571">
              <w:t>200</w:t>
            </w:r>
          </w:p>
        </w:tc>
        <w:tc>
          <w:tcPr>
            <w:tcW w:w="1761" w:type="dxa"/>
            <w:tcBorders>
              <w:top w:val="single" w:sz="4" w:space="0" w:color="808080" w:themeColor="background1" w:themeShade="80"/>
              <w:bottom w:val="single" w:sz="4" w:space="0" w:color="808080" w:themeColor="background1" w:themeShade="80"/>
            </w:tcBorders>
            <w:shd w:val="clear" w:color="auto" w:fill="auto"/>
            <w:noWrap/>
          </w:tcPr>
          <w:p w14:paraId="61450C7E" w14:textId="1BB51885" w:rsidR="0097096F" w:rsidRPr="00783571" w:rsidRDefault="0097096F" w:rsidP="006A1314">
            <w:pPr>
              <w:pStyle w:val="TableTextDec"/>
              <w:tabs>
                <w:tab w:val="clear" w:pos="1015"/>
                <w:tab w:val="decimal" w:pos="715"/>
              </w:tabs>
              <w:spacing w:before="40"/>
            </w:pPr>
            <w:r w:rsidRPr="00783571">
              <w:t>0.</w:t>
            </w:r>
            <w:r w:rsidR="00E16A72" w:rsidRPr="00783571">
              <w:t>184</w:t>
            </w:r>
          </w:p>
        </w:tc>
        <w:tc>
          <w:tcPr>
            <w:tcW w:w="1762" w:type="dxa"/>
            <w:tcBorders>
              <w:top w:val="single" w:sz="4" w:space="0" w:color="808080" w:themeColor="background1" w:themeShade="80"/>
              <w:bottom w:val="single" w:sz="4" w:space="0" w:color="808080" w:themeColor="background1" w:themeShade="80"/>
            </w:tcBorders>
            <w:shd w:val="clear" w:color="auto" w:fill="auto"/>
            <w:noWrap/>
          </w:tcPr>
          <w:p w14:paraId="30FD306A" w14:textId="2DA1D822" w:rsidR="0097096F" w:rsidRPr="00783571" w:rsidRDefault="0097096F" w:rsidP="006A1314">
            <w:pPr>
              <w:pStyle w:val="TableTextDec"/>
              <w:tabs>
                <w:tab w:val="clear" w:pos="1015"/>
                <w:tab w:val="decimal" w:pos="715"/>
              </w:tabs>
              <w:spacing w:before="40"/>
            </w:pPr>
            <w:r w:rsidRPr="00783571">
              <w:t>0.</w:t>
            </w:r>
            <w:r w:rsidR="00E16A72" w:rsidRPr="00783571">
              <w:t>163</w:t>
            </w:r>
          </w:p>
        </w:tc>
        <w:tc>
          <w:tcPr>
            <w:tcW w:w="3605" w:type="dxa"/>
            <w:tcBorders>
              <w:top w:val="single" w:sz="4" w:space="0" w:color="808080" w:themeColor="background1" w:themeShade="80"/>
              <w:bottom w:val="single" w:sz="4" w:space="0" w:color="808080" w:themeColor="background1" w:themeShade="80"/>
            </w:tcBorders>
            <w:shd w:val="clear" w:color="auto" w:fill="auto"/>
            <w:noWrap/>
          </w:tcPr>
          <w:p w14:paraId="7C3728E6" w14:textId="77777777" w:rsidR="0097096F" w:rsidRPr="00783571" w:rsidRDefault="0097096F" w:rsidP="006A1314">
            <w:pPr>
              <w:pStyle w:val="TableText"/>
              <w:spacing w:before="40"/>
            </w:pPr>
            <w:r w:rsidRPr="00783571">
              <w:t>Determined by calibration</w:t>
            </w:r>
          </w:p>
        </w:tc>
      </w:tr>
      <w:tr w:rsidR="0097096F" w:rsidRPr="00783571" w14:paraId="1AF37F42" w14:textId="77777777" w:rsidTr="00260D8A">
        <w:trPr>
          <w:cantSplit/>
        </w:trPr>
        <w:tc>
          <w:tcPr>
            <w:tcW w:w="9355" w:type="dxa"/>
            <w:gridSpan w:val="4"/>
            <w:tcBorders>
              <w:top w:val="single" w:sz="4" w:space="0" w:color="808080" w:themeColor="background1" w:themeShade="80"/>
              <w:bottom w:val="single" w:sz="4" w:space="0" w:color="808080" w:themeColor="background1" w:themeShade="80"/>
            </w:tcBorders>
            <w:shd w:val="clear" w:color="auto" w:fill="auto"/>
            <w:noWrap/>
          </w:tcPr>
          <w:p w14:paraId="1BA40CC9" w14:textId="10305674" w:rsidR="0097096F" w:rsidRPr="00783571" w:rsidRDefault="0097096F" w:rsidP="000B68B7">
            <w:pPr>
              <w:pStyle w:val="TableTextDec"/>
              <w:tabs>
                <w:tab w:val="clear" w:pos="1015"/>
                <w:tab w:val="decimal" w:pos="715"/>
              </w:tabs>
              <w:spacing w:before="40"/>
            </w:pPr>
            <w:r w:rsidRPr="00783571">
              <w:t xml:space="preserve">Relative risk of linkage to </w:t>
            </w:r>
            <w:r w:rsidR="003C0141" w:rsidRPr="00783571">
              <w:t xml:space="preserve">HIV </w:t>
            </w:r>
            <w:r w:rsidRPr="00783571">
              <w:t xml:space="preserve">care </w:t>
            </w:r>
            <w:r w:rsidR="000B68B7" w:rsidRPr="00783571">
              <w:t>in second and third time periods</w:t>
            </w:r>
            <w:r w:rsidR="001E1DE1" w:rsidRPr="00783571">
              <w:t xml:space="preserve">, </w:t>
            </w:r>
            <w:r w:rsidRPr="00783571">
              <w:t>after diagnosis if CD4 ≤ 350, by disease stage (reference: CD4&gt;350)</w:t>
            </w:r>
          </w:p>
        </w:tc>
        <w:tc>
          <w:tcPr>
            <w:tcW w:w="3605" w:type="dxa"/>
            <w:tcBorders>
              <w:top w:val="single" w:sz="4" w:space="0" w:color="808080" w:themeColor="background1" w:themeShade="80"/>
              <w:bottom w:val="single" w:sz="4" w:space="0" w:color="808080" w:themeColor="background1" w:themeShade="80"/>
            </w:tcBorders>
            <w:shd w:val="clear" w:color="auto" w:fill="auto"/>
            <w:noWrap/>
          </w:tcPr>
          <w:p w14:paraId="7F8B3815" w14:textId="77777777" w:rsidR="0097096F" w:rsidRPr="00783571" w:rsidRDefault="0097096F" w:rsidP="006A1314">
            <w:pPr>
              <w:pStyle w:val="TableText"/>
              <w:spacing w:before="40"/>
            </w:pPr>
          </w:p>
        </w:tc>
      </w:tr>
      <w:tr w:rsidR="00D5253D" w:rsidRPr="00783571" w14:paraId="33CEB8AE" w14:textId="77777777" w:rsidTr="00260D8A">
        <w:trPr>
          <w:cantSplit/>
        </w:trPr>
        <w:tc>
          <w:tcPr>
            <w:tcW w:w="4071" w:type="dxa"/>
            <w:tcBorders>
              <w:top w:val="single" w:sz="4" w:space="0" w:color="808080" w:themeColor="background1" w:themeShade="80"/>
              <w:bottom w:val="single" w:sz="4" w:space="0" w:color="808080" w:themeColor="background1" w:themeShade="80"/>
            </w:tcBorders>
            <w:shd w:val="clear" w:color="auto" w:fill="auto"/>
            <w:noWrap/>
          </w:tcPr>
          <w:p w14:paraId="0A65C399" w14:textId="4C8E3387" w:rsidR="00D5253D" w:rsidRPr="00783571" w:rsidRDefault="00D5253D" w:rsidP="001A6C07">
            <w:pPr>
              <w:pStyle w:val="TableText"/>
              <w:tabs>
                <w:tab w:val="left" w:pos="3255"/>
              </w:tabs>
              <w:ind w:left="288"/>
            </w:pPr>
            <w:r w:rsidRPr="00783571">
              <w:t>CD4 200–350 (</w:t>
            </w:r>
            <w:r w:rsidRPr="00783571">
              <w:rPr>
                <w:i/>
                <w:iCs/>
              </w:rPr>
              <w:t>h</w:t>
            </w:r>
            <w:r w:rsidRPr="00783571">
              <w:t> = 4)</w:t>
            </w:r>
          </w:p>
        </w:tc>
        <w:tc>
          <w:tcPr>
            <w:tcW w:w="5284" w:type="dxa"/>
            <w:gridSpan w:val="3"/>
            <w:tcBorders>
              <w:top w:val="single" w:sz="4" w:space="0" w:color="808080" w:themeColor="background1" w:themeShade="80"/>
              <w:bottom w:val="single" w:sz="4" w:space="0" w:color="808080" w:themeColor="background1" w:themeShade="80"/>
            </w:tcBorders>
            <w:shd w:val="clear" w:color="auto" w:fill="auto"/>
            <w:noWrap/>
          </w:tcPr>
          <w:p w14:paraId="7D0D7608" w14:textId="199D94D6" w:rsidR="00D5253D" w:rsidRPr="00783571" w:rsidRDefault="00D5253D" w:rsidP="006A1314">
            <w:pPr>
              <w:pStyle w:val="TableTextDec"/>
              <w:tabs>
                <w:tab w:val="clear" w:pos="1015"/>
                <w:tab w:val="decimal" w:pos="715"/>
              </w:tabs>
              <w:spacing w:before="40"/>
            </w:pPr>
            <w:r w:rsidRPr="00783571">
              <w:t>------------------------------</w:t>
            </w:r>
            <w:r w:rsidR="00E16A72" w:rsidRPr="00783571">
              <w:t>6.120</w:t>
            </w:r>
            <w:r w:rsidRPr="00783571">
              <w:t>-------------------------</w:t>
            </w:r>
          </w:p>
        </w:tc>
        <w:tc>
          <w:tcPr>
            <w:tcW w:w="3605" w:type="dxa"/>
            <w:vMerge w:val="restart"/>
            <w:tcBorders>
              <w:top w:val="single" w:sz="4" w:space="0" w:color="808080" w:themeColor="background1" w:themeShade="80"/>
            </w:tcBorders>
            <w:shd w:val="clear" w:color="auto" w:fill="auto"/>
            <w:noWrap/>
          </w:tcPr>
          <w:p w14:paraId="08760C9E" w14:textId="77777777" w:rsidR="00D5253D" w:rsidRPr="00783571" w:rsidRDefault="00D5253D" w:rsidP="006A1314">
            <w:pPr>
              <w:pStyle w:val="TableText"/>
              <w:spacing w:before="40"/>
            </w:pPr>
            <w:r w:rsidRPr="00783571">
              <w:t>Determined by calibration</w:t>
            </w:r>
          </w:p>
        </w:tc>
      </w:tr>
      <w:tr w:rsidR="00D5253D" w:rsidRPr="00783571" w14:paraId="1A4008F5" w14:textId="77777777" w:rsidTr="00260D8A">
        <w:trPr>
          <w:cantSplit/>
        </w:trPr>
        <w:tc>
          <w:tcPr>
            <w:tcW w:w="4071" w:type="dxa"/>
            <w:tcBorders>
              <w:top w:val="single" w:sz="4" w:space="0" w:color="808080" w:themeColor="background1" w:themeShade="80"/>
              <w:bottom w:val="single" w:sz="4" w:space="0" w:color="808080" w:themeColor="background1" w:themeShade="80"/>
            </w:tcBorders>
            <w:shd w:val="clear" w:color="auto" w:fill="auto"/>
            <w:noWrap/>
          </w:tcPr>
          <w:p w14:paraId="4D95E03D" w14:textId="333DD350" w:rsidR="00D5253D" w:rsidRPr="00783571" w:rsidRDefault="00D5253D" w:rsidP="001A6C07">
            <w:pPr>
              <w:pStyle w:val="TableText"/>
              <w:tabs>
                <w:tab w:val="left" w:pos="3255"/>
              </w:tabs>
              <w:ind w:left="288"/>
            </w:pPr>
            <w:r w:rsidRPr="00783571">
              <w:t>CD4 &lt; 200 (</w:t>
            </w:r>
            <w:r w:rsidRPr="00783571">
              <w:rPr>
                <w:i/>
                <w:iCs/>
              </w:rPr>
              <w:t>h</w:t>
            </w:r>
            <w:r w:rsidRPr="00783571">
              <w:t> = 5)</w:t>
            </w:r>
          </w:p>
        </w:tc>
        <w:tc>
          <w:tcPr>
            <w:tcW w:w="5284" w:type="dxa"/>
            <w:gridSpan w:val="3"/>
            <w:tcBorders>
              <w:top w:val="single" w:sz="4" w:space="0" w:color="808080" w:themeColor="background1" w:themeShade="80"/>
              <w:bottom w:val="single" w:sz="4" w:space="0" w:color="808080" w:themeColor="background1" w:themeShade="80"/>
            </w:tcBorders>
            <w:shd w:val="clear" w:color="auto" w:fill="auto"/>
            <w:noWrap/>
          </w:tcPr>
          <w:p w14:paraId="661A45E8" w14:textId="7FC142BD" w:rsidR="00D5253D" w:rsidRPr="00783571" w:rsidRDefault="00D5253D" w:rsidP="007C17F7">
            <w:pPr>
              <w:pStyle w:val="TableTextDec"/>
              <w:tabs>
                <w:tab w:val="clear" w:pos="1015"/>
                <w:tab w:val="decimal" w:pos="715"/>
              </w:tabs>
              <w:spacing w:before="40"/>
            </w:pPr>
            <w:r w:rsidRPr="00783571">
              <w:t>------------------------------</w:t>
            </w:r>
            <w:r w:rsidR="00E16A72" w:rsidRPr="00783571">
              <w:t>4.529</w:t>
            </w:r>
            <w:r w:rsidRPr="00783571">
              <w:t>------------------------</w:t>
            </w:r>
            <w:r w:rsidR="00DF1AFE" w:rsidRPr="00783571">
              <w:t>-</w:t>
            </w:r>
          </w:p>
        </w:tc>
        <w:tc>
          <w:tcPr>
            <w:tcW w:w="3605" w:type="dxa"/>
            <w:vMerge/>
            <w:tcBorders>
              <w:bottom w:val="single" w:sz="4" w:space="0" w:color="808080" w:themeColor="background1" w:themeShade="80"/>
            </w:tcBorders>
            <w:shd w:val="clear" w:color="auto" w:fill="auto"/>
            <w:noWrap/>
          </w:tcPr>
          <w:p w14:paraId="18F8C23B" w14:textId="77777777" w:rsidR="00D5253D" w:rsidRPr="00783571" w:rsidRDefault="00D5253D" w:rsidP="003B19DD">
            <w:pPr>
              <w:pStyle w:val="TableText"/>
              <w:spacing w:before="40"/>
            </w:pPr>
          </w:p>
        </w:tc>
      </w:tr>
      <w:tr w:rsidR="00B40270" w:rsidRPr="00783571" w14:paraId="53BE07BD" w14:textId="77777777" w:rsidTr="00260D8A">
        <w:trPr>
          <w:cantSplit/>
        </w:trPr>
        <w:tc>
          <w:tcPr>
            <w:tcW w:w="9355" w:type="dxa"/>
            <w:gridSpan w:val="4"/>
            <w:tcBorders>
              <w:top w:val="single" w:sz="4" w:space="0" w:color="808080" w:themeColor="background1" w:themeShade="80"/>
              <w:bottom w:val="single" w:sz="4" w:space="0" w:color="808080" w:themeColor="background1" w:themeShade="80"/>
            </w:tcBorders>
            <w:shd w:val="clear" w:color="auto" w:fill="auto"/>
            <w:noWrap/>
          </w:tcPr>
          <w:p w14:paraId="3D3B5B78" w14:textId="64068B08" w:rsidR="00B40270" w:rsidRPr="00783571" w:rsidRDefault="00B40270" w:rsidP="000B68B7">
            <w:pPr>
              <w:pStyle w:val="TableTextDec"/>
              <w:tabs>
                <w:tab w:val="clear" w:pos="1015"/>
                <w:tab w:val="decimal" w:pos="715"/>
              </w:tabs>
              <w:spacing w:before="40"/>
            </w:pPr>
            <w:r w:rsidRPr="00783571">
              <w:t xml:space="preserve">Annual probability of dropping out of care if </w:t>
            </w:r>
            <w:r w:rsidR="009E34D9" w:rsidRPr="00783571">
              <w:t>linked to HIV care</w:t>
            </w:r>
            <w:r w:rsidR="000B68B7" w:rsidRPr="00783571">
              <w:t xml:space="preserve"> </w:t>
            </w:r>
            <w:r w:rsidRPr="00783571">
              <w:t xml:space="preserve">(from </w:t>
            </w:r>
            <w:r w:rsidRPr="00783571">
              <w:rPr>
                <w:i/>
              </w:rPr>
              <w:t>r</w:t>
            </w:r>
            <w:r w:rsidRPr="00783571">
              <w:t xml:space="preserve"> = 3 to </w:t>
            </w:r>
            <w:r w:rsidRPr="00783571">
              <w:rPr>
                <w:i/>
              </w:rPr>
              <w:t>r</w:t>
            </w:r>
            <w:r w:rsidRPr="00783571">
              <w:t> = 2)</w:t>
            </w:r>
            <w:r w:rsidR="000B68B7" w:rsidRPr="00783571">
              <w:t xml:space="preserve"> in second and third time periods</w:t>
            </w:r>
            <w:r w:rsidR="001F5372" w:rsidRPr="00783571">
              <w:t xml:space="preserve"> </w:t>
            </w:r>
          </w:p>
        </w:tc>
        <w:tc>
          <w:tcPr>
            <w:tcW w:w="3605" w:type="dxa"/>
            <w:tcBorders>
              <w:bottom w:val="single" w:sz="4" w:space="0" w:color="808080" w:themeColor="background1" w:themeShade="80"/>
            </w:tcBorders>
            <w:shd w:val="clear" w:color="auto" w:fill="auto"/>
            <w:noWrap/>
          </w:tcPr>
          <w:p w14:paraId="2930E496" w14:textId="77777777" w:rsidR="00B40270" w:rsidRPr="00783571" w:rsidRDefault="00B40270" w:rsidP="003B19DD">
            <w:pPr>
              <w:pStyle w:val="TableText"/>
              <w:spacing w:before="40"/>
            </w:pPr>
          </w:p>
        </w:tc>
      </w:tr>
      <w:tr w:rsidR="00B40270" w:rsidRPr="00783571" w14:paraId="22D8E1D5" w14:textId="77777777" w:rsidTr="00260D8A">
        <w:trPr>
          <w:cantSplit/>
        </w:trPr>
        <w:tc>
          <w:tcPr>
            <w:tcW w:w="4071" w:type="dxa"/>
            <w:tcBorders>
              <w:top w:val="single" w:sz="4" w:space="0" w:color="808080" w:themeColor="background1" w:themeShade="80"/>
              <w:bottom w:val="single" w:sz="4" w:space="0" w:color="808080" w:themeColor="background1" w:themeShade="80"/>
            </w:tcBorders>
            <w:shd w:val="clear" w:color="auto" w:fill="auto"/>
            <w:noWrap/>
          </w:tcPr>
          <w:p w14:paraId="6A9F7994" w14:textId="6DC5AECD" w:rsidR="00B40270" w:rsidRPr="00783571" w:rsidRDefault="00B40270" w:rsidP="001A6C07">
            <w:pPr>
              <w:pStyle w:val="TableText"/>
              <w:tabs>
                <w:tab w:val="left" w:pos="3255"/>
              </w:tabs>
              <w:ind w:left="288"/>
            </w:pPr>
          </w:p>
        </w:tc>
        <w:tc>
          <w:tcPr>
            <w:tcW w:w="1761" w:type="dxa"/>
            <w:tcBorders>
              <w:top w:val="single" w:sz="4" w:space="0" w:color="808080" w:themeColor="background1" w:themeShade="80"/>
              <w:bottom w:val="single" w:sz="4" w:space="0" w:color="808080" w:themeColor="background1" w:themeShade="80"/>
            </w:tcBorders>
            <w:shd w:val="clear" w:color="auto" w:fill="auto"/>
            <w:noWrap/>
          </w:tcPr>
          <w:p w14:paraId="61CD3458" w14:textId="703B6857" w:rsidR="00B40270" w:rsidRPr="00783571" w:rsidRDefault="00136D77" w:rsidP="001E1DE1">
            <w:pPr>
              <w:pStyle w:val="TableTextDec"/>
              <w:tabs>
                <w:tab w:val="clear" w:pos="1015"/>
                <w:tab w:val="decimal" w:pos="715"/>
              </w:tabs>
              <w:spacing w:before="40"/>
            </w:pPr>
            <w:r w:rsidRPr="00783571">
              <w:t>0.</w:t>
            </w:r>
            <w:r w:rsidR="00824E63" w:rsidRPr="00783571">
              <w:t>280</w:t>
            </w:r>
          </w:p>
        </w:tc>
        <w:tc>
          <w:tcPr>
            <w:tcW w:w="1761" w:type="dxa"/>
            <w:tcBorders>
              <w:top w:val="single" w:sz="4" w:space="0" w:color="808080" w:themeColor="background1" w:themeShade="80"/>
              <w:bottom w:val="single" w:sz="4" w:space="0" w:color="808080" w:themeColor="background1" w:themeShade="80"/>
            </w:tcBorders>
            <w:shd w:val="clear" w:color="auto" w:fill="auto"/>
          </w:tcPr>
          <w:p w14:paraId="185DF827" w14:textId="2CF08C76" w:rsidR="00B40270" w:rsidRPr="00783571" w:rsidRDefault="00136D77" w:rsidP="001E1DE1">
            <w:pPr>
              <w:pStyle w:val="TableTextDec"/>
              <w:tabs>
                <w:tab w:val="clear" w:pos="1015"/>
                <w:tab w:val="decimal" w:pos="715"/>
              </w:tabs>
              <w:spacing w:before="40"/>
            </w:pPr>
            <w:r w:rsidRPr="00783571">
              <w:t>0.</w:t>
            </w:r>
            <w:r w:rsidR="00824E63" w:rsidRPr="00783571">
              <w:t>237</w:t>
            </w:r>
          </w:p>
        </w:tc>
        <w:tc>
          <w:tcPr>
            <w:tcW w:w="1762" w:type="dxa"/>
            <w:tcBorders>
              <w:top w:val="single" w:sz="4" w:space="0" w:color="808080" w:themeColor="background1" w:themeShade="80"/>
              <w:bottom w:val="single" w:sz="4" w:space="0" w:color="808080" w:themeColor="background1" w:themeShade="80"/>
            </w:tcBorders>
            <w:shd w:val="clear" w:color="auto" w:fill="auto"/>
          </w:tcPr>
          <w:p w14:paraId="03080766" w14:textId="0C4235B3" w:rsidR="00B40270" w:rsidRPr="00783571" w:rsidRDefault="00136D77" w:rsidP="001E1DE1">
            <w:pPr>
              <w:pStyle w:val="TableTextDec"/>
              <w:tabs>
                <w:tab w:val="clear" w:pos="1015"/>
                <w:tab w:val="decimal" w:pos="715"/>
              </w:tabs>
              <w:spacing w:before="40"/>
            </w:pPr>
            <w:r w:rsidRPr="00783571">
              <w:t>0.</w:t>
            </w:r>
            <w:r w:rsidR="00824E63" w:rsidRPr="00783571">
              <w:t>252</w:t>
            </w:r>
          </w:p>
        </w:tc>
        <w:tc>
          <w:tcPr>
            <w:tcW w:w="3605" w:type="dxa"/>
            <w:shd w:val="clear" w:color="auto" w:fill="auto"/>
            <w:noWrap/>
          </w:tcPr>
          <w:p w14:paraId="6610855B" w14:textId="2856AFFC" w:rsidR="00B40270" w:rsidRPr="00783571" w:rsidRDefault="00B40270" w:rsidP="003B19DD">
            <w:pPr>
              <w:pStyle w:val="TableText"/>
              <w:spacing w:before="40"/>
            </w:pPr>
            <w:r w:rsidRPr="00783571">
              <w:t>Determined by calibration</w:t>
            </w:r>
          </w:p>
        </w:tc>
      </w:tr>
      <w:tr w:rsidR="00B40270" w:rsidRPr="00783571" w14:paraId="1C5A3C8A" w14:textId="77777777" w:rsidTr="00260D8A">
        <w:trPr>
          <w:cantSplit/>
        </w:trPr>
        <w:tc>
          <w:tcPr>
            <w:tcW w:w="9355" w:type="dxa"/>
            <w:gridSpan w:val="4"/>
            <w:tcBorders>
              <w:top w:val="single" w:sz="4" w:space="0" w:color="808080" w:themeColor="background1" w:themeShade="80"/>
              <w:bottom w:val="single" w:sz="4" w:space="0" w:color="808080" w:themeColor="background1" w:themeShade="80"/>
            </w:tcBorders>
            <w:shd w:val="clear" w:color="auto" w:fill="auto"/>
            <w:noWrap/>
          </w:tcPr>
          <w:p w14:paraId="2C2CDE52" w14:textId="24337790" w:rsidR="00B40270" w:rsidRPr="00783571" w:rsidRDefault="00B40270" w:rsidP="00B51D6E">
            <w:pPr>
              <w:pStyle w:val="TableTextDec"/>
              <w:tabs>
                <w:tab w:val="clear" w:pos="1015"/>
                <w:tab w:val="decimal" w:pos="715"/>
              </w:tabs>
              <w:spacing w:before="40"/>
            </w:pPr>
            <w:r w:rsidRPr="00783571">
              <w:t xml:space="preserve">Annual probability of </w:t>
            </w:r>
            <w:r w:rsidR="003C0141" w:rsidRPr="00783571">
              <w:t xml:space="preserve">dropping out </w:t>
            </w:r>
            <w:r w:rsidRPr="00783571">
              <w:t>of ART and mov</w:t>
            </w:r>
            <w:r w:rsidR="00D15040" w:rsidRPr="00783571">
              <w:t>ing</w:t>
            </w:r>
            <w:r w:rsidRPr="00783571">
              <w:t xml:space="preserve"> to </w:t>
            </w:r>
            <w:r w:rsidR="00B51D6E" w:rsidRPr="00783571">
              <w:t>linked-to-</w:t>
            </w:r>
            <w:r w:rsidR="003C0141" w:rsidRPr="00783571">
              <w:t>HIV-</w:t>
            </w:r>
            <w:r w:rsidR="00B51D6E" w:rsidRPr="00783571">
              <w:t>care</w:t>
            </w:r>
            <w:r w:rsidRPr="00783571">
              <w:t xml:space="preserve"> (from </w:t>
            </w:r>
            <w:r w:rsidRPr="00783571">
              <w:rPr>
                <w:i/>
                <w:iCs/>
              </w:rPr>
              <w:t>r</w:t>
            </w:r>
            <w:r w:rsidRPr="00783571">
              <w:t xml:space="preserve"> = 4 to </w:t>
            </w:r>
            <w:r w:rsidRPr="00783571">
              <w:rPr>
                <w:i/>
                <w:iCs/>
              </w:rPr>
              <w:t>r</w:t>
            </w:r>
            <w:r w:rsidRPr="00783571">
              <w:t> = 3)</w:t>
            </w:r>
            <w:r w:rsidR="000B68B7" w:rsidRPr="00783571">
              <w:t xml:space="preserve"> in second and third time periods</w:t>
            </w:r>
            <w:r w:rsidR="001F5372" w:rsidRPr="00783571">
              <w:t xml:space="preserve"> </w:t>
            </w:r>
          </w:p>
        </w:tc>
        <w:tc>
          <w:tcPr>
            <w:tcW w:w="3605" w:type="dxa"/>
            <w:tcBorders>
              <w:bottom w:val="single" w:sz="4" w:space="0" w:color="808080" w:themeColor="background1" w:themeShade="80"/>
            </w:tcBorders>
            <w:shd w:val="clear" w:color="auto" w:fill="auto"/>
            <w:noWrap/>
          </w:tcPr>
          <w:p w14:paraId="5059B3F9" w14:textId="77777777" w:rsidR="00B40270" w:rsidRPr="00783571" w:rsidRDefault="00B40270" w:rsidP="003B19DD">
            <w:pPr>
              <w:pStyle w:val="TableText"/>
              <w:spacing w:before="40"/>
            </w:pPr>
          </w:p>
        </w:tc>
      </w:tr>
      <w:tr w:rsidR="0051408D" w:rsidRPr="00783571" w14:paraId="1ADA9CF4" w14:textId="77777777" w:rsidTr="00260D8A">
        <w:trPr>
          <w:cantSplit/>
        </w:trPr>
        <w:tc>
          <w:tcPr>
            <w:tcW w:w="4071" w:type="dxa"/>
            <w:tcBorders>
              <w:top w:val="single" w:sz="4" w:space="0" w:color="808080" w:themeColor="background1" w:themeShade="80"/>
              <w:bottom w:val="single" w:sz="4" w:space="0" w:color="808080" w:themeColor="background1" w:themeShade="80"/>
            </w:tcBorders>
            <w:shd w:val="clear" w:color="auto" w:fill="auto"/>
            <w:noWrap/>
          </w:tcPr>
          <w:p w14:paraId="03570FB6" w14:textId="4E095E57" w:rsidR="0051408D" w:rsidRPr="00783571" w:rsidRDefault="0051408D" w:rsidP="001A6C07">
            <w:pPr>
              <w:pStyle w:val="TableText"/>
              <w:tabs>
                <w:tab w:val="left" w:pos="3255"/>
              </w:tabs>
              <w:ind w:left="288"/>
            </w:pPr>
          </w:p>
        </w:tc>
        <w:tc>
          <w:tcPr>
            <w:tcW w:w="1761" w:type="dxa"/>
            <w:tcBorders>
              <w:top w:val="single" w:sz="4" w:space="0" w:color="808080" w:themeColor="background1" w:themeShade="80"/>
              <w:bottom w:val="single" w:sz="4" w:space="0" w:color="808080" w:themeColor="background1" w:themeShade="80"/>
            </w:tcBorders>
            <w:shd w:val="clear" w:color="auto" w:fill="auto"/>
            <w:noWrap/>
          </w:tcPr>
          <w:p w14:paraId="3E0268FF" w14:textId="0852D22E" w:rsidR="0051408D" w:rsidRPr="00783571" w:rsidRDefault="00136D77" w:rsidP="001E1DE1">
            <w:pPr>
              <w:pStyle w:val="TableTextDec"/>
              <w:tabs>
                <w:tab w:val="clear" w:pos="1015"/>
                <w:tab w:val="decimal" w:pos="715"/>
              </w:tabs>
              <w:spacing w:before="40"/>
            </w:pPr>
            <w:r w:rsidRPr="00783571">
              <w:t>0.</w:t>
            </w:r>
            <w:r w:rsidR="00824E63" w:rsidRPr="00783571">
              <w:t>140</w:t>
            </w:r>
          </w:p>
        </w:tc>
        <w:tc>
          <w:tcPr>
            <w:tcW w:w="1761" w:type="dxa"/>
            <w:tcBorders>
              <w:top w:val="single" w:sz="4" w:space="0" w:color="808080" w:themeColor="background1" w:themeShade="80"/>
              <w:bottom w:val="single" w:sz="4" w:space="0" w:color="808080" w:themeColor="background1" w:themeShade="80"/>
            </w:tcBorders>
            <w:shd w:val="clear" w:color="auto" w:fill="auto"/>
          </w:tcPr>
          <w:p w14:paraId="7D82DB18" w14:textId="0CBF5C5C" w:rsidR="0051408D" w:rsidRPr="00783571" w:rsidRDefault="0051408D" w:rsidP="001E1DE1">
            <w:pPr>
              <w:pStyle w:val="TableTextDec"/>
              <w:tabs>
                <w:tab w:val="clear" w:pos="1015"/>
                <w:tab w:val="decimal" w:pos="715"/>
              </w:tabs>
              <w:spacing w:before="40"/>
            </w:pPr>
            <w:r w:rsidRPr="00783571">
              <w:t>0</w:t>
            </w:r>
            <w:r w:rsidR="00136D77" w:rsidRPr="00783571">
              <w:t>.</w:t>
            </w:r>
            <w:r w:rsidR="00824E63" w:rsidRPr="00783571">
              <w:t>155</w:t>
            </w:r>
          </w:p>
        </w:tc>
        <w:tc>
          <w:tcPr>
            <w:tcW w:w="1762" w:type="dxa"/>
            <w:tcBorders>
              <w:top w:val="single" w:sz="4" w:space="0" w:color="808080" w:themeColor="background1" w:themeShade="80"/>
              <w:bottom w:val="single" w:sz="4" w:space="0" w:color="808080" w:themeColor="background1" w:themeShade="80"/>
            </w:tcBorders>
            <w:shd w:val="clear" w:color="auto" w:fill="auto"/>
          </w:tcPr>
          <w:p w14:paraId="201C2D78" w14:textId="12DEB70F" w:rsidR="0051408D" w:rsidRPr="00783571" w:rsidRDefault="00136D77" w:rsidP="001E1DE1">
            <w:pPr>
              <w:pStyle w:val="TableTextDec"/>
              <w:tabs>
                <w:tab w:val="clear" w:pos="1015"/>
                <w:tab w:val="decimal" w:pos="715"/>
              </w:tabs>
              <w:spacing w:before="40"/>
            </w:pPr>
            <w:r w:rsidRPr="00783571">
              <w:t>0.</w:t>
            </w:r>
            <w:r w:rsidR="00824E63" w:rsidRPr="00783571">
              <w:t>116</w:t>
            </w:r>
          </w:p>
        </w:tc>
        <w:tc>
          <w:tcPr>
            <w:tcW w:w="3605" w:type="dxa"/>
            <w:shd w:val="clear" w:color="auto" w:fill="auto"/>
            <w:noWrap/>
          </w:tcPr>
          <w:p w14:paraId="740910E8" w14:textId="562F6B4B" w:rsidR="0051408D" w:rsidRPr="00783571" w:rsidRDefault="0051408D" w:rsidP="003B19DD">
            <w:pPr>
              <w:pStyle w:val="TableText"/>
              <w:spacing w:before="40"/>
            </w:pPr>
            <w:r w:rsidRPr="00783571">
              <w:t>Determined by calibration</w:t>
            </w:r>
          </w:p>
        </w:tc>
      </w:tr>
      <w:tr w:rsidR="0051408D" w:rsidRPr="00783571" w14:paraId="12904BBF" w14:textId="77777777" w:rsidTr="00260D8A">
        <w:trPr>
          <w:cantSplit/>
        </w:trPr>
        <w:tc>
          <w:tcPr>
            <w:tcW w:w="4071" w:type="dxa"/>
            <w:tcBorders>
              <w:top w:val="single" w:sz="4" w:space="0" w:color="808080" w:themeColor="background1" w:themeShade="80"/>
              <w:bottom w:val="single" w:sz="4" w:space="0" w:color="808080" w:themeColor="background1" w:themeShade="80"/>
            </w:tcBorders>
            <w:shd w:val="clear" w:color="auto" w:fill="auto"/>
            <w:noWrap/>
          </w:tcPr>
          <w:p w14:paraId="05B25095" w14:textId="376C8052" w:rsidR="0051408D" w:rsidRPr="00783571" w:rsidRDefault="0051408D" w:rsidP="00B51D6E">
            <w:pPr>
              <w:pStyle w:val="TableText"/>
              <w:spacing w:before="40"/>
            </w:pPr>
            <w:r w:rsidRPr="00783571">
              <w:t xml:space="preserve">Annual probability of </w:t>
            </w:r>
            <w:r w:rsidR="003C0141" w:rsidRPr="00783571">
              <w:t xml:space="preserve">dropping out </w:t>
            </w:r>
            <w:r w:rsidRPr="00783571">
              <w:t xml:space="preserve">of ART (from </w:t>
            </w:r>
            <w:r w:rsidRPr="00783571">
              <w:rPr>
                <w:i/>
                <w:iCs/>
              </w:rPr>
              <w:t>r</w:t>
            </w:r>
            <w:r w:rsidRPr="00783571">
              <w:t xml:space="preserve"> = 4 to </w:t>
            </w:r>
            <w:r w:rsidRPr="00783571">
              <w:rPr>
                <w:i/>
                <w:iCs/>
              </w:rPr>
              <w:t>r</w:t>
            </w:r>
            <w:r w:rsidRPr="00783571">
              <w:t> = 2)</w:t>
            </w:r>
            <w:r w:rsidR="008D3BC3" w:rsidRPr="00783571">
              <w:rPr>
                <w:vertAlign w:val="superscript"/>
              </w:rPr>
              <w:t>b</w:t>
            </w:r>
            <w:r w:rsidRPr="00783571">
              <w:t xml:space="preserve"> </w:t>
            </w:r>
          </w:p>
        </w:tc>
        <w:tc>
          <w:tcPr>
            <w:tcW w:w="1761" w:type="dxa"/>
            <w:tcBorders>
              <w:top w:val="single" w:sz="4" w:space="0" w:color="808080" w:themeColor="background1" w:themeShade="80"/>
              <w:bottom w:val="single" w:sz="4" w:space="0" w:color="808080" w:themeColor="background1" w:themeShade="80"/>
            </w:tcBorders>
            <w:shd w:val="clear" w:color="auto" w:fill="auto"/>
            <w:noWrap/>
          </w:tcPr>
          <w:p w14:paraId="24CA258B" w14:textId="59DEE83D" w:rsidR="0051408D" w:rsidRPr="00783571" w:rsidRDefault="0051408D" w:rsidP="00613343">
            <w:pPr>
              <w:pStyle w:val="TableTextDec"/>
              <w:tabs>
                <w:tab w:val="clear" w:pos="1015"/>
                <w:tab w:val="decimal" w:pos="715"/>
              </w:tabs>
              <w:spacing w:before="40"/>
            </w:pPr>
            <w:r w:rsidRPr="00783571">
              <w:t>0.000</w:t>
            </w:r>
          </w:p>
        </w:tc>
        <w:tc>
          <w:tcPr>
            <w:tcW w:w="1761" w:type="dxa"/>
            <w:tcBorders>
              <w:top w:val="single" w:sz="4" w:space="0" w:color="808080" w:themeColor="background1" w:themeShade="80"/>
              <w:bottom w:val="single" w:sz="4" w:space="0" w:color="808080" w:themeColor="background1" w:themeShade="80"/>
            </w:tcBorders>
            <w:shd w:val="clear" w:color="auto" w:fill="auto"/>
            <w:noWrap/>
          </w:tcPr>
          <w:p w14:paraId="7A0F0EEC" w14:textId="57805B81" w:rsidR="0051408D" w:rsidRPr="00783571" w:rsidRDefault="0051408D" w:rsidP="007C17F7">
            <w:pPr>
              <w:pStyle w:val="TableTextDec"/>
              <w:tabs>
                <w:tab w:val="clear" w:pos="1015"/>
                <w:tab w:val="decimal" w:pos="715"/>
              </w:tabs>
              <w:spacing w:before="40"/>
            </w:pPr>
            <w:r w:rsidRPr="00783571">
              <w:t>0.000</w:t>
            </w:r>
          </w:p>
        </w:tc>
        <w:tc>
          <w:tcPr>
            <w:tcW w:w="1762" w:type="dxa"/>
            <w:tcBorders>
              <w:top w:val="single" w:sz="4" w:space="0" w:color="808080" w:themeColor="background1" w:themeShade="80"/>
              <w:bottom w:val="single" w:sz="4" w:space="0" w:color="808080" w:themeColor="background1" w:themeShade="80"/>
            </w:tcBorders>
            <w:shd w:val="clear" w:color="auto" w:fill="auto"/>
            <w:noWrap/>
          </w:tcPr>
          <w:p w14:paraId="2EBC743D" w14:textId="72433A8D" w:rsidR="0051408D" w:rsidRPr="00783571" w:rsidRDefault="0051408D" w:rsidP="007C17F7">
            <w:pPr>
              <w:pStyle w:val="TableTextDec"/>
              <w:tabs>
                <w:tab w:val="clear" w:pos="1015"/>
                <w:tab w:val="decimal" w:pos="715"/>
              </w:tabs>
              <w:spacing w:before="40"/>
            </w:pPr>
            <w:r w:rsidRPr="00783571">
              <w:t>0.000</w:t>
            </w:r>
          </w:p>
        </w:tc>
        <w:tc>
          <w:tcPr>
            <w:tcW w:w="3605" w:type="dxa"/>
            <w:tcBorders>
              <w:top w:val="single" w:sz="4" w:space="0" w:color="808080" w:themeColor="background1" w:themeShade="80"/>
              <w:bottom w:val="single" w:sz="4" w:space="0" w:color="808080" w:themeColor="background1" w:themeShade="80"/>
            </w:tcBorders>
            <w:shd w:val="clear" w:color="auto" w:fill="auto"/>
            <w:noWrap/>
          </w:tcPr>
          <w:p w14:paraId="0EC40F6C" w14:textId="182A397F" w:rsidR="0051408D" w:rsidRPr="00783571" w:rsidRDefault="0051408D" w:rsidP="003B19DD">
            <w:pPr>
              <w:pStyle w:val="TableText"/>
              <w:spacing w:before="40"/>
            </w:pPr>
            <w:r w:rsidRPr="00783571">
              <w:t>Flow not considered in base model.</w:t>
            </w:r>
          </w:p>
        </w:tc>
      </w:tr>
      <w:tr w:rsidR="008D3BC3" w:rsidRPr="00783571" w14:paraId="700DA14C" w14:textId="77777777" w:rsidTr="00260D8A">
        <w:trPr>
          <w:cantSplit/>
        </w:trPr>
        <w:tc>
          <w:tcPr>
            <w:tcW w:w="4071" w:type="dxa"/>
            <w:tcBorders>
              <w:top w:val="single" w:sz="4" w:space="0" w:color="808080" w:themeColor="background1" w:themeShade="80"/>
              <w:bottom w:val="single" w:sz="6" w:space="0" w:color="auto"/>
            </w:tcBorders>
            <w:shd w:val="clear" w:color="auto" w:fill="auto"/>
            <w:noWrap/>
          </w:tcPr>
          <w:p w14:paraId="48A25C58" w14:textId="12269CB3" w:rsidR="008D3BC3" w:rsidRPr="00783571" w:rsidRDefault="008D3BC3" w:rsidP="006E377E">
            <w:pPr>
              <w:pStyle w:val="TableText"/>
              <w:spacing w:before="40"/>
            </w:pPr>
            <w:r w:rsidRPr="00783571">
              <w:t xml:space="preserve">Annual probability of loss of VLS if VLS (from </w:t>
            </w:r>
            <w:r w:rsidRPr="00783571">
              <w:rPr>
                <w:i/>
                <w:iCs/>
              </w:rPr>
              <w:t>r</w:t>
            </w:r>
            <w:r w:rsidRPr="00783571">
              <w:t xml:space="preserve"> = 5 to </w:t>
            </w:r>
            <w:r w:rsidRPr="00783571">
              <w:rPr>
                <w:i/>
                <w:iCs/>
              </w:rPr>
              <w:t>r</w:t>
            </w:r>
            <w:r w:rsidRPr="00783571">
              <w:t> = 4)</w:t>
            </w:r>
            <w:r w:rsidR="000B68B7" w:rsidRPr="00783571">
              <w:t xml:space="preserve"> in second and third time periods</w:t>
            </w:r>
            <w:r w:rsidR="001F5372" w:rsidRPr="00783571">
              <w:t xml:space="preserve"> </w:t>
            </w:r>
          </w:p>
        </w:tc>
        <w:tc>
          <w:tcPr>
            <w:tcW w:w="1761" w:type="dxa"/>
            <w:tcBorders>
              <w:top w:val="single" w:sz="4" w:space="0" w:color="808080" w:themeColor="background1" w:themeShade="80"/>
              <w:bottom w:val="single" w:sz="6" w:space="0" w:color="auto"/>
            </w:tcBorders>
            <w:shd w:val="clear" w:color="auto" w:fill="auto"/>
            <w:noWrap/>
          </w:tcPr>
          <w:p w14:paraId="17BD792F" w14:textId="225E9D02" w:rsidR="008D3BC3" w:rsidRPr="00783571" w:rsidRDefault="008D3BC3" w:rsidP="00613343">
            <w:pPr>
              <w:pStyle w:val="TableTextDec"/>
              <w:tabs>
                <w:tab w:val="clear" w:pos="1015"/>
                <w:tab w:val="decimal" w:pos="715"/>
              </w:tabs>
              <w:spacing w:before="40"/>
            </w:pPr>
            <w:r w:rsidRPr="00783571">
              <w:t>0.</w:t>
            </w:r>
            <w:r w:rsidR="00136D77" w:rsidRPr="00783571">
              <w:t>2</w:t>
            </w:r>
            <w:r w:rsidR="00824E63" w:rsidRPr="00783571">
              <w:t>53</w:t>
            </w:r>
          </w:p>
        </w:tc>
        <w:tc>
          <w:tcPr>
            <w:tcW w:w="1761" w:type="dxa"/>
            <w:tcBorders>
              <w:top w:val="single" w:sz="4" w:space="0" w:color="808080" w:themeColor="background1" w:themeShade="80"/>
              <w:bottom w:val="single" w:sz="6" w:space="0" w:color="auto"/>
            </w:tcBorders>
            <w:shd w:val="clear" w:color="auto" w:fill="auto"/>
            <w:noWrap/>
          </w:tcPr>
          <w:p w14:paraId="5ADEB20D" w14:textId="50A0879B" w:rsidR="008D3BC3" w:rsidRPr="00783571" w:rsidRDefault="008D3BC3" w:rsidP="007C17F7">
            <w:pPr>
              <w:pStyle w:val="TableTextDec"/>
              <w:tabs>
                <w:tab w:val="clear" w:pos="1015"/>
                <w:tab w:val="decimal" w:pos="715"/>
              </w:tabs>
              <w:spacing w:before="40"/>
            </w:pPr>
            <w:r w:rsidRPr="00783571">
              <w:t>0.</w:t>
            </w:r>
            <w:r w:rsidR="00824E63" w:rsidRPr="00783571">
              <w:t>200</w:t>
            </w:r>
          </w:p>
        </w:tc>
        <w:tc>
          <w:tcPr>
            <w:tcW w:w="1762" w:type="dxa"/>
            <w:tcBorders>
              <w:top w:val="single" w:sz="4" w:space="0" w:color="808080" w:themeColor="background1" w:themeShade="80"/>
              <w:bottom w:val="single" w:sz="6" w:space="0" w:color="auto"/>
            </w:tcBorders>
            <w:shd w:val="clear" w:color="auto" w:fill="auto"/>
            <w:noWrap/>
          </w:tcPr>
          <w:p w14:paraId="2C617C7C" w14:textId="3A2CCB19" w:rsidR="008D3BC3" w:rsidRPr="00783571" w:rsidRDefault="008D3BC3" w:rsidP="00404F41">
            <w:pPr>
              <w:pStyle w:val="TableTextDec"/>
              <w:tabs>
                <w:tab w:val="clear" w:pos="1015"/>
                <w:tab w:val="decimal" w:pos="715"/>
              </w:tabs>
              <w:spacing w:before="40"/>
            </w:pPr>
            <w:r w:rsidRPr="00783571">
              <w:t>0.</w:t>
            </w:r>
            <w:r w:rsidR="00824E63" w:rsidRPr="00783571">
              <w:t>252</w:t>
            </w:r>
          </w:p>
        </w:tc>
        <w:tc>
          <w:tcPr>
            <w:tcW w:w="3605" w:type="dxa"/>
            <w:tcBorders>
              <w:top w:val="single" w:sz="4" w:space="0" w:color="808080" w:themeColor="background1" w:themeShade="80"/>
              <w:bottom w:val="single" w:sz="6" w:space="0" w:color="auto"/>
            </w:tcBorders>
            <w:shd w:val="clear" w:color="auto" w:fill="auto"/>
            <w:noWrap/>
          </w:tcPr>
          <w:p w14:paraId="32F159C5" w14:textId="42020A41" w:rsidR="008D3BC3" w:rsidRPr="00783571" w:rsidRDefault="008D3BC3" w:rsidP="003B19DD">
            <w:pPr>
              <w:pStyle w:val="TableText"/>
              <w:spacing w:before="40"/>
            </w:pPr>
            <w:r w:rsidRPr="00783571">
              <w:t>Determined by calibration</w:t>
            </w:r>
          </w:p>
        </w:tc>
      </w:tr>
    </w:tbl>
    <w:p w14:paraId="0CC22557" w14:textId="77777777" w:rsidR="001A6C07" w:rsidRPr="00783571" w:rsidRDefault="001A6C07" w:rsidP="001A6C07">
      <w:pPr>
        <w:pStyle w:val="Tablecont"/>
      </w:pPr>
      <w:r w:rsidRPr="00783571">
        <w:t>(continued)</w:t>
      </w:r>
    </w:p>
    <w:p w14:paraId="0F1F2B03" w14:textId="0542C99A" w:rsidR="001A6C07" w:rsidRPr="00783571" w:rsidRDefault="001A6C07" w:rsidP="000B68B7">
      <w:pPr>
        <w:pStyle w:val="TableTitlecont"/>
      </w:pPr>
      <w:r w:rsidRPr="00783571">
        <w:t>Table 5.6.</w:t>
      </w:r>
      <w:r w:rsidRPr="00783571">
        <w:tab/>
        <w:t>Other Continuum-of-Care Probabilities (continued)</w:t>
      </w:r>
    </w:p>
    <w:tbl>
      <w:tblPr>
        <w:tblW w:w="5000"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4071"/>
        <w:gridCol w:w="1761"/>
        <w:gridCol w:w="1761"/>
        <w:gridCol w:w="1762"/>
        <w:gridCol w:w="3605"/>
      </w:tblGrid>
      <w:tr w:rsidR="001A6C07" w:rsidRPr="00783571" w14:paraId="71EB91B4" w14:textId="77777777" w:rsidTr="00260D8A">
        <w:trPr>
          <w:cantSplit/>
          <w:tblHeader/>
        </w:trPr>
        <w:tc>
          <w:tcPr>
            <w:tcW w:w="4071" w:type="dxa"/>
            <w:tcBorders>
              <w:top w:val="single" w:sz="12" w:space="0" w:color="000000"/>
              <w:bottom w:val="single" w:sz="6" w:space="0" w:color="auto"/>
            </w:tcBorders>
            <w:shd w:val="clear" w:color="auto" w:fill="auto"/>
            <w:noWrap/>
            <w:vAlign w:val="bottom"/>
            <w:hideMark/>
          </w:tcPr>
          <w:p w14:paraId="39C1D29B" w14:textId="77777777" w:rsidR="001A6C07" w:rsidRPr="00783571" w:rsidRDefault="001A6C07" w:rsidP="00563F41">
            <w:pPr>
              <w:pStyle w:val="TableHeaders"/>
            </w:pPr>
            <w:r w:rsidRPr="00783571">
              <w:t>Parameter</w:t>
            </w:r>
          </w:p>
        </w:tc>
        <w:tc>
          <w:tcPr>
            <w:tcW w:w="1761" w:type="dxa"/>
            <w:tcBorders>
              <w:top w:val="single" w:sz="12" w:space="0" w:color="000000"/>
              <w:bottom w:val="single" w:sz="6" w:space="0" w:color="auto"/>
            </w:tcBorders>
            <w:shd w:val="clear" w:color="auto" w:fill="auto"/>
            <w:noWrap/>
            <w:vAlign w:val="bottom"/>
            <w:hideMark/>
          </w:tcPr>
          <w:p w14:paraId="5BB946D8" w14:textId="77777777" w:rsidR="001A6C07" w:rsidRPr="00783571" w:rsidRDefault="001A6C07" w:rsidP="00563F41">
            <w:pPr>
              <w:pStyle w:val="TableHeaders"/>
            </w:pPr>
            <w:r w:rsidRPr="00783571">
              <w:t>Black</w:t>
            </w:r>
          </w:p>
        </w:tc>
        <w:tc>
          <w:tcPr>
            <w:tcW w:w="1761" w:type="dxa"/>
            <w:tcBorders>
              <w:top w:val="single" w:sz="12" w:space="0" w:color="000000"/>
              <w:bottom w:val="single" w:sz="6" w:space="0" w:color="auto"/>
            </w:tcBorders>
            <w:shd w:val="clear" w:color="auto" w:fill="auto"/>
            <w:noWrap/>
            <w:vAlign w:val="bottom"/>
            <w:hideMark/>
          </w:tcPr>
          <w:p w14:paraId="6DDFB1B2" w14:textId="77777777" w:rsidR="001A6C07" w:rsidRPr="00783571" w:rsidRDefault="001A6C07" w:rsidP="00563F41">
            <w:pPr>
              <w:pStyle w:val="TableHeaders"/>
            </w:pPr>
            <w:r w:rsidRPr="00783571">
              <w:t>Hispanic</w:t>
            </w:r>
          </w:p>
        </w:tc>
        <w:tc>
          <w:tcPr>
            <w:tcW w:w="1762" w:type="dxa"/>
            <w:tcBorders>
              <w:top w:val="single" w:sz="12" w:space="0" w:color="000000"/>
              <w:bottom w:val="single" w:sz="6" w:space="0" w:color="auto"/>
            </w:tcBorders>
            <w:shd w:val="clear" w:color="auto" w:fill="auto"/>
            <w:noWrap/>
            <w:vAlign w:val="bottom"/>
            <w:hideMark/>
          </w:tcPr>
          <w:p w14:paraId="39B0E2B7" w14:textId="77777777" w:rsidR="001A6C07" w:rsidRPr="00783571" w:rsidRDefault="001A6C07" w:rsidP="00563F41">
            <w:pPr>
              <w:pStyle w:val="TableHeaders"/>
            </w:pPr>
            <w:r w:rsidRPr="00783571">
              <w:t>Other</w:t>
            </w:r>
          </w:p>
        </w:tc>
        <w:tc>
          <w:tcPr>
            <w:tcW w:w="3605" w:type="dxa"/>
            <w:tcBorders>
              <w:top w:val="single" w:sz="12" w:space="0" w:color="000000"/>
              <w:bottom w:val="single" w:sz="6" w:space="0" w:color="auto"/>
            </w:tcBorders>
            <w:shd w:val="clear" w:color="auto" w:fill="auto"/>
            <w:noWrap/>
            <w:vAlign w:val="bottom"/>
            <w:hideMark/>
          </w:tcPr>
          <w:p w14:paraId="51F6536E" w14:textId="77777777" w:rsidR="001A6C07" w:rsidRPr="00783571" w:rsidRDefault="001A6C07" w:rsidP="00563F41">
            <w:pPr>
              <w:pStyle w:val="TableHeaders"/>
            </w:pPr>
            <w:r w:rsidRPr="00783571">
              <w:t>Source</w:t>
            </w:r>
          </w:p>
        </w:tc>
      </w:tr>
      <w:tr w:rsidR="008D3BC3" w:rsidRPr="00783571" w14:paraId="57910C14" w14:textId="77777777" w:rsidTr="00260D8A">
        <w:trPr>
          <w:cantSplit/>
        </w:trPr>
        <w:tc>
          <w:tcPr>
            <w:tcW w:w="4071" w:type="dxa"/>
            <w:tcBorders>
              <w:top w:val="single" w:sz="6" w:space="0" w:color="auto"/>
              <w:bottom w:val="single" w:sz="4" w:space="0" w:color="808080" w:themeColor="background1" w:themeShade="80"/>
            </w:tcBorders>
            <w:shd w:val="clear" w:color="auto" w:fill="auto"/>
            <w:noWrap/>
          </w:tcPr>
          <w:p w14:paraId="2280A677" w14:textId="6E3CDB67" w:rsidR="008D3BC3" w:rsidRPr="00783571" w:rsidRDefault="008D3BC3" w:rsidP="003335B3">
            <w:pPr>
              <w:pStyle w:val="TableText"/>
              <w:spacing w:before="40"/>
            </w:pPr>
            <w:r w:rsidRPr="00783571">
              <w:t>Annual probability of transitioning from VLS to LTC no ART affects (from r = 5 to r = 3)</w:t>
            </w:r>
            <w:r w:rsidRPr="00783571">
              <w:rPr>
                <w:vertAlign w:val="superscript"/>
              </w:rPr>
              <w:t xml:space="preserve"> b</w:t>
            </w:r>
          </w:p>
        </w:tc>
        <w:tc>
          <w:tcPr>
            <w:tcW w:w="1761" w:type="dxa"/>
            <w:tcBorders>
              <w:top w:val="single" w:sz="6" w:space="0" w:color="auto"/>
              <w:bottom w:val="single" w:sz="4" w:space="0" w:color="808080" w:themeColor="background1" w:themeShade="80"/>
            </w:tcBorders>
            <w:shd w:val="clear" w:color="auto" w:fill="auto"/>
            <w:noWrap/>
          </w:tcPr>
          <w:p w14:paraId="3C7EF6ED" w14:textId="52FABD62" w:rsidR="008D3BC3" w:rsidRPr="00783571" w:rsidRDefault="008D3BC3" w:rsidP="00896106">
            <w:pPr>
              <w:pStyle w:val="TableTextDec"/>
              <w:tabs>
                <w:tab w:val="clear" w:pos="1015"/>
                <w:tab w:val="decimal" w:pos="715"/>
              </w:tabs>
              <w:spacing w:before="40"/>
            </w:pPr>
            <w:r w:rsidRPr="00783571">
              <w:t>0.000</w:t>
            </w:r>
          </w:p>
        </w:tc>
        <w:tc>
          <w:tcPr>
            <w:tcW w:w="1761" w:type="dxa"/>
            <w:tcBorders>
              <w:top w:val="single" w:sz="6" w:space="0" w:color="auto"/>
              <w:bottom w:val="single" w:sz="4" w:space="0" w:color="808080" w:themeColor="background1" w:themeShade="80"/>
            </w:tcBorders>
            <w:shd w:val="clear" w:color="auto" w:fill="auto"/>
            <w:noWrap/>
          </w:tcPr>
          <w:p w14:paraId="6DD3B7D0" w14:textId="7840423F" w:rsidR="008D3BC3" w:rsidRPr="00783571" w:rsidRDefault="008D3BC3" w:rsidP="00896106">
            <w:pPr>
              <w:pStyle w:val="TableTextDec"/>
              <w:tabs>
                <w:tab w:val="clear" w:pos="1015"/>
                <w:tab w:val="decimal" w:pos="715"/>
              </w:tabs>
              <w:spacing w:before="40"/>
            </w:pPr>
            <w:r w:rsidRPr="00783571">
              <w:t>0.000</w:t>
            </w:r>
          </w:p>
        </w:tc>
        <w:tc>
          <w:tcPr>
            <w:tcW w:w="1762" w:type="dxa"/>
            <w:tcBorders>
              <w:top w:val="single" w:sz="6" w:space="0" w:color="auto"/>
              <w:bottom w:val="single" w:sz="4" w:space="0" w:color="808080" w:themeColor="background1" w:themeShade="80"/>
            </w:tcBorders>
            <w:shd w:val="clear" w:color="auto" w:fill="auto"/>
            <w:noWrap/>
          </w:tcPr>
          <w:p w14:paraId="6E3F9EF8" w14:textId="543A6F6F" w:rsidR="008D3BC3" w:rsidRPr="00783571" w:rsidRDefault="008D3BC3" w:rsidP="00896106">
            <w:pPr>
              <w:pStyle w:val="TableTextDec"/>
              <w:tabs>
                <w:tab w:val="clear" w:pos="1015"/>
                <w:tab w:val="decimal" w:pos="715"/>
              </w:tabs>
              <w:spacing w:before="40"/>
            </w:pPr>
            <w:r w:rsidRPr="00783571">
              <w:t>0.000</w:t>
            </w:r>
          </w:p>
        </w:tc>
        <w:tc>
          <w:tcPr>
            <w:tcW w:w="3605" w:type="dxa"/>
            <w:tcBorders>
              <w:top w:val="single" w:sz="6" w:space="0" w:color="auto"/>
              <w:bottom w:val="single" w:sz="4" w:space="0" w:color="808080" w:themeColor="background1" w:themeShade="80"/>
            </w:tcBorders>
            <w:shd w:val="clear" w:color="auto" w:fill="auto"/>
            <w:noWrap/>
          </w:tcPr>
          <w:p w14:paraId="19C28C67" w14:textId="4A68F715" w:rsidR="008D3BC3" w:rsidRPr="00783571" w:rsidRDefault="008D3BC3" w:rsidP="00DF1AFE">
            <w:pPr>
              <w:pStyle w:val="TableText"/>
              <w:spacing w:before="40"/>
            </w:pPr>
            <w:r w:rsidRPr="00783571">
              <w:t>Flow not considered in base model.</w:t>
            </w:r>
          </w:p>
        </w:tc>
      </w:tr>
      <w:tr w:rsidR="008D3BC3" w:rsidRPr="00783571" w14:paraId="526A069D" w14:textId="77777777" w:rsidTr="00260D8A">
        <w:trPr>
          <w:cantSplit/>
        </w:trPr>
        <w:tc>
          <w:tcPr>
            <w:tcW w:w="4071" w:type="dxa"/>
            <w:tcBorders>
              <w:top w:val="single" w:sz="4" w:space="0" w:color="808080" w:themeColor="background1" w:themeShade="80"/>
              <w:bottom w:val="single" w:sz="4" w:space="0" w:color="808080" w:themeColor="background1" w:themeShade="80"/>
            </w:tcBorders>
            <w:shd w:val="clear" w:color="auto" w:fill="auto"/>
            <w:noWrap/>
          </w:tcPr>
          <w:p w14:paraId="6D7387B2" w14:textId="1DBA0202" w:rsidR="008D3BC3" w:rsidRPr="00783571" w:rsidRDefault="008D3BC3" w:rsidP="003335B3">
            <w:pPr>
              <w:pStyle w:val="TableText"/>
              <w:spacing w:before="40"/>
            </w:pPr>
            <w:r w:rsidRPr="00783571">
              <w:t>Annual probability of transitioning from VLS to Aware (from r = 5 to r = 2)</w:t>
            </w:r>
            <w:r w:rsidRPr="00783571">
              <w:rPr>
                <w:vertAlign w:val="superscript"/>
              </w:rPr>
              <w:t xml:space="preserve">b </w:t>
            </w:r>
          </w:p>
        </w:tc>
        <w:tc>
          <w:tcPr>
            <w:tcW w:w="1761" w:type="dxa"/>
            <w:tcBorders>
              <w:top w:val="single" w:sz="4" w:space="0" w:color="808080" w:themeColor="background1" w:themeShade="80"/>
              <w:bottom w:val="single" w:sz="4" w:space="0" w:color="808080" w:themeColor="background1" w:themeShade="80"/>
            </w:tcBorders>
            <w:shd w:val="clear" w:color="auto" w:fill="auto"/>
            <w:noWrap/>
          </w:tcPr>
          <w:p w14:paraId="04299D1F" w14:textId="7ED698D8" w:rsidR="008D3BC3" w:rsidRPr="00783571" w:rsidRDefault="008D3BC3" w:rsidP="00896106">
            <w:pPr>
              <w:pStyle w:val="TableTextDec"/>
              <w:tabs>
                <w:tab w:val="clear" w:pos="1015"/>
                <w:tab w:val="decimal" w:pos="715"/>
              </w:tabs>
              <w:spacing w:before="40"/>
            </w:pPr>
            <w:r w:rsidRPr="00783571">
              <w:t>0.000</w:t>
            </w:r>
          </w:p>
        </w:tc>
        <w:tc>
          <w:tcPr>
            <w:tcW w:w="1761" w:type="dxa"/>
            <w:tcBorders>
              <w:top w:val="single" w:sz="4" w:space="0" w:color="808080" w:themeColor="background1" w:themeShade="80"/>
              <w:bottom w:val="single" w:sz="4" w:space="0" w:color="808080" w:themeColor="background1" w:themeShade="80"/>
            </w:tcBorders>
            <w:shd w:val="clear" w:color="auto" w:fill="auto"/>
            <w:noWrap/>
          </w:tcPr>
          <w:p w14:paraId="4B7D5FA4" w14:textId="239E7268" w:rsidR="008D3BC3" w:rsidRPr="00783571" w:rsidRDefault="008D3BC3" w:rsidP="00896106">
            <w:pPr>
              <w:pStyle w:val="TableTextDec"/>
              <w:tabs>
                <w:tab w:val="clear" w:pos="1015"/>
                <w:tab w:val="decimal" w:pos="715"/>
              </w:tabs>
              <w:spacing w:before="40"/>
            </w:pPr>
            <w:r w:rsidRPr="00783571">
              <w:t>0.000</w:t>
            </w:r>
          </w:p>
        </w:tc>
        <w:tc>
          <w:tcPr>
            <w:tcW w:w="1762" w:type="dxa"/>
            <w:tcBorders>
              <w:top w:val="single" w:sz="4" w:space="0" w:color="808080" w:themeColor="background1" w:themeShade="80"/>
              <w:bottom w:val="single" w:sz="4" w:space="0" w:color="808080" w:themeColor="background1" w:themeShade="80"/>
            </w:tcBorders>
            <w:shd w:val="clear" w:color="auto" w:fill="auto"/>
            <w:noWrap/>
          </w:tcPr>
          <w:p w14:paraId="23CAE4F5" w14:textId="2BC9A2D7" w:rsidR="008D3BC3" w:rsidRPr="00783571" w:rsidRDefault="008D3BC3" w:rsidP="00896106">
            <w:pPr>
              <w:pStyle w:val="TableTextDec"/>
              <w:tabs>
                <w:tab w:val="clear" w:pos="1015"/>
                <w:tab w:val="decimal" w:pos="715"/>
              </w:tabs>
              <w:spacing w:before="40"/>
            </w:pPr>
            <w:r w:rsidRPr="00783571">
              <w:t>0.000</w:t>
            </w:r>
          </w:p>
        </w:tc>
        <w:tc>
          <w:tcPr>
            <w:tcW w:w="3605" w:type="dxa"/>
            <w:vMerge w:val="restart"/>
            <w:tcBorders>
              <w:top w:val="single" w:sz="4" w:space="0" w:color="808080" w:themeColor="background1" w:themeShade="80"/>
            </w:tcBorders>
            <w:shd w:val="clear" w:color="auto" w:fill="auto"/>
            <w:noWrap/>
          </w:tcPr>
          <w:p w14:paraId="32ACD357" w14:textId="77777777" w:rsidR="00DF1AFE" w:rsidRPr="00783571" w:rsidRDefault="008D3BC3" w:rsidP="00DF1AFE">
            <w:pPr>
              <w:pStyle w:val="TableText"/>
              <w:spacing w:before="40"/>
            </w:pPr>
            <w:r w:rsidRPr="00783571">
              <w:t>Flow not considered in base model.</w:t>
            </w:r>
            <w:r w:rsidR="00DF1AFE" w:rsidRPr="00783571">
              <w:br/>
            </w:r>
          </w:p>
          <w:p w14:paraId="39BE3E55" w14:textId="2B34905E" w:rsidR="008D3BC3" w:rsidRPr="00783571" w:rsidRDefault="008D3BC3" w:rsidP="00DF1AFE">
            <w:pPr>
              <w:pStyle w:val="TableText"/>
              <w:spacing w:before="40"/>
            </w:pPr>
            <w:r w:rsidRPr="00783571">
              <w:t>Determined by calibration.</w:t>
            </w:r>
          </w:p>
        </w:tc>
      </w:tr>
      <w:tr w:rsidR="008D3BC3" w:rsidRPr="00783571" w14:paraId="29AFC5A6" w14:textId="77777777" w:rsidTr="00260D8A">
        <w:trPr>
          <w:cantSplit/>
        </w:trPr>
        <w:tc>
          <w:tcPr>
            <w:tcW w:w="4071" w:type="dxa"/>
            <w:tcBorders>
              <w:top w:val="single" w:sz="4" w:space="0" w:color="808080" w:themeColor="background1" w:themeShade="80"/>
              <w:bottom w:val="single" w:sz="6" w:space="0" w:color="808080" w:themeColor="background1" w:themeShade="80"/>
            </w:tcBorders>
            <w:shd w:val="clear" w:color="auto" w:fill="auto"/>
            <w:noWrap/>
          </w:tcPr>
          <w:p w14:paraId="09F8B86E" w14:textId="7C7D494A" w:rsidR="008D3BC3" w:rsidRPr="00783571" w:rsidRDefault="008D3BC3" w:rsidP="000B68B7">
            <w:pPr>
              <w:pStyle w:val="TableText"/>
              <w:spacing w:before="40"/>
            </w:pPr>
            <w:r w:rsidRPr="00783571">
              <w:t>Annual probability of becomin</w:t>
            </w:r>
            <w:r w:rsidR="000B68B7" w:rsidRPr="00783571">
              <w:t>g VLS if ART-not-</w:t>
            </w:r>
            <w:r w:rsidRPr="00783571">
              <w:t>VLS (from r = 4 to r = 5)</w:t>
            </w:r>
            <w:r w:rsidR="000B68B7" w:rsidRPr="00783571">
              <w:t xml:space="preserve"> in second and third time periods</w:t>
            </w:r>
            <w:r w:rsidR="001F5372" w:rsidRPr="00783571">
              <w:t xml:space="preserve"> </w:t>
            </w:r>
          </w:p>
        </w:tc>
        <w:tc>
          <w:tcPr>
            <w:tcW w:w="1761" w:type="dxa"/>
            <w:tcBorders>
              <w:top w:val="single" w:sz="4" w:space="0" w:color="808080" w:themeColor="background1" w:themeShade="80"/>
              <w:bottom w:val="single" w:sz="6" w:space="0" w:color="808080" w:themeColor="background1" w:themeShade="80"/>
            </w:tcBorders>
            <w:shd w:val="clear" w:color="auto" w:fill="auto"/>
            <w:noWrap/>
          </w:tcPr>
          <w:p w14:paraId="25C7F7B4" w14:textId="1387802B" w:rsidR="008D3BC3" w:rsidRPr="00783571" w:rsidRDefault="00136D77" w:rsidP="00896106">
            <w:pPr>
              <w:pStyle w:val="TableTextDec"/>
              <w:tabs>
                <w:tab w:val="clear" w:pos="1015"/>
                <w:tab w:val="decimal" w:pos="715"/>
              </w:tabs>
              <w:spacing w:before="40"/>
            </w:pPr>
            <w:r w:rsidRPr="00783571">
              <w:t>0.2</w:t>
            </w:r>
            <w:r w:rsidR="00824E63" w:rsidRPr="00783571">
              <w:t>36</w:t>
            </w:r>
          </w:p>
        </w:tc>
        <w:tc>
          <w:tcPr>
            <w:tcW w:w="1761" w:type="dxa"/>
            <w:tcBorders>
              <w:top w:val="single" w:sz="4" w:space="0" w:color="808080" w:themeColor="background1" w:themeShade="80"/>
              <w:bottom w:val="single" w:sz="6" w:space="0" w:color="808080" w:themeColor="background1" w:themeShade="80"/>
            </w:tcBorders>
            <w:shd w:val="clear" w:color="auto" w:fill="auto"/>
            <w:noWrap/>
          </w:tcPr>
          <w:p w14:paraId="03768086" w14:textId="7E0153C2" w:rsidR="008D3BC3" w:rsidRPr="00783571" w:rsidRDefault="00136D77" w:rsidP="00896106">
            <w:pPr>
              <w:pStyle w:val="TableTextDec"/>
              <w:tabs>
                <w:tab w:val="clear" w:pos="1015"/>
                <w:tab w:val="decimal" w:pos="715"/>
              </w:tabs>
              <w:spacing w:before="40"/>
            </w:pPr>
            <w:r w:rsidRPr="00783571">
              <w:t>0.4</w:t>
            </w:r>
            <w:r w:rsidR="00824E63" w:rsidRPr="00783571">
              <w:t>04</w:t>
            </w:r>
          </w:p>
        </w:tc>
        <w:tc>
          <w:tcPr>
            <w:tcW w:w="1762" w:type="dxa"/>
            <w:tcBorders>
              <w:top w:val="single" w:sz="4" w:space="0" w:color="808080" w:themeColor="background1" w:themeShade="80"/>
              <w:bottom w:val="single" w:sz="6" w:space="0" w:color="808080" w:themeColor="background1" w:themeShade="80"/>
            </w:tcBorders>
            <w:shd w:val="clear" w:color="auto" w:fill="auto"/>
            <w:noWrap/>
          </w:tcPr>
          <w:p w14:paraId="742D36C5" w14:textId="44B84463" w:rsidR="008D3BC3" w:rsidRPr="00783571" w:rsidRDefault="00136D77" w:rsidP="00896106">
            <w:pPr>
              <w:pStyle w:val="TableTextDec"/>
              <w:tabs>
                <w:tab w:val="clear" w:pos="1015"/>
                <w:tab w:val="decimal" w:pos="715"/>
              </w:tabs>
              <w:spacing w:before="40"/>
            </w:pPr>
            <w:r w:rsidRPr="00783571">
              <w:t>0.</w:t>
            </w:r>
            <w:r w:rsidR="00824E63" w:rsidRPr="00783571">
              <w:t>147</w:t>
            </w:r>
          </w:p>
        </w:tc>
        <w:tc>
          <w:tcPr>
            <w:tcW w:w="3605" w:type="dxa"/>
            <w:vMerge/>
            <w:tcBorders>
              <w:bottom w:val="single" w:sz="6" w:space="0" w:color="808080" w:themeColor="background1" w:themeShade="80"/>
            </w:tcBorders>
            <w:shd w:val="clear" w:color="auto" w:fill="auto"/>
            <w:noWrap/>
          </w:tcPr>
          <w:p w14:paraId="059B1636" w14:textId="77777777" w:rsidR="008D3BC3" w:rsidRPr="00783571" w:rsidRDefault="008D3BC3" w:rsidP="00896106">
            <w:pPr>
              <w:pStyle w:val="TableText"/>
              <w:spacing w:before="40"/>
            </w:pPr>
          </w:p>
        </w:tc>
      </w:tr>
      <w:tr w:rsidR="008D3BC3" w:rsidRPr="00783571" w14:paraId="7241633A" w14:textId="77777777" w:rsidTr="00260D8A">
        <w:trPr>
          <w:cantSplit/>
        </w:trPr>
        <w:tc>
          <w:tcPr>
            <w:tcW w:w="4071" w:type="dxa"/>
            <w:tcBorders>
              <w:top w:val="single" w:sz="6" w:space="0" w:color="808080" w:themeColor="background1" w:themeShade="80"/>
              <w:bottom w:val="single" w:sz="12" w:space="0" w:color="auto"/>
            </w:tcBorders>
            <w:shd w:val="clear" w:color="auto" w:fill="auto"/>
            <w:noWrap/>
          </w:tcPr>
          <w:p w14:paraId="6F867E7B" w14:textId="49A7F8E5" w:rsidR="008D3BC3" w:rsidRPr="00783571" w:rsidRDefault="008D3BC3" w:rsidP="008E4A7C">
            <w:pPr>
              <w:pStyle w:val="TableText"/>
            </w:pPr>
            <w:r w:rsidRPr="00783571">
              <w:t>Percentage of individuals prescribed ART</w:t>
            </w:r>
            <w:r w:rsidR="000B68B7" w:rsidRPr="00783571">
              <w:t xml:space="preserve"> (from </w:t>
            </w:r>
            <w:r w:rsidR="009E34D9" w:rsidRPr="00783571">
              <w:t>linked to HIV care</w:t>
            </w:r>
            <w:r w:rsidR="000B68B7" w:rsidRPr="00783571">
              <w:t>)</w:t>
            </w:r>
            <w:r w:rsidRPr="00783571">
              <w:t xml:space="preserve"> who become viral load suppressed</w:t>
            </w:r>
          </w:p>
        </w:tc>
        <w:tc>
          <w:tcPr>
            <w:tcW w:w="5284" w:type="dxa"/>
            <w:gridSpan w:val="3"/>
            <w:tcBorders>
              <w:top w:val="single" w:sz="6" w:space="0" w:color="808080" w:themeColor="background1" w:themeShade="80"/>
              <w:bottom w:val="single" w:sz="12" w:space="0" w:color="auto"/>
            </w:tcBorders>
            <w:shd w:val="clear" w:color="auto" w:fill="auto"/>
            <w:noWrap/>
          </w:tcPr>
          <w:p w14:paraId="15AF1498" w14:textId="363BAE4D" w:rsidR="008D3BC3" w:rsidRPr="00783571" w:rsidRDefault="008D3BC3" w:rsidP="007C7377">
            <w:pPr>
              <w:pStyle w:val="TableText"/>
            </w:pPr>
            <w:r w:rsidRPr="00783571">
              <w:t>---------------------------80.0%---------------------------</w:t>
            </w:r>
          </w:p>
        </w:tc>
        <w:tc>
          <w:tcPr>
            <w:tcW w:w="3605" w:type="dxa"/>
            <w:tcBorders>
              <w:top w:val="single" w:sz="6" w:space="0" w:color="808080" w:themeColor="background1" w:themeShade="80"/>
              <w:bottom w:val="single" w:sz="12" w:space="0" w:color="auto"/>
            </w:tcBorders>
            <w:shd w:val="clear" w:color="auto" w:fill="auto"/>
            <w:noWrap/>
          </w:tcPr>
          <w:p w14:paraId="78B5D1DF" w14:textId="77777777" w:rsidR="008D3BC3" w:rsidRPr="00783571" w:rsidRDefault="008D3BC3" w:rsidP="003B19DD">
            <w:pPr>
              <w:pStyle w:val="TableText"/>
            </w:pPr>
            <w:r w:rsidRPr="00783571">
              <w:t>Althoff et al. (2010)</w:t>
            </w:r>
          </w:p>
        </w:tc>
      </w:tr>
    </w:tbl>
    <w:p w14:paraId="24EC0310" w14:textId="524D8DE8" w:rsidR="00D91D81" w:rsidRPr="00783571" w:rsidRDefault="00B8648E" w:rsidP="00181BDA">
      <w:pPr>
        <w:pStyle w:val="Source2"/>
      </w:pPr>
      <w:r w:rsidRPr="00783571">
        <w:t xml:space="preserve">Note: </w:t>
      </w:r>
      <w:r w:rsidR="00A57EF2" w:rsidRPr="00783571">
        <w:t>ART</w:t>
      </w:r>
      <w:r w:rsidR="00E628BE" w:rsidRPr="00783571">
        <w:t> = </w:t>
      </w:r>
      <w:r w:rsidR="00A57EF2" w:rsidRPr="00783571">
        <w:t>antiretroviral therapy; CDC</w:t>
      </w:r>
      <w:r w:rsidR="00E628BE" w:rsidRPr="00783571">
        <w:t> = </w:t>
      </w:r>
      <w:r w:rsidR="00A57EF2" w:rsidRPr="00783571">
        <w:t>Centers for Disease Control and Prevention; DHHS</w:t>
      </w:r>
      <w:r w:rsidR="00E628BE" w:rsidRPr="00783571">
        <w:t> = </w:t>
      </w:r>
      <w:r w:rsidR="00A57EF2" w:rsidRPr="00783571">
        <w:t>Department of Health and Human Services; HIV</w:t>
      </w:r>
      <w:r w:rsidR="00E628BE" w:rsidRPr="00783571">
        <w:t> = </w:t>
      </w:r>
      <w:r w:rsidR="00A57EF2" w:rsidRPr="00783571">
        <w:t>human immunodeficiency virus</w:t>
      </w:r>
      <w:r w:rsidR="00B81425" w:rsidRPr="00783571">
        <w:t>; VLS</w:t>
      </w:r>
      <w:r w:rsidR="00E628BE" w:rsidRPr="00783571">
        <w:t> = </w:t>
      </w:r>
      <w:r w:rsidR="00B81425" w:rsidRPr="00783571">
        <w:t>viral load suppressed</w:t>
      </w:r>
    </w:p>
    <w:p w14:paraId="32A1D68D" w14:textId="338AF093" w:rsidR="00A865FA" w:rsidRPr="00783571" w:rsidRDefault="003C150A" w:rsidP="00181BDA">
      <w:pPr>
        <w:pStyle w:val="Source2"/>
      </w:pPr>
      <w:r w:rsidRPr="00783571">
        <w:rPr>
          <w:vertAlign w:val="superscript"/>
        </w:rPr>
        <w:t>a</w:t>
      </w:r>
      <w:r w:rsidRPr="00783571">
        <w:t xml:space="preserve"> A detailed des</w:t>
      </w:r>
      <w:r w:rsidR="00E71956" w:rsidRPr="00783571">
        <w:t>cription of the</w:t>
      </w:r>
      <w:r w:rsidRPr="00783571">
        <w:t xml:space="preserve"> distribution of individuals who are </w:t>
      </w:r>
      <w:r w:rsidR="000965E6" w:rsidRPr="00783571">
        <w:t>prescribed ART</w:t>
      </w:r>
      <w:r w:rsidRPr="00783571">
        <w:t xml:space="preserve"> </w:t>
      </w:r>
      <w:r w:rsidR="006E1BEA" w:rsidRPr="00783571">
        <w:t xml:space="preserve">but </w:t>
      </w:r>
      <w:r w:rsidRPr="00783571">
        <w:t xml:space="preserve">not VLS </w:t>
      </w:r>
      <w:r w:rsidR="00E71956" w:rsidRPr="00783571">
        <w:t xml:space="preserve">is provided in </w:t>
      </w:r>
      <w:r w:rsidR="00CA2896" w:rsidRPr="00783571">
        <w:t>Section </w:t>
      </w:r>
      <w:r w:rsidR="00E71956" w:rsidRPr="00783571">
        <w:t>5.5</w:t>
      </w:r>
      <w:r w:rsidRPr="00783571">
        <w:t>.</w:t>
      </w:r>
    </w:p>
    <w:p w14:paraId="26D4DB8E" w14:textId="19FAB323" w:rsidR="00B81425" w:rsidRPr="00783571" w:rsidRDefault="002558F6" w:rsidP="007D5399">
      <w:pPr>
        <w:pStyle w:val="Source2"/>
        <w:spacing w:before="60"/>
      </w:pPr>
      <w:r w:rsidRPr="00783571">
        <w:rPr>
          <w:vertAlign w:val="superscript"/>
        </w:rPr>
        <w:t>b</w:t>
      </w:r>
      <w:r w:rsidR="00A865FA" w:rsidRPr="00783571">
        <w:t xml:space="preserve"> Since all values for these transitions are currently 0, the arrows representing these transitions are not included in the current model flow diagram</w:t>
      </w:r>
    </w:p>
    <w:p w14:paraId="2A9DA134" w14:textId="77777777" w:rsidR="00A57EF2" w:rsidRPr="00783571" w:rsidRDefault="00A57EF2" w:rsidP="004B05DC">
      <w:pPr>
        <w:pStyle w:val="Source1"/>
        <w:ind w:left="0" w:firstLine="0"/>
      </w:pPr>
    </w:p>
    <w:p w14:paraId="7C3E222D" w14:textId="77777777" w:rsidR="00A57EF2" w:rsidRPr="00783571" w:rsidRDefault="00A57EF2" w:rsidP="00A57EF2">
      <w:pPr>
        <w:sectPr w:rsidR="00A57EF2" w:rsidRPr="00783571" w:rsidSect="00EA6FDC">
          <w:headerReference w:type="even" r:id="rId47"/>
          <w:headerReference w:type="default" r:id="rId48"/>
          <w:footerReference w:type="even" r:id="rId49"/>
          <w:footerReference w:type="default" r:id="rId50"/>
          <w:endnotePr>
            <w:numFmt w:val="decimal"/>
          </w:endnotePr>
          <w:pgSz w:w="15840" w:h="12240" w:orient="landscape"/>
          <w:pgMar w:top="1440" w:right="1440" w:bottom="1440" w:left="1440" w:header="720" w:footer="720" w:gutter="0"/>
          <w:pgNumType w:chapStyle="1"/>
          <w:cols w:space="720"/>
          <w:docGrid w:linePitch="360"/>
        </w:sectPr>
      </w:pPr>
    </w:p>
    <w:p w14:paraId="1125F667" w14:textId="77777777" w:rsidR="006F6153" w:rsidRPr="00783571" w:rsidRDefault="006F6153" w:rsidP="006F6153">
      <w:pPr>
        <w:pStyle w:val="Heading2"/>
      </w:pPr>
      <w:bookmarkStart w:id="27" w:name="_Toc398293114"/>
      <w:bookmarkStart w:id="28" w:name="_Toc510104448"/>
      <w:r w:rsidRPr="00783571">
        <w:t>Transitions between Subpopulations (Aging Only)</w:t>
      </w:r>
      <w:bookmarkEnd w:id="27"/>
      <w:bookmarkEnd w:id="28"/>
    </w:p>
    <w:p w14:paraId="5AF40416" w14:textId="77777777" w:rsidR="00F82809" w:rsidRPr="00783571" w:rsidRDefault="006F6153" w:rsidP="00F82809">
      <w:pPr>
        <w:pStyle w:val="BodyText"/>
      </w:pPr>
      <w:r w:rsidRPr="00783571">
        <w:t xml:space="preserve">Individuals can only transition between demographic subpopulations by aging. That is, all of an individual’s demographic characteristics remain the same for the duration of the model except their age. The rate of aging out of age group </w:t>
      </w:r>
      <w:r w:rsidRPr="00783571">
        <w:rPr>
          <w:i/>
          <w:iCs/>
        </w:rPr>
        <w:t>j</w:t>
      </w:r>
      <w:r w:rsidRPr="00783571">
        <w:t xml:space="preserve"> and into age group </w:t>
      </w:r>
      <w:r w:rsidRPr="00783571">
        <w:rPr>
          <w:i/>
        </w:rPr>
        <w:t>j </w:t>
      </w:r>
      <w:r w:rsidRPr="00783571">
        <w:t xml:space="preserve">+ 1 (where </w:t>
      </w:r>
      <w:r w:rsidRPr="00783571">
        <w:rPr>
          <w:i/>
        </w:rPr>
        <w:t>j</w:t>
      </w:r>
      <w:r w:rsidRPr="00783571">
        <w:t xml:space="preserve"> &lt; 5) or out of the population (where </w:t>
      </w:r>
      <w:r w:rsidRPr="00783571">
        <w:rPr>
          <w:i/>
          <w:iCs/>
        </w:rPr>
        <w:t>j</w:t>
      </w:r>
      <w:r w:rsidRPr="00783571">
        <w:t> = 5),</w:t>
      </w:r>
      <w:r w:rsidRPr="00783571">
        <w:rPr>
          <w:i/>
        </w:rPr>
        <w:t xml:space="preserve"> </w:t>
      </w:r>
      <w:r w:rsidRPr="00783571">
        <w:t>is equal to 1 ÷</w:t>
      </w:r>
      <w:r w:rsidRPr="00783571" w:rsidDel="009B126F">
        <w:t xml:space="preserve"> </w:t>
      </w:r>
      <w:r w:rsidRPr="00783571">
        <w:t xml:space="preserve">(the number of years in age group </w:t>
      </w:r>
      <w:r w:rsidRPr="00783571">
        <w:rPr>
          <w:i/>
          <w:iCs/>
        </w:rPr>
        <w:t>j</w:t>
      </w:r>
      <w:r w:rsidRPr="00783571">
        <w:t>).</w:t>
      </w:r>
    </w:p>
    <w:p w14:paraId="749A7A5B" w14:textId="77777777" w:rsidR="001F5372" w:rsidRPr="00783571" w:rsidRDefault="00F82809" w:rsidP="00F82809">
      <w:pPr>
        <w:pStyle w:val="BodyText"/>
      </w:pPr>
      <w:r w:rsidRPr="00783571">
        <w:t>In reality, individuals in the U</w:t>
      </w:r>
      <w:r w:rsidR="008E4A7C" w:rsidRPr="00783571">
        <w:t>.</w:t>
      </w:r>
      <w:r w:rsidRPr="00783571">
        <w:t>S</w:t>
      </w:r>
      <w:r w:rsidR="008E4A7C" w:rsidRPr="00783571">
        <w:t>.</w:t>
      </w:r>
      <w:r w:rsidRPr="00783571">
        <w:t xml:space="preserve"> population move between subpopulations in other ways, such as transitioning between transmission risk groups or risk levels, or going from uncircumcised to circumcised; however, as a simplifying assumption, those transitions are not considered in this model.</w:t>
      </w:r>
    </w:p>
    <w:p w14:paraId="76B213D4" w14:textId="7E7F5C83" w:rsidR="000F420A" w:rsidRPr="00783571" w:rsidRDefault="009D5AF4" w:rsidP="00A57EF2">
      <w:pPr>
        <w:pStyle w:val="Heading2"/>
        <w:spacing w:before="0"/>
      </w:pPr>
      <w:bookmarkStart w:id="29" w:name="_Toc510104449"/>
      <w:r w:rsidRPr="00783571">
        <w:t>Transitions between Compartments Due to Disease Progression</w:t>
      </w:r>
      <w:bookmarkEnd w:id="20"/>
      <w:bookmarkEnd w:id="29"/>
    </w:p>
    <w:p w14:paraId="28AF930B" w14:textId="437D0FB8" w:rsidR="000F420A" w:rsidRPr="00783571" w:rsidRDefault="009D5AF4" w:rsidP="00C76143">
      <w:pPr>
        <w:pStyle w:val="BodyText"/>
      </w:pPr>
      <w:r w:rsidRPr="00783571">
        <w:t>Transitions between disease stages occur by infection and by HIV progression. The rate</w:t>
      </w:r>
      <w:r w:rsidR="00912267" w:rsidRPr="00783571">
        <w:t>s</w:t>
      </w:r>
      <w:r w:rsidRPr="00783571">
        <w:t xml:space="preserve"> at which individuals transition from </w:t>
      </w:r>
      <w:r w:rsidR="00912267" w:rsidRPr="00783571">
        <w:t xml:space="preserve">any </w:t>
      </w:r>
      <w:r w:rsidRPr="00783571">
        <w:t xml:space="preserve">disease stage </w:t>
      </w:r>
      <w:r w:rsidRPr="00783571">
        <w:rPr>
          <w:i/>
        </w:rPr>
        <w:t>h</w:t>
      </w:r>
      <w:r w:rsidRPr="00783571">
        <w:t xml:space="preserve"> (where </w:t>
      </w:r>
      <w:r w:rsidRPr="00783571">
        <w:rPr>
          <w:i/>
        </w:rPr>
        <w:t>h ≥ 1</w:t>
      </w:r>
      <w:r w:rsidRPr="00783571">
        <w:t xml:space="preserve">) to </w:t>
      </w:r>
      <w:r w:rsidRPr="00783571">
        <w:rPr>
          <w:i/>
        </w:rPr>
        <w:t xml:space="preserve">h </w:t>
      </w:r>
      <w:r w:rsidRPr="00783571">
        <w:t xml:space="preserve">+ 1 </w:t>
      </w:r>
      <w:r w:rsidR="00912267" w:rsidRPr="00783571">
        <w:t xml:space="preserve">or </w:t>
      </w:r>
      <w:r w:rsidR="00912267" w:rsidRPr="00783571">
        <w:rPr>
          <w:i/>
          <w:iCs/>
        </w:rPr>
        <w:t>h</w:t>
      </w:r>
      <w:r w:rsidR="00912267" w:rsidRPr="00783571">
        <w:t xml:space="preserve"> </w:t>
      </w:r>
      <w:r w:rsidR="001F5372" w:rsidRPr="00783571">
        <w:t>−</w:t>
      </w:r>
      <w:r w:rsidR="00912267" w:rsidRPr="00783571">
        <w:t xml:space="preserve"> 1 </w:t>
      </w:r>
      <w:r w:rsidRPr="00783571">
        <w:t xml:space="preserve">(or to death in the case of </w:t>
      </w:r>
      <w:r w:rsidRPr="00783571">
        <w:rPr>
          <w:i/>
        </w:rPr>
        <w:t>h</w:t>
      </w:r>
      <w:r w:rsidR="00E628BE" w:rsidRPr="00783571">
        <w:rPr>
          <w:i/>
        </w:rPr>
        <w:t> = </w:t>
      </w:r>
      <w:r w:rsidRPr="00783571">
        <w:t xml:space="preserve">5) </w:t>
      </w:r>
      <w:r w:rsidR="00912267" w:rsidRPr="00783571">
        <w:t xml:space="preserve">are </w:t>
      </w:r>
      <w:r w:rsidRPr="00783571">
        <w:t>assumed to be constant</w:t>
      </w:r>
      <w:r w:rsidR="00912267" w:rsidRPr="00783571">
        <w:t xml:space="preserve">. For stages in which </w:t>
      </w:r>
      <w:r w:rsidR="00FE376C" w:rsidRPr="00783571">
        <w:t xml:space="preserve">patients are not </w:t>
      </w:r>
      <w:r w:rsidR="000965E6" w:rsidRPr="00783571">
        <w:t>prescribed ART</w:t>
      </w:r>
      <w:r w:rsidR="00912267" w:rsidRPr="00783571">
        <w:t xml:space="preserve"> (</w:t>
      </w:r>
      <w:r w:rsidR="00912267" w:rsidRPr="00783571">
        <w:rPr>
          <w:i/>
          <w:iCs/>
        </w:rPr>
        <w:t>r</w:t>
      </w:r>
      <w:r w:rsidR="00E628BE" w:rsidRPr="00783571">
        <w:t> = </w:t>
      </w:r>
      <w:r w:rsidR="00912267" w:rsidRPr="00783571">
        <w:t xml:space="preserve">1, 2, 3), the rates from </w:t>
      </w:r>
      <w:r w:rsidR="00912267" w:rsidRPr="00783571">
        <w:rPr>
          <w:i/>
          <w:iCs/>
        </w:rPr>
        <w:t>h</w:t>
      </w:r>
      <w:r w:rsidR="00912267" w:rsidRPr="00783571">
        <w:t xml:space="preserve"> to </w:t>
      </w:r>
      <w:r w:rsidR="00912267" w:rsidRPr="00783571">
        <w:rPr>
          <w:i/>
          <w:iCs/>
        </w:rPr>
        <w:t>h</w:t>
      </w:r>
      <w:r w:rsidR="00912267" w:rsidRPr="00783571">
        <w:t xml:space="preserve"> + 1 are </w:t>
      </w:r>
      <w:r w:rsidRPr="00783571">
        <w:t xml:space="preserve">equal to 1 ÷ (duration of stage </w:t>
      </w:r>
      <w:r w:rsidRPr="00783571">
        <w:rPr>
          <w:i/>
        </w:rPr>
        <w:t>h</w:t>
      </w:r>
      <w:r w:rsidRPr="00783571">
        <w:t>).</w:t>
      </w:r>
      <w:r w:rsidR="00912267" w:rsidRPr="00783571">
        <w:t xml:space="preserve"> </w:t>
      </w:r>
      <w:r w:rsidR="00C76143" w:rsidRPr="00783571">
        <w:t xml:space="preserve">Otherwise, the rates are specified directly. </w:t>
      </w:r>
      <w:r w:rsidR="00912267" w:rsidRPr="00783571">
        <w:t xml:space="preserve">For </w:t>
      </w:r>
      <w:r w:rsidR="00C76143" w:rsidRPr="00783571">
        <w:t xml:space="preserve">VLS </w:t>
      </w:r>
      <w:r w:rsidR="00912267" w:rsidRPr="00783571">
        <w:t xml:space="preserve">stages </w:t>
      </w:r>
      <w:r w:rsidR="00C76143" w:rsidRPr="00783571">
        <w:t>(</w:t>
      </w:r>
      <w:r w:rsidR="00C76143" w:rsidRPr="00783571">
        <w:rPr>
          <w:i/>
          <w:iCs/>
        </w:rPr>
        <w:t>r</w:t>
      </w:r>
      <w:r w:rsidR="00E628BE" w:rsidRPr="00783571">
        <w:t> = </w:t>
      </w:r>
      <w:r w:rsidR="00C76143" w:rsidRPr="00783571">
        <w:t xml:space="preserve">5), progression may occur from disease stage </w:t>
      </w:r>
      <w:r w:rsidR="00C76143" w:rsidRPr="00783571">
        <w:rPr>
          <w:i/>
        </w:rPr>
        <w:t>h</w:t>
      </w:r>
      <w:r w:rsidR="00C76143" w:rsidRPr="00783571">
        <w:t xml:space="preserve"> to </w:t>
      </w:r>
      <w:r w:rsidR="00C76143" w:rsidRPr="00783571">
        <w:rPr>
          <w:i/>
        </w:rPr>
        <w:t xml:space="preserve">h </w:t>
      </w:r>
      <w:r w:rsidR="00C76143" w:rsidRPr="00783571">
        <w:t xml:space="preserve">+ 1 or to </w:t>
      </w:r>
      <w:r w:rsidR="00C76143" w:rsidRPr="00783571">
        <w:rPr>
          <w:i/>
          <w:iCs/>
        </w:rPr>
        <w:t>h</w:t>
      </w:r>
      <w:r w:rsidR="00C76143" w:rsidRPr="00783571">
        <w:t xml:space="preserve"> </w:t>
      </w:r>
      <w:r w:rsidR="001F5372" w:rsidRPr="00783571">
        <w:t>−</w:t>
      </w:r>
      <w:r w:rsidR="00C76143" w:rsidRPr="00783571">
        <w:t xml:space="preserve"> 1, but for all other continuum-of-care stages, progression may only occur from </w:t>
      </w:r>
      <w:r w:rsidR="00C76143" w:rsidRPr="00783571">
        <w:rPr>
          <w:i/>
        </w:rPr>
        <w:t>h</w:t>
      </w:r>
      <w:r w:rsidR="00C76143" w:rsidRPr="00783571">
        <w:t xml:space="preserve"> to </w:t>
      </w:r>
      <w:r w:rsidR="00C76143" w:rsidRPr="00783571">
        <w:rPr>
          <w:i/>
        </w:rPr>
        <w:t xml:space="preserve">h </w:t>
      </w:r>
      <w:r w:rsidR="00C76143" w:rsidRPr="00783571">
        <w:t xml:space="preserve">+ 1. All inputs that determine these progressions are specified in </w:t>
      </w:r>
      <w:r w:rsidR="00814158" w:rsidRPr="00783571">
        <w:t>Table </w:t>
      </w:r>
      <w:r w:rsidR="00871E69" w:rsidRPr="00783571">
        <w:t>5.</w:t>
      </w:r>
      <w:r w:rsidR="00C76143" w:rsidRPr="00783571">
        <w:t>1.</w:t>
      </w:r>
    </w:p>
    <w:p w14:paraId="72A8DD8B" w14:textId="27D4AFFA" w:rsidR="000F420A" w:rsidRPr="00783571" w:rsidRDefault="009D5AF4" w:rsidP="009D5AF4">
      <w:pPr>
        <w:pStyle w:val="Heading2"/>
      </w:pPr>
      <w:bookmarkStart w:id="30" w:name="_Toc398293116"/>
      <w:bookmarkStart w:id="31" w:name="_Toc510104450"/>
      <w:r w:rsidRPr="00783571">
        <w:t xml:space="preserve">Transitions between Compartments Due to Progression </w:t>
      </w:r>
      <w:r w:rsidR="00D25FAD" w:rsidRPr="00783571">
        <w:t>a</w:t>
      </w:r>
      <w:r w:rsidRPr="00783571">
        <w:t xml:space="preserve">long the </w:t>
      </w:r>
      <w:bookmarkEnd w:id="30"/>
      <w:r w:rsidR="003F2DC6" w:rsidRPr="00783571">
        <w:t>Care Continuum</w:t>
      </w:r>
      <w:bookmarkEnd w:id="31"/>
    </w:p>
    <w:p w14:paraId="02F3AF53" w14:textId="2483FCE3" w:rsidR="001F5372" w:rsidRPr="00783571" w:rsidRDefault="009D5AF4" w:rsidP="007F639E">
      <w:pPr>
        <w:pStyle w:val="BodyText"/>
      </w:pPr>
      <w:r w:rsidRPr="00783571">
        <w:t>Transitions between continuum-of-care stages occur because</w:t>
      </w:r>
      <w:r w:rsidR="002710BD" w:rsidRPr="00783571">
        <w:t xml:space="preserve"> HIV-infected</w:t>
      </w:r>
      <w:r w:rsidRPr="00783571">
        <w:t xml:space="preserve"> individuals become aware of their status through testing and notification of positive results</w:t>
      </w:r>
      <w:r w:rsidR="005E509E" w:rsidRPr="00783571">
        <w:t xml:space="preserve"> either without immediate linkage to </w:t>
      </w:r>
      <w:r w:rsidR="003C0141" w:rsidRPr="00783571">
        <w:t xml:space="preserve">HIV </w:t>
      </w:r>
      <w:r w:rsidR="005E509E" w:rsidRPr="00783571">
        <w:t>care</w:t>
      </w:r>
      <w:r w:rsidRPr="00783571">
        <w:t xml:space="preserve"> (</w:t>
      </w:r>
      <w:r w:rsidRPr="00783571">
        <w:rPr>
          <w:i/>
        </w:rPr>
        <w:t>r</w:t>
      </w:r>
      <w:r w:rsidR="00E628BE" w:rsidRPr="00783571">
        <w:t> = </w:t>
      </w:r>
      <w:r w:rsidRPr="00783571">
        <w:t xml:space="preserve">1 to </w:t>
      </w:r>
      <w:r w:rsidRPr="00783571">
        <w:rPr>
          <w:i/>
        </w:rPr>
        <w:t>r</w:t>
      </w:r>
      <w:r w:rsidR="00E628BE" w:rsidRPr="00783571">
        <w:t> = </w:t>
      </w:r>
      <w:r w:rsidRPr="00783571">
        <w:t>2)</w:t>
      </w:r>
      <w:r w:rsidR="005E509E" w:rsidRPr="00783571">
        <w:t xml:space="preserve"> or with immediate linkage to </w:t>
      </w:r>
      <w:r w:rsidR="003C0141" w:rsidRPr="00783571">
        <w:t xml:space="preserve">HIV </w:t>
      </w:r>
      <w:r w:rsidR="005E509E" w:rsidRPr="00783571">
        <w:t>care (</w:t>
      </w:r>
      <w:r w:rsidR="005E509E" w:rsidRPr="00783571">
        <w:rPr>
          <w:i/>
        </w:rPr>
        <w:t>r</w:t>
      </w:r>
      <w:r w:rsidR="00E628BE" w:rsidRPr="00783571">
        <w:t> = </w:t>
      </w:r>
      <w:r w:rsidR="005E509E" w:rsidRPr="00783571">
        <w:t xml:space="preserve">1 to </w:t>
      </w:r>
      <w:r w:rsidR="005E509E" w:rsidRPr="00783571">
        <w:rPr>
          <w:i/>
        </w:rPr>
        <w:t>r</w:t>
      </w:r>
      <w:r w:rsidR="00E628BE" w:rsidRPr="00783571">
        <w:t> = </w:t>
      </w:r>
      <w:r w:rsidR="005E509E" w:rsidRPr="00783571">
        <w:t xml:space="preserve">3), </w:t>
      </w:r>
      <w:r w:rsidRPr="00783571">
        <w:t xml:space="preserve">are </w:t>
      </w:r>
      <w:r w:rsidR="009E34D9" w:rsidRPr="00783571">
        <w:t>linked to HIV care</w:t>
      </w:r>
      <w:r w:rsidRPr="00783571">
        <w:t xml:space="preserve"> </w:t>
      </w:r>
      <w:r w:rsidR="005E509E" w:rsidRPr="00783571">
        <w:t xml:space="preserve">after diagnosis </w:t>
      </w:r>
      <w:r w:rsidRPr="00783571">
        <w:t>(</w:t>
      </w:r>
      <w:r w:rsidRPr="00783571">
        <w:rPr>
          <w:i/>
          <w:iCs/>
        </w:rPr>
        <w:t>r</w:t>
      </w:r>
      <w:r w:rsidR="00E628BE" w:rsidRPr="00783571">
        <w:t> = </w:t>
      </w:r>
      <w:r w:rsidRPr="00783571">
        <w:t xml:space="preserve">2 to </w:t>
      </w:r>
      <w:r w:rsidRPr="00783571">
        <w:rPr>
          <w:i/>
          <w:iCs/>
        </w:rPr>
        <w:t>r</w:t>
      </w:r>
      <w:r w:rsidR="00E628BE" w:rsidRPr="00783571">
        <w:t> = </w:t>
      </w:r>
      <w:r w:rsidRPr="00783571">
        <w:t>3), depart from care (</w:t>
      </w:r>
      <w:r w:rsidRPr="00783571">
        <w:rPr>
          <w:i/>
        </w:rPr>
        <w:t>r</w:t>
      </w:r>
      <w:r w:rsidR="00E628BE" w:rsidRPr="00783571">
        <w:t> = </w:t>
      </w:r>
      <w:r w:rsidRPr="00783571">
        <w:t>3</w:t>
      </w:r>
      <w:r w:rsidR="001A72D1" w:rsidRPr="00783571">
        <w:t xml:space="preserve"> to </w:t>
      </w:r>
      <w:r w:rsidR="001A72D1" w:rsidRPr="00783571">
        <w:rPr>
          <w:i/>
        </w:rPr>
        <w:t>r</w:t>
      </w:r>
      <w:r w:rsidR="00E628BE" w:rsidRPr="00783571">
        <w:rPr>
          <w:i/>
        </w:rPr>
        <w:t> = </w:t>
      </w:r>
      <w:r w:rsidR="001A72D1" w:rsidRPr="00783571">
        <w:t>2)</w:t>
      </w:r>
      <w:r w:rsidRPr="00783571">
        <w:t xml:space="preserve">, </w:t>
      </w:r>
      <w:r w:rsidR="008101D3" w:rsidRPr="00783571">
        <w:t>are prescribed</w:t>
      </w:r>
      <w:r w:rsidRPr="00783571">
        <w:t xml:space="preserve"> ART (</w:t>
      </w:r>
      <w:r w:rsidRPr="00783571">
        <w:rPr>
          <w:i/>
          <w:iCs/>
        </w:rPr>
        <w:t>r</w:t>
      </w:r>
      <w:r w:rsidR="00E628BE" w:rsidRPr="00783571">
        <w:t> = </w:t>
      </w:r>
      <w:r w:rsidRPr="00783571">
        <w:t xml:space="preserve">3 to </w:t>
      </w:r>
      <w:r w:rsidRPr="00783571">
        <w:rPr>
          <w:i/>
          <w:iCs/>
        </w:rPr>
        <w:t>r</w:t>
      </w:r>
      <w:r w:rsidR="00E628BE" w:rsidRPr="00783571">
        <w:t> = </w:t>
      </w:r>
      <w:r w:rsidRPr="00783571">
        <w:t>4</w:t>
      </w:r>
      <w:r w:rsidR="001A72D1" w:rsidRPr="00783571">
        <w:t xml:space="preserve"> or </w:t>
      </w:r>
      <w:r w:rsidR="001A72D1" w:rsidRPr="00783571">
        <w:rPr>
          <w:i/>
        </w:rPr>
        <w:t>r</w:t>
      </w:r>
      <w:r w:rsidR="00E628BE" w:rsidRPr="00783571">
        <w:t> = </w:t>
      </w:r>
      <w:r w:rsidR="001A72D1" w:rsidRPr="00783571">
        <w:t xml:space="preserve">3 to </w:t>
      </w:r>
      <w:r w:rsidR="001A72D1" w:rsidRPr="00783571">
        <w:rPr>
          <w:i/>
        </w:rPr>
        <w:t>r</w:t>
      </w:r>
      <w:r w:rsidR="00E628BE" w:rsidRPr="00783571">
        <w:rPr>
          <w:i/>
        </w:rPr>
        <w:t> = </w:t>
      </w:r>
      <w:r w:rsidR="001A72D1" w:rsidRPr="00783571">
        <w:t>5</w:t>
      </w:r>
      <w:r w:rsidRPr="00783571">
        <w:t>)</w:t>
      </w:r>
      <w:r w:rsidR="001A72D1" w:rsidRPr="00783571">
        <w:t xml:space="preserve">, </w:t>
      </w:r>
      <w:r w:rsidR="007F639E" w:rsidRPr="00783571">
        <w:t xml:space="preserve">drop off of </w:t>
      </w:r>
      <w:r w:rsidR="001A72D1" w:rsidRPr="00783571">
        <w:t>ART (</w:t>
      </w:r>
      <w:r w:rsidR="007F1470" w:rsidRPr="00783571">
        <w:rPr>
          <w:i/>
        </w:rPr>
        <w:t>r</w:t>
      </w:r>
      <w:r w:rsidR="00E628BE" w:rsidRPr="00783571">
        <w:rPr>
          <w:i/>
        </w:rPr>
        <w:t> = </w:t>
      </w:r>
      <w:r w:rsidR="007F1470" w:rsidRPr="00783571">
        <w:t xml:space="preserve">4 to </w:t>
      </w:r>
      <w:r w:rsidR="007F1470" w:rsidRPr="00783571">
        <w:rPr>
          <w:i/>
        </w:rPr>
        <w:t>r</w:t>
      </w:r>
      <w:r w:rsidR="00E628BE" w:rsidRPr="00783571">
        <w:rPr>
          <w:i/>
        </w:rPr>
        <w:t> = </w:t>
      </w:r>
      <w:r w:rsidR="001A72D1" w:rsidRPr="00783571">
        <w:t>3), or</w:t>
      </w:r>
      <w:r w:rsidR="002F6226" w:rsidRPr="00783571">
        <w:t xml:space="preserve"> resume or</w:t>
      </w:r>
      <w:r w:rsidR="001A72D1" w:rsidRPr="00783571">
        <w:t xml:space="preserve"> lose viral load suppression (</w:t>
      </w:r>
      <w:r w:rsidR="002F6226" w:rsidRPr="00783571">
        <w:rPr>
          <w:i/>
        </w:rPr>
        <w:t>r</w:t>
      </w:r>
      <w:r w:rsidR="00E628BE" w:rsidRPr="00783571">
        <w:t> = </w:t>
      </w:r>
      <w:r w:rsidR="002F6226" w:rsidRPr="00783571">
        <w:t xml:space="preserve">4 to </w:t>
      </w:r>
      <w:r w:rsidR="002F6226" w:rsidRPr="00783571">
        <w:rPr>
          <w:i/>
        </w:rPr>
        <w:t>r</w:t>
      </w:r>
      <w:r w:rsidR="00E628BE" w:rsidRPr="00783571">
        <w:rPr>
          <w:i/>
        </w:rPr>
        <w:t> = </w:t>
      </w:r>
      <w:r w:rsidR="002F6226" w:rsidRPr="00783571">
        <w:t xml:space="preserve">5 or </w:t>
      </w:r>
      <w:r w:rsidR="001A72D1" w:rsidRPr="00783571">
        <w:rPr>
          <w:i/>
        </w:rPr>
        <w:t>r</w:t>
      </w:r>
      <w:r w:rsidR="00E628BE" w:rsidRPr="00783571">
        <w:t> = </w:t>
      </w:r>
      <w:r w:rsidR="001A72D1" w:rsidRPr="00783571">
        <w:t>5 to</w:t>
      </w:r>
      <w:r w:rsidR="007F1470" w:rsidRPr="00783571">
        <w:t xml:space="preserve"> </w:t>
      </w:r>
      <w:r w:rsidR="007F1470" w:rsidRPr="00783571">
        <w:rPr>
          <w:i/>
        </w:rPr>
        <w:t>r</w:t>
      </w:r>
      <w:r w:rsidR="00E628BE" w:rsidRPr="00783571">
        <w:rPr>
          <w:i/>
        </w:rPr>
        <w:t> = </w:t>
      </w:r>
      <w:r w:rsidR="001A72D1" w:rsidRPr="00783571">
        <w:t>4)</w:t>
      </w:r>
      <w:r w:rsidRPr="00783571">
        <w:t>.</w:t>
      </w:r>
    </w:p>
    <w:p w14:paraId="1775509C" w14:textId="16559FDD" w:rsidR="004F4E6D" w:rsidRPr="00783571" w:rsidRDefault="00690681" w:rsidP="001309A5">
      <w:pPr>
        <w:pStyle w:val="BodyText"/>
      </w:pPr>
      <w:r w:rsidRPr="00783571">
        <w:t xml:space="preserve">We assume that individuals with acute HIV are not </w:t>
      </w:r>
      <w:r w:rsidR="000965E6" w:rsidRPr="00783571">
        <w:t>prescribed ART</w:t>
      </w:r>
      <w:r w:rsidRPr="00783571">
        <w:t xml:space="preserve">. </w:t>
      </w:r>
      <w:r w:rsidR="001A72D1" w:rsidRPr="00783571">
        <w:t>Individuals who are ART</w:t>
      </w:r>
      <w:r w:rsidR="001309A5" w:rsidRPr="00783571">
        <w:t xml:space="preserve">-not-VLS </w:t>
      </w:r>
      <w:r w:rsidR="001A72D1" w:rsidRPr="00783571">
        <w:t>(</w:t>
      </w:r>
      <w:r w:rsidR="001A72D1" w:rsidRPr="00783571">
        <w:rPr>
          <w:i/>
        </w:rPr>
        <w:t>r</w:t>
      </w:r>
      <w:r w:rsidR="00E628BE" w:rsidRPr="00783571">
        <w:rPr>
          <w:i/>
        </w:rPr>
        <w:t> = </w:t>
      </w:r>
      <w:r w:rsidR="001A72D1" w:rsidRPr="00783571">
        <w:t xml:space="preserve">4) </w:t>
      </w:r>
      <w:r w:rsidR="00246174" w:rsidRPr="00783571">
        <w:t>experience declines in their CD4 counts</w:t>
      </w:r>
      <w:r w:rsidR="00203AED" w:rsidRPr="00783571">
        <w:t xml:space="preserve"> but </w:t>
      </w:r>
      <w:r w:rsidR="001A72D1" w:rsidRPr="00783571">
        <w:t>have a slower disease progression than the natural history of HIV</w:t>
      </w:r>
      <w:r w:rsidR="00246174" w:rsidRPr="00783571">
        <w:t xml:space="preserve"> (where natural history is the progression that occurs without exposure to treatment)</w:t>
      </w:r>
      <w:r w:rsidR="001A72D1" w:rsidRPr="00783571">
        <w:t xml:space="preserve">. Individuals who are </w:t>
      </w:r>
      <w:r w:rsidR="001309A5" w:rsidRPr="00783571">
        <w:t>VLS</w:t>
      </w:r>
      <w:r w:rsidR="001A72D1" w:rsidRPr="00783571">
        <w:t xml:space="preserve"> (</w:t>
      </w:r>
      <w:r w:rsidR="001A72D1" w:rsidRPr="00783571">
        <w:rPr>
          <w:i/>
        </w:rPr>
        <w:t>r</w:t>
      </w:r>
      <w:r w:rsidR="00E628BE" w:rsidRPr="00783571">
        <w:rPr>
          <w:i/>
        </w:rPr>
        <w:t> = </w:t>
      </w:r>
      <w:r w:rsidR="001A72D1" w:rsidRPr="00783571">
        <w:t xml:space="preserve">5) </w:t>
      </w:r>
      <w:r w:rsidR="005C7CE8" w:rsidRPr="00783571">
        <w:t xml:space="preserve">are very different from individuals in other continuum stages in that they can </w:t>
      </w:r>
      <w:r w:rsidR="00246174" w:rsidRPr="00783571">
        <w:t xml:space="preserve">experience </w:t>
      </w:r>
      <w:r w:rsidR="005C7CE8" w:rsidRPr="00783571">
        <w:t xml:space="preserve">either </w:t>
      </w:r>
      <w:r w:rsidR="00246174" w:rsidRPr="00783571">
        <w:t>increases or decreases in their CD4 counts</w:t>
      </w:r>
      <w:r w:rsidR="005C7CE8" w:rsidRPr="00783571">
        <w:t xml:space="preserve"> and, in fact, they are more likely to experience an increase than a decrease in their CD4 counts</w:t>
      </w:r>
      <w:r w:rsidR="00203AED" w:rsidRPr="00783571">
        <w:t>.</w:t>
      </w:r>
    </w:p>
    <w:p w14:paraId="0C42B599" w14:textId="4A50E0FE" w:rsidR="004F4E6D" w:rsidRPr="00783571" w:rsidRDefault="002710BD" w:rsidP="00766A8C">
      <w:pPr>
        <w:pStyle w:val="BodyText"/>
      </w:pPr>
      <w:r w:rsidRPr="00783571">
        <w:t>Uninfected individuals</w:t>
      </w:r>
      <w:r w:rsidR="004E6041" w:rsidRPr="00783571">
        <w:t xml:space="preserve"> may</w:t>
      </w:r>
      <w:r w:rsidR="00B20C8F" w:rsidRPr="00783571">
        <w:t xml:space="preserve"> participate in PrEP. Details about </w:t>
      </w:r>
      <w:r w:rsidR="00B1644D" w:rsidRPr="00783571">
        <w:t>initiating</w:t>
      </w:r>
      <w:r w:rsidR="00B20C8F" w:rsidRPr="00783571">
        <w:t xml:space="preserve"> and</w:t>
      </w:r>
      <w:r w:rsidR="004E6041" w:rsidRPr="00783571">
        <w:t xml:space="preserve"> </w:t>
      </w:r>
      <w:r w:rsidR="00766A8C" w:rsidRPr="00783571">
        <w:t>stopping</w:t>
      </w:r>
      <w:r w:rsidR="00D078A1" w:rsidRPr="00783571">
        <w:t xml:space="preserve"> </w:t>
      </w:r>
      <w:r w:rsidR="00B1644D" w:rsidRPr="00783571">
        <w:t xml:space="preserve">that participation are discussed in </w:t>
      </w:r>
      <w:r w:rsidR="00CA2896" w:rsidRPr="00783571">
        <w:t>Section </w:t>
      </w:r>
      <w:r w:rsidR="00B1644D" w:rsidRPr="00783571">
        <w:t>5.4.3</w:t>
      </w:r>
      <w:r w:rsidR="00FF1809" w:rsidRPr="00783571">
        <w:t>.</w:t>
      </w:r>
    </w:p>
    <w:p w14:paraId="2B01B578" w14:textId="44230D62" w:rsidR="004F4E6D" w:rsidRPr="00783571" w:rsidRDefault="009D5AF4" w:rsidP="0033192E">
      <w:pPr>
        <w:pStyle w:val="BodyText"/>
      </w:pPr>
      <w:r w:rsidRPr="00783571">
        <w:t xml:space="preserve">Individuals who depart from care </w:t>
      </w:r>
      <w:r w:rsidR="00246174" w:rsidRPr="00783571">
        <w:t xml:space="preserve">are </w:t>
      </w:r>
      <w:r w:rsidRPr="00783571">
        <w:t xml:space="preserve">assumed to return to the </w:t>
      </w:r>
      <w:r w:rsidR="001309A5" w:rsidRPr="00783571">
        <w:t>aware stage</w:t>
      </w:r>
      <w:r w:rsidRPr="00783571">
        <w:t xml:space="preserve">, which includes individuals who have never been in care. </w:t>
      </w:r>
      <w:r w:rsidR="002F6226" w:rsidRPr="00783571">
        <w:t xml:space="preserve">This assumption of aggregating </w:t>
      </w:r>
      <w:r w:rsidRPr="00783571">
        <w:t>individuals who have never been in care with those who have dropped out of care was a simplifying assumption.</w:t>
      </w:r>
      <w:r w:rsidR="000B270A" w:rsidRPr="00783571">
        <w:t xml:space="preserve"> </w:t>
      </w:r>
      <w:r w:rsidR="00246174" w:rsidRPr="00783571">
        <w:t>The parameters that determine these trans</w:t>
      </w:r>
      <w:r w:rsidR="00CC1362" w:rsidRPr="00783571">
        <w:t xml:space="preserve">itions are outlined in </w:t>
      </w:r>
      <w:r w:rsidR="00871E69" w:rsidRPr="00783571">
        <w:t>Tables </w:t>
      </w:r>
      <w:r w:rsidR="00CC1362" w:rsidRPr="00783571">
        <w:t>5.2 to 5.</w:t>
      </w:r>
      <w:r w:rsidR="00246174" w:rsidRPr="00783571">
        <w:t>6</w:t>
      </w:r>
      <w:r w:rsidR="00690681" w:rsidRPr="00783571">
        <w:t xml:space="preserve">. </w:t>
      </w:r>
      <w:r w:rsidR="001309A5" w:rsidRPr="00783571">
        <w:t xml:space="preserve">Inputs that determine progression for the first time period are omitted from these tables since they represent the model run-in period. </w:t>
      </w:r>
      <w:r w:rsidR="00690681" w:rsidRPr="00783571">
        <w:t xml:space="preserve">The different methods that can be applied to calculate progression along the </w:t>
      </w:r>
      <w:r w:rsidR="003F2DC6" w:rsidRPr="00783571">
        <w:t>care continuum</w:t>
      </w:r>
      <w:r w:rsidR="00690681" w:rsidRPr="00783571">
        <w:t xml:space="preserve"> are explained in </w:t>
      </w:r>
      <w:r w:rsidR="00CA2896" w:rsidRPr="00783571">
        <w:t>Section </w:t>
      </w:r>
      <w:r w:rsidR="00690681" w:rsidRPr="00783571">
        <w:t xml:space="preserve">5.4.1. </w:t>
      </w:r>
      <w:r w:rsidR="00EC4628" w:rsidRPr="00783571">
        <w:t>A</w:t>
      </w:r>
      <w:r w:rsidR="002F6226" w:rsidRPr="00783571">
        <w:t xml:space="preserve"> detailed explanation of the methods applied for calculating testing rates is presented in </w:t>
      </w:r>
      <w:r w:rsidR="00CA2896" w:rsidRPr="00783571">
        <w:t>Section </w:t>
      </w:r>
      <w:r w:rsidR="002F6226" w:rsidRPr="00783571">
        <w:t>5.4.</w:t>
      </w:r>
      <w:r w:rsidR="00690681" w:rsidRPr="00783571">
        <w:t>2</w:t>
      </w:r>
      <w:r w:rsidR="002F6226" w:rsidRPr="00783571">
        <w:t>.</w:t>
      </w:r>
    </w:p>
    <w:p w14:paraId="77B57F08" w14:textId="588C223C" w:rsidR="001F5372" w:rsidRPr="00783571" w:rsidRDefault="00266243" w:rsidP="0033192E">
      <w:pPr>
        <w:pStyle w:val="Heading3"/>
      </w:pPr>
      <w:bookmarkStart w:id="32" w:name="_Ref489362693"/>
      <w:bookmarkStart w:id="33" w:name="_Ref490042474"/>
      <w:bookmarkStart w:id="34" w:name="_Toc510104451"/>
      <w:r w:rsidRPr="00783571">
        <w:t xml:space="preserve">Methods for </w:t>
      </w:r>
      <w:r w:rsidR="00EC4628" w:rsidRPr="00783571">
        <w:t>C</w:t>
      </w:r>
      <w:r w:rsidRPr="00783571">
        <w:t xml:space="preserve">alculating </w:t>
      </w:r>
      <w:r w:rsidR="00EC4628" w:rsidRPr="00783571">
        <w:t>P</w:t>
      </w:r>
      <w:r w:rsidRPr="00783571">
        <w:t xml:space="preserve">rogression along the </w:t>
      </w:r>
      <w:r w:rsidR="003F2DC6" w:rsidRPr="00783571">
        <w:t xml:space="preserve">Care </w:t>
      </w:r>
      <w:r w:rsidR="00EC4628" w:rsidRPr="00783571">
        <w:t>C</w:t>
      </w:r>
      <w:r w:rsidRPr="00783571">
        <w:t>ontinuum</w:t>
      </w:r>
      <w:bookmarkEnd w:id="32"/>
      <w:bookmarkEnd w:id="33"/>
      <w:bookmarkEnd w:id="34"/>
    </w:p>
    <w:p w14:paraId="18858D6A" w14:textId="49755029" w:rsidR="004F4E6D" w:rsidRPr="00783571" w:rsidRDefault="0033192E" w:rsidP="00E2730B">
      <w:pPr>
        <w:pStyle w:val="BodyText"/>
      </w:pPr>
      <w:r w:rsidRPr="00783571">
        <w:t xml:space="preserve">The model uses three methods for calculating progression along the HIV </w:t>
      </w:r>
      <w:r w:rsidR="003F2DC6" w:rsidRPr="00783571">
        <w:t>care continuum</w:t>
      </w:r>
      <w:r w:rsidRPr="00783571">
        <w:t>. Two of those methods can only be applied in the third time period; they exist t</w:t>
      </w:r>
      <w:r w:rsidR="00493C88" w:rsidRPr="00783571">
        <w:t>o allow for exploration of hypothetical scenario analyses</w:t>
      </w:r>
      <w:r w:rsidR="00E2730B" w:rsidRPr="00783571">
        <w:t xml:space="preserve">. The </w:t>
      </w:r>
      <w:r w:rsidR="00266243" w:rsidRPr="00783571">
        <w:t>method is user-selected</w:t>
      </w:r>
      <w:r w:rsidR="00E2730B" w:rsidRPr="00783571">
        <w:t xml:space="preserve"> from the following options</w:t>
      </w:r>
      <w:r w:rsidR="00EC4628" w:rsidRPr="00783571">
        <w:t>:</w:t>
      </w:r>
    </w:p>
    <w:p w14:paraId="1AECF41E" w14:textId="1B841C30" w:rsidR="00266243" w:rsidRPr="00783571" w:rsidRDefault="00D33408" w:rsidP="00181BDA">
      <w:pPr>
        <w:pStyle w:val="bullets"/>
      </w:pPr>
      <w:r w:rsidRPr="00783571">
        <w:t>Status quo</w:t>
      </w:r>
      <w:r w:rsidR="00266243" w:rsidRPr="00783571">
        <w:t xml:space="preserve"> method: </w:t>
      </w:r>
      <w:r w:rsidR="00955284" w:rsidRPr="00783571">
        <w:t>User-inputted annual probabilities or rates and, in some cases</w:t>
      </w:r>
      <w:r w:rsidR="00EC4628" w:rsidRPr="00783571">
        <w:t>,</w:t>
      </w:r>
      <w:r w:rsidR="00955284" w:rsidRPr="00783571">
        <w:t xml:space="preserve"> relative risk factors by subpopulation or disease stage</w:t>
      </w:r>
    </w:p>
    <w:p w14:paraId="0F5DD853" w14:textId="4EBE6E46" w:rsidR="00266243" w:rsidRPr="00783571" w:rsidRDefault="00D33408" w:rsidP="00DE1354">
      <w:pPr>
        <w:pStyle w:val="bullets"/>
      </w:pPr>
      <w:r w:rsidRPr="00783571">
        <w:t>HET interval-based testing</w:t>
      </w:r>
      <w:r w:rsidR="00266243" w:rsidRPr="00783571">
        <w:t xml:space="preserve"> method</w:t>
      </w:r>
      <w:r w:rsidR="0033192E" w:rsidRPr="00783571">
        <w:t xml:space="preserve"> (</w:t>
      </w:r>
      <w:r w:rsidR="00073E1A" w:rsidRPr="00783571">
        <w:t xml:space="preserve">affecting testing in </w:t>
      </w:r>
      <w:r w:rsidR="0033192E" w:rsidRPr="00783571">
        <w:t>third time period only)</w:t>
      </w:r>
      <w:r w:rsidR="00266243" w:rsidRPr="00783571">
        <w:t xml:space="preserve">: User-inputted testing intervals </w:t>
      </w:r>
      <w:r w:rsidR="00073E1A" w:rsidRPr="00783571">
        <w:t xml:space="preserve">and symptomatic testing </w:t>
      </w:r>
      <w:r w:rsidR="00266243" w:rsidRPr="00783571">
        <w:t xml:space="preserve">for </w:t>
      </w:r>
      <w:r w:rsidR="00073E1A" w:rsidRPr="00783571">
        <w:t xml:space="preserve">high-risk </w:t>
      </w:r>
      <w:r w:rsidR="00266243" w:rsidRPr="00783571">
        <w:t>HETs</w:t>
      </w:r>
      <w:r w:rsidR="00073E1A" w:rsidRPr="00783571">
        <w:t xml:space="preserve"> and low-risk HETs</w:t>
      </w:r>
      <w:r w:rsidR="00266243" w:rsidRPr="00783571">
        <w:t xml:space="preserve"> in </w:t>
      </w:r>
      <w:r w:rsidR="001309A5" w:rsidRPr="00783571">
        <w:t>the third time period</w:t>
      </w:r>
      <w:r w:rsidR="00266243" w:rsidRPr="00783571">
        <w:t xml:space="preserve"> only; </w:t>
      </w:r>
      <w:r w:rsidRPr="00783571">
        <w:t xml:space="preserve">otherwise all progression for other stages, subpopulations, and time periods is the </w:t>
      </w:r>
      <w:r w:rsidR="00266243" w:rsidRPr="00783571">
        <w:t xml:space="preserve">same as </w:t>
      </w:r>
      <w:r w:rsidRPr="00783571">
        <w:t>under the status quo</w:t>
      </w:r>
      <w:r w:rsidR="00266243" w:rsidRPr="00783571">
        <w:t xml:space="preserve"> method.</w:t>
      </w:r>
    </w:p>
    <w:p w14:paraId="1E40AF30" w14:textId="47D0B003" w:rsidR="00266243" w:rsidRPr="00783571" w:rsidRDefault="00266243" w:rsidP="001309A5">
      <w:pPr>
        <w:pStyle w:val="bullets"/>
      </w:pPr>
      <w:r w:rsidRPr="00783571">
        <w:t>Allocation</w:t>
      </w:r>
      <w:r w:rsidR="00493C88" w:rsidRPr="00783571">
        <w:t>-based</w:t>
      </w:r>
      <w:r w:rsidRPr="00783571">
        <w:t xml:space="preserve"> method</w:t>
      </w:r>
      <w:r w:rsidR="0033192E" w:rsidRPr="00783571">
        <w:t xml:space="preserve"> (third time period only)</w:t>
      </w:r>
      <w:r w:rsidRPr="00783571">
        <w:t xml:space="preserve">: </w:t>
      </w:r>
      <w:r w:rsidR="00F4015C" w:rsidRPr="00783571">
        <w:t>Selected r</w:t>
      </w:r>
      <w:r w:rsidR="00D33408" w:rsidRPr="00783571">
        <w:t xml:space="preserve">ates and probabilities </w:t>
      </w:r>
      <w:r w:rsidR="00F4015C" w:rsidRPr="00783571">
        <w:t xml:space="preserve">of progression in </w:t>
      </w:r>
      <w:r w:rsidR="001309A5" w:rsidRPr="00783571">
        <w:t>the third time period</w:t>
      </w:r>
      <w:r w:rsidR="00D33408" w:rsidRPr="00783571">
        <w:t xml:space="preserve"> are determined by </w:t>
      </w:r>
      <w:r w:rsidR="00B9184A" w:rsidRPr="00783571">
        <w:t>(a) </w:t>
      </w:r>
      <w:r w:rsidR="00D33408" w:rsidRPr="00783571">
        <w:t xml:space="preserve">base rates </w:t>
      </w:r>
      <w:r w:rsidR="00F4015C" w:rsidRPr="00783571">
        <w:t xml:space="preserve">and probabilities </w:t>
      </w:r>
      <w:r w:rsidR="00D33408" w:rsidRPr="00783571">
        <w:t xml:space="preserve">of progression </w:t>
      </w:r>
      <w:r w:rsidRPr="00783571">
        <w:t xml:space="preserve">without CDC funding </w:t>
      </w:r>
      <w:r w:rsidR="00D33408" w:rsidRPr="00783571">
        <w:t>for</w:t>
      </w:r>
      <w:r w:rsidRPr="00783571">
        <w:t xml:space="preserve"> interventions </w:t>
      </w:r>
      <w:r w:rsidR="00D33408" w:rsidRPr="00783571">
        <w:t xml:space="preserve">and </w:t>
      </w:r>
      <w:r w:rsidR="00B9184A" w:rsidRPr="00783571">
        <w:t>(b) </w:t>
      </w:r>
      <w:r w:rsidR="00D33408" w:rsidRPr="00783571">
        <w:t>progression that is determined by the levels of funding allocated to a select set of interventions</w:t>
      </w:r>
      <w:r w:rsidR="00F4015C" w:rsidRPr="00783571">
        <w:t xml:space="preserve">. It is </w:t>
      </w:r>
      <w:r w:rsidRPr="00783571">
        <w:t>applied</w:t>
      </w:r>
      <w:r w:rsidR="00D33408" w:rsidRPr="00783571">
        <w:t xml:space="preserve"> in </w:t>
      </w:r>
      <w:r w:rsidR="00A16C51" w:rsidRPr="00783571">
        <w:t>the third time period</w:t>
      </w:r>
      <w:r w:rsidR="00D33408" w:rsidRPr="00783571">
        <w:t>; in all other time periods</w:t>
      </w:r>
      <w:r w:rsidR="00F4015C" w:rsidRPr="00783571">
        <w:t xml:space="preserve"> and for all other steps of progression (besides the selected set affected by this method),</w:t>
      </w:r>
      <w:r w:rsidR="00D33408" w:rsidRPr="00783571">
        <w:t xml:space="preserve"> progression is the same as under the status quo method.</w:t>
      </w:r>
      <w:r w:rsidR="00E11B2C" w:rsidRPr="00783571">
        <w:t xml:space="preserve"> This method must be applied to observe the impact of funding to specific interventions on the epidemic.</w:t>
      </w:r>
    </w:p>
    <w:p w14:paraId="6F4FA8E3" w14:textId="7F5D033C" w:rsidR="00E11B2C" w:rsidRPr="00783571" w:rsidRDefault="00E11B2C" w:rsidP="00E2730B">
      <w:pPr>
        <w:pStyle w:val="BodyText"/>
      </w:pPr>
      <w:r w:rsidRPr="00783571">
        <w:t>The default is to apply the status quo method</w:t>
      </w:r>
      <w:r w:rsidR="00E2730B" w:rsidRPr="00783571">
        <w:t xml:space="preserve"> for all time periods</w:t>
      </w:r>
      <w:r w:rsidRPr="00783571">
        <w:t>.</w:t>
      </w:r>
      <w:r w:rsidR="00493C88" w:rsidRPr="00783571">
        <w:t xml:space="preserve"> </w:t>
      </w:r>
      <w:r w:rsidR="00814158" w:rsidRPr="00783571">
        <w:t>Table </w:t>
      </w:r>
      <w:r w:rsidR="00871E69" w:rsidRPr="00783571">
        <w:t>5.</w:t>
      </w:r>
      <w:r w:rsidR="00690681" w:rsidRPr="00783571">
        <w:t>7</w:t>
      </w:r>
      <w:r w:rsidR="00F940DB" w:rsidRPr="00783571">
        <w:t xml:space="preserve"> identifies </w:t>
      </w:r>
      <w:r w:rsidR="007D3F30" w:rsidRPr="00783571">
        <w:t>the</w:t>
      </w:r>
      <w:r w:rsidR="00F940DB" w:rsidRPr="00783571">
        <w:t xml:space="preserve"> steps of progression that are affected by the method selected. </w:t>
      </w:r>
      <w:r w:rsidR="00DF20EB" w:rsidRPr="00783571">
        <w:t xml:space="preserve">Progression along the </w:t>
      </w:r>
      <w:r w:rsidR="003F2DC6" w:rsidRPr="00783571">
        <w:t>care continuum</w:t>
      </w:r>
      <w:r w:rsidR="00DF20EB" w:rsidRPr="00783571">
        <w:t xml:space="preserve"> in </w:t>
      </w:r>
      <w:r w:rsidR="0033192E" w:rsidRPr="00783571">
        <w:t>the first and second time periods</w:t>
      </w:r>
      <w:r w:rsidR="00DF20EB" w:rsidRPr="00783571">
        <w:t xml:space="preserve"> is always determined by the status quo method.</w:t>
      </w:r>
    </w:p>
    <w:p w14:paraId="1733AD09" w14:textId="3DEF08CC" w:rsidR="00E11B2C" w:rsidRPr="00783571" w:rsidRDefault="004F4E6D" w:rsidP="00DE1354">
      <w:pPr>
        <w:pStyle w:val="TableTitle"/>
      </w:pPr>
      <w:bookmarkStart w:id="35" w:name="_Toc510104023"/>
      <w:r w:rsidRPr="00783571">
        <w:t>Table 5.</w:t>
      </w:r>
      <w:r w:rsidR="00690681" w:rsidRPr="00783571">
        <w:t>7</w:t>
      </w:r>
      <w:r w:rsidR="00E11B2C" w:rsidRPr="00783571">
        <w:t>.</w:t>
      </w:r>
      <w:r w:rsidR="00E11B2C" w:rsidRPr="00783571">
        <w:tab/>
      </w:r>
      <w:r w:rsidR="00522EFF" w:rsidRPr="00783571">
        <w:t>P</w:t>
      </w:r>
      <w:r w:rsidR="00493C88" w:rsidRPr="00783571">
        <w:t xml:space="preserve">rogression </w:t>
      </w:r>
      <w:r w:rsidR="000F3209" w:rsidRPr="00783571">
        <w:t>a</w:t>
      </w:r>
      <w:r w:rsidR="00232B80" w:rsidRPr="00783571">
        <w:t xml:space="preserve">long </w:t>
      </w:r>
      <w:r w:rsidR="00493C88" w:rsidRPr="00783571">
        <w:t xml:space="preserve">the </w:t>
      </w:r>
      <w:r w:rsidR="003F2DC6" w:rsidRPr="00783571">
        <w:t>Care Continuum</w:t>
      </w:r>
      <w:r w:rsidR="00D96458" w:rsidRPr="00783571">
        <w:t xml:space="preserve"> (and Initiation of PrEP)</w:t>
      </w:r>
      <w:r w:rsidR="00232B80" w:rsidRPr="00783571">
        <w:t xml:space="preserve"> Affect</w:t>
      </w:r>
      <w:r w:rsidR="00522EFF" w:rsidRPr="00783571">
        <w:t xml:space="preserve">ed by </w:t>
      </w:r>
      <w:r w:rsidR="0033192E" w:rsidRPr="00783571">
        <w:t>U</w:t>
      </w:r>
      <w:r w:rsidR="00A865FA" w:rsidRPr="00783571">
        <w:t>sing Interval-Based Testing or Allocation</w:t>
      </w:r>
      <w:r w:rsidR="001F5372" w:rsidRPr="00783571">
        <w:t xml:space="preserve"> </w:t>
      </w:r>
      <w:r w:rsidR="00232B80" w:rsidRPr="00783571">
        <w:t xml:space="preserve">Method </w:t>
      </w:r>
      <w:r w:rsidR="00522EFF" w:rsidRPr="00783571">
        <w:t xml:space="preserve">(in </w:t>
      </w:r>
      <w:r w:rsidR="0033192E" w:rsidRPr="00783571">
        <w:t>Third Time Period</w:t>
      </w:r>
      <w:r w:rsidR="00232B80" w:rsidRPr="00783571">
        <w:t xml:space="preserve"> Only</w:t>
      </w:r>
      <w:r w:rsidR="00522EFF" w:rsidRPr="00783571">
        <w:t>)</w:t>
      </w:r>
      <w:bookmarkEnd w:id="35"/>
    </w:p>
    <w:tbl>
      <w:tblPr>
        <w:tblStyle w:val="TableFormat4"/>
        <w:tblW w:w="9119" w:type="dxa"/>
        <w:tblInd w:w="0" w:type="dxa"/>
        <w:tblLayout w:type="fixed"/>
        <w:tblLook w:val="04A0" w:firstRow="1" w:lastRow="0" w:firstColumn="1" w:lastColumn="0" w:noHBand="0" w:noVBand="1"/>
      </w:tblPr>
      <w:tblGrid>
        <w:gridCol w:w="5816"/>
        <w:gridCol w:w="1651"/>
        <w:gridCol w:w="1652"/>
      </w:tblGrid>
      <w:tr w:rsidR="003F2F5B" w:rsidRPr="00783571" w14:paraId="508F1DB6" w14:textId="77777777" w:rsidTr="00260D8A">
        <w:trPr>
          <w:cnfStyle w:val="100000000000" w:firstRow="1" w:lastRow="0" w:firstColumn="0" w:lastColumn="0" w:oddVBand="0" w:evenVBand="0" w:oddHBand="0" w:evenHBand="0" w:firstRowFirstColumn="0" w:firstRowLastColumn="0" w:lastRowFirstColumn="0" w:lastRowLastColumn="0"/>
          <w:tblHeader/>
        </w:trPr>
        <w:tc>
          <w:tcPr>
            <w:tcW w:w="5816" w:type="dxa"/>
            <w:vMerge w:val="restart"/>
            <w:vAlign w:val="bottom"/>
          </w:tcPr>
          <w:p w14:paraId="6AB52886" w14:textId="5AECA27F" w:rsidR="003F2F5B" w:rsidRPr="00783571" w:rsidRDefault="003F2F5B" w:rsidP="00D05643">
            <w:pPr>
              <w:pStyle w:val="TableHeaders"/>
              <w:keepNext/>
              <w:spacing w:before="60" w:after="60"/>
              <w:rPr>
                <w:szCs w:val="18"/>
              </w:rPr>
            </w:pPr>
            <w:r w:rsidRPr="00783571">
              <w:rPr>
                <w:szCs w:val="18"/>
              </w:rPr>
              <w:t xml:space="preserve">Rates and </w:t>
            </w:r>
            <w:r w:rsidR="00232B80" w:rsidRPr="00783571">
              <w:rPr>
                <w:szCs w:val="18"/>
              </w:rPr>
              <w:t xml:space="preserve">Probabilities </w:t>
            </w:r>
            <w:r w:rsidRPr="00783571">
              <w:rPr>
                <w:szCs w:val="18"/>
              </w:rPr>
              <w:t xml:space="preserve">that </w:t>
            </w:r>
            <w:r w:rsidR="00232B80" w:rsidRPr="00783571">
              <w:rPr>
                <w:szCs w:val="18"/>
              </w:rPr>
              <w:t xml:space="preserve">Determine Progression Along </w:t>
            </w:r>
            <w:r w:rsidR="003F2DC6" w:rsidRPr="00783571">
              <w:rPr>
                <w:szCs w:val="18"/>
              </w:rPr>
              <w:t xml:space="preserve">Care </w:t>
            </w:r>
            <w:r w:rsidR="00232B80" w:rsidRPr="00783571">
              <w:rPr>
                <w:szCs w:val="18"/>
              </w:rPr>
              <w:t>Continuum</w:t>
            </w:r>
            <w:r w:rsidR="00D96458" w:rsidRPr="00783571">
              <w:rPr>
                <w:szCs w:val="18"/>
              </w:rPr>
              <w:t xml:space="preserve"> (and Initiation of PrEP)</w:t>
            </w:r>
          </w:p>
        </w:tc>
        <w:tc>
          <w:tcPr>
            <w:tcW w:w="3303" w:type="dxa"/>
            <w:gridSpan w:val="2"/>
            <w:vAlign w:val="bottom"/>
          </w:tcPr>
          <w:p w14:paraId="3A184801" w14:textId="44DCE75C" w:rsidR="003F2F5B" w:rsidRPr="00783571" w:rsidRDefault="00522EFF" w:rsidP="00D05643">
            <w:pPr>
              <w:pStyle w:val="TableHeaders"/>
              <w:keepNext/>
              <w:spacing w:before="60" w:after="60"/>
              <w:rPr>
                <w:szCs w:val="18"/>
              </w:rPr>
            </w:pPr>
            <w:r w:rsidRPr="00783571">
              <w:rPr>
                <w:szCs w:val="18"/>
              </w:rPr>
              <w:t>D</w:t>
            </w:r>
            <w:r w:rsidR="003F2F5B" w:rsidRPr="00783571">
              <w:rPr>
                <w:szCs w:val="18"/>
              </w:rPr>
              <w:t>ifferent than</w:t>
            </w:r>
            <w:r w:rsidRPr="00783571">
              <w:rPr>
                <w:szCs w:val="18"/>
              </w:rPr>
              <w:t xml:space="preserve"> SQ </w:t>
            </w:r>
            <w:r w:rsidR="00232B80" w:rsidRPr="00783571">
              <w:rPr>
                <w:szCs w:val="18"/>
              </w:rPr>
              <w:t>Rates When Using</w:t>
            </w:r>
          </w:p>
        </w:tc>
      </w:tr>
      <w:tr w:rsidR="003F2F5B" w:rsidRPr="00783571" w14:paraId="6C1EDDD4" w14:textId="6EC17A9E" w:rsidTr="00260D8A">
        <w:trPr>
          <w:cnfStyle w:val="100000000000" w:firstRow="1" w:lastRow="0" w:firstColumn="0" w:lastColumn="0" w:oddVBand="0" w:evenVBand="0" w:oddHBand="0" w:evenHBand="0" w:firstRowFirstColumn="0" w:firstRowLastColumn="0" w:lastRowFirstColumn="0" w:lastRowLastColumn="0"/>
          <w:tblHeader/>
        </w:trPr>
        <w:tc>
          <w:tcPr>
            <w:tcW w:w="5816" w:type="dxa"/>
            <w:vMerge/>
            <w:vAlign w:val="bottom"/>
          </w:tcPr>
          <w:p w14:paraId="0AF7FFA0" w14:textId="52CE5A62" w:rsidR="003F2F5B" w:rsidRPr="00783571" w:rsidRDefault="003F2F5B" w:rsidP="00D05643">
            <w:pPr>
              <w:pStyle w:val="TableHeaders"/>
              <w:keepNext/>
              <w:spacing w:before="60" w:after="60"/>
              <w:rPr>
                <w:szCs w:val="18"/>
              </w:rPr>
            </w:pPr>
          </w:p>
        </w:tc>
        <w:tc>
          <w:tcPr>
            <w:tcW w:w="1651" w:type="dxa"/>
            <w:tcBorders>
              <w:top w:val="single" w:sz="6" w:space="0" w:color="auto"/>
            </w:tcBorders>
            <w:vAlign w:val="bottom"/>
          </w:tcPr>
          <w:p w14:paraId="2D02E442" w14:textId="3AA93EE0" w:rsidR="003F2F5B" w:rsidRPr="00783571" w:rsidRDefault="003F2F5B" w:rsidP="00D05643">
            <w:pPr>
              <w:pStyle w:val="TableHeaders"/>
              <w:keepNext/>
              <w:spacing w:before="60" w:after="60"/>
              <w:rPr>
                <w:szCs w:val="18"/>
              </w:rPr>
            </w:pPr>
            <w:r w:rsidRPr="00783571">
              <w:rPr>
                <w:szCs w:val="18"/>
              </w:rPr>
              <w:t>Interval-</w:t>
            </w:r>
            <w:r w:rsidR="00232B80" w:rsidRPr="00783571">
              <w:rPr>
                <w:szCs w:val="18"/>
              </w:rPr>
              <w:t>Based Testing Method</w:t>
            </w:r>
          </w:p>
        </w:tc>
        <w:tc>
          <w:tcPr>
            <w:tcW w:w="1652" w:type="dxa"/>
            <w:tcBorders>
              <w:top w:val="single" w:sz="6" w:space="0" w:color="auto"/>
            </w:tcBorders>
            <w:vAlign w:val="bottom"/>
          </w:tcPr>
          <w:p w14:paraId="0F89E647" w14:textId="06CE5070" w:rsidR="003F2F5B" w:rsidRPr="00783571" w:rsidRDefault="003F2F5B" w:rsidP="00D05643">
            <w:pPr>
              <w:pStyle w:val="TableHeaders"/>
              <w:keepNext/>
              <w:spacing w:before="60" w:after="60"/>
              <w:rPr>
                <w:szCs w:val="18"/>
              </w:rPr>
            </w:pPr>
            <w:r w:rsidRPr="00783571">
              <w:rPr>
                <w:szCs w:val="18"/>
              </w:rPr>
              <w:t>Allocation-</w:t>
            </w:r>
            <w:r w:rsidR="00232B80" w:rsidRPr="00783571">
              <w:rPr>
                <w:szCs w:val="18"/>
              </w:rPr>
              <w:t>Based Method</w:t>
            </w:r>
          </w:p>
        </w:tc>
      </w:tr>
      <w:tr w:rsidR="003F2F5B" w:rsidRPr="00783571" w14:paraId="41D3C192" w14:textId="6B020EF6" w:rsidTr="00260D8A">
        <w:tc>
          <w:tcPr>
            <w:tcW w:w="5816" w:type="dxa"/>
            <w:tcBorders>
              <w:top w:val="single" w:sz="6" w:space="0" w:color="auto"/>
              <w:bottom w:val="single" w:sz="4" w:space="0" w:color="808080" w:themeColor="background1" w:themeShade="80"/>
            </w:tcBorders>
          </w:tcPr>
          <w:p w14:paraId="2F3B8F3B" w14:textId="1AE5139B" w:rsidR="003F2F5B" w:rsidRPr="00783571" w:rsidRDefault="003F2F5B" w:rsidP="00D05643">
            <w:pPr>
              <w:pStyle w:val="TableText"/>
              <w:keepNext/>
              <w:tabs>
                <w:tab w:val="left" w:pos="4009"/>
              </w:tabs>
            </w:pPr>
            <w:r w:rsidRPr="00783571">
              <w:t>Testing rates</w:t>
            </w:r>
            <w:r w:rsidR="007D3F30" w:rsidRPr="00783571">
              <w:br/>
              <w:t>(</w:t>
            </w:r>
            <w:r w:rsidRPr="00783571">
              <w:t xml:space="preserve">which affect the </w:t>
            </w:r>
            <w:r w:rsidRPr="00783571">
              <w:rPr>
                <w:i/>
                <w:iCs/>
              </w:rPr>
              <w:t>r</w:t>
            </w:r>
            <w:r w:rsidR="00E628BE" w:rsidRPr="00783571">
              <w:t> = </w:t>
            </w:r>
            <w:r w:rsidRPr="00783571">
              <w:t xml:space="preserve">1 to </w:t>
            </w:r>
            <w:r w:rsidRPr="00783571">
              <w:rPr>
                <w:i/>
                <w:iCs/>
              </w:rPr>
              <w:t>r</w:t>
            </w:r>
            <w:r w:rsidR="00E628BE" w:rsidRPr="00783571">
              <w:t> = </w:t>
            </w:r>
            <w:r w:rsidRPr="00783571">
              <w:t xml:space="preserve">2 and </w:t>
            </w:r>
            <w:r w:rsidRPr="00783571">
              <w:rPr>
                <w:i/>
                <w:iCs/>
              </w:rPr>
              <w:t>r</w:t>
            </w:r>
            <w:r w:rsidR="00E628BE" w:rsidRPr="00783571">
              <w:t> = </w:t>
            </w:r>
            <w:r w:rsidRPr="00783571">
              <w:t xml:space="preserve">1 to </w:t>
            </w:r>
            <w:r w:rsidRPr="00783571">
              <w:rPr>
                <w:i/>
                <w:iCs/>
              </w:rPr>
              <w:t>r</w:t>
            </w:r>
            <w:r w:rsidR="00E628BE" w:rsidRPr="00783571">
              <w:t> = </w:t>
            </w:r>
            <w:r w:rsidRPr="00783571">
              <w:t>3 transitions</w:t>
            </w:r>
            <w:r w:rsidR="007D3F30" w:rsidRPr="00783571">
              <w:t>)</w:t>
            </w:r>
          </w:p>
        </w:tc>
        <w:tc>
          <w:tcPr>
            <w:tcW w:w="1651" w:type="dxa"/>
            <w:tcBorders>
              <w:top w:val="single" w:sz="6" w:space="0" w:color="auto"/>
              <w:bottom w:val="single" w:sz="4" w:space="0" w:color="808080" w:themeColor="background1" w:themeShade="80"/>
            </w:tcBorders>
          </w:tcPr>
          <w:p w14:paraId="66BFBFFC" w14:textId="5C60BA3B" w:rsidR="003F2F5B" w:rsidRPr="00783571" w:rsidRDefault="003F2F5B" w:rsidP="00D05643">
            <w:pPr>
              <w:pStyle w:val="TableText"/>
              <w:keepNext/>
              <w:tabs>
                <w:tab w:val="left" w:pos="4009"/>
              </w:tabs>
              <w:jc w:val="center"/>
            </w:pPr>
            <w:r w:rsidRPr="00783571">
              <w:t>X (for HETs only)</w:t>
            </w:r>
          </w:p>
        </w:tc>
        <w:tc>
          <w:tcPr>
            <w:tcW w:w="1652" w:type="dxa"/>
            <w:tcBorders>
              <w:top w:val="single" w:sz="6" w:space="0" w:color="auto"/>
              <w:bottom w:val="single" w:sz="4" w:space="0" w:color="808080" w:themeColor="background1" w:themeShade="80"/>
            </w:tcBorders>
          </w:tcPr>
          <w:p w14:paraId="4904E6E8" w14:textId="032B1D96" w:rsidR="003F2F5B" w:rsidRPr="00783571" w:rsidRDefault="003F2F5B" w:rsidP="00D05643">
            <w:pPr>
              <w:pStyle w:val="TableText"/>
              <w:keepNext/>
              <w:tabs>
                <w:tab w:val="left" w:pos="4009"/>
              </w:tabs>
              <w:jc w:val="center"/>
            </w:pPr>
            <w:r w:rsidRPr="00783571">
              <w:t>X</w:t>
            </w:r>
          </w:p>
        </w:tc>
      </w:tr>
      <w:tr w:rsidR="003F2F5B" w:rsidRPr="00783571" w14:paraId="197592DC" w14:textId="5C1B2F91" w:rsidTr="00260D8A">
        <w:tc>
          <w:tcPr>
            <w:tcW w:w="5816" w:type="dxa"/>
            <w:tcBorders>
              <w:top w:val="single" w:sz="4" w:space="0" w:color="808080" w:themeColor="background1" w:themeShade="80"/>
              <w:bottom w:val="single" w:sz="4" w:space="0" w:color="808080" w:themeColor="background1" w:themeShade="80"/>
            </w:tcBorders>
          </w:tcPr>
          <w:p w14:paraId="00C60546" w14:textId="76203540" w:rsidR="003F2F5B" w:rsidRPr="00783571" w:rsidRDefault="003F2F5B" w:rsidP="00D05643">
            <w:pPr>
              <w:pStyle w:val="TableText"/>
              <w:keepNext/>
              <w:tabs>
                <w:tab w:val="left" w:pos="4009"/>
              </w:tabs>
            </w:pPr>
            <w:r w:rsidRPr="00783571">
              <w:t xml:space="preserve">Probability of linkage to </w:t>
            </w:r>
            <w:r w:rsidR="003C0141" w:rsidRPr="00783571">
              <w:t xml:space="preserve">HIV </w:t>
            </w:r>
            <w:r w:rsidRPr="00783571">
              <w:t>care at diagnosis</w:t>
            </w:r>
            <w:r w:rsidR="007D3F30" w:rsidRPr="00783571">
              <w:br/>
              <w:t>(</w:t>
            </w:r>
            <w:r w:rsidRPr="00783571">
              <w:t xml:space="preserve">which affects </w:t>
            </w:r>
            <w:r w:rsidRPr="00783571">
              <w:rPr>
                <w:i/>
                <w:iCs/>
              </w:rPr>
              <w:t>r</w:t>
            </w:r>
            <w:r w:rsidR="00E628BE" w:rsidRPr="00783571">
              <w:t> = </w:t>
            </w:r>
            <w:r w:rsidRPr="00783571">
              <w:t xml:space="preserve">1 to </w:t>
            </w:r>
            <w:r w:rsidRPr="00783571">
              <w:rPr>
                <w:i/>
                <w:iCs/>
              </w:rPr>
              <w:t>r</w:t>
            </w:r>
            <w:r w:rsidR="00E628BE" w:rsidRPr="00783571">
              <w:t> = </w:t>
            </w:r>
            <w:r w:rsidRPr="00783571">
              <w:t xml:space="preserve">2 and </w:t>
            </w:r>
            <w:r w:rsidRPr="00783571">
              <w:rPr>
                <w:i/>
                <w:iCs/>
              </w:rPr>
              <w:t>r</w:t>
            </w:r>
            <w:r w:rsidR="00E628BE" w:rsidRPr="00783571">
              <w:t> = </w:t>
            </w:r>
            <w:r w:rsidRPr="00783571">
              <w:t xml:space="preserve">1 to </w:t>
            </w:r>
            <w:r w:rsidRPr="00783571">
              <w:rPr>
                <w:i/>
                <w:iCs/>
              </w:rPr>
              <w:t>r</w:t>
            </w:r>
            <w:r w:rsidR="00E628BE" w:rsidRPr="00783571">
              <w:t> = </w:t>
            </w:r>
            <w:r w:rsidRPr="00783571">
              <w:t>3 transitions</w:t>
            </w:r>
            <w:r w:rsidR="007D3F30" w:rsidRPr="00783571">
              <w:t>)</w:t>
            </w:r>
          </w:p>
        </w:tc>
        <w:tc>
          <w:tcPr>
            <w:tcW w:w="1651" w:type="dxa"/>
            <w:tcBorders>
              <w:top w:val="single" w:sz="4" w:space="0" w:color="808080" w:themeColor="background1" w:themeShade="80"/>
              <w:bottom w:val="single" w:sz="4" w:space="0" w:color="808080" w:themeColor="background1" w:themeShade="80"/>
            </w:tcBorders>
          </w:tcPr>
          <w:p w14:paraId="41CC148E" w14:textId="151A9D7E" w:rsidR="003F2F5B" w:rsidRPr="00783571" w:rsidRDefault="003F2F5B" w:rsidP="00D05643">
            <w:pPr>
              <w:pStyle w:val="TableText"/>
              <w:keepNext/>
              <w:tabs>
                <w:tab w:val="left" w:pos="4009"/>
              </w:tabs>
              <w:jc w:val="center"/>
            </w:pPr>
          </w:p>
        </w:tc>
        <w:tc>
          <w:tcPr>
            <w:tcW w:w="1652" w:type="dxa"/>
            <w:tcBorders>
              <w:top w:val="single" w:sz="4" w:space="0" w:color="808080" w:themeColor="background1" w:themeShade="80"/>
              <w:bottom w:val="single" w:sz="4" w:space="0" w:color="808080" w:themeColor="background1" w:themeShade="80"/>
            </w:tcBorders>
          </w:tcPr>
          <w:p w14:paraId="19FCACFD" w14:textId="336819B6" w:rsidR="003F2F5B" w:rsidRPr="00783571" w:rsidRDefault="003F2F5B" w:rsidP="00D05643">
            <w:pPr>
              <w:pStyle w:val="TableText"/>
              <w:keepNext/>
              <w:tabs>
                <w:tab w:val="left" w:pos="4009"/>
              </w:tabs>
              <w:jc w:val="center"/>
            </w:pPr>
            <w:r w:rsidRPr="00783571">
              <w:t>X</w:t>
            </w:r>
          </w:p>
        </w:tc>
      </w:tr>
      <w:tr w:rsidR="003F2F5B" w:rsidRPr="00783571" w14:paraId="71E7CB25" w14:textId="0D851B30" w:rsidTr="00260D8A">
        <w:tc>
          <w:tcPr>
            <w:tcW w:w="5816" w:type="dxa"/>
            <w:tcBorders>
              <w:top w:val="single" w:sz="4" w:space="0" w:color="808080" w:themeColor="background1" w:themeShade="80"/>
              <w:bottom w:val="single" w:sz="4" w:space="0" w:color="808080" w:themeColor="background1" w:themeShade="80"/>
            </w:tcBorders>
          </w:tcPr>
          <w:p w14:paraId="393B2F90" w14:textId="24F1BE26" w:rsidR="003F2F5B" w:rsidRPr="00783571" w:rsidRDefault="00522EFF" w:rsidP="00D05643">
            <w:pPr>
              <w:pStyle w:val="TableText"/>
              <w:keepNext/>
              <w:tabs>
                <w:tab w:val="left" w:pos="4009"/>
              </w:tabs>
              <w:rPr>
                <w:szCs w:val="18"/>
              </w:rPr>
            </w:pPr>
            <w:r w:rsidRPr="00783571">
              <w:rPr>
                <w:szCs w:val="18"/>
              </w:rPr>
              <w:t>Rate of loss of VLS (</w:t>
            </w:r>
            <w:r w:rsidRPr="00783571">
              <w:rPr>
                <w:i/>
                <w:iCs/>
                <w:szCs w:val="18"/>
              </w:rPr>
              <w:t>r</w:t>
            </w:r>
            <w:r w:rsidR="00E628BE" w:rsidRPr="00783571">
              <w:rPr>
                <w:szCs w:val="18"/>
              </w:rPr>
              <w:t> = </w:t>
            </w:r>
            <w:r w:rsidRPr="00783571">
              <w:rPr>
                <w:szCs w:val="18"/>
              </w:rPr>
              <w:t xml:space="preserve">5 to </w:t>
            </w:r>
            <w:r w:rsidRPr="00783571">
              <w:rPr>
                <w:i/>
                <w:iCs/>
                <w:szCs w:val="18"/>
              </w:rPr>
              <w:t>r</w:t>
            </w:r>
            <w:r w:rsidR="00E628BE" w:rsidRPr="00783571">
              <w:rPr>
                <w:szCs w:val="18"/>
              </w:rPr>
              <w:t> = </w:t>
            </w:r>
            <w:r w:rsidRPr="00783571">
              <w:rPr>
                <w:szCs w:val="18"/>
              </w:rPr>
              <w:t>4)</w:t>
            </w:r>
          </w:p>
        </w:tc>
        <w:tc>
          <w:tcPr>
            <w:tcW w:w="1651" w:type="dxa"/>
            <w:tcBorders>
              <w:top w:val="single" w:sz="4" w:space="0" w:color="808080" w:themeColor="background1" w:themeShade="80"/>
              <w:bottom w:val="single" w:sz="4" w:space="0" w:color="808080" w:themeColor="background1" w:themeShade="80"/>
            </w:tcBorders>
          </w:tcPr>
          <w:p w14:paraId="44DC55A0" w14:textId="77777777" w:rsidR="003F2F5B" w:rsidRPr="00783571" w:rsidRDefault="003F2F5B" w:rsidP="00D05643">
            <w:pPr>
              <w:pStyle w:val="TableText"/>
              <w:keepNext/>
              <w:tabs>
                <w:tab w:val="left" w:pos="4009"/>
              </w:tabs>
              <w:jc w:val="center"/>
            </w:pPr>
          </w:p>
        </w:tc>
        <w:tc>
          <w:tcPr>
            <w:tcW w:w="1652" w:type="dxa"/>
            <w:tcBorders>
              <w:top w:val="single" w:sz="4" w:space="0" w:color="808080" w:themeColor="background1" w:themeShade="80"/>
              <w:bottom w:val="single" w:sz="4" w:space="0" w:color="808080" w:themeColor="background1" w:themeShade="80"/>
            </w:tcBorders>
          </w:tcPr>
          <w:p w14:paraId="4670B988" w14:textId="38A03193" w:rsidR="003F2F5B" w:rsidRPr="00783571" w:rsidRDefault="00522EFF" w:rsidP="00D05643">
            <w:pPr>
              <w:pStyle w:val="TableText"/>
              <w:keepNext/>
              <w:tabs>
                <w:tab w:val="left" w:pos="4009"/>
              </w:tabs>
              <w:jc w:val="center"/>
            </w:pPr>
            <w:r w:rsidRPr="00783571">
              <w:t>X</w:t>
            </w:r>
          </w:p>
        </w:tc>
      </w:tr>
      <w:tr w:rsidR="00F940DB" w:rsidRPr="00783571" w14:paraId="26416E30" w14:textId="77777777" w:rsidTr="00260D8A">
        <w:tc>
          <w:tcPr>
            <w:tcW w:w="5816" w:type="dxa"/>
            <w:tcBorders>
              <w:top w:val="single" w:sz="4" w:space="0" w:color="808080" w:themeColor="background1" w:themeShade="80"/>
              <w:bottom w:val="single" w:sz="4" w:space="0" w:color="808080" w:themeColor="background1" w:themeShade="80"/>
            </w:tcBorders>
          </w:tcPr>
          <w:p w14:paraId="4B3A31C2" w14:textId="64E3C40D" w:rsidR="00F940DB" w:rsidRPr="00783571" w:rsidRDefault="00F940DB" w:rsidP="00D05643">
            <w:pPr>
              <w:pStyle w:val="TableTextIndent1"/>
              <w:keepNext/>
              <w:tabs>
                <w:tab w:val="left" w:pos="4009"/>
              </w:tabs>
              <w:ind w:left="0"/>
              <w:rPr>
                <w:szCs w:val="18"/>
              </w:rPr>
            </w:pPr>
            <w:r w:rsidRPr="00783571">
              <w:t>PrEP initiation rate (</w:t>
            </w:r>
            <w:r w:rsidR="00D96458" w:rsidRPr="00783571">
              <w:rPr>
                <w:i/>
                <w:iCs/>
              </w:rPr>
              <w:t>c</w:t>
            </w:r>
            <w:r w:rsidR="00E628BE" w:rsidRPr="00783571">
              <w:t> = </w:t>
            </w:r>
            <w:r w:rsidRPr="00783571">
              <w:t xml:space="preserve">1 to </w:t>
            </w:r>
            <w:r w:rsidR="00D96458" w:rsidRPr="00783571">
              <w:rPr>
                <w:i/>
                <w:iCs/>
              </w:rPr>
              <w:t>c</w:t>
            </w:r>
            <w:r w:rsidR="00E628BE" w:rsidRPr="00783571">
              <w:t> = </w:t>
            </w:r>
            <w:r w:rsidR="00D96458" w:rsidRPr="00783571">
              <w:t>2</w:t>
            </w:r>
            <w:r w:rsidRPr="00783571">
              <w:t>)</w:t>
            </w:r>
          </w:p>
        </w:tc>
        <w:tc>
          <w:tcPr>
            <w:tcW w:w="1651" w:type="dxa"/>
            <w:tcBorders>
              <w:top w:val="single" w:sz="4" w:space="0" w:color="808080" w:themeColor="background1" w:themeShade="80"/>
              <w:bottom w:val="single" w:sz="4" w:space="0" w:color="808080" w:themeColor="background1" w:themeShade="80"/>
            </w:tcBorders>
          </w:tcPr>
          <w:p w14:paraId="1293CE13" w14:textId="77777777" w:rsidR="00F940DB" w:rsidRPr="00783571" w:rsidRDefault="00F940DB" w:rsidP="00D05643">
            <w:pPr>
              <w:pStyle w:val="TableTextIndent1"/>
              <w:keepNext/>
              <w:tabs>
                <w:tab w:val="left" w:pos="4009"/>
              </w:tabs>
              <w:ind w:left="0"/>
              <w:jc w:val="center"/>
            </w:pPr>
          </w:p>
        </w:tc>
        <w:tc>
          <w:tcPr>
            <w:tcW w:w="1652" w:type="dxa"/>
            <w:tcBorders>
              <w:top w:val="single" w:sz="4" w:space="0" w:color="808080" w:themeColor="background1" w:themeShade="80"/>
              <w:bottom w:val="single" w:sz="4" w:space="0" w:color="808080" w:themeColor="background1" w:themeShade="80"/>
            </w:tcBorders>
          </w:tcPr>
          <w:p w14:paraId="4B556646" w14:textId="77777777" w:rsidR="00F940DB" w:rsidRPr="00783571" w:rsidRDefault="00F940DB" w:rsidP="00D05643">
            <w:pPr>
              <w:pStyle w:val="TableTextIndent1"/>
              <w:keepNext/>
              <w:tabs>
                <w:tab w:val="left" w:pos="4009"/>
              </w:tabs>
              <w:ind w:left="0"/>
              <w:jc w:val="center"/>
            </w:pPr>
            <w:r w:rsidRPr="00783571">
              <w:t>X</w:t>
            </w:r>
          </w:p>
        </w:tc>
      </w:tr>
      <w:tr w:rsidR="003F2F5B" w:rsidRPr="00783571" w14:paraId="1AB8A158" w14:textId="12F31FDE" w:rsidTr="00260D8A">
        <w:tc>
          <w:tcPr>
            <w:tcW w:w="5816" w:type="dxa"/>
            <w:tcBorders>
              <w:top w:val="single" w:sz="4" w:space="0" w:color="808080" w:themeColor="background1" w:themeShade="80"/>
              <w:bottom w:val="single" w:sz="12" w:space="0" w:color="auto"/>
            </w:tcBorders>
          </w:tcPr>
          <w:p w14:paraId="3E25F4F0" w14:textId="3D601E85" w:rsidR="003F2F5B" w:rsidRPr="00783571" w:rsidRDefault="003F2F5B" w:rsidP="00D05643">
            <w:pPr>
              <w:pStyle w:val="TableText"/>
              <w:keepNext/>
              <w:tabs>
                <w:tab w:val="left" w:pos="4009"/>
              </w:tabs>
              <w:spacing w:after="80"/>
              <w:rPr>
                <w:szCs w:val="18"/>
              </w:rPr>
            </w:pPr>
            <w:r w:rsidRPr="00783571">
              <w:rPr>
                <w:szCs w:val="18"/>
              </w:rPr>
              <w:t xml:space="preserve">All other </w:t>
            </w:r>
            <w:r w:rsidR="00522EFF" w:rsidRPr="00783571">
              <w:rPr>
                <w:szCs w:val="18"/>
              </w:rPr>
              <w:t xml:space="preserve">rates and probabilities that determine progression along </w:t>
            </w:r>
            <w:r w:rsidR="003F2DC6" w:rsidRPr="00783571">
              <w:rPr>
                <w:szCs w:val="18"/>
              </w:rPr>
              <w:t>care continuum</w:t>
            </w:r>
          </w:p>
        </w:tc>
        <w:tc>
          <w:tcPr>
            <w:tcW w:w="1651" w:type="dxa"/>
            <w:tcBorders>
              <w:top w:val="single" w:sz="4" w:space="0" w:color="808080" w:themeColor="background1" w:themeShade="80"/>
              <w:bottom w:val="single" w:sz="12" w:space="0" w:color="auto"/>
            </w:tcBorders>
          </w:tcPr>
          <w:p w14:paraId="7CDCE815" w14:textId="77777777" w:rsidR="003F2F5B" w:rsidRPr="00783571" w:rsidRDefault="003F2F5B" w:rsidP="00D05643">
            <w:pPr>
              <w:pStyle w:val="TableText"/>
              <w:keepNext/>
              <w:tabs>
                <w:tab w:val="left" w:pos="4009"/>
              </w:tabs>
              <w:spacing w:after="80"/>
              <w:jc w:val="center"/>
              <w:rPr>
                <w:szCs w:val="18"/>
              </w:rPr>
            </w:pPr>
          </w:p>
        </w:tc>
        <w:tc>
          <w:tcPr>
            <w:tcW w:w="1652" w:type="dxa"/>
            <w:tcBorders>
              <w:top w:val="single" w:sz="4" w:space="0" w:color="808080" w:themeColor="background1" w:themeShade="80"/>
              <w:bottom w:val="single" w:sz="12" w:space="0" w:color="auto"/>
            </w:tcBorders>
          </w:tcPr>
          <w:p w14:paraId="141A4A56" w14:textId="33486F27" w:rsidR="003F2F5B" w:rsidRPr="00783571" w:rsidRDefault="003F2F5B" w:rsidP="00D05643">
            <w:pPr>
              <w:pStyle w:val="TableTextIndent1"/>
              <w:keepNext/>
              <w:tabs>
                <w:tab w:val="left" w:pos="4009"/>
              </w:tabs>
              <w:ind w:left="0"/>
              <w:jc w:val="center"/>
              <w:rPr>
                <w:szCs w:val="18"/>
              </w:rPr>
            </w:pPr>
          </w:p>
        </w:tc>
      </w:tr>
    </w:tbl>
    <w:p w14:paraId="440E3886" w14:textId="0182DEB4" w:rsidR="004F4E6D" w:rsidRPr="00783571" w:rsidRDefault="00D06860" w:rsidP="0033192E">
      <w:pPr>
        <w:pStyle w:val="Source1"/>
      </w:pPr>
      <w:r w:rsidRPr="00783571">
        <w:t xml:space="preserve">Note: </w:t>
      </w:r>
      <w:r w:rsidR="00493C88" w:rsidRPr="00783571">
        <w:t>HET</w:t>
      </w:r>
      <w:r w:rsidR="00E628BE" w:rsidRPr="00783571">
        <w:t> = </w:t>
      </w:r>
      <w:r w:rsidR="00493C88" w:rsidRPr="00783571">
        <w:t>heterosexuals</w:t>
      </w:r>
      <w:r w:rsidR="00522EFF" w:rsidRPr="00783571">
        <w:t>; SQ</w:t>
      </w:r>
      <w:r w:rsidR="00E628BE" w:rsidRPr="00783571">
        <w:t> = </w:t>
      </w:r>
      <w:r w:rsidR="00522EFF" w:rsidRPr="00783571">
        <w:t>status quo</w:t>
      </w:r>
      <w:r w:rsidR="00690681" w:rsidRPr="00783571">
        <w:t>; PrEP</w:t>
      </w:r>
      <w:r w:rsidR="00E628BE" w:rsidRPr="00783571">
        <w:t> = </w:t>
      </w:r>
      <w:r w:rsidR="00690681" w:rsidRPr="00783571">
        <w:t>pre-exposure prophylaxis</w:t>
      </w:r>
    </w:p>
    <w:p w14:paraId="0B9CDB43" w14:textId="568EEC5B" w:rsidR="007D3F30" w:rsidRPr="00783571" w:rsidRDefault="00D06860" w:rsidP="00D06860">
      <w:pPr>
        <w:pStyle w:val="Heading4"/>
      </w:pPr>
      <w:r w:rsidRPr="00783571">
        <w:t>Status Quo M</w:t>
      </w:r>
      <w:r w:rsidR="007D3F30" w:rsidRPr="00783571">
        <w:t>ethod</w:t>
      </w:r>
    </w:p>
    <w:p w14:paraId="373705E5" w14:textId="28B36EE9" w:rsidR="007D3F30" w:rsidRPr="00783571" w:rsidRDefault="007D3F30" w:rsidP="0033192E">
      <w:pPr>
        <w:pStyle w:val="BodyText"/>
      </w:pPr>
      <w:r w:rsidRPr="00783571">
        <w:t xml:space="preserve">Under the status quo method, </w:t>
      </w:r>
      <w:r w:rsidR="00EF4C96" w:rsidRPr="00783571">
        <w:t xml:space="preserve">annual </w:t>
      </w:r>
      <w:r w:rsidRPr="00783571">
        <w:t>rates</w:t>
      </w:r>
      <w:r w:rsidR="00EF4C96" w:rsidRPr="00783571">
        <w:t xml:space="preserve"> of progression </w:t>
      </w:r>
      <w:r w:rsidR="00F4015C" w:rsidRPr="00783571">
        <w:t>a</w:t>
      </w:r>
      <w:r w:rsidR="00EF4C96" w:rsidRPr="00783571">
        <w:t>r</w:t>
      </w:r>
      <w:r w:rsidRPr="00783571">
        <w:t>e calculated directly from user-inputted annual probabilities or rates and, in some cases</w:t>
      </w:r>
      <w:r w:rsidR="00D06860" w:rsidRPr="00783571">
        <w:t>,</w:t>
      </w:r>
      <w:r w:rsidRPr="00783571">
        <w:t xml:space="preserve"> relative risk factors by subpopulation or disease stage. If probabilities </w:t>
      </w:r>
      <w:r w:rsidR="00F4015C" w:rsidRPr="00783571">
        <w:t>of transition a</w:t>
      </w:r>
      <w:r w:rsidRPr="00783571">
        <w:t xml:space="preserve">re entered, rates </w:t>
      </w:r>
      <w:r w:rsidR="00F4015C" w:rsidRPr="00783571">
        <w:t>a</w:t>
      </w:r>
      <w:r w:rsidRPr="00783571">
        <w:t>re calculated</w:t>
      </w:r>
      <w:r w:rsidR="00EF4C96" w:rsidRPr="00783571">
        <w:t xml:space="preserve"> by</w:t>
      </w:r>
      <w:r w:rsidRPr="00783571">
        <w:t xml:space="preserve"> using Equation</w:t>
      </w:r>
      <w:r w:rsidR="00EF4C96" w:rsidRPr="00783571">
        <w:t xml:space="preserve"> (5.1).</w:t>
      </w:r>
      <w:r w:rsidR="004F4E6D" w:rsidRPr="00783571">
        <w:t xml:space="preserve"> </w:t>
      </w:r>
      <w:r w:rsidR="00EF4C96" w:rsidRPr="00783571">
        <w:t xml:space="preserve">If relative risk factors apply, they </w:t>
      </w:r>
      <w:r w:rsidR="00F4015C" w:rsidRPr="00783571">
        <w:t>a</w:t>
      </w:r>
      <w:r w:rsidR="00EF4C96" w:rsidRPr="00783571">
        <w:t>re multiplied by the annual rates by subpopulation or disease stage as appropriate. The inputs used to determine progression under the status quo method</w:t>
      </w:r>
      <w:r w:rsidRPr="00783571">
        <w:t xml:space="preserve"> </w:t>
      </w:r>
      <w:r w:rsidR="00CC1362" w:rsidRPr="00783571">
        <w:t xml:space="preserve">are specified in </w:t>
      </w:r>
      <w:r w:rsidR="00871E69" w:rsidRPr="00783571">
        <w:t>Tables </w:t>
      </w:r>
      <w:r w:rsidR="00CC1362" w:rsidRPr="00783571">
        <w:t>5.2 to 5.</w:t>
      </w:r>
      <w:r w:rsidR="00EF4C96" w:rsidRPr="00783571">
        <w:t>6</w:t>
      </w:r>
      <w:r w:rsidR="00946060" w:rsidRPr="00783571">
        <w:t>.</w:t>
      </w:r>
      <w:r w:rsidR="00EF4C96" w:rsidRPr="00783571">
        <w:t xml:space="preserve"> </w:t>
      </w:r>
      <w:r w:rsidR="00946060" w:rsidRPr="00783571">
        <w:t>M</w:t>
      </w:r>
      <w:r w:rsidR="00EF4C96" w:rsidRPr="00783571">
        <w:t xml:space="preserve">any of those </w:t>
      </w:r>
      <w:r w:rsidRPr="00783571">
        <w:t xml:space="preserve">were estimated through a calibration process so that their values resulted in model outcomes </w:t>
      </w:r>
      <w:r w:rsidR="00055E53" w:rsidRPr="00783571">
        <w:t>(</w:t>
      </w:r>
      <w:r w:rsidR="00946060" w:rsidRPr="00783571">
        <w:t>e.g.</w:t>
      </w:r>
      <w:r w:rsidR="00055E53" w:rsidRPr="00783571">
        <w:t>, the percentages of the HIV-infected population that were diagnosed and VLS in both 200</w:t>
      </w:r>
      <w:r w:rsidR="007A2EF7" w:rsidRPr="00783571">
        <w:t>9</w:t>
      </w:r>
      <w:r w:rsidR="00055E53" w:rsidRPr="00783571">
        <w:t xml:space="preserve"> and 201</w:t>
      </w:r>
      <w:r w:rsidR="007A2EF7" w:rsidRPr="00783571">
        <w:t>2</w:t>
      </w:r>
      <w:r w:rsidR="00055E53" w:rsidRPr="00783571">
        <w:t xml:space="preserve"> and the number of new infections in </w:t>
      </w:r>
      <w:r w:rsidR="0033192E" w:rsidRPr="00783571">
        <w:t>2009 and 2013</w:t>
      </w:r>
      <w:r w:rsidR="00055E53" w:rsidRPr="00783571">
        <w:t xml:space="preserve">) that </w:t>
      </w:r>
      <w:r w:rsidR="00C038D1" w:rsidRPr="00783571">
        <w:t xml:space="preserve">closely </w:t>
      </w:r>
      <w:r w:rsidR="00055E53" w:rsidRPr="00783571">
        <w:t>matched surveillance data (CDC</w:t>
      </w:r>
      <w:r w:rsidR="00D06860" w:rsidRPr="00783571">
        <w:t>,</w:t>
      </w:r>
      <w:r w:rsidR="00055E53" w:rsidRPr="00783571">
        <w:t xml:space="preserve"> </w:t>
      </w:r>
      <w:r w:rsidR="00D51F33" w:rsidRPr="00783571">
        <w:t>2015</w:t>
      </w:r>
      <w:r w:rsidR="00D06860" w:rsidRPr="00783571">
        <w:t>, 201</w:t>
      </w:r>
      <w:r w:rsidR="00D51F33" w:rsidRPr="00783571">
        <w:t>4, 2012a</w:t>
      </w:r>
      <w:r w:rsidR="00055E53" w:rsidRPr="00783571">
        <w:t>)</w:t>
      </w:r>
      <w:r w:rsidRPr="00783571">
        <w:t xml:space="preserve">, as outlined in </w:t>
      </w:r>
      <w:r w:rsidR="00CA2896" w:rsidRPr="00783571">
        <w:t>Section </w:t>
      </w:r>
      <w:r w:rsidR="00FB05B5" w:rsidRPr="00783571">
        <w:t>10</w:t>
      </w:r>
      <w:r w:rsidRPr="00783571">
        <w:t>.1.</w:t>
      </w:r>
    </w:p>
    <w:p w14:paraId="611D8C55" w14:textId="7E3DF742" w:rsidR="007D3F30" w:rsidRPr="00783571" w:rsidRDefault="00EF4C96" w:rsidP="00FB05B5">
      <w:pPr>
        <w:pStyle w:val="equation"/>
        <w:rPr>
          <w:lang w:val="en-US"/>
        </w:rPr>
      </w:pPr>
      <w:r w:rsidRPr="00783571">
        <w:rPr>
          <w:lang w:val="en-US"/>
        </w:rPr>
        <w:tab/>
      </w:r>
      <w:r w:rsidR="00FB05B5" w:rsidRPr="00783571">
        <w:rPr>
          <w:lang w:val="en-US"/>
        </w:rPr>
        <w:t xml:space="preserve">Annual rate = </w:t>
      </w:r>
      <w:r w:rsidR="00F113A0" w:rsidRPr="00783571">
        <w:rPr>
          <w:lang w:val="en-US"/>
        </w:rPr>
        <w:t>−</w:t>
      </w:r>
      <w:r w:rsidR="00FB05B5" w:rsidRPr="00783571">
        <w:rPr>
          <w:lang w:val="en-US"/>
        </w:rPr>
        <w:t>ln(1 ‒ Annual probability of transition)</w:t>
      </w:r>
      <w:r w:rsidR="00232B80" w:rsidRPr="00783571">
        <w:rPr>
          <w:lang w:val="en-US"/>
        </w:rPr>
        <w:tab/>
      </w:r>
      <w:r w:rsidRPr="00783571">
        <w:rPr>
          <w:lang w:val="en-US"/>
        </w:rPr>
        <w:t>(5.1)</w:t>
      </w:r>
    </w:p>
    <w:p w14:paraId="3DC30921" w14:textId="7092E33D" w:rsidR="000F420A" w:rsidRPr="00783571" w:rsidRDefault="00055E53" w:rsidP="00E2730B">
      <w:pPr>
        <w:pStyle w:val="BodyText"/>
      </w:pPr>
      <w:r w:rsidRPr="00783571">
        <w:t>We consider the testing rate as an example of how the status quo method is used to calculate one of the steps of progression</w:t>
      </w:r>
      <w:r w:rsidR="0019707E" w:rsidRPr="00783571">
        <w:t>.</w:t>
      </w:r>
      <w:r w:rsidR="00690681" w:rsidRPr="00783571">
        <w:t xml:space="preserve"> </w:t>
      </w:r>
      <w:r w:rsidR="006D7C60" w:rsidRPr="00783571">
        <w:t xml:space="preserve">The eligible testing pool includes all </w:t>
      </w:r>
      <w:r w:rsidR="005F5C70" w:rsidRPr="00783571">
        <w:t>HIV-uninfected</w:t>
      </w:r>
      <w:r w:rsidR="006D7C60" w:rsidRPr="00783571">
        <w:t xml:space="preserve"> and undiagnosed </w:t>
      </w:r>
      <w:r w:rsidR="005F5C70" w:rsidRPr="00783571">
        <w:t>HIV-infected</w:t>
      </w:r>
      <w:r w:rsidR="006D7C60" w:rsidRPr="00783571">
        <w:t xml:space="preserve"> individuals. </w:t>
      </w:r>
      <w:r w:rsidR="00FF381E" w:rsidRPr="00783571">
        <w:t xml:space="preserve">The annual </w:t>
      </w:r>
      <w:r w:rsidR="00333479" w:rsidRPr="00783571">
        <w:t>rates</w:t>
      </w:r>
      <w:r w:rsidR="00FF381E" w:rsidRPr="00783571">
        <w:t xml:space="preserve"> </w:t>
      </w:r>
      <w:r w:rsidR="00F264F4" w:rsidRPr="00783571">
        <w:t>var</w:t>
      </w:r>
      <w:r w:rsidR="00FF381E" w:rsidRPr="00783571">
        <w:t>ied</w:t>
      </w:r>
      <w:r w:rsidR="006D7C60" w:rsidRPr="00783571">
        <w:t xml:space="preserve"> by subpopulation</w:t>
      </w:r>
      <w:r w:rsidR="00186AEF" w:rsidRPr="00783571">
        <w:t xml:space="preserve"> </w:t>
      </w:r>
      <w:r w:rsidR="00186AEF" w:rsidRPr="00783571">
        <w:rPr>
          <w:i/>
        </w:rPr>
        <w:t>p</w:t>
      </w:r>
      <w:r w:rsidR="00FF381E" w:rsidRPr="00783571">
        <w:t xml:space="preserve"> and</w:t>
      </w:r>
      <w:r w:rsidR="006D7C60" w:rsidRPr="00783571">
        <w:t xml:space="preserve"> HIV status</w:t>
      </w:r>
      <w:r w:rsidR="00186AEF" w:rsidRPr="00783571">
        <w:t xml:space="preserve"> </w:t>
      </w:r>
      <w:r w:rsidR="00186AEF" w:rsidRPr="00783571">
        <w:rPr>
          <w:i/>
        </w:rPr>
        <w:t>h</w:t>
      </w:r>
      <w:r w:rsidR="006D7C60" w:rsidRPr="00783571">
        <w:t xml:space="preserve"> (defined by infection status and, if infected, HIV stage</w:t>
      </w:r>
      <w:r w:rsidR="0091705B" w:rsidRPr="00783571">
        <w:t>)</w:t>
      </w:r>
      <w:r w:rsidR="00FF381E" w:rsidRPr="00783571">
        <w:t xml:space="preserve"> and we</w:t>
      </w:r>
      <w:r w:rsidR="0091705B" w:rsidRPr="00783571">
        <w:t xml:space="preserve">re calculated </w:t>
      </w:r>
      <w:r w:rsidR="00F264F4" w:rsidRPr="00783571">
        <w:t xml:space="preserve">as a product of a base </w:t>
      </w:r>
      <w:r w:rsidR="00333479" w:rsidRPr="00783571">
        <w:t xml:space="preserve">rate </w:t>
      </w:r>
      <w:r w:rsidR="00F264F4" w:rsidRPr="00783571">
        <w:t>and multipliers specific to race</w:t>
      </w:r>
      <w:r w:rsidR="00710F65" w:rsidRPr="00783571">
        <w:t>/ethnicity</w:t>
      </w:r>
      <w:r w:rsidR="00F264F4" w:rsidRPr="00783571">
        <w:t>, transmission group, and HIV status</w:t>
      </w:r>
      <w:r w:rsidR="0004696B" w:rsidRPr="00783571">
        <w:t>, as defined by Equation (5.</w:t>
      </w:r>
      <w:r w:rsidR="00EF4C96" w:rsidRPr="00783571">
        <w:t>2</w:t>
      </w:r>
      <w:r w:rsidR="0004696B" w:rsidRPr="00783571">
        <w:t>)</w:t>
      </w:r>
      <w:r w:rsidR="0040328C" w:rsidRPr="00783571">
        <w:t xml:space="preserve">. Both the base </w:t>
      </w:r>
      <w:r w:rsidR="00333479" w:rsidRPr="00783571">
        <w:t>rate</w:t>
      </w:r>
      <w:r w:rsidR="0040328C" w:rsidRPr="00783571">
        <w:t xml:space="preserve"> and the multipliers</w:t>
      </w:r>
      <w:r w:rsidR="00F264F4" w:rsidRPr="00783571">
        <w:t xml:space="preserve"> were estimated through </w:t>
      </w:r>
      <w:r w:rsidR="00C64F7C" w:rsidRPr="00783571">
        <w:t xml:space="preserve">the model’s </w:t>
      </w:r>
      <w:r w:rsidR="00F264F4" w:rsidRPr="00783571">
        <w:t xml:space="preserve">calibration process. The parameters </w:t>
      </w:r>
      <w:r w:rsidR="00FF381E" w:rsidRPr="00783571">
        <w:t>that</w:t>
      </w:r>
      <w:r w:rsidR="00F264F4" w:rsidRPr="00783571">
        <w:t xml:space="preserve"> determine the status quo testing rates</w:t>
      </w:r>
      <w:r w:rsidR="00491F2E" w:rsidRPr="00783571">
        <w:t xml:space="preserve"> in</w:t>
      </w:r>
      <w:r w:rsidR="00F264F4" w:rsidRPr="00783571">
        <w:t xml:space="preserve"> </w:t>
      </w:r>
      <w:r w:rsidR="00E2730B" w:rsidRPr="00783571">
        <w:t>the second and third time periods</w:t>
      </w:r>
      <w:r w:rsidR="00FF381E" w:rsidRPr="00783571">
        <w:t xml:space="preserve"> </w:t>
      </w:r>
      <w:r w:rsidR="00F264F4" w:rsidRPr="00783571">
        <w:t xml:space="preserve">are defined in </w:t>
      </w:r>
      <w:r w:rsidR="00814158" w:rsidRPr="00783571">
        <w:t>Table </w:t>
      </w:r>
      <w:r w:rsidR="00871E69" w:rsidRPr="00783571">
        <w:t>5.</w:t>
      </w:r>
      <w:r w:rsidR="00F264F4" w:rsidRPr="00783571">
        <w:t>2</w:t>
      </w:r>
      <w:r w:rsidR="00051B41" w:rsidRPr="00783571">
        <w:t xml:space="preserve">; the calculated </w:t>
      </w:r>
      <w:r w:rsidR="00333479" w:rsidRPr="00783571">
        <w:t>rates</w:t>
      </w:r>
      <w:r w:rsidR="00051B41" w:rsidRPr="00783571">
        <w:t xml:space="preserve"> based on those parameters are listed in </w:t>
      </w:r>
      <w:r w:rsidR="00814158" w:rsidRPr="00783571">
        <w:t>Table </w:t>
      </w:r>
      <w:r w:rsidR="00871E69" w:rsidRPr="00783571">
        <w:t>5.</w:t>
      </w:r>
      <w:r w:rsidR="00051B41" w:rsidRPr="00783571">
        <w:t>3</w:t>
      </w:r>
      <w:r w:rsidR="00F264F4" w:rsidRPr="00783571">
        <w:t>.</w:t>
      </w:r>
    </w:p>
    <w:p w14:paraId="7E420EBA" w14:textId="19779BB4" w:rsidR="00AF70F7" w:rsidRPr="00783571" w:rsidRDefault="000F17E7" w:rsidP="005222ED">
      <w:pPr>
        <w:pStyle w:val="equation"/>
        <w:jc w:val="center"/>
        <w:rPr>
          <w:lang w:val="en-US"/>
        </w:rPr>
      </w:pPr>
      <m:oMath>
        <m:sSubSup>
          <m:sSubSupPr>
            <m:ctrlPr>
              <w:rPr>
                <w:rFonts w:ascii="Cambria Math" w:hAnsi="Cambria Math"/>
                <w:i/>
                <w:lang w:val="en-US"/>
              </w:rPr>
            </m:ctrlPr>
          </m:sSubSupPr>
          <m:e>
            <m:r>
              <w:rPr>
                <w:rFonts w:ascii="Cambria Math" w:hAnsi="Cambria Math"/>
                <w:lang w:val="en-US"/>
              </w:rPr>
              <m:t>Π</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oMath>
      <w:r w:rsidR="0004696B" w:rsidRPr="00783571">
        <w:rPr>
          <w:lang w:val="en-US"/>
        </w:rPr>
        <w:t xml:space="preserve"> = </w:t>
      </w:r>
      <w:r w:rsidR="0004696B" w:rsidRPr="00783571">
        <w:rPr>
          <w:lang w:val="en-US"/>
        </w:rPr>
        <w:br/>
        <w:t>(</w:t>
      </w:r>
      <w:r w:rsidR="0004696B" w:rsidRPr="00783571">
        <w:rPr>
          <w:i/>
          <w:iCs/>
          <w:lang w:val="en-US"/>
        </w:rPr>
        <w:t>Annual</w:t>
      </w:r>
      <w:r w:rsidR="00AF70F7" w:rsidRPr="00783571">
        <w:rPr>
          <w:i/>
          <w:iCs/>
          <w:lang w:val="en-US"/>
        </w:rPr>
        <w:t xml:space="preserve"> base testing</w:t>
      </w:r>
      <w:r w:rsidR="0004696B" w:rsidRPr="00783571">
        <w:rPr>
          <w:i/>
          <w:iCs/>
          <w:lang w:val="en-US"/>
        </w:rPr>
        <w:t xml:space="preserve"> rate of HIV-infected individual</w:t>
      </w:r>
      <w:r w:rsidR="00AF70F7" w:rsidRPr="00783571">
        <w:rPr>
          <w:i/>
          <w:iCs/>
          <w:lang w:val="en-US"/>
        </w:rPr>
        <w:t>s</w:t>
      </w:r>
      <w:r w:rsidR="0004696B" w:rsidRPr="00783571">
        <w:rPr>
          <w:i/>
          <w:iCs/>
          <w:lang w:val="en-US"/>
        </w:rPr>
        <w:t xml:space="preserve"> </w:t>
      </w:r>
      <w:r w:rsidR="00AF70F7" w:rsidRPr="00783571">
        <w:rPr>
          <w:i/>
          <w:iCs/>
          <w:lang w:val="en-US"/>
        </w:rPr>
        <w:t>who are HET, Black, CD4 &gt; 500 at t</w:t>
      </w:r>
      <w:r w:rsidR="0004696B" w:rsidRPr="00783571">
        <w:rPr>
          <w:lang w:val="en-US"/>
        </w:rPr>
        <w:t xml:space="preserve">) </w:t>
      </w:r>
      <w:r w:rsidR="0004696B" w:rsidRPr="00783571">
        <w:rPr>
          <w:lang w:val="en-US"/>
        </w:rPr>
        <w:br/>
        <w:t>x (</w:t>
      </w:r>
      <w:r w:rsidR="0004696B" w:rsidRPr="00783571">
        <w:rPr>
          <w:i/>
          <w:iCs/>
          <w:lang w:val="en-US"/>
        </w:rPr>
        <w:t>HIV-status testing multiplier</w:t>
      </w:r>
      <w:r w:rsidR="0004696B" w:rsidRPr="00783571">
        <w:rPr>
          <w:vertAlign w:val="subscript"/>
          <w:lang w:val="en-US"/>
        </w:rPr>
        <w:t>c</w:t>
      </w:r>
      <w:r w:rsidR="00AF70F7" w:rsidRPr="00783571">
        <w:rPr>
          <w:lang w:val="en-US"/>
        </w:rPr>
        <w:t xml:space="preserve"> at time </w:t>
      </w:r>
      <w:r w:rsidR="00AF70F7" w:rsidRPr="00783571">
        <w:rPr>
          <w:i/>
          <w:lang w:val="en-US"/>
        </w:rPr>
        <w:t>t</w:t>
      </w:r>
      <w:r w:rsidR="0004696B" w:rsidRPr="00783571">
        <w:rPr>
          <w:lang w:val="en-US"/>
        </w:rPr>
        <w:t xml:space="preserve">) </w:t>
      </w:r>
      <w:r w:rsidR="0004696B" w:rsidRPr="00783571">
        <w:rPr>
          <w:lang w:val="en-US"/>
        </w:rPr>
        <w:br/>
        <w:t>x (Race/ethnicity testing multiplier</w:t>
      </w:r>
      <w:r w:rsidR="0004696B" w:rsidRPr="00783571">
        <w:rPr>
          <w:vertAlign w:val="subscript"/>
          <w:lang w:val="en-US"/>
        </w:rPr>
        <w:t>p</w:t>
      </w:r>
      <w:r w:rsidR="00AF70F7" w:rsidRPr="00783571">
        <w:rPr>
          <w:lang w:val="en-US"/>
        </w:rPr>
        <w:t xml:space="preserve"> at time </w:t>
      </w:r>
      <w:r w:rsidR="00AF70F7" w:rsidRPr="00783571">
        <w:rPr>
          <w:i/>
          <w:lang w:val="en-US"/>
        </w:rPr>
        <w:t>t</w:t>
      </w:r>
      <w:r w:rsidR="0004696B" w:rsidRPr="00783571">
        <w:rPr>
          <w:lang w:val="en-US"/>
        </w:rPr>
        <w:t xml:space="preserve">) </w:t>
      </w:r>
      <w:r w:rsidR="0004696B" w:rsidRPr="00783571">
        <w:rPr>
          <w:lang w:val="en-US"/>
        </w:rPr>
        <w:br/>
        <w:t>x (Transmission group testing multiplier</w:t>
      </w:r>
      <w:r w:rsidR="00AF70F7" w:rsidRPr="00783571">
        <w:rPr>
          <w:vertAlign w:val="subscript"/>
          <w:lang w:val="en-US"/>
        </w:rPr>
        <w:t>p</w:t>
      </w:r>
      <w:r w:rsidR="0004696B" w:rsidRPr="00783571">
        <w:rPr>
          <w:lang w:val="en-US"/>
        </w:rPr>
        <w:t>),</w:t>
      </w:r>
    </w:p>
    <w:p w14:paraId="473BEA4F" w14:textId="215B6AF4" w:rsidR="0004696B" w:rsidRPr="00783571" w:rsidRDefault="00AF70F7" w:rsidP="00EF4C96">
      <w:pPr>
        <w:pStyle w:val="equation"/>
        <w:rPr>
          <w:lang w:val="en-US"/>
        </w:rPr>
      </w:pPr>
      <w:r w:rsidRPr="00783571">
        <w:rPr>
          <w:lang w:val="en-US"/>
        </w:rPr>
        <w:tab/>
      </w:r>
      <w:r w:rsidR="0004696B" w:rsidRPr="00783571">
        <w:rPr>
          <w:lang w:val="en-US"/>
        </w:rPr>
        <w:t xml:space="preserve">for </w:t>
      </w:r>
      <w:r w:rsidR="0004696B" w:rsidRPr="00783571">
        <w:rPr>
          <w:i/>
          <w:lang w:val="en-US"/>
        </w:rPr>
        <w:t>c</w:t>
      </w:r>
      <w:r w:rsidR="0004696B" w:rsidRPr="00783571">
        <w:rPr>
          <w:lang w:val="en-US"/>
        </w:rPr>
        <w:t xml:space="preserve"> = {</w:t>
      </w:r>
      <w:r w:rsidR="00425360" w:rsidRPr="00783571">
        <w:rPr>
          <w:lang w:val="en-US"/>
        </w:rPr>
        <w:t>3</w:t>
      </w:r>
      <w:r w:rsidR="0004696B" w:rsidRPr="00783571">
        <w:rPr>
          <w:lang w:val="en-US"/>
        </w:rPr>
        <w:t xml:space="preserve">, </w:t>
      </w:r>
      <w:r w:rsidR="00425360" w:rsidRPr="00783571">
        <w:rPr>
          <w:lang w:val="en-US"/>
        </w:rPr>
        <w:t>6</w:t>
      </w:r>
      <w:r w:rsidR="0004696B" w:rsidRPr="00783571">
        <w:rPr>
          <w:lang w:val="en-US"/>
        </w:rPr>
        <w:t>, 1</w:t>
      </w:r>
      <w:r w:rsidR="00425360" w:rsidRPr="00783571">
        <w:rPr>
          <w:lang w:val="en-US"/>
        </w:rPr>
        <w:t>1</w:t>
      </w:r>
      <w:r w:rsidR="0004696B" w:rsidRPr="00783571">
        <w:rPr>
          <w:lang w:val="en-US"/>
        </w:rPr>
        <w:t>, 1</w:t>
      </w:r>
      <w:r w:rsidR="00425360" w:rsidRPr="00783571">
        <w:rPr>
          <w:lang w:val="en-US"/>
        </w:rPr>
        <w:t>6</w:t>
      </w:r>
      <w:r w:rsidR="0004696B" w:rsidRPr="00783571">
        <w:rPr>
          <w:lang w:val="en-US"/>
        </w:rPr>
        <w:t>, 2</w:t>
      </w:r>
      <w:r w:rsidR="00425360" w:rsidRPr="00783571">
        <w:rPr>
          <w:lang w:val="en-US"/>
        </w:rPr>
        <w:t>1</w:t>
      </w:r>
      <w:r w:rsidR="0004696B" w:rsidRPr="00783571">
        <w:rPr>
          <w:lang w:val="en-US"/>
        </w:rPr>
        <w:t>}</w:t>
      </w:r>
      <w:r w:rsidR="0004696B" w:rsidRPr="00783571">
        <w:rPr>
          <w:rFonts w:eastAsiaTheme="minorHAnsi"/>
          <w:lang w:val="en-US"/>
        </w:rPr>
        <w:tab/>
        <w:t>(5.</w:t>
      </w:r>
      <w:r w:rsidR="00EF4C96" w:rsidRPr="00783571">
        <w:rPr>
          <w:rFonts w:eastAsiaTheme="minorHAnsi"/>
          <w:lang w:val="en-US"/>
        </w:rPr>
        <w:t>2</w:t>
      </w:r>
      <w:r w:rsidR="0004696B" w:rsidRPr="00783571">
        <w:rPr>
          <w:rFonts w:eastAsiaTheme="minorHAnsi"/>
          <w:lang w:val="en-US"/>
        </w:rPr>
        <w:t>)</w:t>
      </w:r>
    </w:p>
    <w:p w14:paraId="6098B289" w14:textId="77777777" w:rsidR="0004696B" w:rsidRPr="00783571" w:rsidRDefault="0004696B" w:rsidP="0004696B">
      <w:pPr>
        <w:pStyle w:val="BodyText"/>
      </w:pPr>
      <w:r w:rsidRPr="00783571">
        <w:t>where</w:t>
      </w:r>
    </w:p>
    <w:p w14:paraId="5D0629CE" w14:textId="7ED24E7B" w:rsidR="0004696B" w:rsidRPr="00783571" w:rsidRDefault="000F17E7" w:rsidP="005222ED">
      <w:pPr>
        <w:pStyle w:val="bullets"/>
      </w:pPr>
      <m:oMath>
        <m:sSubSup>
          <m:sSubSupPr>
            <m:ctrlPr>
              <w:rPr>
                <w:rFonts w:ascii="Cambria Math" w:hAnsi="Cambria Math"/>
              </w:rPr>
            </m:ctrlPr>
          </m:sSubSupPr>
          <m:e>
            <m:r>
              <w:rPr>
                <w:rFonts w:ascii="Cambria Math" w:hAnsi="Cambria Math"/>
              </w:rPr>
              <m:t>Π</m:t>
            </m:r>
          </m:e>
          <m:sub>
            <m:r>
              <w:rPr>
                <w:rFonts w:ascii="Cambria Math" w:hAnsi="Cambria Math"/>
              </w:rPr>
              <m:t>p</m:t>
            </m:r>
          </m:sub>
          <m:sup>
            <m:r>
              <w:rPr>
                <w:rFonts w:ascii="Cambria Math" w:hAnsi="Cambria Math"/>
              </w:rPr>
              <m:t>c</m:t>
            </m:r>
          </m:sup>
        </m:sSubSup>
        <m:r>
          <m:rPr>
            <m:sty m:val="p"/>
          </m:rPr>
          <w:rPr>
            <w:rFonts w:ascii="Cambria Math" w:hAnsi="Cambria Math"/>
          </w:rPr>
          <m:t>(</m:t>
        </m:r>
        <m:r>
          <w:rPr>
            <w:rFonts w:ascii="Cambria Math" w:hAnsi="Cambria Math"/>
          </w:rPr>
          <m:t>t</m:t>
        </m:r>
        <m:r>
          <m:rPr>
            <m:sty m:val="p"/>
          </m:rPr>
          <w:rPr>
            <w:rFonts w:ascii="Cambria Math" w:hAnsi="Cambria Math"/>
          </w:rPr>
          <m:t>)</m:t>
        </m:r>
      </m:oMath>
      <w:r w:rsidR="0004696B" w:rsidRPr="00783571">
        <w:t xml:space="preserve"> = </w:t>
      </w:r>
      <w:r w:rsidR="00D06860" w:rsidRPr="00783571">
        <w:t>r</w:t>
      </w:r>
      <w:r w:rsidR="0004696B" w:rsidRPr="00783571">
        <w:t xml:space="preserve">ate of testing of undiagnosed individuals in compartment </w:t>
      </w:r>
      <w:r w:rsidR="0004696B" w:rsidRPr="00783571">
        <w:rPr>
          <w:i/>
          <w:iCs/>
        </w:rPr>
        <w:t>c</w:t>
      </w:r>
      <w:r w:rsidR="0004696B" w:rsidRPr="00783571">
        <w:t xml:space="preserve">, at time </w:t>
      </w:r>
      <w:r w:rsidR="0004696B" w:rsidRPr="00783571">
        <w:rPr>
          <w:i/>
          <w:iCs/>
        </w:rPr>
        <w:t>t</w:t>
      </w:r>
      <w:r w:rsidR="0004696B" w:rsidRPr="00783571">
        <w:t xml:space="preserve">, by demographic subpopulation </w:t>
      </w:r>
      <w:r w:rsidR="0004696B" w:rsidRPr="00783571">
        <w:rPr>
          <w:i/>
          <w:iCs/>
        </w:rPr>
        <w:t>p</w:t>
      </w:r>
      <w:r w:rsidR="00D06860" w:rsidRPr="00783571">
        <w:t>.</w:t>
      </w:r>
    </w:p>
    <w:p w14:paraId="0F3AF602" w14:textId="355122FB" w:rsidR="004F4E6D" w:rsidRPr="00783571" w:rsidRDefault="00955284" w:rsidP="00955284">
      <w:pPr>
        <w:pStyle w:val="Heading4"/>
      </w:pPr>
      <w:r w:rsidRPr="00783571">
        <w:t xml:space="preserve">HET </w:t>
      </w:r>
      <w:r w:rsidR="00D06860" w:rsidRPr="00783571">
        <w:t>I</w:t>
      </w:r>
      <w:r w:rsidRPr="00783571">
        <w:t>nterval-</w:t>
      </w:r>
      <w:r w:rsidR="002F7220" w:rsidRPr="00783571">
        <w:t>B</w:t>
      </w:r>
      <w:r w:rsidRPr="00783571">
        <w:t xml:space="preserve">ased </w:t>
      </w:r>
      <w:r w:rsidR="00D06860" w:rsidRPr="00783571">
        <w:t>T</w:t>
      </w:r>
      <w:r w:rsidRPr="00783571">
        <w:t xml:space="preserve">esting </w:t>
      </w:r>
      <w:r w:rsidR="00D06860" w:rsidRPr="00783571">
        <w:t>M</w:t>
      </w:r>
      <w:r w:rsidRPr="00783571">
        <w:t>ethod</w:t>
      </w:r>
    </w:p>
    <w:p w14:paraId="3E2EE6B7" w14:textId="77777777" w:rsidR="0016571A" w:rsidRPr="00783571" w:rsidRDefault="00955284" w:rsidP="00E2730B">
      <w:pPr>
        <w:pStyle w:val="BodyText"/>
      </w:pPr>
      <w:r w:rsidRPr="00783571">
        <w:t xml:space="preserve">The HET interval-based testing method applies user-inputted testing intervals for </w:t>
      </w:r>
      <w:r w:rsidR="00073E1A" w:rsidRPr="00783571">
        <w:t xml:space="preserve">high-risk </w:t>
      </w:r>
      <w:r w:rsidRPr="00783571">
        <w:t>HETs</w:t>
      </w:r>
      <w:r w:rsidR="00073E1A" w:rsidRPr="00783571">
        <w:t xml:space="preserve"> and low-risk HETs separately</w:t>
      </w:r>
      <w:r w:rsidRPr="00783571">
        <w:t xml:space="preserve"> </w:t>
      </w:r>
      <w:r w:rsidR="00E2730B" w:rsidRPr="00783571">
        <w:t>in the third time period only</w:t>
      </w:r>
      <w:r w:rsidRPr="00783571">
        <w:t>. Otherwise all progression for other stages, subpopulations, and time periods is the same as under the status quo method</w:t>
      </w:r>
      <w:r w:rsidR="00D06860" w:rsidRPr="00783571">
        <w:t>.</w:t>
      </w:r>
      <w:r w:rsidRPr="00783571">
        <w:t xml:space="preserve"> Under </w:t>
      </w:r>
      <w:r w:rsidR="003E4E9D" w:rsidRPr="00783571">
        <w:t xml:space="preserve">the </w:t>
      </w:r>
      <w:r w:rsidR="00C2733D" w:rsidRPr="00783571">
        <w:t xml:space="preserve">HET interval-based testing </w:t>
      </w:r>
      <w:r w:rsidRPr="00783571">
        <w:t>method, testing</w:t>
      </w:r>
      <w:r w:rsidR="00186AEF" w:rsidRPr="00783571">
        <w:t xml:space="preserve"> rates</w:t>
      </w:r>
      <w:r w:rsidRPr="00783571">
        <w:t xml:space="preserve"> for HETs are calculated</w:t>
      </w:r>
      <w:r w:rsidR="00186AEF" w:rsidRPr="00783571">
        <w:t xml:space="preserve"> based on testing intervals using </w:t>
      </w:r>
      <w:r w:rsidR="005B0687" w:rsidRPr="00783571">
        <w:t>E</w:t>
      </w:r>
      <w:r w:rsidR="00186AEF" w:rsidRPr="00783571">
        <w:t>quation</w:t>
      </w:r>
      <w:r w:rsidR="00C83FAA" w:rsidRPr="00783571">
        <w:t>s</w:t>
      </w:r>
      <w:r w:rsidR="00186AEF" w:rsidRPr="00783571">
        <w:t xml:space="preserve"> </w:t>
      </w:r>
      <w:r w:rsidR="008B30F8" w:rsidRPr="00783571">
        <w:t>(</w:t>
      </w:r>
      <w:r w:rsidR="005B0687" w:rsidRPr="00783571">
        <w:t>5</w:t>
      </w:r>
      <w:r w:rsidR="00C277F4" w:rsidRPr="00783571">
        <w:t>.</w:t>
      </w:r>
      <w:r w:rsidR="00EF4C96" w:rsidRPr="00783571">
        <w:t>3</w:t>
      </w:r>
      <w:r w:rsidR="008B30F8" w:rsidRPr="00783571">
        <w:t>)</w:t>
      </w:r>
      <w:r w:rsidR="00C83FAA" w:rsidRPr="00783571">
        <w:t xml:space="preserve"> and (5.4)</w:t>
      </w:r>
      <w:r w:rsidR="00186AEF" w:rsidRPr="00783571">
        <w:t>.</w:t>
      </w:r>
      <w:r w:rsidR="00E837EA" w:rsidRPr="00783571">
        <w:t xml:space="preserve"> </w:t>
      </w:r>
      <w:r w:rsidR="00186AEF" w:rsidRPr="00783571">
        <w:t xml:space="preserve">It is applied only for certain model scenarios during the </w:t>
      </w:r>
      <w:r w:rsidR="00E2730B" w:rsidRPr="00783571">
        <w:t>third time period</w:t>
      </w:r>
      <w:r w:rsidR="00186AEF" w:rsidRPr="00783571">
        <w:t xml:space="preserve"> to the subpopulations </w:t>
      </w:r>
      <w:r w:rsidR="00186AEF" w:rsidRPr="00783571">
        <w:rPr>
          <w:i/>
        </w:rPr>
        <w:t xml:space="preserve">p </w:t>
      </w:r>
      <w:r w:rsidR="008C3821" w:rsidRPr="00783571">
        <w:t>that</w:t>
      </w:r>
      <w:r w:rsidR="00186AEF" w:rsidRPr="00783571">
        <w:t xml:space="preserve"> </w:t>
      </w:r>
      <w:r w:rsidR="008A504B" w:rsidRPr="00783571">
        <w:t xml:space="preserve">are </w:t>
      </w:r>
      <w:r w:rsidR="00186AEF" w:rsidRPr="00783571">
        <w:t xml:space="preserve">HETs; all other subpopulations </w:t>
      </w:r>
      <w:r w:rsidR="00186AEF" w:rsidRPr="00783571">
        <w:rPr>
          <w:i/>
        </w:rPr>
        <w:t xml:space="preserve">p </w:t>
      </w:r>
      <w:r w:rsidR="00186AEF" w:rsidRPr="00783571">
        <w:t xml:space="preserve">remain at the status quo testing rates. </w:t>
      </w:r>
      <w:r w:rsidR="007A508A" w:rsidRPr="00783571">
        <w:t>Symptomatic testing is also included</w:t>
      </w:r>
      <w:r w:rsidR="0000199B" w:rsidRPr="00783571">
        <w:t xml:space="preserve"> under this method</w:t>
      </w:r>
      <w:r w:rsidR="007A508A" w:rsidRPr="00783571">
        <w:t xml:space="preserve"> for HETs with AIDS (CD4</w:t>
      </w:r>
      <w:r w:rsidR="00D15040" w:rsidRPr="00783571">
        <w:t xml:space="preserve"> </w:t>
      </w:r>
      <w:r w:rsidR="007A508A" w:rsidRPr="00783571">
        <w:t>≥</w:t>
      </w:r>
      <w:r w:rsidR="00D15040" w:rsidRPr="00783571">
        <w:t xml:space="preserve"> </w:t>
      </w:r>
      <w:r w:rsidR="007A508A" w:rsidRPr="00783571">
        <w:t>200).</w:t>
      </w:r>
    </w:p>
    <w:p w14:paraId="2462884C" w14:textId="4A37C2EE" w:rsidR="00202678" w:rsidRPr="00783571" w:rsidRDefault="0091705B" w:rsidP="00E2730B">
      <w:pPr>
        <w:pStyle w:val="BodyText"/>
      </w:pPr>
      <w:r w:rsidRPr="00783571">
        <w:t>The method</w:t>
      </w:r>
      <w:r w:rsidR="006D7C60" w:rsidRPr="00783571">
        <w:t xml:space="preserve"> implicitly assumes that</w:t>
      </w:r>
      <w:r w:rsidR="007A508A" w:rsidRPr="00783571">
        <w:t xml:space="preserve"> for </w:t>
      </w:r>
      <w:r w:rsidR="00073E1A" w:rsidRPr="00783571">
        <w:t>the high-risk and low-risk HETs</w:t>
      </w:r>
      <w:r w:rsidR="007A508A" w:rsidRPr="00783571">
        <w:t xml:space="preserve"> tested at the rates determined by the intervals (versus symptomatic testing, explained in detail below),</w:t>
      </w:r>
      <w:r w:rsidR="006D7C60" w:rsidRPr="00783571">
        <w:t xml:space="preserve"> </w:t>
      </w:r>
      <w:r w:rsidR="00B9184A" w:rsidRPr="00783571">
        <w:t>(a) </w:t>
      </w:r>
      <w:r w:rsidR="008A504B" w:rsidRPr="00783571">
        <w:t>testing rates are independent of race/ethnicity</w:t>
      </w:r>
      <w:r w:rsidR="002F7220" w:rsidRPr="00783571">
        <w:t xml:space="preserve">; </w:t>
      </w:r>
      <w:r w:rsidR="00B9184A" w:rsidRPr="00783571">
        <w:t>(b) </w:t>
      </w:r>
      <w:r w:rsidR="008A504B" w:rsidRPr="00783571">
        <w:t>with the exception of individuals with AIDS (CD4</w:t>
      </w:r>
      <w:r w:rsidR="002F7220" w:rsidRPr="00783571">
        <w:t xml:space="preserve"> </w:t>
      </w:r>
      <w:r w:rsidR="008A504B" w:rsidRPr="00783571">
        <w:t>≥</w:t>
      </w:r>
      <w:r w:rsidR="002F7220" w:rsidRPr="00783571">
        <w:t xml:space="preserve"> </w:t>
      </w:r>
      <w:r w:rsidR="008A504B" w:rsidRPr="00783571">
        <w:t xml:space="preserve">200), </w:t>
      </w:r>
      <w:r w:rsidR="006D7C60" w:rsidRPr="00783571">
        <w:t>testing rates are independent of HIV status</w:t>
      </w:r>
      <w:r w:rsidR="002F7220" w:rsidRPr="00783571">
        <w:t xml:space="preserve">; </w:t>
      </w:r>
      <w:r w:rsidR="00B9184A" w:rsidRPr="00783571">
        <w:t>(c) </w:t>
      </w:r>
      <w:r w:rsidR="006D7C60" w:rsidRPr="00783571">
        <w:t>each year</w:t>
      </w:r>
      <w:r w:rsidR="002F7220" w:rsidRPr="00783571">
        <w:t>,</w:t>
      </w:r>
      <w:r w:rsidR="006D7C60" w:rsidRPr="00783571">
        <w:t xml:space="preserve"> a portion of the population is compliant with </w:t>
      </w:r>
      <w:r w:rsidR="00E15DD0" w:rsidRPr="00783571">
        <w:t xml:space="preserve">screening </w:t>
      </w:r>
      <w:r w:rsidR="006D7C60" w:rsidRPr="00783571">
        <w:t>at the specified interval</w:t>
      </w:r>
      <w:r w:rsidR="00304B71" w:rsidRPr="00783571">
        <w:t xml:space="preserve"> (that portion is &lt; 100% for all intervals except under the no</w:t>
      </w:r>
      <w:r w:rsidR="002F7220" w:rsidRPr="00783571">
        <w:t>-</w:t>
      </w:r>
      <w:r w:rsidR="00304B71" w:rsidRPr="00783571">
        <w:t>screening scenario, in which no non-symptomatic testing is done</w:t>
      </w:r>
      <w:r w:rsidR="002F7220" w:rsidRPr="00783571">
        <w:t xml:space="preserve">); </w:t>
      </w:r>
      <w:r w:rsidR="006D7C60" w:rsidRPr="00783571">
        <w:t xml:space="preserve">and </w:t>
      </w:r>
      <w:r w:rsidR="0038147D" w:rsidRPr="00783571">
        <w:t>(</w:t>
      </w:r>
      <w:r w:rsidR="008A504B" w:rsidRPr="00783571">
        <w:t>d</w:t>
      </w:r>
      <w:r w:rsidR="00D81284" w:rsidRPr="00783571">
        <w:t>) </w:t>
      </w:r>
      <w:r w:rsidR="006D7C60" w:rsidRPr="00783571">
        <w:t xml:space="preserve">the remaining noncompliant portion of the population is </w:t>
      </w:r>
      <w:r w:rsidR="00E15DD0" w:rsidRPr="00783571">
        <w:t xml:space="preserve">screened </w:t>
      </w:r>
      <w:r w:rsidR="005C7CE8" w:rsidRPr="00783571">
        <w:t>on average once every 20 years</w:t>
      </w:r>
      <w:r w:rsidR="006D7C60" w:rsidRPr="00783571">
        <w:t>.</w:t>
      </w:r>
      <w:r w:rsidR="00902957" w:rsidRPr="00783571">
        <w:t xml:space="preserve"> </w:t>
      </w:r>
      <w:r w:rsidR="00186AEF" w:rsidRPr="00783571">
        <w:t>T</w:t>
      </w:r>
      <w:r w:rsidR="00AE176E" w:rsidRPr="00783571">
        <w:t xml:space="preserve">he model allows scenarios to be run </w:t>
      </w:r>
      <w:r w:rsidR="0038147D" w:rsidRPr="00783571">
        <w:t>that</w:t>
      </w:r>
      <w:r w:rsidR="00AE176E" w:rsidRPr="00783571">
        <w:t xml:space="preserve"> include an outreach </w:t>
      </w:r>
      <w:r w:rsidR="008A504B" w:rsidRPr="00783571">
        <w:t xml:space="preserve">testing </w:t>
      </w:r>
      <w:r w:rsidR="00AE176E" w:rsidRPr="00783571">
        <w:t xml:space="preserve">intervention </w:t>
      </w:r>
      <w:r w:rsidR="002B270F" w:rsidRPr="00783571">
        <w:t xml:space="preserve">to increase the portion of the eligible population </w:t>
      </w:r>
      <w:r w:rsidR="00E15DD0" w:rsidRPr="00783571">
        <w:t xml:space="preserve">screened </w:t>
      </w:r>
      <w:r w:rsidR="002B270F" w:rsidRPr="00783571">
        <w:t xml:space="preserve">at the specified intervals. </w:t>
      </w:r>
      <w:r w:rsidR="00051B41" w:rsidRPr="00783571">
        <w:t>Relevant</w:t>
      </w:r>
      <w:r w:rsidR="00502BD6" w:rsidRPr="00783571">
        <w:t xml:space="preserve"> parameter values are included in </w:t>
      </w:r>
      <w:r w:rsidR="00814158" w:rsidRPr="00783571">
        <w:t>Table </w:t>
      </w:r>
      <w:r w:rsidR="00871E69" w:rsidRPr="00783571">
        <w:t>5.</w:t>
      </w:r>
      <w:r w:rsidR="00051B41" w:rsidRPr="00783571">
        <w:t>4</w:t>
      </w:r>
      <w:r w:rsidR="00502BD6" w:rsidRPr="00783571">
        <w:t>.</w:t>
      </w:r>
      <w:r w:rsidR="00C83FAA" w:rsidRPr="00783571">
        <w:t xml:space="preserve"> Equation (5.3) describes the calculation of </w:t>
      </w:r>
      <w:r w:rsidR="00E15DD0" w:rsidRPr="00783571">
        <w:t>screening</w:t>
      </w:r>
      <w:r w:rsidR="00C83FAA" w:rsidRPr="00783571">
        <w:t xml:space="preserve"> rates for undiagnosed HIV-infected people without AIDS (CD4</w:t>
      </w:r>
      <w:r w:rsidR="002F7220" w:rsidRPr="00783571">
        <w:t xml:space="preserve"> </w:t>
      </w:r>
      <w:r w:rsidR="00C83FAA" w:rsidRPr="00783571">
        <w:t>≥</w:t>
      </w:r>
      <w:r w:rsidR="002F7220" w:rsidRPr="00783571">
        <w:t xml:space="preserve"> </w:t>
      </w:r>
      <w:r w:rsidR="00C83FAA" w:rsidRPr="00783571">
        <w:t>200) when using the HET interval-based testing method.</w:t>
      </w:r>
    </w:p>
    <w:p w14:paraId="7313975C" w14:textId="39E378DC" w:rsidR="005B0687" w:rsidRPr="00783571" w:rsidRDefault="00D81284" w:rsidP="00A16C51">
      <w:pPr>
        <w:pStyle w:val="equation"/>
        <w:rPr>
          <w:lang w:val="en-US"/>
        </w:rPr>
      </w:pPr>
      <w:r w:rsidRPr="00783571">
        <w:rPr>
          <w:lang w:val="en-US"/>
        </w:rPr>
        <w:tab/>
      </w:r>
      <m:oMath>
        <m:sSubSup>
          <m:sSubSupPr>
            <m:ctrlPr>
              <w:rPr>
                <w:rFonts w:ascii="Cambria Math" w:hAnsi="Cambria Math"/>
                <w:i/>
                <w:lang w:val="en-US"/>
              </w:rPr>
            </m:ctrlPr>
          </m:sSubSupPr>
          <m:e>
            <m:r>
              <w:rPr>
                <w:rFonts w:ascii="Cambria Math" w:hAnsi="Cambria Math"/>
                <w:lang w:val="en-US"/>
              </w:rPr>
              <m:t>π</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12</m:t>
            </m:r>
          </m:num>
          <m:den>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p</m:t>
                </m:r>
              </m:sub>
            </m:sSub>
          </m:den>
        </m:f>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p</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12</m:t>
            </m:r>
          </m:num>
          <m:den>
            <m:r>
              <w:rPr>
                <w:rFonts w:ascii="Cambria Math" w:hAnsi="Cambria Math"/>
                <w:lang w:val="en-US"/>
              </w:rPr>
              <m:t>240</m:t>
            </m:r>
          </m:den>
        </m:f>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1-K</m:t>
                </m:r>
              </m:e>
              <m:sub>
                <m:r>
                  <w:rPr>
                    <w:rFonts w:ascii="Cambria Math" w:hAnsi="Cambria Math"/>
                    <w:lang w:val="en-US"/>
                  </w:rPr>
                  <m:t>p</m:t>
                </m:r>
              </m:sub>
            </m:sSub>
          </m:e>
        </m:d>
        <m:r>
          <w:rPr>
            <w:rFonts w:ascii="Cambria Math" w:hAnsi="Cambria Math"/>
            <w:lang w:val="en-US"/>
          </w:rPr>
          <m:t xml:space="preserve"> </m:t>
        </m:r>
      </m:oMath>
      <w:r w:rsidR="00AD2D5C" w:rsidRPr="00783571">
        <w:rPr>
          <w:lang w:val="en-US"/>
        </w:rPr>
        <w:t xml:space="preserve">, for </w:t>
      </w:r>
      <w:r w:rsidR="00AD2D5C" w:rsidRPr="00783571">
        <w:rPr>
          <w:i/>
          <w:lang w:val="en-US"/>
        </w:rPr>
        <w:t>c</w:t>
      </w:r>
      <w:r w:rsidR="00AD2D5C" w:rsidRPr="00783571">
        <w:rPr>
          <w:lang w:val="en-US"/>
        </w:rPr>
        <w:t xml:space="preserve"> = {</w:t>
      </w:r>
      <w:r w:rsidR="005222ED" w:rsidRPr="00783571">
        <w:rPr>
          <w:lang w:val="en-US"/>
        </w:rPr>
        <w:t>3</w:t>
      </w:r>
      <w:r w:rsidR="00425360" w:rsidRPr="00783571">
        <w:rPr>
          <w:lang w:val="en-US"/>
        </w:rPr>
        <w:t>, 6, 11, 16</w:t>
      </w:r>
      <w:r w:rsidR="00AD2D5C" w:rsidRPr="00783571">
        <w:rPr>
          <w:lang w:val="en-US"/>
        </w:rPr>
        <w:t xml:space="preserve">}, </w:t>
      </w:r>
      <w:r w:rsidRPr="00783571">
        <w:rPr>
          <w:lang w:val="en-US"/>
        </w:rPr>
        <w:br/>
      </w:r>
      <w:r w:rsidRPr="00783571">
        <w:rPr>
          <w:i/>
          <w:lang w:val="en-US"/>
        </w:rPr>
        <w:tab/>
      </w:r>
      <w:r w:rsidR="00AD2D5C" w:rsidRPr="00783571">
        <w:rPr>
          <w:i/>
          <w:lang w:val="en-US"/>
        </w:rPr>
        <w:t>t</w:t>
      </w:r>
      <w:r w:rsidR="00AD2D5C" w:rsidRPr="00783571">
        <w:rPr>
          <w:lang w:val="en-US"/>
        </w:rPr>
        <w:t xml:space="preserve"> ≥ </w:t>
      </w:r>
      <w:r w:rsidR="00A16C51" w:rsidRPr="00783571">
        <w:rPr>
          <w:lang w:val="en-US"/>
        </w:rPr>
        <w:t>third time period</w:t>
      </w:r>
      <w:r w:rsidR="00AD2D5C" w:rsidRPr="00783571">
        <w:rPr>
          <w:lang w:val="en-US"/>
        </w:rPr>
        <w:t xml:space="preserve">, </w:t>
      </w:r>
      <w:r w:rsidR="00AD2D5C" w:rsidRPr="00783571">
        <w:rPr>
          <w:i/>
          <w:lang w:val="en-US"/>
        </w:rPr>
        <w:t>p</w:t>
      </w:r>
      <w:r w:rsidR="00AD2D5C" w:rsidRPr="00783571">
        <w:rPr>
          <w:lang w:val="en-US"/>
        </w:rPr>
        <w:t xml:space="preserve"> = </w:t>
      </w:r>
      <w:r w:rsidR="00073E1A" w:rsidRPr="00783571">
        <w:rPr>
          <w:lang w:val="en-US"/>
        </w:rPr>
        <w:t xml:space="preserve">{High-risk </w:t>
      </w:r>
      <w:r w:rsidR="00AD2D5C" w:rsidRPr="00783571">
        <w:rPr>
          <w:lang w:val="en-US"/>
        </w:rPr>
        <w:t>HET</w:t>
      </w:r>
      <w:r w:rsidR="00AF0A19" w:rsidRPr="00783571">
        <w:rPr>
          <w:lang w:val="en-US"/>
        </w:rPr>
        <w:t xml:space="preserve"> and low-risk HET subpopulations</w:t>
      </w:r>
      <w:r w:rsidR="00073E1A" w:rsidRPr="00783571">
        <w:rPr>
          <w:lang w:val="en-US"/>
        </w:rPr>
        <w:t>}</w:t>
      </w:r>
      <w:r w:rsidRPr="00783571">
        <w:rPr>
          <w:rFonts w:eastAsiaTheme="minorHAnsi"/>
          <w:lang w:val="en-US"/>
        </w:rPr>
        <w:tab/>
      </w:r>
      <w:r w:rsidR="005B0687" w:rsidRPr="00783571">
        <w:rPr>
          <w:rFonts w:eastAsiaTheme="minorHAnsi"/>
          <w:lang w:val="en-US"/>
        </w:rPr>
        <w:t>(5</w:t>
      </w:r>
      <w:r w:rsidR="00C277F4" w:rsidRPr="00783571">
        <w:rPr>
          <w:rFonts w:eastAsiaTheme="minorHAnsi"/>
          <w:lang w:val="en-US"/>
        </w:rPr>
        <w:t>.</w:t>
      </w:r>
      <w:r w:rsidR="00EF4C96" w:rsidRPr="00783571">
        <w:rPr>
          <w:rFonts w:eastAsiaTheme="minorHAnsi"/>
          <w:lang w:val="en-US"/>
        </w:rPr>
        <w:t>3</w:t>
      </w:r>
      <w:r w:rsidR="005B0687" w:rsidRPr="00783571">
        <w:rPr>
          <w:rFonts w:eastAsiaTheme="minorHAnsi"/>
          <w:lang w:val="en-US"/>
        </w:rPr>
        <w:t>)</w:t>
      </w:r>
    </w:p>
    <w:p w14:paraId="51A296C3" w14:textId="77777777" w:rsidR="003C3728" w:rsidRPr="00783571" w:rsidRDefault="00D81284" w:rsidP="00D05643">
      <w:pPr>
        <w:pStyle w:val="BodyText"/>
        <w:keepNext/>
      </w:pPr>
      <w:r w:rsidRPr="00783571">
        <w:t>where</w:t>
      </w:r>
    </w:p>
    <w:p w14:paraId="677117A0" w14:textId="6373AB63" w:rsidR="004F4E6D" w:rsidRPr="00783571" w:rsidRDefault="000F17E7" w:rsidP="00AF70F7">
      <w:pPr>
        <w:pStyle w:val="bullets"/>
      </w:pPr>
      <m:oMath>
        <m:sSub>
          <m:sSubPr>
            <m:ctrlPr>
              <w:rPr>
                <w:rFonts w:ascii="Cambria Math" w:hAnsi="Cambria Math"/>
              </w:rPr>
            </m:ctrlPr>
          </m:sSubPr>
          <m:e>
            <m:r>
              <w:rPr>
                <w:rFonts w:ascii="Cambria Math" w:hAnsi="Cambria Math"/>
              </w:rPr>
              <m:t>N</m:t>
            </m:r>
          </m:e>
          <m:sub>
            <m:r>
              <w:rPr>
                <w:rFonts w:ascii="Cambria Math" w:hAnsi="Cambria Math"/>
              </w:rPr>
              <m:t>p</m:t>
            </m:r>
          </m:sub>
        </m:sSub>
      </m:oMath>
      <w:r w:rsidR="00AD2D5C" w:rsidRPr="00783571">
        <w:t xml:space="preserve"> = </w:t>
      </w:r>
      <w:r w:rsidR="00D06860" w:rsidRPr="00783571">
        <w:t>a</w:t>
      </w:r>
      <w:r w:rsidR="00AD2D5C" w:rsidRPr="00783571">
        <w:t xml:space="preserve">verage interval between tests in months by subpopulation </w:t>
      </w:r>
      <w:r w:rsidR="00AD2D5C" w:rsidRPr="00783571">
        <w:rPr>
          <w:i/>
          <w:iCs/>
        </w:rPr>
        <w:t>p</w:t>
      </w:r>
      <w:r w:rsidR="00D06860" w:rsidRPr="00783571">
        <w:t>, and</w:t>
      </w:r>
    </w:p>
    <w:p w14:paraId="44952878" w14:textId="65E8A3BE" w:rsidR="00AD2D5C" w:rsidRPr="00783571" w:rsidRDefault="000F17E7" w:rsidP="00C0054E">
      <w:pPr>
        <w:pStyle w:val="bullets"/>
      </w:pPr>
      <m:oMath>
        <m:sSub>
          <m:sSubPr>
            <m:ctrlPr>
              <w:rPr>
                <w:rFonts w:ascii="Cambria Math" w:hAnsi="Cambria Math"/>
              </w:rPr>
            </m:ctrlPr>
          </m:sSubPr>
          <m:e>
            <m:r>
              <w:rPr>
                <w:rFonts w:ascii="Cambria Math" w:hAnsi="Cambria Math"/>
              </w:rPr>
              <m:t>K</m:t>
            </m:r>
          </m:e>
          <m:sub>
            <m:r>
              <w:rPr>
                <w:rFonts w:ascii="Cambria Math" w:hAnsi="Cambria Math"/>
              </w:rPr>
              <m:t>p</m:t>
            </m:r>
          </m:sub>
        </m:sSub>
      </m:oMath>
      <w:r w:rsidR="00AD2D5C" w:rsidRPr="00783571">
        <w:t xml:space="preserve">= </w:t>
      </w:r>
      <w:r w:rsidR="00D06860" w:rsidRPr="00783571">
        <w:t>p</w:t>
      </w:r>
      <w:r w:rsidR="004164CC" w:rsidRPr="00783571">
        <w:t>ercent</w:t>
      </w:r>
      <w:r w:rsidR="00AF70F7" w:rsidRPr="00783571">
        <w:t>age</w:t>
      </w:r>
      <w:r w:rsidR="004164CC" w:rsidRPr="00783571">
        <w:t xml:space="preserve"> of subpopulation </w:t>
      </w:r>
      <w:r w:rsidR="004164CC" w:rsidRPr="00783571">
        <w:rPr>
          <w:i/>
          <w:iCs/>
        </w:rPr>
        <w:t>p</w:t>
      </w:r>
      <w:r w:rsidR="004164CC" w:rsidRPr="00783571">
        <w:t xml:space="preserve"> compliant</w:t>
      </w:r>
      <w:r w:rsidR="00AD2D5C" w:rsidRPr="00783571">
        <w:t xml:space="preserve"> with te</w:t>
      </w:r>
      <w:r w:rsidR="004164CC" w:rsidRPr="00783571">
        <w:t>sting at the given interval</w:t>
      </w:r>
      <w:r w:rsidR="00D06860" w:rsidRPr="00783571">
        <w:t>.</w:t>
      </w:r>
    </w:p>
    <w:p w14:paraId="7DB6D6DE" w14:textId="77777777" w:rsidR="0016571A" w:rsidRPr="00783571" w:rsidRDefault="00E837EA" w:rsidP="002F7220">
      <w:pPr>
        <w:pStyle w:val="BodyText"/>
      </w:pPr>
      <w:r w:rsidRPr="00783571">
        <w:t>F</w:t>
      </w:r>
      <w:r w:rsidR="00C83FAA" w:rsidRPr="00783571">
        <w:t>or undiagnosed HIV-infected people with AIDS (CD4</w:t>
      </w:r>
      <w:r w:rsidR="002F7220" w:rsidRPr="00783571">
        <w:t xml:space="preserve"> </w:t>
      </w:r>
      <w:r w:rsidR="00C83FAA" w:rsidRPr="00783571">
        <w:t>&lt;</w:t>
      </w:r>
      <w:r w:rsidR="002F7220" w:rsidRPr="00783571">
        <w:t xml:space="preserve"> </w:t>
      </w:r>
      <w:r w:rsidR="00C83FAA" w:rsidRPr="00783571">
        <w:t>200)</w:t>
      </w:r>
      <w:r w:rsidRPr="00783571">
        <w:t xml:space="preserve">, </w:t>
      </w:r>
      <w:r w:rsidR="00C83FAA" w:rsidRPr="00783571">
        <w:t>the HET interval-based testing method</w:t>
      </w:r>
      <w:r w:rsidRPr="00783571">
        <w:t xml:space="preserve"> also considers symptomatic testing by assuming that if the testing rate for HIV-infected people with AIDS (CD4</w:t>
      </w:r>
      <w:r w:rsidR="002F7220" w:rsidRPr="00783571">
        <w:t xml:space="preserve"> </w:t>
      </w:r>
      <w:r w:rsidRPr="00783571">
        <w:t>&lt;</w:t>
      </w:r>
      <w:r w:rsidR="002F7220" w:rsidRPr="00783571">
        <w:t xml:space="preserve"> </w:t>
      </w:r>
      <w:r w:rsidRPr="00783571">
        <w:t>200) under the status quo method is greater than the rate determined by the</w:t>
      </w:r>
      <w:r w:rsidR="00F40048" w:rsidRPr="00783571">
        <w:t xml:space="preserve"> specified interval, then the testing rate determined by the status quo method is applied. Equation (5.4) reflects this assumption.</w:t>
      </w:r>
    </w:p>
    <w:p w14:paraId="147C5A38" w14:textId="2855C6C2" w:rsidR="00F40048" w:rsidRPr="00783571" w:rsidRDefault="00C83FAA" w:rsidP="002F7220">
      <w:pPr>
        <w:pStyle w:val="equation"/>
        <w:rPr>
          <w:lang w:val="en-US"/>
        </w:rPr>
      </w:pPr>
      <w:r w:rsidRPr="00783571">
        <w:rPr>
          <w:lang w:val="en-US"/>
        </w:rPr>
        <w:tab/>
      </w:r>
      <m:oMath>
        <m:sSubSup>
          <m:sSubSupPr>
            <m:ctrlPr>
              <w:rPr>
                <w:rFonts w:ascii="Cambria Math" w:hAnsi="Cambria Math"/>
                <w:lang w:val="en-US"/>
              </w:rPr>
            </m:ctrlPr>
          </m:sSubSupPr>
          <m:e>
            <m:r>
              <w:rPr>
                <w:rFonts w:ascii="Cambria Math" w:hAnsi="Cambria Math"/>
                <w:lang w:val="en-US"/>
              </w:rPr>
              <m:t>π</m:t>
            </m:r>
          </m:e>
          <m:sub>
            <m:r>
              <w:rPr>
                <w:rFonts w:ascii="Cambria Math" w:hAnsi="Cambria Math"/>
                <w:lang w:val="en-US"/>
              </w:rPr>
              <m:t>p</m:t>
            </m:r>
          </m:sub>
          <m:sup>
            <m:r>
              <w:rPr>
                <w:rFonts w:ascii="Cambria Math" w:hAnsi="Cambria Math"/>
                <w:lang w:val="en-US"/>
              </w:rPr>
              <m:t>c</m:t>
            </m:r>
          </m:sup>
        </m:sSubSup>
        <m:d>
          <m:dPr>
            <m:ctrlPr>
              <w:rPr>
                <w:rFonts w:ascii="Cambria Math" w:hAnsi="Cambria Math"/>
                <w:lang w:val="en-US"/>
              </w:rPr>
            </m:ctrlPr>
          </m:dPr>
          <m:e>
            <m:r>
              <w:rPr>
                <w:rFonts w:ascii="Cambria Math" w:hAnsi="Cambria Math"/>
                <w:lang w:val="en-US"/>
              </w:rPr>
              <m:t>t</m:t>
            </m:r>
          </m:e>
        </m:d>
      </m:oMath>
      <w:r w:rsidR="00F40048" w:rsidRPr="00783571">
        <w:rPr>
          <w:lang w:val="en-US"/>
        </w:rPr>
        <w:t>= max {</w:t>
      </w:r>
      <m:oMath>
        <m:d>
          <m:dPr>
            <m:begChr m:val="["/>
            <m:endChr m:val="]"/>
            <m:ctrlPr>
              <w:rPr>
                <w:rFonts w:ascii="Cambria Math" w:hAnsi="Cambria Math"/>
                <w:lang w:val="en-US"/>
              </w:rPr>
            </m:ctrlPr>
          </m:dPr>
          <m:e>
            <m:f>
              <m:fPr>
                <m:ctrlPr>
                  <w:rPr>
                    <w:rFonts w:ascii="Cambria Math" w:hAnsi="Cambria Math"/>
                    <w:lang w:val="en-US"/>
                  </w:rPr>
                </m:ctrlPr>
              </m:fPr>
              <m:num>
                <m:r>
                  <m:rPr>
                    <m:sty m:val="p"/>
                  </m:rPr>
                  <w:rPr>
                    <w:rFonts w:ascii="Cambria Math" w:hAnsi="Cambria Math"/>
                    <w:lang w:val="en-US"/>
                  </w:rPr>
                  <m:t>12</m:t>
                </m:r>
              </m:num>
              <m:den>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p</m:t>
                    </m:r>
                  </m:sub>
                </m:sSub>
              </m:den>
            </m:f>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K</m:t>
                </m:r>
              </m:e>
              <m:sub>
                <m:r>
                  <w:rPr>
                    <w:rFonts w:ascii="Cambria Math" w:hAnsi="Cambria Math"/>
                    <w:lang w:val="en-US"/>
                  </w:rPr>
                  <m:t>p</m:t>
                </m:r>
              </m:sub>
            </m:sSub>
            <m:r>
              <m:rPr>
                <m:sty m:val="p"/>
              </m:rPr>
              <w:rPr>
                <w:rFonts w:ascii="Cambria Math" w:hAnsi="Cambria Math"/>
                <w:lang w:val="en-US"/>
              </w:rPr>
              <m:t>+</m:t>
            </m:r>
            <m:f>
              <m:fPr>
                <m:ctrlPr>
                  <w:rPr>
                    <w:rFonts w:ascii="Cambria Math" w:hAnsi="Cambria Math"/>
                    <w:lang w:val="en-US"/>
                  </w:rPr>
                </m:ctrlPr>
              </m:fPr>
              <m:num>
                <m:r>
                  <m:rPr>
                    <m:sty m:val="p"/>
                  </m:rPr>
                  <w:rPr>
                    <w:rFonts w:ascii="Cambria Math" w:hAnsi="Cambria Math"/>
                    <w:lang w:val="en-US"/>
                  </w:rPr>
                  <m:t>12</m:t>
                </m:r>
              </m:num>
              <m:den>
                <m:r>
                  <m:rPr>
                    <m:sty m:val="p"/>
                  </m:rPr>
                  <w:rPr>
                    <w:rFonts w:ascii="Cambria Math" w:hAnsi="Cambria Math"/>
                    <w:lang w:val="en-US"/>
                  </w:rPr>
                  <m:t>240</m:t>
                </m:r>
              </m:den>
            </m:f>
            <m:r>
              <m:rPr>
                <m:sty m:val="p"/>
              </m:rPr>
              <w:rPr>
                <w:rFonts w:ascii="Cambria Math" w:hAnsi="Cambria Math"/>
                <w:lang w:val="en-US"/>
              </w:rPr>
              <m:t>*</m:t>
            </m:r>
            <m:d>
              <m:dPr>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1-</m:t>
                    </m:r>
                    <m:r>
                      <w:rPr>
                        <w:rFonts w:ascii="Cambria Math" w:hAnsi="Cambria Math"/>
                        <w:lang w:val="en-US"/>
                      </w:rPr>
                      <m:t>K</m:t>
                    </m:r>
                  </m:e>
                  <m:sub>
                    <m:r>
                      <w:rPr>
                        <w:rFonts w:ascii="Cambria Math" w:hAnsi="Cambria Math"/>
                        <w:lang w:val="en-US"/>
                      </w:rPr>
                      <m:t>p</m:t>
                    </m:r>
                  </m:sub>
                </m:sSub>
              </m:e>
            </m:d>
            <m:r>
              <w:rPr>
                <w:rFonts w:ascii="Cambria Math" w:hAnsi="Cambria Math"/>
                <w:lang w:val="en-US"/>
              </w:rPr>
              <m:t xml:space="preserve"> </m:t>
            </m:r>
          </m:e>
        </m:d>
        <m:r>
          <m:rPr>
            <m:sty m:val="p"/>
          </m:rPr>
          <w:rPr>
            <w:rFonts w:ascii="Cambria Math" w:hAnsi="Cambria Math"/>
            <w:lang w:val="en-US"/>
          </w:rPr>
          <m:t xml:space="preserve"> </m:t>
        </m:r>
      </m:oMath>
      <w:r w:rsidR="00F40048" w:rsidRPr="00783571">
        <w:rPr>
          <w:lang w:val="en-US"/>
        </w:rPr>
        <w:t>,</w:t>
      </w:r>
    </w:p>
    <w:p w14:paraId="305BBC81" w14:textId="77777777" w:rsidR="0016571A" w:rsidRPr="00783571" w:rsidRDefault="00F40048" w:rsidP="00F40048">
      <w:pPr>
        <w:pStyle w:val="equation"/>
        <w:jc w:val="center"/>
        <w:rPr>
          <w:lang w:val="en-US"/>
        </w:rPr>
      </w:pPr>
      <w:r w:rsidRPr="00783571">
        <w:rPr>
          <w:lang w:val="en-US"/>
        </w:rPr>
        <w:t>[(</w:t>
      </w:r>
      <w:r w:rsidRPr="00783571">
        <w:rPr>
          <w:i/>
          <w:iCs/>
          <w:lang w:val="en-US"/>
        </w:rPr>
        <w:t>Annual base testing rate of HIV-infected individuals who are HET, Black, CD4 &gt; 500 at t</w:t>
      </w:r>
      <w:r w:rsidRPr="00783571">
        <w:rPr>
          <w:lang w:val="en-US"/>
        </w:rPr>
        <w:t xml:space="preserve">) </w:t>
      </w:r>
      <w:r w:rsidRPr="00783571">
        <w:rPr>
          <w:lang w:val="en-US"/>
        </w:rPr>
        <w:br/>
        <w:t>x (</w:t>
      </w:r>
      <w:r w:rsidR="008A504B" w:rsidRPr="00783571">
        <w:rPr>
          <w:i/>
          <w:iCs/>
          <w:lang w:val="en-US"/>
        </w:rPr>
        <w:t>AIDS</w:t>
      </w:r>
      <w:r w:rsidRPr="00783571">
        <w:rPr>
          <w:i/>
          <w:iCs/>
          <w:lang w:val="en-US"/>
        </w:rPr>
        <w:t xml:space="preserve"> testing multiplier</w:t>
      </w:r>
      <w:r w:rsidRPr="00783571">
        <w:rPr>
          <w:lang w:val="en-US"/>
        </w:rPr>
        <w:t xml:space="preserve"> at time </w:t>
      </w:r>
      <w:r w:rsidRPr="00783571">
        <w:rPr>
          <w:i/>
          <w:lang w:val="en-US"/>
        </w:rPr>
        <w:t>t</w:t>
      </w:r>
      <w:r w:rsidRPr="00783571">
        <w:rPr>
          <w:lang w:val="en-US"/>
        </w:rPr>
        <w:t xml:space="preserve">) </w:t>
      </w:r>
      <w:r w:rsidRPr="00783571">
        <w:rPr>
          <w:lang w:val="en-US"/>
        </w:rPr>
        <w:br/>
        <w:t>x (Race/ethnicity testing multiplier</w:t>
      </w:r>
      <w:r w:rsidRPr="00783571">
        <w:rPr>
          <w:vertAlign w:val="subscript"/>
          <w:lang w:val="en-US"/>
        </w:rPr>
        <w:t>p</w:t>
      </w:r>
      <w:r w:rsidRPr="00783571">
        <w:rPr>
          <w:lang w:val="en-US"/>
        </w:rPr>
        <w:t xml:space="preserve"> at time </w:t>
      </w:r>
      <w:r w:rsidRPr="00783571">
        <w:rPr>
          <w:i/>
          <w:lang w:val="en-US"/>
        </w:rPr>
        <w:t>t</w:t>
      </w:r>
      <w:r w:rsidR="008A504B" w:rsidRPr="00783571">
        <w:rPr>
          <w:lang w:val="en-US"/>
        </w:rPr>
        <w:t>)</w:t>
      </w:r>
      <w:r w:rsidRPr="00783571">
        <w:rPr>
          <w:lang w:val="en-US"/>
        </w:rPr>
        <w:t>},</w:t>
      </w:r>
    </w:p>
    <w:p w14:paraId="2E002E27" w14:textId="6A5DED0B" w:rsidR="00C83FAA" w:rsidRPr="00783571" w:rsidRDefault="00C83FAA" w:rsidP="002F7220">
      <w:pPr>
        <w:pStyle w:val="equation"/>
        <w:rPr>
          <w:lang w:val="en-US"/>
        </w:rPr>
      </w:pPr>
      <w:r w:rsidRPr="00783571">
        <w:rPr>
          <w:lang w:val="en-US"/>
        </w:rPr>
        <w:tab/>
      </w:r>
      <w:r w:rsidR="00F40048" w:rsidRPr="00783571">
        <w:rPr>
          <w:lang w:val="en-US"/>
        </w:rPr>
        <w:t xml:space="preserve">for </w:t>
      </w:r>
      <w:r w:rsidR="00F40048" w:rsidRPr="00783571">
        <w:rPr>
          <w:i/>
          <w:lang w:val="en-US"/>
        </w:rPr>
        <w:t>c</w:t>
      </w:r>
      <w:r w:rsidR="00F40048" w:rsidRPr="00783571">
        <w:rPr>
          <w:lang w:val="en-US"/>
        </w:rPr>
        <w:t xml:space="preserve"> = {21}, </w:t>
      </w:r>
      <w:r w:rsidRPr="00783571">
        <w:rPr>
          <w:i/>
          <w:lang w:val="en-US"/>
        </w:rPr>
        <w:t>t</w:t>
      </w:r>
      <w:r w:rsidRPr="00783571">
        <w:rPr>
          <w:lang w:val="en-US"/>
        </w:rPr>
        <w:t xml:space="preserve"> ≥ third </w:t>
      </w:r>
      <w:r w:rsidR="00AC0A66" w:rsidRPr="00783571">
        <w:rPr>
          <w:lang w:val="en-US"/>
        </w:rPr>
        <w:t xml:space="preserve">time </w:t>
      </w:r>
      <w:r w:rsidRPr="00783571">
        <w:rPr>
          <w:lang w:val="en-US"/>
        </w:rPr>
        <w:t xml:space="preserve">period, </w:t>
      </w:r>
      <w:r w:rsidRPr="00783571">
        <w:rPr>
          <w:i/>
          <w:lang w:val="en-US"/>
        </w:rPr>
        <w:t>p</w:t>
      </w:r>
      <w:r w:rsidRPr="00783571">
        <w:rPr>
          <w:lang w:val="en-US"/>
        </w:rPr>
        <w:t xml:space="preserve"> = HET subpopulations only</w:t>
      </w:r>
      <w:r w:rsidRPr="00783571">
        <w:rPr>
          <w:rFonts w:eastAsiaTheme="minorHAnsi"/>
          <w:lang w:val="en-US"/>
        </w:rPr>
        <w:tab/>
        <w:t>(5.4)</w:t>
      </w:r>
    </w:p>
    <w:p w14:paraId="4F87B5EF" w14:textId="556D4C71" w:rsidR="004F4E6D" w:rsidRPr="00783571" w:rsidRDefault="00690681" w:rsidP="00955284">
      <w:pPr>
        <w:pStyle w:val="Heading4"/>
      </w:pPr>
      <w:r w:rsidRPr="00783571">
        <w:t>Allocation-</w:t>
      </w:r>
      <w:r w:rsidR="002F7220" w:rsidRPr="00783571">
        <w:t>B</w:t>
      </w:r>
      <w:r w:rsidRPr="00783571">
        <w:t xml:space="preserve">ased </w:t>
      </w:r>
      <w:r w:rsidR="00955284" w:rsidRPr="00783571">
        <w:t>Method</w:t>
      </w:r>
    </w:p>
    <w:p w14:paraId="67BD0F70" w14:textId="336A4417" w:rsidR="00690681" w:rsidRPr="00783571" w:rsidRDefault="00F4015C" w:rsidP="00E2730B">
      <w:pPr>
        <w:pStyle w:val="BodyText"/>
      </w:pPr>
      <w:r w:rsidRPr="00783571">
        <w:t xml:space="preserve">Using the allocation-based </w:t>
      </w:r>
      <w:r w:rsidR="00690681" w:rsidRPr="00783571">
        <w:t>method</w:t>
      </w:r>
      <w:r w:rsidRPr="00783571">
        <w:t xml:space="preserve">, </w:t>
      </w:r>
      <w:r w:rsidR="006D42FC" w:rsidRPr="00783571">
        <w:t xml:space="preserve">selected </w:t>
      </w:r>
      <w:r w:rsidR="00955284" w:rsidRPr="00783571">
        <w:t>rates and probabilities</w:t>
      </w:r>
      <w:r w:rsidRPr="00783571">
        <w:t xml:space="preserve"> of progression in </w:t>
      </w:r>
      <w:r w:rsidR="00E2730B" w:rsidRPr="00783571">
        <w:t>the third time period</w:t>
      </w:r>
      <w:r w:rsidRPr="00783571">
        <w:t xml:space="preserve"> </w:t>
      </w:r>
      <w:r w:rsidR="006D42FC" w:rsidRPr="00783571">
        <w:t xml:space="preserve">(as specified in </w:t>
      </w:r>
      <w:r w:rsidR="00814158" w:rsidRPr="00783571">
        <w:t>Table </w:t>
      </w:r>
      <w:r w:rsidR="00871E69" w:rsidRPr="00783571">
        <w:t>5.</w:t>
      </w:r>
      <w:r w:rsidR="006D42FC" w:rsidRPr="00783571">
        <w:t xml:space="preserve">7) </w:t>
      </w:r>
      <w:r w:rsidR="00955284" w:rsidRPr="00783571">
        <w:t xml:space="preserve">are determined by </w:t>
      </w:r>
      <w:r w:rsidR="00B9184A" w:rsidRPr="00783571">
        <w:t>(a) </w:t>
      </w:r>
      <w:r w:rsidR="00955284" w:rsidRPr="00783571">
        <w:t xml:space="preserve">base rates of progression without </w:t>
      </w:r>
      <w:r w:rsidR="00E2730B" w:rsidRPr="00783571">
        <w:t>the budget under consideration</w:t>
      </w:r>
      <w:r w:rsidR="00955284" w:rsidRPr="00783571">
        <w:t xml:space="preserve"> and </w:t>
      </w:r>
      <w:r w:rsidR="00B9184A" w:rsidRPr="00783571">
        <w:t>(b) </w:t>
      </w:r>
      <w:r w:rsidR="00955284" w:rsidRPr="00783571">
        <w:t xml:space="preserve">progression that is determined by the levels of funding allocated to a select set of interventions. </w:t>
      </w:r>
      <w:r w:rsidR="00614D37" w:rsidRPr="00783571">
        <w:t xml:space="preserve">It </w:t>
      </w:r>
      <w:r w:rsidR="00690681" w:rsidRPr="00783571">
        <w:t>applies rates calculated using Equation (5.</w:t>
      </w:r>
      <w:r w:rsidR="00C83FAA" w:rsidRPr="00783571">
        <w:t>5</w:t>
      </w:r>
      <w:r w:rsidR="00690681" w:rsidRPr="00783571">
        <w:t xml:space="preserve">). </w:t>
      </w:r>
      <w:r w:rsidR="00B17C55" w:rsidRPr="00783571">
        <w:t xml:space="preserve">All other rates and probabilities (besides the selected set) </w:t>
      </w:r>
      <w:r w:rsidR="00F470E8" w:rsidRPr="00783571">
        <w:t>are the same as under the</w:t>
      </w:r>
      <w:r w:rsidR="00B17C55" w:rsidRPr="00783571">
        <w:t xml:space="preserve"> status quo </w:t>
      </w:r>
      <w:r w:rsidR="00F470E8" w:rsidRPr="00783571">
        <w:t>method</w:t>
      </w:r>
      <w:r w:rsidR="00B17C55" w:rsidRPr="00783571">
        <w:t>.</w:t>
      </w:r>
    </w:p>
    <w:p w14:paraId="34EF6893" w14:textId="4DB28354" w:rsidR="00A30ABA" w:rsidRPr="00783571" w:rsidRDefault="00A3127C" w:rsidP="006146DC">
      <w:pPr>
        <w:pStyle w:val="equation"/>
        <w:rPr>
          <w:lang w:val="en-US"/>
        </w:rPr>
      </w:pPr>
      <w:r w:rsidRPr="00783571">
        <w:rPr>
          <w:lang w:val="en-US"/>
        </w:rPr>
        <w:tab/>
      </w:r>
      <m:oMath>
        <m:sSubSup>
          <m:sSubSupPr>
            <m:ctrlPr>
              <w:rPr>
                <w:rFonts w:ascii="Cambria Math" w:hAnsi="Cambria Math"/>
                <w:lang w:val="en-US"/>
              </w:rPr>
            </m:ctrlPr>
          </m:sSubSupPr>
          <m:e>
            <m:r>
              <m:rPr>
                <m:sty m:val="p"/>
              </m:rPr>
              <w:rPr>
                <w:rFonts w:ascii="Cambria Math" w:eastAsiaTheme="minorEastAsia" w:hAnsi="Cambria Math"/>
                <w:sz w:val="22"/>
                <w:szCs w:val="22"/>
                <w:lang w:val="en-US"/>
              </w:rPr>
              <m:t>ℷ</m:t>
            </m:r>
          </m:e>
          <m:sub>
            <m:r>
              <w:rPr>
                <w:rFonts w:ascii="Cambria Math" w:hAnsi="Cambria Math"/>
                <w:lang w:val="en-US"/>
              </w:rPr>
              <m:t>c</m:t>
            </m:r>
            <m:r>
              <m:rPr>
                <m:sty m:val="p"/>
              </m:rPr>
              <w:rPr>
                <w:rFonts w:ascii="Cambria Math" w:hAnsi="Cambria Math"/>
                <w:lang w:val="en-US"/>
              </w:rPr>
              <m:t>.</m:t>
            </m:r>
            <m:r>
              <w:rPr>
                <w:rFonts w:ascii="Cambria Math" w:hAnsi="Cambria Math"/>
                <w:lang w:val="en-US"/>
              </w:rPr>
              <m:t>p</m:t>
            </m:r>
          </m:sub>
          <m:sup>
            <m:r>
              <w:rPr>
                <w:rFonts w:ascii="Cambria Math" w:hAnsi="Cambria Math"/>
                <w:lang w:val="en-US"/>
              </w:rPr>
              <m:t>j</m:t>
            </m:r>
            <m:r>
              <m:rPr>
                <m:sty m:val="p"/>
              </m:rPr>
              <w:rPr>
                <w:rFonts w:ascii="Cambria Math" w:hAnsi="Cambria Math"/>
                <w:lang w:val="en-US"/>
              </w:rPr>
              <m:t>*</m:t>
            </m:r>
          </m:sup>
        </m:sSubSup>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j</m:t>
                </m:r>
                <m:r>
                  <m:rPr>
                    <m:sty m:val="p"/>
                  </m:rPr>
                  <w:rPr>
                    <w:rFonts w:ascii="Cambria Math" w:hAnsi="Cambria Math"/>
                    <w:lang w:val="en-US"/>
                  </w:rPr>
                  <m:t>*</m:t>
                </m:r>
              </m:sub>
            </m:sSub>
            <m:r>
              <m:rPr>
                <m:sty m:val="p"/>
              </m:rPr>
              <w:rPr>
                <w:rFonts w:ascii="Cambria Math" w:hAnsi="Cambria Math"/>
                <w:lang w:val="en-US"/>
              </w:rPr>
              <m:t>,</m:t>
            </m:r>
            <m:r>
              <m:rPr>
                <m:sty m:val="bi"/>
              </m:rPr>
              <w:rPr>
                <w:rFonts w:ascii="Cambria Math" w:hAnsi="Cambria Math"/>
                <w:lang w:val="en-US"/>
              </w:rPr>
              <m:t>t</m:t>
            </m:r>
          </m:e>
        </m:d>
        <m:r>
          <m:rPr>
            <m:sty m:val="p"/>
          </m:rPr>
          <w:rPr>
            <w:rFonts w:ascii="Cambria Math" w:hAnsi="Cambria Math"/>
            <w:lang w:val="en-US"/>
          </w:rPr>
          <m:t>=</m:t>
        </m:r>
        <m:r>
          <w:rPr>
            <w:rFonts w:ascii="Cambria Math" w:hAnsi="Cambria Math"/>
            <w:lang w:val="en-US"/>
          </w:rPr>
          <m:t>min</m:t>
        </m:r>
        <m:d>
          <m:dPr>
            <m:begChr m:val="["/>
            <m:endChr m:val="]"/>
            <m:ctrlPr>
              <w:rPr>
                <w:rFonts w:ascii="Cambria Math" w:hAnsi="Cambria Math"/>
                <w:lang w:val="en-US"/>
              </w:rPr>
            </m:ctrlPr>
          </m:dPr>
          <m:e>
            <m:sSubSup>
              <m:sSubSupPr>
                <m:ctrlPr>
                  <w:rPr>
                    <w:rFonts w:ascii="Cambria Math" w:hAnsi="Cambria Math"/>
                    <w:lang w:val="en-US"/>
                  </w:rPr>
                </m:ctrlPr>
              </m:sSubSupPr>
              <m:e>
                <m:r>
                  <m:rPr>
                    <m:sty m:val="p"/>
                  </m:rPr>
                  <w:rPr>
                    <w:rFonts w:ascii="Cambria Math" w:hAnsi="Cambria Math"/>
                    <w:lang w:val="en-US"/>
                  </w:rPr>
                  <m:t>ℶ</m:t>
                </m:r>
              </m:e>
              <m:sub>
                <m:r>
                  <w:rPr>
                    <w:rFonts w:ascii="Cambria Math" w:hAnsi="Cambria Math"/>
                    <w:lang w:val="en-US"/>
                  </w:rPr>
                  <m:t>c</m:t>
                </m:r>
                <m:r>
                  <m:rPr>
                    <m:sty m:val="p"/>
                  </m:rPr>
                  <w:rPr>
                    <w:rFonts w:ascii="Cambria Math" w:hAnsi="Cambria Math"/>
                    <w:lang w:val="en-US"/>
                  </w:rPr>
                  <m:t>.</m:t>
                </m:r>
                <m:r>
                  <w:rPr>
                    <w:rFonts w:ascii="Cambria Math" w:hAnsi="Cambria Math"/>
                    <w:lang w:val="en-US"/>
                  </w:rPr>
                  <m:t>p</m:t>
                </m:r>
              </m:sub>
              <m:sup>
                <m:r>
                  <w:rPr>
                    <w:rFonts w:ascii="Cambria Math" w:hAnsi="Cambria Math"/>
                    <w:lang w:val="en-US"/>
                  </w:rPr>
                  <m:t>j</m:t>
                </m:r>
                <m:r>
                  <m:rPr>
                    <m:sty m:val="p"/>
                  </m:rPr>
                  <w:rPr>
                    <w:rFonts w:ascii="Cambria Math" w:hAnsi="Cambria Math"/>
                    <w:lang w:val="en-US"/>
                  </w:rPr>
                  <m:t>*</m:t>
                </m:r>
              </m:sup>
            </m:sSubSup>
            <m:d>
              <m:dPr>
                <m:ctrlPr>
                  <w:rPr>
                    <w:rFonts w:ascii="Cambria Math" w:hAnsi="Cambria Math"/>
                    <w:lang w:val="en-US"/>
                  </w:rPr>
                </m:ctrlPr>
              </m:dPr>
              <m:e>
                <m:r>
                  <m:rPr>
                    <m:sty m:val="bi"/>
                  </m:rPr>
                  <w:rPr>
                    <w:rFonts w:ascii="Cambria Math" w:hAnsi="Cambria Math"/>
                    <w:lang w:val="en-US"/>
                  </w:rPr>
                  <m:t>t</m:t>
                </m:r>
              </m:e>
            </m:d>
            <m:r>
              <m:rPr>
                <m:sty m:val="p"/>
              </m:rPr>
              <w:rPr>
                <w:rFonts w:ascii="Cambria Math" w:hAnsi="Cambria Math"/>
                <w:lang w:val="en-US"/>
              </w:rPr>
              <m:t>+</m:t>
            </m:r>
            <m:sSub>
              <m:sSubPr>
                <m:ctrlPr>
                  <w:rPr>
                    <w:rFonts w:ascii="Cambria Math" w:hAnsi="Cambria Math"/>
                    <w:lang w:val="en-US"/>
                  </w:rPr>
                </m:ctrlPr>
              </m:sSubPr>
              <m:e>
                <m:r>
                  <m:rPr>
                    <m:sty m:val="p"/>
                  </m:rPr>
                  <w:rPr>
                    <w:rFonts w:ascii="Cambria Math" w:hAnsi="Cambria Math"/>
                    <w:lang w:val="en-US"/>
                  </w:rPr>
                  <m:t>Σ</m:t>
                </m:r>
              </m:e>
              <m:sub>
                <m:r>
                  <w:rPr>
                    <w:rFonts w:ascii="Cambria Math" w:hAnsi="Cambria Math"/>
                    <w:lang w:val="en-US"/>
                  </w:rPr>
                  <m:t>j</m:t>
                </m:r>
                <m:r>
                  <m:rPr>
                    <m:sty m:val="p"/>
                  </m:rPr>
                  <w:rPr>
                    <w:rFonts w:ascii="Cambria Math" w:hAnsi="Cambria Math"/>
                    <w:lang w:val="en-US"/>
                  </w:rPr>
                  <m:t>*</m:t>
                </m:r>
              </m:sub>
            </m:sSub>
            <m:d>
              <m:dPr>
                <m:ctrlPr>
                  <w:rPr>
                    <w:rFonts w:ascii="Cambria Math" w:hAnsi="Cambria Math"/>
                    <w:snapToGrid w:val="0"/>
                    <w:lang w:val="en-US"/>
                  </w:rPr>
                </m:ctrlPr>
              </m:dPr>
              <m:e>
                <m:d>
                  <m:dPr>
                    <m:begChr m:val="["/>
                    <m:endChr m:val="]"/>
                    <m:ctrlPr>
                      <w:rPr>
                        <w:rFonts w:ascii="Cambria Math" w:hAnsi="Cambria Math"/>
                        <w:snapToGrid w:val="0"/>
                        <w:lang w:val="en-US"/>
                      </w:rPr>
                    </m:ctrlPr>
                  </m:dPr>
                  <m:e>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u</m:t>
                            </m:r>
                          </m:e>
                        </m:acc>
                      </m:e>
                      <m:sub>
                        <m:r>
                          <w:rPr>
                            <w:rFonts w:ascii="Cambria Math" w:hAnsi="Cambria Math"/>
                            <w:lang w:val="en-US"/>
                          </w:rPr>
                          <m:t>p</m:t>
                        </m:r>
                        <m:r>
                          <m:rPr>
                            <m:sty m:val="p"/>
                          </m:rPr>
                          <w:rPr>
                            <w:rFonts w:ascii="Cambria Math" w:hAnsi="Cambria Math"/>
                            <w:lang w:val="en-US"/>
                          </w:rPr>
                          <m:t>,</m:t>
                        </m:r>
                        <m:r>
                          <w:rPr>
                            <w:rFonts w:ascii="Cambria Math" w:hAnsi="Cambria Math"/>
                            <w:lang w:val="en-US"/>
                          </w:rPr>
                          <m:t>j</m:t>
                        </m:r>
                        <m:r>
                          <m:rPr>
                            <m:sty m:val="p"/>
                          </m:rPr>
                          <w:rPr>
                            <w:rFonts w:ascii="Cambria Math" w:hAnsi="Cambria Math"/>
                            <w:lang w:val="en-US"/>
                          </w:rPr>
                          <m:t>*</m:t>
                        </m:r>
                      </m:sub>
                    </m:sSub>
                  </m:e>
                </m:d>
                <m:d>
                  <m:dPr>
                    <m:begChr m:val="["/>
                    <m:endChr m:val="]"/>
                    <m:ctrlPr>
                      <w:rPr>
                        <w:rFonts w:ascii="Cambria Math" w:hAnsi="Cambria Math"/>
                        <w:lang w:val="en-US"/>
                      </w:rPr>
                    </m:ctrlPr>
                  </m:dPr>
                  <m:e>
                    <m:f>
                      <m:fPr>
                        <m:ctrlPr>
                          <w:rPr>
                            <w:rFonts w:ascii="Cambria Math" w:hAnsi="Cambria Math"/>
                            <w:lang w:val="en-US"/>
                          </w:rPr>
                        </m:ctrlPr>
                      </m:fPr>
                      <m:num>
                        <m:sSub>
                          <m:sSubPr>
                            <m:ctrlPr>
                              <w:rPr>
                                <w:rFonts w:ascii="Cambria Math" w:hAnsi="Cambria Math"/>
                                <w:lang w:val="en-US"/>
                              </w:rPr>
                            </m:ctrlPr>
                          </m:sSubPr>
                          <m:e>
                            <m:acc>
                              <m:accPr>
                                <m:chr m:val="̇"/>
                                <m:ctrlPr>
                                  <w:rPr>
                                    <w:rFonts w:ascii="Cambria Math" w:hAnsi="Cambria Math"/>
                                    <w:lang w:val="en-US"/>
                                  </w:rPr>
                                </m:ctrlPr>
                              </m:accPr>
                              <m:e>
                                <m:r>
                                  <w:rPr>
                                    <w:rFonts w:ascii="Cambria Math" w:hAnsi="Cambria Math"/>
                                    <w:lang w:val="en-US"/>
                                  </w:rPr>
                                  <m:t>y</m:t>
                                </m:r>
                              </m:e>
                            </m:acc>
                          </m:e>
                          <m:sub>
                            <m:r>
                              <w:rPr>
                                <w:rFonts w:ascii="Cambria Math" w:hAnsi="Cambria Math"/>
                                <w:lang w:val="en-US"/>
                              </w:rPr>
                              <m:t>p</m:t>
                            </m:r>
                            <m:r>
                              <m:rPr>
                                <m:sty m:val="p"/>
                              </m:rPr>
                              <w:rPr>
                                <w:rFonts w:ascii="Cambria Math" w:hAnsi="Cambria Math"/>
                                <w:lang w:val="en-US"/>
                              </w:rPr>
                              <m:t>,</m:t>
                            </m:r>
                            <m:r>
                              <w:rPr>
                                <w:rFonts w:ascii="Cambria Math" w:hAnsi="Cambria Math"/>
                                <w:lang w:val="en-US"/>
                              </w:rPr>
                              <m:t>j</m:t>
                            </m:r>
                            <m:r>
                              <m:rPr>
                                <m:sty m:val="p"/>
                              </m:rPr>
                              <w:rPr>
                                <w:rFonts w:ascii="Cambria Math" w:hAnsi="Cambria Math"/>
                                <w:lang w:val="en-US"/>
                              </w:rPr>
                              <m:t>*</m:t>
                            </m:r>
                          </m:sub>
                        </m:sSub>
                        <m:d>
                          <m:dPr>
                            <m:ctrlPr>
                              <w:rPr>
                                <w:rFonts w:ascii="Cambria Math" w:hAnsi="Cambria Math"/>
                                <w:lang w:val="en-US"/>
                              </w:rPr>
                            </m:ctrlPr>
                          </m:dPr>
                          <m:e>
                            <m:sSub>
                              <m:sSubPr>
                                <m:ctrlPr>
                                  <w:rPr>
                                    <w:rFonts w:ascii="Cambria Math" w:hAnsi="Cambria Math"/>
                                    <w:snapToGrid w:val="0"/>
                                    <w:lang w:val="en-US"/>
                                  </w:rPr>
                                </m:ctrlPr>
                              </m:sSubPr>
                              <m:e>
                                <m:acc>
                                  <m:accPr>
                                    <m:chr m:val="̇"/>
                                    <m:ctrlPr>
                                      <w:rPr>
                                        <w:rFonts w:ascii="Cambria Math" w:hAnsi="Cambria Math"/>
                                        <w:snapToGrid w:val="0"/>
                                        <w:lang w:val="en-US"/>
                                      </w:rPr>
                                    </m:ctrlPr>
                                  </m:accPr>
                                  <m:e>
                                    <m:r>
                                      <w:rPr>
                                        <w:rFonts w:ascii="Cambria Math" w:hAnsi="Cambria Math"/>
                                        <w:lang w:val="en-US"/>
                                      </w:rPr>
                                      <m:t>n</m:t>
                                    </m:r>
                                  </m:e>
                                </m:acc>
                              </m:e>
                              <m:sub>
                                <m:r>
                                  <w:rPr>
                                    <w:rFonts w:ascii="Cambria Math" w:hAnsi="Cambria Math"/>
                                    <w:lang w:val="en-US"/>
                                  </w:rPr>
                                  <m:t>j</m:t>
                                </m:r>
                                <m:r>
                                  <m:rPr>
                                    <m:sty m:val="p"/>
                                  </m:rPr>
                                  <w:rPr>
                                    <w:rFonts w:ascii="Cambria Math" w:hAnsi="Cambria Math"/>
                                    <w:lang w:val="en-US"/>
                                  </w:rPr>
                                  <m:t>*,</m:t>
                                </m:r>
                                <m:r>
                                  <w:rPr>
                                    <w:rFonts w:ascii="Cambria Math" w:hAnsi="Cambria Math"/>
                                    <w:lang w:val="en-US"/>
                                  </w:rPr>
                                  <m:t>t</m:t>
                                </m:r>
                              </m:sub>
                            </m:sSub>
                          </m:e>
                        </m:d>
                      </m:num>
                      <m:den>
                        <m:sSub>
                          <m:sSubPr>
                            <m:ctrlPr>
                              <w:rPr>
                                <w:rFonts w:ascii="Cambria Math" w:hAnsi="Cambria Math"/>
                                <w:snapToGrid w:val="0"/>
                                <w:lang w:val="en-US"/>
                              </w:rPr>
                            </m:ctrlPr>
                          </m:sSubPr>
                          <m:e>
                            <m:r>
                              <w:rPr>
                                <w:rFonts w:ascii="Cambria Math" w:hAnsi="Cambria Math"/>
                                <w:lang w:val="en-US"/>
                              </w:rPr>
                              <m:t>J</m:t>
                            </m:r>
                          </m:e>
                          <m:sub>
                            <m:r>
                              <w:rPr>
                                <w:rFonts w:ascii="Cambria Math" w:hAnsi="Cambria Math"/>
                                <w:lang w:val="en-US"/>
                              </w:rPr>
                              <m:t>p</m:t>
                            </m:r>
                            <m:r>
                              <m:rPr>
                                <m:sty m:val="p"/>
                              </m:rPr>
                              <w:rPr>
                                <w:rFonts w:ascii="Cambria Math" w:hAnsi="Cambria Math"/>
                                <w:lang w:val="en-US"/>
                              </w:rPr>
                              <m:t>,</m:t>
                            </m:r>
                            <m:r>
                              <w:rPr>
                                <w:rFonts w:ascii="Cambria Math" w:hAnsi="Cambria Math"/>
                                <w:lang w:val="en-US"/>
                              </w:rPr>
                              <m:t>j</m:t>
                            </m:r>
                            <m:r>
                              <m:rPr>
                                <m:sty m:val="p"/>
                              </m:rPr>
                              <w:rPr>
                                <w:rFonts w:ascii="Cambria Math" w:hAnsi="Cambria Math"/>
                                <w:lang w:val="en-US"/>
                              </w:rPr>
                              <m:t>*</m:t>
                            </m:r>
                          </m:sub>
                        </m:sSub>
                        <m:d>
                          <m:dPr>
                            <m:ctrlPr>
                              <w:rPr>
                                <w:rFonts w:ascii="Cambria Math" w:hAnsi="Cambria Math"/>
                                <w:snapToGrid w:val="0"/>
                                <w:lang w:val="en-US"/>
                              </w:rPr>
                            </m:ctrlPr>
                          </m:dPr>
                          <m:e>
                            <m:sSub>
                              <m:sSubPr>
                                <m:ctrlPr>
                                  <w:rPr>
                                    <w:rFonts w:ascii="Cambria Math" w:hAnsi="Cambria Math"/>
                                    <w:snapToGrid w:val="0"/>
                                    <w:lang w:val="en-US"/>
                                  </w:rPr>
                                </m:ctrlPr>
                              </m:sSubPr>
                              <m:e>
                                <m:acc>
                                  <m:accPr>
                                    <m:chr m:val="̇"/>
                                    <m:ctrlPr>
                                      <w:rPr>
                                        <w:rFonts w:ascii="Cambria Math" w:hAnsi="Cambria Math"/>
                                        <w:snapToGrid w:val="0"/>
                                        <w:lang w:val="en-US"/>
                                      </w:rPr>
                                    </m:ctrlPr>
                                  </m:accPr>
                                  <m:e>
                                    <m:r>
                                      <w:rPr>
                                        <w:rFonts w:ascii="Cambria Math" w:hAnsi="Cambria Math"/>
                                        <w:lang w:val="en-US"/>
                                      </w:rPr>
                                      <m:t>n</m:t>
                                    </m:r>
                                  </m:e>
                                </m:acc>
                              </m:e>
                              <m:sub>
                                <m:r>
                                  <w:rPr>
                                    <w:rFonts w:ascii="Cambria Math" w:hAnsi="Cambria Math"/>
                                    <w:lang w:val="en-US"/>
                                  </w:rPr>
                                  <m:t>j</m:t>
                                </m:r>
                                <m:r>
                                  <m:rPr>
                                    <m:sty m:val="p"/>
                                  </m:rPr>
                                  <w:rPr>
                                    <w:rFonts w:ascii="Cambria Math" w:hAnsi="Cambria Math"/>
                                    <w:lang w:val="en-US"/>
                                  </w:rPr>
                                  <m:t>*.</m:t>
                                </m:r>
                                <m:r>
                                  <w:rPr>
                                    <w:rFonts w:ascii="Cambria Math" w:hAnsi="Cambria Math"/>
                                    <w:lang w:val="en-US"/>
                                  </w:rPr>
                                  <m:t>t</m:t>
                                </m:r>
                              </m:sub>
                            </m:sSub>
                          </m:e>
                        </m:d>
                      </m:den>
                    </m:f>
                  </m:e>
                </m:d>
              </m:e>
            </m:d>
            <m:r>
              <m:rPr>
                <m:sty m:val="p"/>
              </m:rPr>
              <w:rPr>
                <w:rFonts w:ascii="Cambria Math" w:hAnsi="Cambria Math"/>
                <w:lang w:val="en-US"/>
              </w:rPr>
              <m:t>,</m:t>
            </m:r>
            <m:sSub>
              <m:sSubPr>
                <m:ctrlPr>
                  <w:rPr>
                    <w:rFonts w:ascii="Cambria Math" w:hAnsi="Cambria Math"/>
                    <w:snapToGrid w:val="0"/>
                    <w:lang w:val="en-US"/>
                  </w:rPr>
                </m:ctrlPr>
              </m:sSubPr>
              <m:e>
                <m:r>
                  <w:rPr>
                    <w:rFonts w:ascii="Cambria Math" w:hAnsi="Cambria Math"/>
                    <w:lang w:val="en-US"/>
                  </w:rPr>
                  <m:t>R</m:t>
                </m:r>
              </m:e>
              <m:sub>
                <m:r>
                  <w:rPr>
                    <w:rFonts w:ascii="Cambria Math" w:hAnsi="Cambria Math"/>
                    <w:lang w:val="en-US"/>
                  </w:rPr>
                  <m:t>j</m:t>
                </m:r>
                <m:r>
                  <m:rPr>
                    <m:sty m:val="p"/>
                  </m:rPr>
                  <w:rPr>
                    <w:rFonts w:ascii="Cambria Math" w:hAnsi="Cambria Math"/>
                    <w:lang w:val="en-US"/>
                  </w:rPr>
                  <m:t>*,2</m:t>
                </m:r>
              </m:sub>
            </m:sSub>
          </m:e>
        </m:d>
      </m:oMath>
      <w:r w:rsidRPr="00783571">
        <w:rPr>
          <w:lang w:val="en-US"/>
        </w:rPr>
        <w:tab/>
        <w:t>(5.</w:t>
      </w:r>
      <w:r w:rsidR="00C83FAA" w:rsidRPr="00783571">
        <w:rPr>
          <w:lang w:val="en-US"/>
        </w:rPr>
        <w:t>5</w:t>
      </w:r>
      <w:r w:rsidRPr="00783571">
        <w:rPr>
          <w:lang w:val="en-US"/>
        </w:rPr>
        <w:t>)</w:t>
      </w:r>
    </w:p>
    <w:p w14:paraId="47B905CC" w14:textId="714E6DD6" w:rsidR="001F5372" w:rsidRPr="00783571" w:rsidRDefault="00B17C55" w:rsidP="00BB265C">
      <w:pPr>
        <w:pStyle w:val="equation"/>
        <w:tabs>
          <w:tab w:val="clear" w:pos="4680"/>
          <w:tab w:val="center" w:pos="4320"/>
        </w:tabs>
        <w:jc w:val="center"/>
        <w:rPr>
          <w:lang w:val="en-US"/>
        </w:rPr>
      </w:pPr>
      <w:r w:rsidRPr="00783571">
        <w:rPr>
          <w:lang w:val="en-US"/>
        </w:rPr>
        <w:t>for</w:t>
      </w:r>
      <w:r w:rsidR="004C2417" w:rsidRPr="00783571">
        <w:rPr>
          <w:lang w:val="en-US"/>
        </w:rPr>
        <w:t xml:space="preserve"> all</w:t>
      </w:r>
      <w:r w:rsidRPr="00783571">
        <w:rPr>
          <w:lang w:val="en-US"/>
        </w:rPr>
        <w:t xml:space="preserve"> j*</w:t>
      </w:r>
      <w:r w:rsidR="00905059" w:rsidRPr="00783571">
        <w:rPr>
          <w:lang w:val="en-US"/>
        </w:rPr>
        <w:t xml:space="preserve"> = {Testing high-risk HETs, Testing low-risk HETs, Testing high-risk MSM, Testing low-risk MSM, Testing PWID, Linkage</w:t>
      </w:r>
      <w:r w:rsidR="003C0141" w:rsidRPr="00783571">
        <w:rPr>
          <w:lang w:val="en-US"/>
        </w:rPr>
        <w:t xml:space="preserve"> </w:t>
      </w:r>
      <w:r w:rsidR="00905059" w:rsidRPr="00783571">
        <w:rPr>
          <w:lang w:val="en-US"/>
        </w:rPr>
        <w:t>to</w:t>
      </w:r>
      <w:r w:rsidR="003C0141" w:rsidRPr="00783571">
        <w:rPr>
          <w:lang w:val="en-US"/>
        </w:rPr>
        <w:t xml:space="preserve"> HIV </w:t>
      </w:r>
      <w:r w:rsidR="00905059" w:rsidRPr="00783571">
        <w:rPr>
          <w:lang w:val="en-US"/>
        </w:rPr>
        <w:t>care at diagnosis, Linkage</w:t>
      </w:r>
      <w:r w:rsidR="003C0141" w:rsidRPr="00783571">
        <w:rPr>
          <w:lang w:val="en-US"/>
        </w:rPr>
        <w:t xml:space="preserve"> </w:t>
      </w:r>
      <w:r w:rsidR="00905059" w:rsidRPr="00783571">
        <w:rPr>
          <w:lang w:val="en-US"/>
        </w:rPr>
        <w:t>to</w:t>
      </w:r>
      <w:r w:rsidR="003C0141" w:rsidRPr="00783571">
        <w:rPr>
          <w:lang w:val="en-US"/>
        </w:rPr>
        <w:t xml:space="preserve"> HIV </w:t>
      </w:r>
      <w:r w:rsidR="00905059" w:rsidRPr="00783571">
        <w:rPr>
          <w:lang w:val="en-US"/>
        </w:rPr>
        <w:t xml:space="preserve">care </w:t>
      </w:r>
      <w:r w:rsidR="003C0141" w:rsidRPr="00783571">
        <w:rPr>
          <w:lang w:val="en-US"/>
        </w:rPr>
        <w:t xml:space="preserve">later </w:t>
      </w:r>
      <w:r w:rsidR="00905059" w:rsidRPr="00783571">
        <w:rPr>
          <w:lang w:val="en-US"/>
        </w:rPr>
        <w:t>after diagnosis, ART prescription, ART adherence for becoming VLS}</w:t>
      </w:r>
    </w:p>
    <w:p w14:paraId="6929C625" w14:textId="08D753DD" w:rsidR="00D30771" w:rsidRPr="00783571" w:rsidRDefault="00D30771" w:rsidP="00474F9B">
      <w:pPr>
        <w:pStyle w:val="BodyText"/>
        <w:keepNext/>
      </w:pPr>
      <w:r w:rsidRPr="00783571">
        <w:t>where</w:t>
      </w:r>
    </w:p>
    <w:p w14:paraId="73E5B775" w14:textId="51C494D9" w:rsidR="00175D94" w:rsidRPr="00783571" w:rsidRDefault="000F17E7" w:rsidP="00972E3C">
      <w:pPr>
        <w:pStyle w:val="bullets"/>
      </w:pPr>
      <m:oMath>
        <m:sSub>
          <m:sSubPr>
            <m:ctrlPr>
              <w:rPr>
                <w:rFonts w:ascii="Cambria Math" w:hAnsi="Cambria Math"/>
                <w:b/>
                <w:bCs/>
                <w:sz w:val="22"/>
                <w:szCs w:val="22"/>
              </w:rPr>
            </m:ctrlPr>
          </m:sSubPr>
          <m:e>
            <m:r>
              <m:rPr>
                <m:sty m:val="b"/>
              </m:rPr>
              <w:rPr>
                <w:rFonts w:ascii="Cambria Math" w:hAnsi="Cambria Math"/>
                <w:sz w:val="22"/>
                <w:szCs w:val="22"/>
              </w:rPr>
              <m:t>ṅ</m:t>
            </m:r>
          </m:e>
          <m:sub>
            <m:sSup>
              <m:sSupPr>
                <m:ctrlPr>
                  <w:rPr>
                    <w:rFonts w:ascii="Cambria Math" w:hAnsi="Cambria Math"/>
                    <w:b/>
                    <w:bCs/>
                    <w:i/>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oMath>
      <w:r w:rsidR="00175D94" w:rsidRPr="00783571">
        <w:t xml:space="preserve"> = </w:t>
      </w:r>
      <w:r w:rsidR="00972E3C" w:rsidRPr="00783571">
        <w:t>annual funding allocation for implementing intervention j*</w:t>
      </w:r>
      <w:r w:rsidR="00CA4D64" w:rsidRPr="00783571">
        <w:t>;</w:t>
      </w:r>
    </w:p>
    <w:p w14:paraId="3A9B7F3E" w14:textId="77777777" w:rsidR="006146DC" w:rsidRPr="00783571" w:rsidRDefault="000F17E7" w:rsidP="006146DC">
      <w:pPr>
        <w:pStyle w:val="bullets"/>
      </w:pPr>
      <m:oMath>
        <m:sSubSup>
          <m:sSubSupPr>
            <m:ctrlPr>
              <w:rPr>
                <w:rFonts w:ascii="Cambria Math" w:eastAsiaTheme="minorEastAsia" w:hAnsi="Cambria Math"/>
                <w:sz w:val="22"/>
                <w:szCs w:val="22"/>
              </w:rPr>
            </m:ctrlPr>
          </m:sSubSupPr>
          <m:e>
            <m:r>
              <m:rPr>
                <m:sty m:val="p"/>
              </m:rPr>
              <w:rPr>
                <w:rFonts w:ascii="Cambria Math" w:eastAsiaTheme="minorEastAsia" w:hAnsi="Cambria Math"/>
                <w:sz w:val="22"/>
                <w:szCs w:val="22"/>
              </w:rPr>
              <m:t>ℷ</m:t>
            </m:r>
          </m:e>
          <m:sub>
            <m:r>
              <w:rPr>
                <w:rFonts w:ascii="Cambria Math" w:eastAsiaTheme="minorEastAsia" w:hAnsi="Cambria Math"/>
                <w:sz w:val="22"/>
                <w:szCs w:val="22"/>
              </w:rPr>
              <m:t>c,p</m:t>
            </m:r>
          </m:sub>
          <m:sup>
            <m:r>
              <w:rPr>
                <w:rFonts w:ascii="Cambria Math" w:eastAsiaTheme="minorEastAsia" w:hAnsi="Cambria Math"/>
                <w:sz w:val="22"/>
                <w:szCs w:val="22"/>
              </w:rPr>
              <m:t>j*</m:t>
            </m:r>
          </m:sup>
        </m:sSubSup>
        <m:r>
          <w:rPr>
            <w:rFonts w:ascii="Cambria Math" w:eastAsiaTheme="minorEastAsia" w:hAnsi="Cambria Math"/>
            <w:sz w:val="22"/>
            <w:szCs w:val="22"/>
          </w:rPr>
          <m:t>(</m:t>
        </m:r>
        <m:sSub>
          <m:sSubPr>
            <m:ctrlPr>
              <w:rPr>
                <w:rFonts w:ascii="Cambria Math" w:hAnsi="Cambria Math"/>
                <w:b/>
                <w:bCs/>
                <w:sz w:val="22"/>
                <w:szCs w:val="22"/>
              </w:rPr>
            </m:ctrlPr>
          </m:sSubPr>
          <m:e>
            <m:r>
              <m:rPr>
                <m:sty m:val="b"/>
              </m:rPr>
              <w:rPr>
                <w:rFonts w:ascii="Cambria Math" w:hAnsi="Cambria Math"/>
                <w:sz w:val="22"/>
                <w:szCs w:val="22"/>
              </w:rPr>
              <m:t>ṅ</m:t>
            </m:r>
          </m:e>
          <m:sub>
            <m:sSup>
              <m:sSupPr>
                <m:ctrlPr>
                  <w:rPr>
                    <w:rFonts w:ascii="Cambria Math" w:hAnsi="Cambria Math"/>
                    <w:b/>
                    <w:bCs/>
                    <w:i/>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r>
          <w:rPr>
            <w:rFonts w:ascii="Cambria Math" w:eastAsiaTheme="minorEastAsia" w:hAnsi="Cambria Math"/>
            <w:sz w:val="22"/>
            <w:szCs w:val="22"/>
          </w:rPr>
          <m:t>,t)</m:t>
        </m:r>
      </m:oMath>
      <w:r w:rsidR="006146DC" w:rsidRPr="00783571">
        <w:t xml:space="preserve">= rate of progression targeted by intervention j* for subpopulation p in compartment c at time t, given allocated funding </w:t>
      </w:r>
      <m:oMath>
        <m:sSub>
          <m:sSubPr>
            <m:ctrlPr>
              <w:rPr>
                <w:rFonts w:ascii="Cambria Math" w:hAnsi="Cambria Math"/>
                <w:b/>
                <w:bCs/>
                <w:sz w:val="22"/>
                <w:szCs w:val="22"/>
              </w:rPr>
            </m:ctrlPr>
          </m:sSubPr>
          <m:e>
            <m:r>
              <m:rPr>
                <m:sty m:val="b"/>
              </m:rPr>
              <w:rPr>
                <w:rFonts w:ascii="Cambria Math" w:hAnsi="Cambria Math"/>
                <w:sz w:val="22"/>
                <w:szCs w:val="22"/>
              </w:rPr>
              <m:t>ṅ</m:t>
            </m:r>
          </m:e>
          <m:sub>
            <m:sSup>
              <m:sSupPr>
                <m:ctrlPr>
                  <w:rPr>
                    <w:rFonts w:ascii="Cambria Math" w:hAnsi="Cambria Math"/>
                    <w:b/>
                    <w:bCs/>
                    <w:i/>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oMath>
      <w:r w:rsidR="006146DC" w:rsidRPr="00783571">
        <w:t xml:space="preserve"> for intervention j* from budget under consideration;</w:t>
      </w:r>
    </w:p>
    <w:p w14:paraId="02A3632B" w14:textId="4EFE5DA4" w:rsidR="00D30771" w:rsidRPr="00783571" w:rsidRDefault="000F17E7" w:rsidP="00E1242D">
      <w:pPr>
        <w:pStyle w:val="bullets"/>
      </w:pPr>
      <m:oMath>
        <m:sSubSup>
          <m:sSubSupPr>
            <m:ctrlPr>
              <w:rPr>
                <w:rFonts w:ascii="Cambria Math" w:eastAsiaTheme="minorEastAsia" w:hAnsi="Cambria Math"/>
                <w:sz w:val="22"/>
                <w:szCs w:val="22"/>
              </w:rPr>
            </m:ctrlPr>
          </m:sSubSupPr>
          <m:e>
            <m:r>
              <m:rPr>
                <m:sty m:val="p"/>
              </m:rPr>
              <w:rPr>
                <w:rFonts w:ascii="Cambria Math" w:eastAsiaTheme="minorEastAsia" w:hAnsi="Cambria Math"/>
                <w:sz w:val="22"/>
                <w:szCs w:val="22"/>
              </w:rPr>
              <m:t>ℶ</m:t>
            </m:r>
          </m:e>
          <m:sub>
            <m:r>
              <w:rPr>
                <w:rFonts w:ascii="Cambria Math" w:eastAsiaTheme="minorEastAsia" w:hAnsi="Cambria Math"/>
                <w:sz w:val="22"/>
                <w:szCs w:val="22"/>
              </w:rPr>
              <m:t>c,p</m:t>
            </m:r>
          </m:sub>
          <m:sup>
            <m:r>
              <w:rPr>
                <w:rFonts w:ascii="Cambria Math" w:eastAsiaTheme="minorEastAsia" w:hAnsi="Cambria Math"/>
                <w:sz w:val="22"/>
                <w:szCs w:val="22"/>
              </w:rPr>
              <m:t>j*</m:t>
            </m:r>
          </m:sup>
        </m:sSubSup>
        <m:r>
          <w:rPr>
            <w:rFonts w:ascii="Cambria Math" w:eastAsiaTheme="minorEastAsia" w:hAnsi="Cambria Math"/>
            <w:sz w:val="22"/>
            <w:szCs w:val="22"/>
          </w:rPr>
          <m:t>(t)</m:t>
        </m:r>
      </m:oMath>
      <w:r w:rsidR="00D30771" w:rsidRPr="00783571">
        <w:t xml:space="preserve">= </w:t>
      </w:r>
      <w:r w:rsidR="00CA4D64" w:rsidRPr="00783571">
        <w:t>r</w:t>
      </w:r>
      <w:r w:rsidR="00175D94" w:rsidRPr="00783571">
        <w:t>ate of progression targeted by intervention j* for subpopulation p</w:t>
      </w:r>
      <w:r w:rsidR="00E1242D" w:rsidRPr="00783571">
        <w:t xml:space="preserve"> in compartment c</w:t>
      </w:r>
      <w:r w:rsidR="002F5F01" w:rsidRPr="00783571">
        <w:t xml:space="preserve"> at time t</w:t>
      </w:r>
      <w:r w:rsidR="00175D94" w:rsidRPr="00783571">
        <w:t xml:space="preserve">, given </w:t>
      </w:r>
      <w:r w:rsidR="00E1242D" w:rsidRPr="00783571">
        <w:t xml:space="preserve">no </w:t>
      </w:r>
      <w:r w:rsidR="00175D94" w:rsidRPr="00783571">
        <w:t xml:space="preserve">allocated funding </w:t>
      </w:r>
      <w:r w:rsidR="00B946AE" w:rsidRPr="00783571">
        <w:t xml:space="preserve">for </w:t>
      </w:r>
      <w:r w:rsidR="00175D94" w:rsidRPr="00783571">
        <w:t>intervention j* from budget under consideration</w:t>
      </w:r>
      <w:r w:rsidR="00CA4D64" w:rsidRPr="00783571">
        <w:t>;</w:t>
      </w:r>
    </w:p>
    <w:p w14:paraId="323218F3" w14:textId="4D30BF6C" w:rsidR="001A2554" w:rsidRPr="00783571" w:rsidRDefault="000F17E7" w:rsidP="00F5642E">
      <w:pPr>
        <w:pStyle w:val="bullets"/>
      </w:pPr>
      <m:oMath>
        <m:sSub>
          <m:sSubPr>
            <m:ctrlPr>
              <w:rPr>
                <w:rFonts w:ascii="Cambria Math" w:hAnsi="Cambria Math"/>
                <w:i/>
                <w:sz w:val="22"/>
                <w:szCs w:val="22"/>
              </w:rPr>
            </m:ctrlPr>
          </m:sSubPr>
          <m:e>
            <m:r>
              <w:rPr>
                <w:rFonts w:ascii="Cambria Math" w:hAnsi="Cambria Math"/>
                <w:sz w:val="22"/>
                <w:szCs w:val="22"/>
              </w:rPr>
              <m:t>J</m:t>
            </m:r>
          </m:e>
          <m:sub>
            <m:r>
              <w:rPr>
                <w:rFonts w:ascii="Cambria Math" w:hAnsi="Cambria Math"/>
                <w:sz w:val="22"/>
                <w:szCs w:val="22"/>
              </w:rPr>
              <m:t>p,j*</m:t>
            </m:r>
          </m:sub>
        </m:sSub>
        <m:d>
          <m:dPr>
            <m:ctrlPr>
              <w:rPr>
                <w:rFonts w:ascii="Cambria Math" w:hAnsi="Cambria Math"/>
                <w:i/>
                <w:sz w:val="22"/>
                <w:szCs w:val="22"/>
              </w:rPr>
            </m:ctrlPr>
          </m:dPr>
          <m:e>
            <m:sSub>
              <m:sSubPr>
                <m:ctrlPr>
                  <w:rPr>
                    <w:rFonts w:ascii="Cambria Math" w:hAnsi="Cambria Math"/>
                    <w:b/>
                    <w:bCs/>
                    <w:sz w:val="22"/>
                    <w:szCs w:val="22"/>
                  </w:rPr>
                </m:ctrlPr>
              </m:sSubPr>
              <m:e>
                <m:r>
                  <m:rPr>
                    <m:sty m:val="b"/>
                  </m:rPr>
                  <w:rPr>
                    <w:rFonts w:ascii="Cambria Math" w:hAnsi="Cambria Math"/>
                    <w:sz w:val="22"/>
                    <w:szCs w:val="22"/>
                  </w:rPr>
                  <m:t>ṅ</m:t>
                </m:r>
              </m:e>
              <m:sub>
                <m:sSup>
                  <m:sSupPr>
                    <m:ctrlPr>
                      <w:rPr>
                        <w:rFonts w:ascii="Cambria Math" w:hAnsi="Cambria Math"/>
                        <w:b/>
                        <w:bCs/>
                        <w:i/>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r>
              <w:rPr>
                <w:rFonts w:ascii="Cambria Math" w:hAnsi="Cambria Math"/>
                <w:sz w:val="22"/>
                <w:szCs w:val="22"/>
              </w:rPr>
              <m:t>,t</m:t>
            </m:r>
          </m:e>
        </m:d>
      </m:oMath>
      <w:r w:rsidR="004969D4" w:rsidRPr="00783571">
        <w:rPr>
          <w:sz w:val="22"/>
          <w:szCs w:val="22"/>
        </w:rPr>
        <w:t xml:space="preserve"> = </w:t>
      </w:r>
      <w:r w:rsidR="00CA4D64" w:rsidRPr="00783571">
        <w:t>n</w:t>
      </w:r>
      <w:r w:rsidR="004969D4" w:rsidRPr="00783571">
        <w:t xml:space="preserve">umber of individuals in subpopulation p eligible for </w:t>
      </w:r>
      <w:r w:rsidR="00175D94" w:rsidRPr="00783571">
        <w:t>intervention j*</w:t>
      </w:r>
      <w:r w:rsidR="004969D4" w:rsidRPr="00783571">
        <w:t xml:space="preserve"> at time t, calculated by Equation </w:t>
      </w:r>
      <w:r w:rsidR="00C83FAA" w:rsidRPr="00783571">
        <w:t>(</w:t>
      </w:r>
      <w:r w:rsidR="004969D4" w:rsidRPr="00783571">
        <w:t>5.</w:t>
      </w:r>
      <w:r w:rsidR="00C83FAA" w:rsidRPr="00783571">
        <w:t>6)</w:t>
      </w:r>
      <w:r w:rsidR="00CA4D64" w:rsidRPr="00783571">
        <w:t>:</w:t>
      </w:r>
    </w:p>
    <w:p w14:paraId="694AF3B6" w14:textId="2DBB5BF5" w:rsidR="004969D4" w:rsidRPr="00783571" w:rsidRDefault="004969D4" w:rsidP="00BB265C">
      <w:pPr>
        <w:pStyle w:val="equation"/>
        <w:rPr>
          <w:lang w:val="en-US"/>
        </w:rPr>
      </w:pPr>
      <w:r w:rsidRPr="00783571">
        <w:rPr>
          <w:lang w:val="en-US"/>
        </w:rPr>
        <w:tab/>
      </w:r>
      <m:oMath>
        <m:sSub>
          <m:sSubPr>
            <m:ctrlPr>
              <w:rPr>
                <w:rFonts w:ascii="Cambria Math" w:hAnsi="Cambria Math"/>
                <w:i/>
                <w:sz w:val="22"/>
                <w:szCs w:val="22"/>
                <w:lang w:val="en-US"/>
              </w:rPr>
            </m:ctrlPr>
          </m:sSubPr>
          <m:e>
            <m:r>
              <w:rPr>
                <w:rFonts w:ascii="Cambria Math" w:hAnsi="Cambria Math"/>
                <w:sz w:val="22"/>
                <w:szCs w:val="22"/>
                <w:lang w:val="en-US"/>
              </w:rPr>
              <m:t>J</m:t>
            </m:r>
          </m:e>
          <m:sub>
            <m:r>
              <w:rPr>
                <w:rFonts w:ascii="Cambria Math" w:hAnsi="Cambria Math"/>
                <w:sz w:val="22"/>
                <w:szCs w:val="22"/>
                <w:lang w:val="en-US"/>
              </w:rPr>
              <m:t>p,</m:t>
            </m:r>
            <m:sSup>
              <m:sSupPr>
                <m:ctrlPr>
                  <w:rPr>
                    <w:rFonts w:ascii="Cambria Math" w:hAnsi="Cambria Math"/>
                    <w:i/>
                    <w:sz w:val="22"/>
                    <w:szCs w:val="22"/>
                    <w:lang w:val="en-US"/>
                  </w:rPr>
                </m:ctrlPr>
              </m:sSupPr>
              <m:e>
                <m:r>
                  <w:rPr>
                    <w:rFonts w:ascii="Cambria Math" w:hAnsi="Cambria Math"/>
                    <w:sz w:val="22"/>
                    <w:szCs w:val="22"/>
                    <w:lang w:val="en-US"/>
                  </w:rPr>
                  <m:t>j</m:t>
                </m:r>
              </m:e>
              <m:sup>
                <m:r>
                  <w:rPr>
                    <w:rFonts w:ascii="Cambria Math" w:hAnsi="Cambria Math"/>
                    <w:sz w:val="22"/>
                    <w:szCs w:val="22"/>
                    <w:lang w:val="en-US"/>
                  </w:rPr>
                  <m:t>*</m:t>
                </m:r>
              </m:sup>
            </m:sSup>
          </m:sub>
        </m:sSub>
        <m:d>
          <m:dPr>
            <m:ctrlPr>
              <w:rPr>
                <w:rFonts w:ascii="Cambria Math" w:hAnsi="Cambria Math"/>
                <w:i/>
                <w:sz w:val="22"/>
                <w:szCs w:val="22"/>
                <w:lang w:val="en-US"/>
              </w:rPr>
            </m:ctrlPr>
          </m:dPr>
          <m:e>
            <m:sSub>
              <m:sSubPr>
                <m:ctrlPr>
                  <w:rPr>
                    <w:rFonts w:ascii="Cambria Math" w:hAnsi="Cambria Math"/>
                    <w:b/>
                    <w:bCs/>
                    <w:sz w:val="22"/>
                    <w:szCs w:val="22"/>
                    <w:lang w:val="en-US"/>
                  </w:rPr>
                </m:ctrlPr>
              </m:sSubPr>
              <m:e>
                <m:r>
                  <m:rPr>
                    <m:sty m:val="b"/>
                  </m:rPr>
                  <w:rPr>
                    <w:rFonts w:ascii="Cambria Math" w:hAnsi="Cambria Math"/>
                    <w:sz w:val="22"/>
                    <w:szCs w:val="22"/>
                    <w:lang w:val="en-US"/>
                  </w:rPr>
                  <m:t>ṅ</m:t>
                </m:r>
              </m:e>
              <m:sub>
                <m:sSup>
                  <m:sSupPr>
                    <m:ctrlPr>
                      <w:rPr>
                        <w:rFonts w:ascii="Cambria Math" w:hAnsi="Cambria Math"/>
                        <w:b/>
                        <w:bCs/>
                        <w:i/>
                        <w:sz w:val="22"/>
                        <w:szCs w:val="22"/>
                        <w:lang w:val="en-US"/>
                      </w:rPr>
                    </m:ctrlPr>
                  </m:sSupPr>
                  <m:e>
                    <m:r>
                      <m:rPr>
                        <m:sty m:val="bi"/>
                      </m:rPr>
                      <w:rPr>
                        <w:rFonts w:ascii="Cambria Math" w:hAnsi="Cambria Math"/>
                        <w:sz w:val="22"/>
                        <w:szCs w:val="22"/>
                        <w:lang w:val="en-US"/>
                      </w:rPr>
                      <m:t>j</m:t>
                    </m:r>
                  </m:e>
                  <m:sup>
                    <m:r>
                      <m:rPr>
                        <m:sty m:val="bi"/>
                      </m:rPr>
                      <w:rPr>
                        <w:rFonts w:ascii="Cambria Math" w:hAnsi="Cambria Math"/>
                        <w:sz w:val="22"/>
                        <w:szCs w:val="22"/>
                        <w:lang w:val="en-US"/>
                      </w:rPr>
                      <m:t>*</m:t>
                    </m:r>
                  </m:sup>
                </m:sSup>
              </m:sub>
            </m:sSub>
            <m:r>
              <w:rPr>
                <w:rFonts w:ascii="Cambria Math" w:hAnsi="Cambria Math"/>
                <w:sz w:val="22"/>
                <w:szCs w:val="22"/>
                <w:lang w:val="en-US"/>
              </w:rPr>
              <m:t>,t</m:t>
            </m:r>
          </m:e>
        </m:d>
        <m:r>
          <w:rPr>
            <w:rFonts w:ascii="Cambria Math" w:hAnsi="Cambria Math"/>
            <w:sz w:val="22"/>
            <w:szCs w:val="22"/>
            <w:lang w:val="en-US"/>
          </w:rPr>
          <m:t>=</m:t>
        </m:r>
        <m:d>
          <m:dPr>
            <m:begChr m:val="["/>
            <m:endChr m:val="]"/>
            <m:ctrlPr>
              <w:rPr>
                <w:rFonts w:ascii="Cambria Math" w:hAnsi="Cambria Math"/>
                <w:i/>
                <w:sz w:val="22"/>
                <w:szCs w:val="22"/>
                <w:lang w:val="en-US"/>
              </w:rPr>
            </m:ctrlPr>
          </m:dPr>
          <m:e>
            <m:sSub>
              <m:sSubPr>
                <m:ctrlPr>
                  <w:rPr>
                    <w:rFonts w:ascii="Cambria Math" w:hAnsi="Cambria Math"/>
                    <w:i/>
                    <w:sz w:val="22"/>
                    <w:szCs w:val="22"/>
                    <w:lang w:val="en-US"/>
                  </w:rPr>
                </m:ctrlPr>
              </m:sSubPr>
              <m:e>
                <m:r>
                  <m:rPr>
                    <m:sty m:val="p"/>
                  </m:rPr>
                  <w:rPr>
                    <w:rFonts w:ascii="Cambria Math" w:hAnsi="Cambria Math"/>
                    <w:lang w:val="en-US"/>
                  </w:rPr>
                  <m:t>u̇</m:t>
                </m:r>
              </m:e>
              <m:sub>
                <m:r>
                  <w:rPr>
                    <w:rFonts w:ascii="Cambria Math" w:hAnsi="Cambria Math"/>
                    <w:sz w:val="22"/>
                    <w:szCs w:val="22"/>
                    <w:lang w:val="en-US"/>
                  </w:rPr>
                  <m:t>p,</m:t>
                </m:r>
                <m:sSup>
                  <m:sSupPr>
                    <m:ctrlPr>
                      <w:rPr>
                        <w:rFonts w:ascii="Cambria Math" w:hAnsi="Cambria Math"/>
                        <w:i/>
                        <w:sz w:val="22"/>
                        <w:szCs w:val="22"/>
                        <w:lang w:val="en-US"/>
                      </w:rPr>
                    </m:ctrlPr>
                  </m:sSupPr>
                  <m:e>
                    <m:r>
                      <w:rPr>
                        <w:rFonts w:ascii="Cambria Math" w:hAnsi="Cambria Math"/>
                        <w:sz w:val="22"/>
                        <w:szCs w:val="22"/>
                        <w:lang w:val="en-US"/>
                      </w:rPr>
                      <m:t>j</m:t>
                    </m:r>
                  </m:e>
                  <m:sup>
                    <m:r>
                      <w:rPr>
                        <w:rFonts w:ascii="Cambria Math" w:hAnsi="Cambria Math"/>
                        <w:sz w:val="22"/>
                        <w:szCs w:val="22"/>
                        <w:lang w:val="en-US"/>
                      </w:rPr>
                      <m:t>*</m:t>
                    </m:r>
                  </m:sup>
                </m:sSup>
              </m:sub>
            </m:sSub>
          </m:e>
        </m:d>
        <m:d>
          <m:dPr>
            <m:begChr m:val="["/>
            <m:endChr m:val="]"/>
            <m:ctrlPr>
              <w:rPr>
                <w:rFonts w:ascii="Cambria Math" w:hAnsi="Cambria Math"/>
                <w:i/>
                <w:sz w:val="22"/>
                <w:szCs w:val="22"/>
                <w:lang w:val="en-US"/>
              </w:rPr>
            </m:ctrlPr>
          </m:dPr>
          <m:e>
            <m:nary>
              <m:naryPr>
                <m:chr m:val="∑"/>
                <m:limLoc m:val="undOvr"/>
                <m:supHide m:val="1"/>
                <m:ctrlPr>
                  <w:rPr>
                    <w:rFonts w:ascii="Cambria Math" w:hAnsi="Cambria Math"/>
                    <w:i/>
                    <w:sz w:val="22"/>
                    <w:szCs w:val="22"/>
                    <w:lang w:val="en-US"/>
                  </w:rPr>
                </m:ctrlPr>
              </m:naryPr>
              <m:sub>
                <m:r>
                  <w:rPr>
                    <w:rFonts w:ascii="Cambria Math" w:hAnsi="Cambria Math"/>
                    <w:sz w:val="22"/>
                    <w:szCs w:val="22"/>
                    <w:lang w:val="en-US"/>
                  </w:rPr>
                  <m:t>c</m:t>
                </m:r>
              </m:sub>
              <m:sup/>
              <m:e>
                <m:d>
                  <m:dPr>
                    <m:begChr m:val="["/>
                    <m:endChr m:val="]"/>
                    <m:ctrlPr>
                      <w:rPr>
                        <w:rFonts w:ascii="Cambria Math" w:hAnsi="Cambria Math"/>
                        <w:i/>
                        <w:sz w:val="22"/>
                        <w:szCs w:val="22"/>
                        <w:lang w:val="en-US"/>
                      </w:rPr>
                    </m:ctrlPr>
                  </m:dPr>
                  <m:e>
                    <m:d>
                      <m:dPr>
                        <m:ctrlPr>
                          <w:rPr>
                            <w:rFonts w:ascii="Cambria Math" w:hAnsi="Cambria Math"/>
                            <w:i/>
                            <w:sz w:val="22"/>
                            <w:szCs w:val="22"/>
                            <w:lang w:val="en-US"/>
                          </w:rPr>
                        </m:ctrlPr>
                      </m:dPr>
                      <m:e>
                        <m:sSubSup>
                          <m:sSubSupPr>
                            <m:ctrlPr>
                              <w:rPr>
                                <w:rFonts w:ascii="Cambria Math" w:hAnsi="Cambria Math"/>
                                <w:i/>
                                <w:lang w:val="en-US"/>
                              </w:rPr>
                            </m:ctrlPr>
                          </m:sSubSupPr>
                          <m:e>
                            <m:r>
                              <w:rPr>
                                <w:rFonts w:ascii="Cambria Math" w:hAnsi="Cambria Math"/>
                              </w:rPr>
                              <m:t>X</m:t>
                            </m:r>
                          </m:e>
                          <m:sub>
                            <m:r>
                              <w:rPr>
                                <w:rFonts w:ascii="Cambria Math" w:hAnsi="Cambria Math"/>
                              </w:rPr>
                              <m:t>p</m:t>
                            </m:r>
                          </m:sub>
                          <m:sup>
                            <m:r>
                              <w:rPr>
                                <w:rFonts w:ascii="Cambria Math" w:hAnsi="Cambria Math"/>
                              </w:rPr>
                              <m:t>c</m:t>
                            </m:r>
                          </m:sup>
                        </m:sSubSup>
                        <m:d>
                          <m:dPr>
                            <m:ctrlPr>
                              <w:rPr>
                                <w:rFonts w:ascii="Cambria Math" w:hAnsi="Cambria Math"/>
                                <w:i/>
                              </w:rPr>
                            </m:ctrlPr>
                          </m:dPr>
                          <m:e>
                            <m:sSub>
                              <m:sSubPr>
                                <m:ctrlPr>
                                  <w:rPr>
                                    <w:rFonts w:ascii="Cambria Math" w:hAnsi="Cambria Math"/>
                                  </w:rPr>
                                </m:ctrlPr>
                              </m:sSubPr>
                              <m:e>
                                <m:r>
                                  <m:rPr>
                                    <m:sty m:val="p"/>
                                  </m:rPr>
                                  <w:rPr>
                                    <w:rFonts w:ascii="Cambria Math" w:hAnsi="Cambria Math"/>
                                  </w:rPr>
                                  <m:t>ṅ</m:t>
                                </m:r>
                              </m:e>
                              <m:sub>
                                <m:sSup>
                                  <m:sSupPr>
                                    <m:ctrlPr>
                                      <w:rPr>
                                        <w:rFonts w:ascii="Cambria Math" w:hAnsi="Cambria Math"/>
                                        <w:i/>
                                      </w:rPr>
                                    </m:ctrlPr>
                                  </m:sSupPr>
                                  <m:e>
                                    <m:r>
                                      <w:rPr>
                                        <w:rFonts w:ascii="Cambria Math" w:hAnsi="Cambria Math"/>
                                      </w:rPr>
                                      <m:t>j</m:t>
                                    </m:r>
                                  </m:e>
                                  <m:sup>
                                    <m:r>
                                      <w:rPr>
                                        <w:rFonts w:ascii="Cambria Math" w:hAnsi="Cambria Math"/>
                                      </w:rPr>
                                      <m:t>*</m:t>
                                    </m:r>
                                  </m:sup>
                                </m:sSup>
                              </m:sub>
                            </m:sSub>
                            <m:r>
                              <w:rPr>
                                <w:rFonts w:ascii="Cambria Math" w:hAnsi="Cambria Math"/>
                              </w:rPr>
                              <m:t>,t</m:t>
                            </m:r>
                          </m:e>
                        </m:d>
                      </m:e>
                    </m:d>
                    <m:d>
                      <m:dPr>
                        <m:ctrlPr>
                          <w:rPr>
                            <w:rFonts w:ascii="Cambria Math" w:hAnsi="Cambria Math"/>
                            <w:i/>
                            <w:sz w:val="22"/>
                            <w:szCs w:val="22"/>
                            <w:lang w:val="en-US"/>
                          </w:rPr>
                        </m:ctrlPr>
                      </m:dPr>
                      <m:e>
                        <m:sSub>
                          <m:sSubPr>
                            <m:ctrlPr>
                              <w:rPr>
                                <w:rFonts w:ascii="Cambria Math" w:hAnsi="Cambria Math"/>
                                <w:i/>
                                <w:sz w:val="22"/>
                                <w:szCs w:val="22"/>
                                <w:lang w:val="en-US"/>
                              </w:rPr>
                            </m:ctrlPr>
                          </m:sSubPr>
                          <m:e>
                            <m:r>
                              <m:rPr>
                                <m:sty m:val="b"/>
                              </m:rPr>
                              <w:rPr>
                                <w:rFonts w:ascii="Cambria Math" w:hAnsi="Cambria Math"/>
                                <w:sz w:val="22"/>
                                <w:szCs w:val="22"/>
                                <w:lang w:val="en-US"/>
                              </w:rPr>
                              <m:t>Ḷ</m:t>
                            </m:r>
                          </m:e>
                          <m:sub>
                            <m:r>
                              <w:rPr>
                                <w:rFonts w:ascii="Cambria Math" w:hAnsi="Cambria Math"/>
                                <w:sz w:val="22"/>
                                <w:szCs w:val="22"/>
                                <w:lang w:val="en-US"/>
                              </w:rPr>
                              <m:t>c,</m:t>
                            </m:r>
                            <m:sSup>
                              <m:sSupPr>
                                <m:ctrlPr>
                                  <w:rPr>
                                    <w:rFonts w:ascii="Cambria Math" w:hAnsi="Cambria Math"/>
                                    <w:i/>
                                    <w:sz w:val="22"/>
                                    <w:szCs w:val="22"/>
                                    <w:lang w:val="en-US"/>
                                  </w:rPr>
                                </m:ctrlPr>
                              </m:sSupPr>
                              <m:e>
                                <m:r>
                                  <w:rPr>
                                    <w:rFonts w:ascii="Cambria Math" w:hAnsi="Cambria Math"/>
                                    <w:sz w:val="22"/>
                                    <w:szCs w:val="22"/>
                                    <w:lang w:val="en-US"/>
                                  </w:rPr>
                                  <m:t>j</m:t>
                                </m:r>
                              </m:e>
                              <m:sup>
                                <m:r>
                                  <w:rPr>
                                    <w:rFonts w:ascii="Cambria Math" w:hAnsi="Cambria Math"/>
                                    <w:sz w:val="22"/>
                                    <w:szCs w:val="22"/>
                                    <w:lang w:val="en-US"/>
                                  </w:rPr>
                                  <m:t>*</m:t>
                                </m:r>
                              </m:sup>
                            </m:sSup>
                          </m:sub>
                        </m:sSub>
                      </m:e>
                    </m:d>
                  </m:e>
                </m:d>
              </m:e>
            </m:nary>
          </m:e>
        </m:d>
      </m:oMath>
      <w:r w:rsidR="004F4E6D" w:rsidRPr="00783571">
        <w:rPr>
          <w:lang w:val="en-US"/>
        </w:rPr>
        <w:tab/>
      </w:r>
      <w:r w:rsidRPr="00783571">
        <w:rPr>
          <w:lang w:val="en-US"/>
        </w:rPr>
        <w:t>(5.</w:t>
      </w:r>
      <w:r w:rsidR="00C83FAA" w:rsidRPr="00783571">
        <w:rPr>
          <w:lang w:val="en-US"/>
        </w:rPr>
        <w:t>6</w:t>
      </w:r>
      <w:r w:rsidRPr="00783571">
        <w:rPr>
          <w:lang w:val="en-US"/>
        </w:rPr>
        <w:t>)</w:t>
      </w:r>
    </w:p>
    <w:p w14:paraId="25F76B21" w14:textId="3D2DABB0" w:rsidR="004969D4" w:rsidRPr="00783571" w:rsidRDefault="000F17E7" w:rsidP="009F3B77">
      <w:pPr>
        <w:pStyle w:val="bullets"/>
      </w:pPr>
      <m:oMath>
        <m:sSub>
          <m:sSubPr>
            <m:ctrlPr>
              <w:rPr>
                <w:rFonts w:ascii="Cambria Math" w:hAnsi="Cambria Math"/>
                <w:i/>
                <w:sz w:val="22"/>
                <w:szCs w:val="22"/>
              </w:rPr>
            </m:ctrlPr>
          </m:sSubPr>
          <m:e>
            <m:r>
              <m:rPr>
                <m:sty m:val="b"/>
              </m:rPr>
              <w:rPr>
                <w:rFonts w:ascii="Cambria Math" w:hAnsi="Cambria Math"/>
                <w:sz w:val="22"/>
                <w:szCs w:val="22"/>
              </w:rPr>
              <m:t>ẏ</m:t>
            </m:r>
          </m:e>
          <m:sub>
            <m:r>
              <w:rPr>
                <w:rFonts w:ascii="Cambria Math" w:hAnsi="Cambria Math"/>
                <w:sz w:val="22"/>
                <w:szCs w:val="22"/>
              </w:rPr>
              <m:t>p,</m:t>
            </m:r>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d>
          <m:dPr>
            <m:ctrlPr>
              <w:rPr>
                <w:rFonts w:ascii="Cambria Math" w:hAnsi="Cambria Math"/>
                <w:i/>
                <w:sz w:val="22"/>
                <w:szCs w:val="22"/>
              </w:rPr>
            </m:ctrlPr>
          </m:dPr>
          <m:e>
            <m:sSub>
              <m:sSubPr>
                <m:ctrlPr>
                  <w:rPr>
                    <w:rFonts w:ascii="Cambria Math" w:hAnsi="Cambria Math"/>
                    <w:b/>
                    <w:bCs/>
                    <w:sz w:val="22"/>
                    <w:szCs w:val="22"/>
                  </w:rPr>
                </m:ctrlPr>
              </m:sSubPr>
              <m:e>
                <m:r>
                  <m:rPr>
                    <m:sty m:val="b"/>
                  </m:rPr>
                  <w:rPr>
                    <w:rFonts w:ascii="Cambria Math" w:hAnsi="Cambria Math"/>
                    <w:sz w:val="22"/>
                    <w:szCs w:val="22"/>
                  </w:rPr>
                  <m:t>ṅ</m:t>
                </m:r>
              </m:e>
              <m:sub>
                <m:sSup>
                  <m:sSupPr>
                    <m:ctrlPr>
                      <w:rPr>
                        <w:rFonts w:ascii="Cambria Math" w:hAnsi="Cambria Math"/>
                        <w:b/>
                        <w:bCs/>
                        <w:i/>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r>
              <w:rPr>
                <w:rFonts w:ascii="Cambria Math" w:hAnsi="Cambria Math"/>
                <w:sz w:val="22"/>
                <w:szCs w:val="22"/>
              </w:rPr>
              <m:t>,t</m:t>
            </m:r>
          </m:e>
        </m:d>
      </m:oMath>
      <w:r w:rsidR="004969D4" w:rsidRPr="00783571">
        <w:rPr>
          <w:sz w:val="22"/>
          <w:szCs w:val="22"/>
        </w:rPr>
        <w:t xml:space="preserve"> = </w:t>
      </w:r>
      <w:r w:rsidR="00CA4D64" w:rsidRPr="00783571">
        <w:t>n</w:t>
      </w:r>
      <w:r w:rsidR="004969D4" w:rsidRPr="00783571">
        <w:t xml:space="preserve">umber of </w:t>
      </w:r>
      <w:r w:rsidR="009F3B77" w:rsidRPr="00783571">
        <w:t xml:space="preserve">times intervention j* funded for </w:t>
      </w:r>
      <w:r w:rsidR="004969D4" w:rsidRPr="00783571">
        <w:t>individuals in subpopulation p over time step t, given allocated budget</w:t>
      </w:r>
      <w:r w:rsidR="00B17C55" w:rsidRPr="00783571">
        <w:t xml:space="preserve"> </w:t>
      </w:r>
      <m:oMath>
        <m:sSub>
          <m:sSubPr>
            <m:ctrlPr>
              <w:rPr>
                <w:rFonts w:ascii="Cambria Math" w:hAnsi="Cambria Math"/>
                <w:b/>
                <w:bCs/>
                <w:sz w:val="22"/>
                <w:szCs w:val="22"/>
              </w:rPr>
            </m:ctrlPr>
          </m:sSubPr>
          <m:e>
            <m:r>
              <m:rPr>
                <m:sty m:val="b"/>
              </m:rPr>
              <w:rPr>
                <w:rFonts w:ascii="Cambria Math" w:hAnsi="Cambria Math"/>
                <w:sz w:val="22"/>
                <w:szCs w:val="22"/>
              </w:rPr>
              <m:t>ṅ</m:t>
            </m:r>
          </m:e>
          <m:sub>
            <m:sSup>
              <m:sSupPr>
                <m:ctrlPr>
                  <w:rPr>
                    <w:rFonts w:ascii="Cambria Math" w:hAnsi="Cambria Math"/>
                    <w:b/>
                    <w:bCs/>
                    <w:i/>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oMath>
      <w:r w:rsidR="004969D4" w:rsidRPr="00783571">
        <w:t xml:space="preserve">, calculated by Equation </w:t>
      </w:r>
      <w:r w:rsidR="00C83FAA" w:rsidRPr="00783571">
        <w:t>(</w:t>
      </w:r>
      <w:r w:rsidR="004969D4" w:rsidRPr="00783571">
        <w:t>5.</w:t>
      </w:r>
      <w:r w:rsidR="00C83FAA" w:rsidRPr="00783571">
        <w:t>7)</w:t>
      </w:r>
      <w:r w:rsidR="00CA4D64" w:rsidRPr="00783571">
        <w:t>:</w:t>
      </w:r>
    </w:p>
    <w:p w14:paraId="1FD58FDB" w14:textId="71FB4B23" w:rsidR="004969D4" w:rsidRPr="00783571" w:rsidRDefault="00A3127C" w:rsidP="00A66F61">
      <w:pPr>
        <w:pStyle w:val="BodyText"/>
        <w:tabs>
          <w:tab w:val="center" w:pos="4680"/>
          <w:tab w:val="right" w:pos="9360"/>
        </w:tabs>
        <w:spacing w:line="240" w:lineRule="atLeast"/>
      </w:pPr>
      <w:r w:rsidRPr="00783571">
        <w:rPr>
          <w:sz w:val="22"/>
          <w:szCs w:val="22"/>
        </w:rPr>
        <w:tab/>
      </w:r>
      <m:oMath>
        <m:sSub>
          <m:sSubPr>
            <m:ctrlPr>
              <w:rPr>
                <w:rFonts w:ascii="Cambria Math" w:hAnsi="Cambria Math"/>
                <w:i/>
                <w:sz w:val="22"/>
                <w:szCs w:val="22"/>
              </w:rPr>
            </m:ctrlPr>
          </m:sSubPr>
          <m:e>
            <m:r>
              <m:rPr>
                <m:sty m:val="b"/>
              </m:rPr>
              <w:rPr>
                <w:rFonts w:ascii="Cambria Math" w:hAnsi="Cambria Math"/>
                <w:sz w:val="22"/>
                <w:szCs w:val="22"/>
              </w:rPr>
              <m:t>ẏ</m:t>
            </m:r>
          </m:e>
          <m:sub>
            <m:r>
              <w:rPr>
                <w:rFonts w:ascii="Cambria Math" w:hAnsi="Cambria Math"/>
                <w:sz w:val="22"/>
                <w:szCs w:val="22"/>
              </w:rPr>
              <m:t>p,</m:t>
            </m:r>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d>
          <m:dPr>
            <m:ctrlPr>
              <w:rPr>
                <w:rFonts w:ascii="Cambria Math" w:hAnsi="Cambria Math"/>
                <w:i/>
                <w:sz w:val="22"/>
                <w:szCs w:val="22"/>
              </w:rPr>
            </m:ctrlPr>
          </m:dPr>
          <m:e>
            <m:sSub>
              <m:sSubPr>
                <m:ctrlPr>
                  <w:rPr>
                    <w:rFonts w:ascii="Cambria Math" w:hAnsi="Cambria Math"/>
                    <w:b/>
                    <w:bCs/>
                    <w:snapToGrid/>
                    <w:sz w:val="22"/>
                    <w:szCs w:val="22"/>
                  </w:rPr>
                </m:ctrlPr>
              </m:sSubPr>
              <m:e>
                <m:r>
                  <m:rPr>
                    <m:sty m:val="b"/>
                  </m:rPr>
                  <w:rPr>
                    <w:rFonts w:ascii="Cambria Math" w:hAnsi="Cambria Math"/>
                    <w:sz w:val="22"/>
                    <w:szCs w:val="22"/>
                  </w:rPr>
                  <m:t>ṅ</m:t>
                </m:r>
              </m:e>
              <m:sub>
                <m:sSup>
                  <m:sSupPr>
                    <m:ctrlPr>
                      <w:rPr>
                        <w:rFonts w:ascii="Cambria Math" w:hAnsi="Cambria Math"/>
                        <w:b/>
                        <w:bCs/>
                        <w:i/>
                        <w:snapToGrid/>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r>
              <w:rPr>
                <w:rFonts w:ascii="Cambria Math" w:hAnsi="Cambria Math"/>
                <w:sz w:val="22"/>
                <w:szCs w:val="22"/>
              </w:rPr>
              <m:t>,t</m:t>
            </m:r>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m:rPr>
                        <m:sty m:val="b"/>
                      </m:rPr>
                      <w:rPr>
                        <w:rFonts w:ascii="Cambria Math" w:hAnsi="Cambria Math"/>
                        <w:sz w:val="22"/>
                        <w:szCs w:val="22"/>
                      </w:rPr>
                      <m:t>ṅ</m:t>
                    </m:r>
                  </m:e>
                  <m:sub>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num>
              <m:den>
                <m:sSub>
                  <m:sSubPr>
                    <m:ctrlPr>
                      <w:rPr>
                        <w:rFonts w:ascii="Cambria Math" w:hAnsi="Cambria Math"/>
                        <w:i/>
                        <w:sz w:val="22"/>
                        <w:szCs w:val="22"/>
                      </w:rPr>
                    </m:ctrlPr>
                  </m:sSubPr>
                  <m:e>
                    <m:r>
                      <m:rPr>
                        <m:sty m:val="p"/>
                      </m:rPr>
                      <w:rPr>
                        <w:rFonts w:ascii="Cambria Math" w:hAnsi="Cambria Math"/>
                      </w:rPr>
                      <m:t>Ṡ</m:t>
                    </m:r>
                  </m:e>
                  <m:sub>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den>
            </m:f>
          </m:e>
        </m:d>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J</m:t>
                    </m:r>
                  </m:e>
                  <m:sub>
                    <m:r>
                      <w:rPr>
                        <w:rFonts w:ascii="Cambria Math" w:hAnsi="Cambria Math"/>
                        <w:sz w:val="22"/>
                        <w:szCs w:val="22"/>
                      </w:rPr>
                      <m:t>p,</m:t>
                    </m:r>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d>
                  <m:dPr>
                    <m:ctrlPr>
                      <w:rPr>
                        <w:rFonts w:ascii="Cambria Math" w:hAnsi="Cambria Math"/>
                        <w:i/>
                        <w:sz w:val="22"/>
                        <w:szCs w:val="22"/>
                      </w:rPr>
                    </m:ctrlPr>
                  </m:dPr>
                  <m:e>
                    <m:sSub>
                      <m:sSubPr>
                        <m:ctrlPr>
                          <w:rPr>
                            <w:rFonts w:ascii="Cambria Math" w:hAnsi="Cambria Math"/>
                            <w:b/>
                            <w:bCs/>
                            <w:snapToGrid/>
                            <w:sz w:val="22"/>
                            <w:szCs w:val="22"/>
                          </w:rPr>
                        </m:ctrlPr>
                      </m:sSubPr>
                      <m:e>
                        <m:r>
                          <m:rPr>
                            <m:sty m:val="b"/>
                          </m:rPr>
                          <w:rPr>
                            <w:rFonts w:ascii="Cambria Math" w:hAnsi="Cambria Math"/>
                            <w:sz w:val="22"/>
                            <w:szCs w:val="22"/>
                          </w:rPr>
                          <m:t>ṅ</m:t>
                        </m:r>
                      </m:e>
                      <m:sub>
                        <m:sSup>
                          <m:sSupPr>
                            <m:ctrlPr>
                              <w:rPr>
                                <w:rFonts w:ascii="Cambria Math" w:hAnsi="Cambria Math"/>
                                <w:b/>
                                <w:bCs/>
                                <w:i/>
                                <w:snapToGrid/>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r>
                      <w:rPr>
                        <w:rFonts w:ascii="Cambria Math" w:hAnsi="Cambria Math"/>
                        <w:sz w:val="22"/>
                        <w:szCs w:val="22"/>
                      </w:rPr>
                      <m:t>,t</m:t>
                    </m:r>
                  </m:e>
                </m:d>
              </m:num>
              <m:den>
                <m:nary>
                  <m:naryPr>
                    <m:chr m:val="∑"/>
                    <m:limLoc m:val="undOvr"/>
                    <m:supHide m:val="1"/>
                    <m:ctrlPr>
                      <w:rPr>
                        <w:rFonts w:ascii="Cambria Math" w:hAnsi="Cambria Math"/>
                        <w:i/>
                        <w:sz w:val="22"/>
                        <w:szCs w:val="22"/>
                      </w:rPr>
                    </m:ctrlPr>
                  </m:naryPr>
                  <m:sub>
                    <m:r>
                      <w:rPr>
                        <w:rFonts w:ascii="Cambria Math" w:hAnsi="Cambria Math"/>
                        <w:sz w:val="22"/>
                        <w:szCs w:val="22"/>
                      </w:rPr>
                      <m:t>p</m:t>
                    </m:r>
                  </m:sub>
                  <m:sup/>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J</m:t>
                            </m:r>
                          </m:e>
                          <m:sub>
                            <m:r>
                              <w:rPr>
                                <w:rFonts w:ascii="Cambria Math" w:hAnsi="Cambria Math"/>
                                <w:sz w:val="22"/>
                                <w:szCs w:val="22"/>
                              </w:rPr>
                              <m:t>p,</m:t>
                            </m:r>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d>
                          <m:dPr>
                            <m:ctrlPr>
                              <w:rPr>
                                <w:rFonts w:ascii="Cambria Math" w:hAnsi="Cambria Math"/>
                                <w:i/>
                                <w:sz w:val="22"/>
                                <w:szCs w:val="22"/>
                              </w:rPr>
                            </m:ctrlPr>
                          </m:dPr>
                          <m:e>
                            <m:sSub>
                              <m:sSubPr>
                                <m:ctrlPr>
                                  <w:rPr>
                                    <w:rFonts w:ascii="Cambria Math" w:hAnsi="Cambria Math"/>
                                    <w:b/>
                                    <w:bCs/>
                                    <w:snapToGrid/>
                                    <w:sz w:val="22"/>
                                    <w:szCs w:val="22"/>
                                  </w:rPr>
                                </m:ctrlPr>
                              </m:sSubPr>
                              <m:e>
                                <m:r>
                                  <m:rPr>
                                    <m:sty m:val="b"/>
                                  </m:rPr>
                                  <w:rPr>
                                    <w:rFonts w:ascii="Cambria Math" w:hAnsi="Cambria Math"/>
                                    <w:sz w:val="22"/>
                                    <w:szCs w:val="22"/>
                                  </w:rPr>
                                  <m:t>ṅ</m:t>
                                </m:r>
                              </m:e>
                              <m:sub>
                                <m:sSup>
                                  <m:sSupPr>
                                    <m:ctrlPr>
                                      <w:rPr>
                                        <w:rFonts w:ascii="Cambria Math" w:hAnsi="Cambria Math"/>
                                        <w:b/>
                                        <w:bCs/>
                                        <w:i/>
                                        <w:snapToGrid/>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r>
                              <w:rPr>
                                <w:rFonts w:ascii="Cambria Math" w:hAnsi="Cambria Math"/>
                                <w:sz w:val="22"/>
                                <w:szCs w:val="22"/>
                              </w:rPr>
                              <m:t>,t</m:t>
                            </m:r>
                          </m:e>
                        </m:d>
                      </m:e>
                    </m:d>
                  </m:e>
                </m:nary>
              </m:den>
            </m:f>
          </m:e>
        </m:d>
      </m:oMath>
      <w:r w:rsidR="004969D4" w:rsidRPr="00783571">
        <w:tab/>
        <w:t>(5.</w:t>
      </w:r>
      <w:r w:rsidR="00C83FAA" w:rsidRPr="00783571">
        <w:t>7</w:t>
      </w:r>
      <w:r w:rsidR="004969D4" w:rsidRPr="00783571">
        <w:t>)</w:t>
      </w:r>
    </w:p>
    <w:p w14:paraId="20068E77" w14:textId="423F9D9F" w:rsidR="00BC1280" w:rsidRPr="00783571" w:rsidRDefault="000F17E7" w:rsidP="00972E3C">
      <w:pPr>
        <w:pStyle w:val="bullets"/>
      </w:pPr>
      <m:oMath>
        <m:sSub>
          <m:sSubPr>
            <m:ctrlPr>
              <w:rPr>
                <w:rFonts w:ascii="Cambria Math" w:hAnsi="Cambria Math"/>
                <w:i/>
                <w:sz w:val="22"/>
                <w:szCs w:val="22"/>
              </w:rPr>
            </m:ctrlPr>
          </m:sSubPr>
          <m:e>
            <m:r>
              <m:rPr>
                <m:sty m:val="p"/>
              </m:rPr>
              <w:rPr>
                <w:rFonts w:ascii="Cambria Math" w:hAnsi="Cambria Math"/>
              </w:rPr>
              <m:t>Ṡ</m:t>
            </m:r>
          </m:e>
          <m:sub>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oMath>
      <w:r w:rsidR="00BC1280" w:rsidRPr="00783571">
        <w:t>= p</w:t>
      </w:r>
      <w:r w:rsidR="006B4840" w:rsidRPr="00783571">
        <w:t>er-person cost of implementing intervention j</w:t>
      </w:r>
      <w:r w:rsidR="0019707E" w:rsidRPr="00783571">
        <w:t>*</w:t>
      </w:r>
      <w:r w:rsidR="006B4840" w:rsidRPr="00783571">
        <w:t>, as incurred by the agency funding the intervention</w:t>
      </w:r>
      <w:r w:rsidR="00BC1280" w:rsidRPr="00783571">
        <w:t>;</w:t>
      </w:r>
    </w:p>
    <w:p w14:paraId="5A5B2937" w14:textId="68AB9A30" w:rsidR="00BC1280" w:rsidRPr="00783571" w:rsidDel="00972E3C" w:rsidRDefault="000F17E7" w:rsidP="00972E3C">
      <w:pPr>
        <w:pStyle w:val="bullets"/>
      </w:pPr>
      <m:oMath>
        <m:sSub>
          <m:sSubPr>
            <m:ctrlPr>
              <w:rPr>
                <w:rFonts w:ascii="Cambria Math" w:hAnsi="Cambria Math"/>
                <w:i/>
                <w:sz w:val="22"/>
                <w:szCs w:val="22"/>
              </w:rPr>
            </m:ctrlPr>
          </m:sSubPr>
          <m:e>
            <m:r>
              <m:rPr>
                <m:sty m:val="b"/>
              </m:rPr>
              <w:rPr>
                <w:rFonts w:ascii="Cambria Math" w:hAnsi="Cambria Math"/>
                <w:sz w:val="22"/>
                <w:szCs w:val="22"/>
              </w:rPr>
              <m:t>Ḷ</m:t>
            </m:r>
          </m:e>
          <m:sub>
            <m:r>
              <w:rPr>
                <w:rFonts w:ascii="Cambria Math" w:hAnsi="Cambria Math"/>
                <w:sz w:val="22"/>
                <w:szCs w:val="22"/>
              </w:rPr>
              <m:t>c,</m:t>
            </m:r>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oMath>
      <w:r w:rsidR="00BC1280" w:rsidRPr="00783571">
        <w:t xml:space="preserve"> = </w:t>
      </w:r>
      <w:r w:rsidR="000F3209" w:rsidRPr="00783571">
        <w:t>b</w:t>
      </w:r>
      <w:r w:rsidR="00BC1280" w:rsidRPr="00783571">
        <w:t>inary indicator of eligibility for intervention j* for individuals in compartment c (1 = eligible, 0 = not eligible)</w:t>
      </w:r>
      <w:r w:rsidR="000F3209" w:rsidRPr="00783571">
        <w:t>;</w:t>
      </w:r>
    </w:p>
    <w:p w14:paraId="6711F456" w14:textId="4F824FFE" w:rsidR="006146DC" w:rsidRPr="00783571" w:rsidRDefault="000F17E7" w:rsidP="006146DC">
      <w:pPr>
        <w:pStyle w:val="bullets"/>
      </w:pPr>
      <m:oMath>
        <m:sSub>
          <m:sSubPr>
            <m:ctrlPr>
              <w:rPr>
                <w:rFonts w:ascii="Cambria Math" w:hAnsi="Cambria Math"/>
                <w:i/>
                <w:sz w:val="22"/>
                <w:szCs w:val="22"/>
              </w:rPr>
            </m:ctrlPr>
          </m:sSubPr>
          <m:e>
            <m:r>
              <m:rPr>
                <m:sty m:val="p"/>
              </m:rPr>
              <w:rPr>
                <w:rFonts w:ascii="Cambria Math" w:hAnsi="Cambria Math"/>
              </w:rPr>
              <m:t>u̇</m:t>
            </m:r>
          </m:e>
          <m:sub>
            <m:r>
              <w:rPr>
                <w:rFonts w:ascii="Cambria Math" w:hAnsi="Cambria Math"/>
                <w:sz w:val="22"/>
                <w:szCs w:val="22"/>
              </w:rPr>
              <m:t>p,</m:t>
            </m:r>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oMath>
      <w:r w:rsidR="00726F1C" w:rsidRPr="00783571">
        <w:t xml:space="preserve"> = </w:t>
      </w:r>
      <w:r w:rsidR="000F3209" w:rsidRPr="00783571">
        <w:t>b</w:t>
      </w:r>
      <w:r w:rsidR="00BC1280" w:rsidRPr="00783571">
        <w:t>inary indicator that subpopulation p is targeted by intervention j* (1 = included, 0 = not included)</w:t>
      </w:r>
      <w:r w:rsidR="006146DC" w:rsidRPr="00783571">
        <w:t>;</w:t>
      </w:r>
    </w:p>
    <w:p w14:paraId="5D5EFB7C" w14:textId="77777777" w:rsidR="005F1368" w:rsidRPr="00783571" w:rsidRDefault="000F17E7" w:rsidP="005F1368">
      <w:pPr>
        <w:pStyle w:val="bullets"/>
        <w:rPr>
          <w:szCs w:val="18"/>
        </w:rPr>
      </w:pPr>
      <m:oMath>
        <m:sSubSup>
          <m:sSubSupPr>
            <m:ctrlPr>
              <w:rPr>
                <w:rFonts w:ascii="Cambria Math" w:hAnsi="Cambria Math"/>
                <w:i/>
              </w:rPr>
            </m:ctrlPr>
          </m:sSubSupPr>
          <m:e>
            <m:r>
              <w:rPr>
                <w:rFonts w:ascii="Cambria Math" w:hAnsi="Cambria Math"/>
              </w:rPr>
              <m:t>X</m:t>
            </m:r>
          </m:e>
          <m:sub>
            <m:r>
              <w:rPr>
                <w:rFonts w:ascii="Cambria Math" w:hAnsi="Cambria Math"/>
              </w:rPr>
              <m:t>p</m:t>
            </m:r>
          </m:sub>
          <m:sup>
            <m:r>
              <w:rPr>
                <w:rFonts w:ascii="Cambria Math" w:hAnsi="Cambria Math"/>
              </w:rPr>
              <m:t>c</m:t>
            </m:r>
          </m:sup>
        </m:sSubSup>
        <m:d>
          <m:dPr>
            <m:ctrlPr>
              <w:rPr>
                <w:rFonts w:ascii="Cambria Math" w:hAnsi="Cambria Math"/>
                <w:i/>
              </w:rPr>
            </m:ctrlPr>
          </m:dPr>
          <m:e>
            <m:sSub>
              <m:sSubPr>
                <m:ctrlPr>
                  <w:rPr>
                    <w:rFonts w:ascii="Cambria Math" w:hAnsi="Cambria Math"/>
                    <w:lang w:val="fr-FR"/>
                  </w:rPr>
                </m:ctrlPr>
              </m:sSubPr>
              <m:e>
                <m:r>
                  <m:rPr>
                    <m:sty m:val="p"/>
                  </m:rPr>
                  <w:rPr>
                    <w:rFonts w:ascii="Cambria Math" w:hAnsi="Cambria Math"/>
                  </w:rPr>
                  <m:t>ṅ</m:t>
                </m:r>
              </m:e>
              <m:sub>
                <m:sSup>
                  <m:sSupPr>
                    <m:ctrlPr>
                      <w:rPr>
                        <w:rFonts w:ascii="Cambria Math" w:hAnsi="Cambria Math"/>
                        <w:i/>
                        <w:lang w:val="fr-FR"/>
                      </w:rPr>
                    </m:ctrlPr>
                  </m:sSupPr>
                  <m:e>
                    <m:r>
                      <w:rPr>
                        <w:rFonts w:ascii="Cambria Math" w:hAnsi="Cambria Math"/>
                      </w:rPr>
                      <m:t>j</m:t>
                    </m:r>
                  </m:e>
                  <m:sup>
                    <m:r>
                      <w:rPr>
                        <w:rFonts w:ascii="Cambria Math" w:hAnsi="Cambria Math"/>
                      </w:rPr>
                      <m:t>*</m:t>
                    </m:r>
                  </m:sup>
                </m:sSup>
              </m:sub>
            </m:sSub>
            <m:r>
              <w:rPr>
                <w:rFonts w:ascii="Cambria Math" w:hAnsi="Cambria Math"/>
              </w:rPr>
              <m:t>,t</m:t>
            </m:r>
          </m:e>
        </m:d>
      </m:oMath>
      <w:r w:rsidR="005F1368" w:rsidRPr="00783571">
        <w:t xml:space="preserve"> = Number of individuals in the population in compartment </w:t>
      </w:r>
      <w:r w:rsidR="005F1368" w:rsidRPr="00783571">
        <w:rPr>
          <w:i/>
        </w:rPr>
        <w:t>c</w:t>
      </w:r>
      <w:r w:rsidR="005F1368" w:rsidRPr="00783571">
        <w:t xml:space="preserve"> and demographic subpopulation </w:t>
      </w:r>
      <w:r w:rsidR="005F1368" w:rsidRPr="00783571">
        <w:rPr>
          <w:i/>
        </w:rPr>
        <w:t>p</w:t>
      </w:r>
      <w:r w:rsidR="005F1368" w:rsidRPr="00783571">
        <w:t xml:space="preserve"> at time </w:t>
      </w:r>
      <w:r w:rsidR="005F1368" w:rsidRPr="00783571">
        <w:rPr>
          <w:i/>
        </w:rPr>
        <w:t xml:space="preserve">t </w:t>
      </w:r>
      <w:r w:rsidR="005F1368" w:rsidRPr="00783571">
        <w:rPr>
          <w:iCs/>
        </w:rPr>
        <w:t>given</w:t>
      </w:r>
      <w:r w:rsidR="005F1368" w:rsidRPr="00783571">
        <w:rPr>
          <w:i/>
        </w:rPr>
        <w:t xml:space="preserve"> </w:t>
      </w:r>
      <w:r w:rsidR="005F1368" w:rsidRPr="00783571">
        <w:t xml:space="preserve">allocated budget </w:t>
      </w:r>
      <m:oMath>
        <m:sSub>
          <m:sSubPr>
            <m:ctrlPr>
              <w:rPr>
                <w:rFonts w:ascii="Cambria Math" w:hAnsi="Cambria Math"/>
                <w:b/>
                <w:bCs/>
                <w:lang w:val="fr-FR"/>
              </w:rPr>
            </m:ctrlPr>
          </m:sSubPr>
          <m:e>
            <m:r>
              <m:rPr>
                <m:sty m:val="b"/>
              </m:rPr>
              <w:rPr>
                <w:rFonts w:ascii="Cambria Math" w:hAnsi="Cambria Math"/>
              </w:rPr>
              <m:t>ṅ</m:t>
            </m:r>
          </m:e>
          <m:sub>
            <m:sSup>
              <m:sSupPr>
                <m:ctrlPr>
                  <w:rPr>
                    <w:rFonts w:ascii="Cambria Math" w:hAnsi="Cambria Math"/>
                    <w:b/>
                    <w:bCs/>
                    <w:lang w:val="fr-FR"/>
                  </w:rPr>
                </m:ctrlPr>
              </m:sSupPr>
              <m:e>
                <m:r>
                  <m:rPr>
                    <m:sty m:val="b"/>
                  </m:rPr>
                  <w:rPr>
                    <w:rFonts w:ascii="Cambria Math" w:hAnsi="Cambria Math"/>
                  </w:rPr>
                  <m:t>j</m:t>
                </m:r>
              </m:e>
              <m:sup>
                <m:r>
                  <m:rPr>
                    <m:sty m:val="b"/>
                  </m:rPr>
                  <w:rPr>
                    <w:rFonts w:ascii="Cambria Math" w:hAnsi="Cambria Math"/>
                  </w:rPr>
                  <m:t>*</m:t>
                </m:r>
              </m:sup>
            </m:sSup>
          </m:sub>
        </m:sSub>
      </m:oMath>
      <w:r w:rsidR="005F1368" w:rsidRPr="00783571">
        <w:t xml:space="preserve"> (relevant only when progression along the HIV continuum of care is determined by allocation-based progression)</w:t>
      </w:r>
    </w:p>
    <w:p w14:paraId="794AD859" w14:textId="5BA95E8B" w:rsidR="00DB7FAE" w:rsidRPr="00783571" w:rsidRDefault="000F17E7" w:rsidP="00DB7FAE">
      <w:pPr>
        <w:pStyle w:val="bullets"/>
        <w:rPr>
          <w:bCs/>
        </w:rPr>
      </w:pPr>
      <m:oMath>
        <m:sSub>
          <m:sSubPr>
            <m:ctrlPr>
              <w:rPr>
                <w:rFonts w:ascii="Cambria Math" w:hAnsi="Cambria Math"/>
                <w:i/>
              </w:rPr>
            </m:ctrlPr>
          </m:sSubPr>
          <m:e>
            <m:r>
              <w:rPr>
                <w:rFonts w:ascii="Cambria Math" w:hAnsi="Cambria Math"/>
                <w:sz w:val="22"/>
                <w:szCs w:val="22"/>
              </w:rPr>
              <m:t>R</m:t>
            </m:r>
          </m:e>
          <m:sub>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r>
              <w:rPr>
                <w:rFonts w:ascii="Cambria Math" w:hAnsi="Cambria Math"/>
                <w:sz w:val="22"/>
                <w:szCs w:val="22"/>
              </w:rPr>
              <m:t>,1</m:t>
            </m:r>
          </m:sub>
        </m:sSub>
      </m:oMath>
      <w:r w:rsidR="006146DC" w:rsidRPr="00783571">
        <w:t xml:space="preserve"> = </w:t>
      </w:r>
      <w:r w:rsidR="00A66F61" w:rsidRPr="00783571">
        <w:t>m</w:t>
      </w:r>
      <w:r w:rsidR="00DA4C62" w:rsidRPr="00783571">
        <w:t>aximum reach for intervention j* in any one year among individuals eligible for that intervention</w:t>
      </w:r>
      <w:r w:rsidR="00A66F61" w:rsidRPr="00783571">
        <w:t>;</w:t>
      </w:r>
    </w:p>
    <w:p w14:paraId="00804B1F" w14:textId="731BC57E" w:rsidR="006146DC" w:rsidRPr="00783571" w:rsidRDefault="000F17E7" w:rsidP="00DB7FAE">
      <w:pPr>
        <w:pStyle w:val="bullets"/>
      </w:pPr>
      <m:oMath>
        <m:sSub>
          <m:sSubPr>
            <m:ctrlPr>
              <w:rPr>
                <w:rFonts w:ascii="Cambria Math" w:hAnsi="Cambria Math"/>
                <w:i/>
              </w:rPr>
            </m:ctrlPr>
          </m:sSubPr>
          <m:e>
            <m:r>
              <m:rPr>
                <m:sty m:val="bi"/>
              </m:rPr>
              <w:rPr>
                <w:rFonts w:ascii="Cambria Math" w:hAnsi="Cambria Math"/>
                <w:szCs w:val="22"/>
              </w:rPr>
              <m:t>R</m:t>
            </m:r>
          </m:e>
          <m:sub>
            <m:sSup>
              <m:sSupPr>
                <m:ctrlPr>
                  <w:rPr>
                    <w:rFonts w:ascii="Cambria Math" w:hAnsi="Cambria Math"/>
                    <w:i/>
                    <w:szCs w:val="22"/>
                  </w:rPr>
                </m:ctrlPr>
              </m:sSupPr>
              <m:e>
                <m:r>
                  <m:rPr>
                    <m:sty m:val="bi"/>
                  </m:rPr>
                  <w:rPr>
                    <w:rFonts w:ascii="Cambria Math" w:hAnsi="Cambria Math"/>
                    <w:szCs w:val="22"/>
                  </w:rPr>
                  <m:t>j</m:t>
                </m:r>
              </m:e>
              <m:sup>
                <m:r>
                  <w:rPr>
                    <w:rFonts w:ascii="Cambria Math" w:hAnsi="Cambria Math"/>
                    <w:szCs w:val="22"/>
                  </w:rPr>
                  <m:t>*</m:t>
                </m:r>
              </m:sup>
            </m:sSup>
            <m:r>
              <w:rPr>
                <w:rFonts w:ascii="Cambria Math" w:hAnsi="Cambria Math"/>
                <w:szCs w:val="22"/>
              </w:rPr>
              <m:t>,</m:t>
            </m:r>
            <m:r>
              <m:rPr>
                <m:sty m:val="bi"/>
              </m:rPr>
              <w:rPr>
                <w:rFonts w:ascii="Cambria Math" w:hAnsi="Cambria Math"/>
                <w:szCs w:val="22"/>
              </w:rPr>
              <m:t>2</m:t>
            </m:r>
          </m:sub>
        </m:sSub>
      </m:oMath>
      <w:r w:rsidR="001F5372" w:rsidRPr="00783571">
        <w:t xml:space="preserve"> </w:t>
      </w:r>
      <w:r w:rsidR="006146DC" w:rsidRPr="00783571">
        <w:t xml:space="preserve">= </w:t>
      </w:r>
      <w:r w:rsidR="00A66F61" w:rsidRPr="00783571">
        <w:t>m</w:t>
      </w:r>
      <w:r w:rsidR="00DA4C62" w:rsidRPr="00783571">
        <w:t xml:space="preserve">aximum annual rate of the transition targeted by intervention j* </w:t>
      </w:r>
      <w:r w:rsidR="001050A4" w:rsidRPr="00783571">
        <w:rPr>
          <w:rFonts w:eastAsiaTheme="minorEastAsia"/>
        </w:rPr>
        <w:t xml:space="preserve">for </w:t>
      </w:r>
      <w:r w:rsidR="001050A4" w:rsidRPr="00783571">
        <w:rPr>
          <w:iCs/>
        </w:rPr>
        <w:t>j*</w:t>
      </w:r>
      <w:r w:rsidR="001050A4" w:rsidRPr="00783571">
        <w:t xml:space="preserve"> = {1,…,5,7,…10} </w:t>
      </w:r>
      <w:r w:rsidR="00DA4C62" w:rsidRPr="00783571">
        <w:t>among individuals eligible for that intervention</w:t>
      </w:r>
      <w:r w:rsidR="006472DC" w:rsidRPr="00783571">
        <w:t xml:space="preserve">, calculated by Equation </w:t>
      </w:r>
      <w:r w:rsidR="00C83FAA" w:rsidRPr="00783571">
        <w:t>(</w:t>
      </w:r>
      <w:r w:rsidR="006472DC" w:rsidRPr="00783571">
        <w:t>5.</w:t>
      </w:r>
      <w:r w:rsidR="00C83FAA" w:rsidRPr="00783571">
        <w:t>8)</w:t>
      </w:r>
      <w:r w:rsidR="006472DC" w:rsidRPr="00783571">
        <w:t>:</w:t>
      </w:r>
    </w:p>
    <w:p w14:paraId="16B3C769" w14:textId="27E3CD5F" w:rsidR="006146DC" w:rsidRPr="00783571" w:rsidRDefault="006146DC" w:rsidP="00DB7FAE">
      <w:pPr>
        <w:pStyle w:val="equation"/>
        <w:rPr>
          <w:b/>
          <w:lang w:val="en-US"/>
        </w:rPr>
      </w:pPr>
      <w:r w:rsidRPr="00783571">
        <w:rPr>
          <w:b/>
          <w:bCs/>
          <w:lang w:val="en-US"/>
        </w:rPr>
        <w:tab/>
      </w:r>
      <m:oMath>
        <m:sSub>
          <m:sSubPr>
            <m:ctrlPr>
              <w:rPr>
                <w:rFonts w:ascii="Cambria Math" w:hAnsi="Cambria Math"/>
                <w:lang w:val="en-US"/>
              </w:rPr>
            </m:ctrlPr>
          </m:sSubPr>
          <m:e>
            <m:r>
              <m:rPr>
                <m:sty m:val="bi"/>
              </m:rPr>
              <w:rPr>
                <w:rFonts w:ascii="Cambria Math" w:hAnsi="Cambria Math"/>
                <w:lang w:val="en-US"/>
              </w:rPr>
              <m:t>R</m:t>
            </m:r>
          </m:e>
          <m:sub>
            <m:sSup>
              <m:sSupPr>
                <m:ctrlPr>
                  <w:rPr>
                    <w:rFonts w:ascii="Cambria Math" w:hAnsi="Cambria Math"/>
                    <w:lang w:val="en-US"/>
                  </w:rPr>
                </m:ctrlPr>
              </m:sSupPr>
              <m:e>
                <m:r>
                  <m:rPr>
                    <m:sty m:val="bi"/>
                  </m:rPr>
                  <w:rPr>
                    <w:rFonts w:ascii="Cambria Math" w:hAnsi="Cambria Math"/>
                    <w:lang w:val="en-US"/>
                  </w:rPr>
                  <m:t>j</m:t>
                </m:r>
              </m:e>
              <m:sup>
                <m:r>
                  <m:rPr>
                    <m:sty m:val="p"/>
                  </m:rPr>
                  <w:rPr>
                    <w:rFonts w:ascii="Cambria Math" w:hAnsi="Cambria Math"/>
                    <w:lang w:val="en-US"/>
                  </w:rPr>
                  <m:t>*</m:t>
                </m:r>
              </m:sup>
            </m:sSup>
            <m:r>
              <m:rPr>
                <m:sty m:val="p"/>
              </m:rPr>
              <w:rPr>
                <w:rFonts w:ascii="Cambria Math" w:hAnsi="Cambria Math"/>
                <w:lang w:val="en-US"/>
              </w:rPr>
              <m:t>,</m:t>
            </m:r>
            <m:r>
              <m:rPr>
                <m:sty m:val="b"/>
              </m:rPr>
              <w:rPr>
                <w:rFonts w:ascii="Cambria Math" w:hAnsi="Cambria Math"/>
                <w:lang w:val="en-US"/>
              </w:rPr>
              <m:t>2</m:t>
            </m:r>
          </m:sub>
        </m:sSub>
        <m:r>
          <m:rPr>
            <m:sty m:val="p"/>
          </m:rPr>
          <w:rPr>
            <w:rFonts w:ascii="Cambria Math" w:hAnsi="Cambria Math"/>
            <w:lang w:val="en-US"/>
          </w:rPr>
          <m:t>=-</m:t>
        </m:r>
        <m:r>
          <m:rPr>
            <m:sty m:val="b"/>
          </m:rPr>
          <w:rPr>
            <w:rFonts w:ascii="Cambria Math" w:hAnsi="Cambria Math"/>
            <w:lang w:val="en-US"/>
          </w:rPr>
          <m:t>l</m:t>
        </m:r>
        <m:func>
          <m:funcPr>
            <m:ctrlPr>
              <w:rPr>
                <w:rFonts w:ascii="Cambria Math" w:hAnsi="Cambria Math"/>
                <w:lang w:val="en-US"/>
              </w:rPr>
            </m:ctrlPr>
          </m:funcPr>
          <m:fName>
            <m:r>
              <m:rPr>
                <m:sty m:val="b"/>
              </m:rPr>
              <w:rPr>
                <w:rFonts w:ascii="Cambria Math" w:hAnsi="Cambria Math"/>
                <w:lang w:val="en-US"/>
              </w:rPr>
              <m:t>n</m:t>
            </m:r>
          </m:fName>
          <m:e>
            <m:d>
              <m:dPr>
                <m:ctrlPr>
                  <w:rPr>
                    <w:rFonts w:ascii="Cambria Math" w:hAnsi="Cambria Math"/>
                    <w:lang w:val="en-US"/>
                  </w:rPr>
                </m:ctrlPr>
              </m:dPr>
              <m:e>
                <m:r>
                  <m:rPr>
                    <m:sty m:val="b"/>
                  </m:rPr>
                  <w:rPr>
                    <w:rFonts w:ascii="Cambria Math" w:hAnsi="Cambria Math"/>
                    <w:lang w:val="en-US"/>
                  </w:rPr>
                  <m:t>1</m:t>
                </m:r>
                <m:r>
                  <m:rPr>
                    <m:sty m:val="p"/>
                  </m:rPr>
                  <w:rPr>
                    <w:rFonts w:ascii="Cambria Math" w:hAnsi="Cambria Math"/>
                    <w:lang w:val="en-US"/>
                  </w:rPr>
                  <m:t>-</m:t>
                </m:r>
                <m:sSub>
                  <m:sSubPr>
                    <m:ctrlPr>
                      <w:rPr>
                        <w:rFonts w:ascii="Cambria Math" w:hAnsi="Cambria Math"/>
                        <w:b/>
                        <w:bCs/>
                        <w:lang w:val="en-US"/>
                      </w:rPr>
                    </m:ctrlPr>
                  </m:sSubPr>
                  <m:e>
                    <m:r>
                      <m:rPr>
                        <m:sty m:val="bi"/>
                      </m:rPr>
                      <w:rPr>
                        <w:rFonts w:ascii="Cambria Math" w:hAnsi="Cambria Math"/>
                        <w:lang w:val="en-US"/>
                      </w:rPr>
                      <m:t>R</m:t>
                    </m:r>
                  </m:e>
                  <m:sub>
                    <m:sSup>
                      <m:sSupPr>
                        <m:ctrlPr>
                          <w:rPr>
                            <w:rFonts w:ascii="Cambria Math" w:hAnsi="Cambria Math"/>
                            <w:b/>
                            <w:bCs/>
                            <w:lang w:val="en-US"/>
                          </w:rPr>
                        </m:ctrlPr>
                      </m:sSupPr>
                      <m:e>
                        <m:r>
                          <m:rPr>
                            <m:sty m:val="bi"/>
                          </m:rPr>
                          <w:rPr>
                            <w:rFonts w:ascii="Cambria Math" w:hAnsi="Cambria Math"/>
                            <w:lang w:val="en-US"/>
                          </w:rPr>
                          <m:t>j</m:t>
                        </m:r>
                      </m:e>
                      <m:sup>
                        <m:r>
                          <m:rPr>
                            <m:sty m:val="p"/>
                          </m:rPr>
                          <w:rPr>
                            <w:rFonts w:ascii="Cambria Math" w:hAnsi="Cambria Math"/>
                            <w:lang w:val="en-US"/>
                          </w:rPr>
                          <m:t>*</m:t>
                        </m:r>
                      </m:sup>
                    </m:sSup>
                    <m:r>
                      <m:rPr>
                        <m:sty m:val="p"/>
                      </m:rPr>
                      <w:rPr>
                        <w:rFonts w:ascii="Cambria Math" w:hAnsi="Cambria Math"/>
                        <w:lang w:val="en-US"/>
                      </w:rPr>
                      <m:t>,</m:t>
                    </m:r>
                    <m:r>
                      <m:rPr>
                        <m:sty m:val="b"/>
                      </m:rPr>
                      <w:rPr>
                        <w:rFonts w:ascii="Cambria Math" w:hAnsi="Cambria Math"/>
                        <w:lang w:val="en-US"/>
                      </w:rPr>
                      <m:t>1</m:t>
                    </m:r>
                  </m:sub>
                </m:sSub>
              </m:e>
            </m:d>
          </m:e>
        </m:func>
      </m:oMath>
      <w:r w:rsidR="00DB7FAE" w:rsidRPr="00783571">
        <w:rPr>
          <w:rFonts w:eastAsiaTheme="minorEastAsia"/>
          <w:b/>
          <w:lang w:val="en-US"/>
        </w:rPr>
        <w:br/>
      </w:r>
      <w:r w:rsidR="00DB7FAE" w:rsidRPr="00783571">
        <w:rPr>
          <w:rFonts w:eastAsiaTheme="minorEastAsia"/>
          <w:lang w:val="en-US"/>
        </w:rPr>
        <w:tab/>
      </w:r>
      <w:r w:rsidRPr="00783571">
        <w:rPr>
          <w:rFonts w:eastAsiaTheme="minorEastAsia"/>
          <w:lang w:val="en-US"/>
        </w:rPr>
        <w:t xml:space="preserve">for </w:t>
      </w:r>
      <w:r w:rsidRPr="00783571">
        <w:rPr>
          <w:iCs/>
          <w:lang w:val="en-US"/>
        </w:rPr>
        <w:t>j*</w:t>
      </w:r>
      <w:r w:rsidR="00DB7FAE" w:rsidRPr="00783571">
        <w:rPr>
          <w:lang w:val="en-US"/>
        </w:rPr>
        <w:t xml:space="preserve"> = {1,…,5,7,…10}</w:t>
      </w:r>
      <w:r w:rsidR="00DB7FAE" w:rsidRPr="00783571">
        <w:rPr>
          <w:lang w:val="en-US"/>
        </w:rPr>
        <w:tab/>
        <w:t>(5.</w:t>
      </w:r>
      <w:r w:rsidR="00C83FAA" w:rsidRPr="00783571">
        <w:rPr>
          <w:lang w:val="en-US"/>
        </w:rPr>
        <w:t>8</w:t>
      </w:r>
      <w:r w:rsidR="00DB7FAE" w:rsidRPr="00783571">
        <w:rPr>
          <w:lang w:val="en-US"/>
        </w:rPr>
        <w:t>)</w:t>
      </w:r>
    </w:p>
    <w:p w14:paraId="09F5CA82" w14:textId="07F11001" w:rsidR="006146DC" w:rsidRPr="00783571" w:rsidRDefault="000F17E7" w:rsidP="00105AA4">
      <w:pPr>
        <w:pStyle w:val="bullets"/>
        <w:keepNext/>
      </w:pPr>
      <m:oMath>
        <m:sSub>
          <m:sSubPr>
            <m:ctrlPr>
              <w:rPr>
                <w:rFonts w:ascii="Cambria Math" w:hAnsi="Cambria Math"/>
                <w:i/>
              </w:rPr>
            </m:ctrlPr>
          </m:sSubPr>
          <m:e>
            <m:r>
              <m:rPr>
                <m:sty m:val="bi"/>
              </m:rPr>
              <w:rPr>
                <w:rFonts w:ascii="Cambria Math" w:hAnsi="Cambria Math"/>
                <w:szCs w:val="22"/>
              </w:rPr>
              <m:t>R</m:t>
            </m:r>
          </m:e>
          <m:sub>
            <m:sSup>
              <m:sSupPr>
                <m:ctrlPr>
                  <w:rPr>
                    <w:rFonts w:ascii="Cambria Math" w:hAnsi="Cambria Math"/>
                    <w:i/>
                    <w:szCs w:val="22"/>
                  </w:rPr>
                </m:ctrlPr>
              </m:sSupPr>
              <m:e>
                <m:r>
                  <m:rPr>
                    <m:sty m:val="bi"/>
                  </m:rPr>
                  <w:rPr>
                    <w:rFonts w:ascii="Cambria Math" w:hAnsi="Cambria Math"/>
                    <w:szCs w:val="22"/>
                  </w:rPr>
                  <m:t>j</m:t>
                </m:r>
              </m:e>
              <m:sup>
                <m:r>
                  <w:rPr>
                    <w:rFonts w:ascii="Cambria Math" w:hAnsi="Cambria Math"/>
                    <w:szCs w:val="22"/>
                  </w:rPr>
                  <m:t>*</m:t>
                </m:r>
              </m:sup>
            </m:sSup>
            <m:r>
              <w:rPr>
                <w:rFonts w:ascii="Cambria Math" w:hAnsi="Cambria Math"/>
                <w:szCs w:val="22"/>
              </w:rPr>
              <m:t>,</m:t>
            </m:r>
            <m:r>
              <m:rPr>
                <m:sty m:val="bi"/>
              </m:rPr>
              <w:rPr>
                <w:rFonts w:ascii="Cambria Math" w:hAnsi="Cambria Math"/>
                <w:szCs w:val="22"/>
              </w:rPr>
              <m:t>2</m:t>
            </m:r>
          </m:sub>
        </m:sSub>
      </m:oMath>
      <w:r w:rsidR="001F5372" w:rsidRPr="00783571">
        <w:t xml:space="preserve"> </w:t>
      </w:r>
      <w:r w:rsidR="006146DC" w:rsidRPr="00783571">
        <w:t xml:space="preserve">= </w:t>
      </w:r>
      <w:r w:rsidR="00A66F61" w:rsidRPr="00783571">
        <w:t>m</w:t>
      </w:r>
      <w:r w:rsidR="006146DC" w:rsidRPr="00783571">
        <w:t xml:space="preserve">aximum annual probability of transition targeted by intervention </w:t>
      </w:r>
      <w:r w:rsidR="006146DC" w:rsidRPr="00783571">
        <w:rPr>
          <w:i/>
          <w:iCs/>
        </w:rPr>
        <w:t>j*</w:t>
      </w:r>
      <w:r w:rsidR="006146DC" w:rsidRPr="00783571">
        <w:t xml:space="preserve"> </w:t>
      </w:r>
      <w:r w:rsidR="00FC4AA3" w:rsidRPr="00783571">
        <w:rPr>
          <w:rFonts w:eastAsiaTheme="minorEastAsia"/>
        </w:rPr>
        <w:t xml:space="preserve">for </w:t>
      </w:r>
      <w:r w:rsidR="00FC4AA3" w:rsidRPr="00783571">
        <w:rPr>
          <w:iCs/>
        </w:rPr>
        <w:t>j*</w:t>
      </w:r>
      <w:r w:rsidR="00FC4AA3" w:rsidRPr="00783571">
        <w:t xml:space="preserve"> = {6} </w:t>
      </w:r>
      <w:r w:rsidR="006146DC" w:rsidRPr="00783571">
        <w:t>among individuals eligible for that intervention</w:t>
      </w:r>
      <w:r w:rsidR="006472DC" w:rsidRPr="00783571">
        <w:t xml:space="preserve">, calculated by Equation </w:t>
      </w:r>
      <w:r w:rsidR="00C83FAA" w:rsidRPr="00783571">
        <w:t>(</w:t>
      </w:r>
      <w:r w:rsidR="006472DC" w:rsidRPr="00783571">
        <w:t>5.</w:t>
      </w:r>
      <w:r w:rsidR="00C83FAA" w:rsidRPr="00783571">
        <w:t>9)</w:t>
      </w:r>
      <w:r w:rsidR="006472DC" w:rsidRPr="00783571">
        <w:t>:</w:t>
      </w:r>
    </w:p>
    <w:p w14:paraId="0EED8EBB" w14:textId="4DF99EC9" w:rsidR="00614D37" w:rsidRPr="00783571" w:rsidRDefault="006146DC" w:rsidP="00DB7FAE">
      <w:pPr>
        <w:pStyle w:val="equation"/>
        <w:rPr>
          <w:lang w:val="en-US"/>
        </w:rPr>
      </w:pPr>
      <w:r w:rsidRPr="00783571">
        <w:rPr>
          <w:lang w:val="en-US"/>
        </w:rPr>
        <w:tab/>
      </w:r>
      <m:oMath>
        <m:sSub>
          <m:sSubPr>
            <m:ctrlPr>
              <w:rPr>
                <w:rFonts w:ascii="Cambria Math" w:hAnsi="Cambria Math"/>
                <w:lang w:val="en-US"/>
              </w:rPr>
            </m:ctrlPr>
          </m:sSubPr>
          <m:e>
            <m:r>
              <m:rPr>
                <m:sty m:val="bi"/>
              </m:rPr>
              <w:rPr>
                <w:rFonts w:ascii="Cambria Math" w:hAnsi="Cambria Math"/>
                <w:szCs w:val="22"/>
                <w:lang w:val="en-US"/>
              </w:rPr>
              <m:t>R</m:t>
            </m:r>
          </m:e>
          <m:sub>
            <m:sSup>
              <m:sSupPr>
                <m:ctrlPr>
                  <w:rPr>
                    <w:rFonts w:ascii="Cambria Math" w:hAnsi="Cambria Math"/>
                    <w:szCs w:val="22"/>
                    <w:lang w:val="en-US"/>
                  </w:rPr>
                </m:ctrlPr>
              </m:sSupPr>
              <m:e>
                <m:r>
                  <m:rPr>
                    <m:sty m:val="bi"/>
                  </m:rPr>
                  <w:rPr>
                    <w:rFonts w:ascii="Cambria Math" w:hAnsi="Cambria Math"/>
                    <w:szCs w:val="22"/>
                    <w:lang w:val="en-US"/>
                  </w:rPr>
                  <m:t>j</m:t>
                </m:r>
              </m:e>
              <m:sup>
                <m:r>
                  <m:rPr>
                    <m:sty m:val="p"/>
                  </m:rPr>
                  <w:rPr>
                    <w:rFonts w:ascii="Cambria Math" w:hAnsi="Cambria Math"/>
                    <w:szCs w:val="22"/>
                    <w:lang w:val="en-US"/>
                  </w:rPr>
                  <m:t>*</m:t>
                </m:r>
              </m:sup>
            </m:sSup>
            <m:r>
              <m:rPr>
                <m:sty m:val="p"/>
              </m:rPr>
              <w:rPr>
                <w:rFonts w:ascii="Cambria Math" w:hAnsi="Cambria Math"/>
                <w:szCs w:val="22"/>
                <w:lang w:val="en-US"/>
              </w:rPr>
              <m:t>,</m:t>
            </m:r>
            <m:r>
              <m:rPr>
                <m:sty m:val="b"/>
              </m:rPr>
              <w:rPr>
                <w:rFonts w:ascii="Cambria Math" w:hAnsi="Cambria Math"/>
                <w:szCs w:val="22"/>
                <w:lang w:val="en-US"/>
              </w:rPr>
              <m:t>2</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R</m:t>
            </m:r>
          </m:e>
          <m:sub>
            <m:sSup>
              <m:sSupPr>
                <m:ctrlPr>
                  <w:rPr>
                    <w:rFonts w:ascii="Cambria Math" w:hAnsi="Cambria Math"/>
                    <w:lang w:val="en-US"/>
                  </w:rPr>
                </m:ctrlPr>
              </m:sSupPr>
              <m:e>
                <m:r>
                  <m:rPr>
                    <m:sty m:val="bi"/>
                  </m:rPr>
                  <w:rPr>
                    <w:rFonts w:ascii="Cambria Math" w:hAnsi="Cambria Math"/>
                    <w:lang w:val="en-US"/>
                  </w:rPr>
                  <m:t>j</m:t>
                </m:r>
              </m:e>
              <m:sup>
                <m:r>
                  <m:rPr>
                    <m:sty m:val="p"/>
                  </m:rPr>
                  <w:rPr>
                    <w:rFonts w:ascii="Cambria Math" w:hAnsi="Cambria Math"/>
                    <w:lang w:val="en-US"/>
                  </w:rPr>
                  <m:t>*</m:t>
                </m:r>
              </m:sup>
            </m:sSup>
            <m:r>
              <m:rPr>
                <m:sty m:val="p"/>
              </m:rPr>
              <w:rPr>
                <w:rFonts w:ascii="Cambria Math" w:hAnsi="Cambria Math"/>
                <w:lang w:val="en-US"/>
              </w:rPr>
              <m:t>,</m:t>
            </m:r>
            <m:r>
              <m:rPr>
                <m:sty m:val="b"/>
              </m:rPr>
              <w:rPr>
                <w:rFonts w:ascii="Cambria Math" w:hAnsi="Cambria Math"/>
                <w:lang w:val="en-US"/>
              </w:rPr>
              <m:t>1</m:t>
            </m:r>
          </m:sub>
        </m:sSub>
      </m:oMath>
      <w:r w:rsidR="00DB7FAE" w:rsidRPr="00783571">
        <w:rPr>
          <w:szCs w:val="18"/>
          <w:lang w:val="en-US"/>
        </w:rPr>
        <w:br/>
      </w:r>
      <w:r w:rsidRPr="00783571">
        <w:rPr>
          <w:szCs w:val="18"/>
          <w:lang w:val="en-US"/>
        </w:rPr>
        <w:tab/>
        <w:t xml:space="preserve">for </w:t>
      </w:r>
      <w:r w:rsidRPr="00783571">
        <w:rPr>
          <w:iCs/>
          <w:szCs w:val="18"/>
          <w:lang w:val="en-US"/>
        </w:rPr>
        <w:t>j</w:t>
      </w:r>
      <w:r w:rsidRPr="00783571">
        <w:rPr>
          <w:szCs w:val="18"/>
          <w:lang w:val="en-US"/>
        </w:rPr>
        <w:t>* = {6}</w:t>
      </w:r>
      <w:r w:rsidRPr="00783571">
        <w:rPr>
          <w:szCs w:val="18"/>
          <w:lang w:val="en-US"/>
        </w:rPr>
        <w:tab/>
        <w:t>(5.</w:t>
      </w:r>
      <w:r w:rsidR="00C83FAA" w:rsidRPr="00783571">
        <w:rPr>
          <w:szCs w:val="18"/>
          <w:lang w:val="en-US"/>
        </w:rPr>
        <w:t>9</w:t>
      </w:r>
      <w:r w:rsidRPr="00783571">
        <w:rPr>
          <w:szCs w:val="18"/>
          <w:lang w:val="en-US"/>
        </w:rPr>
        <w:t>)</w:t>
      </w:r>
    </w:p>
    <w:p w14:paraId="350A3625" w14:textId="77777777" w:rsidR="004F4E6D" w:rsidRPr="00783571" w:rsidRDefault="00DF5ADE" w:rsidP="00EC4628">
      <w:pPr>
        <w:pStyle w:val="Heading3"/>
      </w:pPr>
      <w:bookmarkStart w:id="36" w:name="_Toc430182349"/>
      <w:bookmarkStart w:id="37" w:name="_Toc430186348"/>
      <w:bookmarkStart w:id="38" w:name="_Toc430186391"/>
      <w:bookmarkStart w:id="39" w:name="_Toc430245198"/>
      <w:bookmarkStart w:id="40" w:name="_Toc510104452"/>
      <w:bookmarkEnd w:id="36"/>
      <w:bookmarkEnd w:id="37"/>
      <w:bookmarkEnd w:id="38"/>
      <w:bookmarkEnd w:id="39"/>
      <w:r w:rsidRPr="00783571">
        <w:t>Diagnosis Rates</w:t>
      </w:r>
      <w:bookmarkEnd w:id="40"/>
    </w:p>
    <w:p w14:paraId="56B61277" w14:textId="4DCC0DEF" w:rsidR="006D7C60" w:rsidRPr="00783571" w:rsidRDefault="00472E71" w:rsidP="00A66F61">
      <w:pPr>
        <w:pStyle w:val="BodyText"/>
      </w:pPr>
      <w:r w:rsidRPr="00783571">
        <w:t xml:space="preserve">The annual diagnosis rate of unaware </w:t>
      </w:r>
      <w:r w:rsidR="005F5C70" w:rsidRPr="00783571">
        <w:t>HIV-infected</w:t>
      </w:r>
      <w:r w:rsidRPr="00783571">
        <w:t xml:space="preserve"> individuals is a function of the testing rate</w:t>
      </w:r>
      <w:r w:rsidR="00DF5ADE" w:rsidRPr="00783571">
        <w:t xml:space="preserve"> (</w:t>
      </w:r>
      <m:oMath>
        <m:sSubSup>
          <m:sSubSupPr>
            <m:ctrlPr>
              <w:rPr>
                <w:rFonts w:ascii="Cambria Math" w:hAnsi="Cambria Math"/>
              </w:rPr>
            </m:ctrlPr>
          </m:sSubSupPr>
          <m:e>
            <m:r>
              <w:rPr>
                <w:rFonts w:ascii="Cambria Math" w:hAnsi="Cambria Math"/>
              </w:rPr>
              <m:t>π</m:t>
            </m:r>
          </m:e>
          <m:sub>
            <m:r>
              <w:rPr>
                <w:rFonts w:ascii="Cambria Math" w:hAnsi="Cambria Math"/>
              </w:rPr>
              <m:t>p</m:t>
            </m:r>
          </m:sub>
          <m:sup>
            <m:r>
              <w:rPr>
                <w:rFonts w:ascii="Cambria Math" w:hAnsi="Cambria Math"/>
              </w:rPr>
              <m:t>c</m:t>
            </m:r>
          </m:sup>
        </m:sSubSup>
        <m:r>
          <m:rPr>
            <m:sty m:val="p"/>
          </m:rPr>
          <w:rPr>
            <w:rFonts w:ascii="Cambria Math" w:hAnsi="Cambria Math"/>
          </w:rPr>
          <m:t>(</m:t>
        </m:r>
        <m:r>
          <w:rPr>
            <w:rFonts w:ascii="Cambria Math" w:hAnsi="Cambria Math"/>
          </w:rPr>
          <m:t>t</m:t>
        </m:r>
        <m:r>
          <m:rPr>
            <m:sty m:val="p"/>
          </m:rPr>
          <w:rPr>
            <w:rFonts w:ascii="Cambria Math" w:hAnsi="Cambria Math"/>
          </w:rPr>
          <m:t>)</m:t>
        </m:r>
      </m:oMath>
      <w:r w:rsidR="00DF5ADE" w:rsidRPr="00783571">
        <w:t>, as determined by any of the methods used to generate testing rates)</w:t>
      </w:r>
      <w:r w:rsidRPr="00783571">
        <w:t>, the use of rapid (versus conventional) tests, the sensitivity of the tests used, and the likelihood of individuals getting notified of results. The diagnosis rates are</w:t>
      </w:r>
      <w:r w:rsidR="006D7C60" w:rsidRPr="00783571">
        <w:t xml:space="preserve"> c</w:t>
      </w:r>
      <w:r w:rsidRPr="00783571">
        <w:t xml:space="preserve">alculated </w:t>
      </w:r>
      <w:r w:rsidR="006D7C60" w:rsidRPr="00783571">
        <w:t xml:space="preserve">using Equation </w:t>
      </w:r>
      <w:r w:rsidR="008B30F8" w:rsidRPr="00783571">
        <w:t>(</w:t>
      </w:r>
      <w:r w:rsidR="005B0687" w:rsidRPr="00783571">
        <w:t>5</w:t>
      </w:r>
      <w:r w:rsidR="00C277F4" w:rsidRPr="00783571">
        <w:t>.</w:t>
      </w:r>
      <w:r w:rsidR="00C83FAA" w:rsidRPr="00783571">
        <w:t>10</w:t>
      </w:r>
      <w:r w:rsidR="008B30F8" w:rsidRPr="00783571">
        <w:t>)</w:t>
      </w:r>
      <w:r w:rsidRPr="00783571">
        <w:t xml:space="preserve"> and vary</w:t>
      </w:r>
      <w:r w:rsidR="006D7C60" w:rsidRPr="00783571">
        <w:t xml:space="preserve"> </w:t>
      </w:r>
      <w:r w:rsidR="00186AEF" w:rsidRPr="00783571">
        <w:t xml:space="preserve">by time </w:t>
      </w:r>
      <w:r w:rsidR="00186AEF" w:rsidRPr="00783571">
        <w:rPr>
          <w:i/>
        </w:rPr>
        <w:t>t</w:t>
      </w:r>
      <w:r w:rsidR="00C038D1" w:rsidRPr="00783571">
        <w:t xml:space="preserve"> and</w:t>
      </w:r>
      <w:r w:rsidR="00186AEF" w:rsidRPr="00783571">
        <w:t xml:space="preserve"> HIV status </w:t>
      </w:r>
      <w:r w:rsidR="00186AEF" w:rsidRPr="00783571">
        <w:rPr>
          <w:i/>
        </w:rPr>
        <w:t>h</w:t>
      </w:r>
      <w:r w:rsidR="00AF110F" w:rsidRPr="00783571">
        <w:rPr>
          <w:iCs/>
        </w:rPr>
        <w:t xml:space="preserve"> (captured in </w:t>
      </w:r>
      <w:r w:rsidR="00C038D1" w:rsidRPr="00783571">
        <w:rPr>
          <w:iCs/>
        </w:rPr>
        <w:t xml:space="preserve">compartment </w:t>
      </w:r>
      <w:r w:rsidR="00AF110F" w:rsidRPr="00783571">
        <w:rPr>
          <w:i/>
        </w:rPr>
        <w:t>c</w:t>
      </w:r>
      <w:r w:rsidR="00AF110F" w:rsidRPr="00783571">
        <w:rPr>
          <w:iCs/>
        </w:rPr>
        <w:t>)</w:t>
      </w:r>
      <w:r w:rsidR="00186AEF" w:rsidRPr="00783571">
        <w:t xml:space="preserve">, </w:t>
      </w:r>
      <w:r w:rsidR="00CA4D64" w:rsidRPr="00783571">
        <w:t>and</w:t>
      </w:r>
      <w:r w:rsidR="00186AEF" w:rsidRPr="00783571">
        <w:t xml:space="preserve"> by race</w:t>
      </w:r>
      <w:r w:rsidR="00710F65" w:rsidRPr="00783571">
        <w:t>/ethnicity</w:t>
      </w:r>
      <w:r w:rsidR="00202678" w:rsidRPr="00783571">
        <w:t>,</w:t>
      </w:r>
      <w:r w:rsidR="006D7C60" w:rsidRPr="00783571">
        <w:t xml:space="preserve"> transmission group</w:t>
      </w:r>
      <w:r w:rsidR="00202678" w:rsidRPr="00783571">
        <w:t>, and risk level</w:t>
      </w:r>
      <w:r w:rsidR="00C038D1" w:rsidRPr="00783571">
        <w:t xml:space="preserve"> (captured in subpopulation p)</w:t>
      </w:r>
      <w:r w:rsidR="00A66F61" w:rsidRPr="00783571">
        <w:t>:</w:t>
      </w:r>
    </w:p>
    <w:p w14:paraId="21EF322E" w14:textId="4245F8D8" w:rsidR="00E53406" w:rsidRPr="00783571" w:rsidRDefault="005C4A78" w:rsidP="006146DC">
      <w:pPr>
        <w:pStyle w:val="equation"/>
        <w:rPr>
          <w:rFonts w:eastAsiaTheme="minorHAnsi"/>
          <w:lang w:val="en-US"/>
        </w:rPr>
      </w:pPr>
      <w:r w:rsidRPr="00783571">
        <w:rPr>
          <w:lang w:val="en-US"/>
        </w:rPr>
        <w:tab/>
      </w:r>
      <m:oMath>
        <m:sSubSup>
          <m:sSubSupPr>
            <m:ctrlPr>
              <w:rPr>
                <w:rFonts w:ascii="Cambria Math" w:hAnsi="Cambria Math"/>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m:t>
            </m:r>
          </m:sup>
        </m:sSubSup>
        <m:r>
          <m:rPr>
            <m:sty m:val="p"/>
          </m:rPr>
          <w:rPr>
            <w:rFonts w:ascii="Cambria Math" w:eastAsiaTheme="minorHAnsi" w:hAnsi="Cambria Math"/>
            <w:lang w:val="en-US"/>
          </w:rPr>
          <m:t>(</m:t>
        </m:r>
        <m:r>
          <w:rPr>
            <w:rFonts w:ascii="Cambria Math" w:eastAsiaTheme="minorHAnsi" w:hAnsi="Cambria Math"/>
            <w:lang w:val="en-US"/>
          </w:rPr>
          <m:t>t</m:t>
        </m:r>
        <m:r>
          <m:rPr>
            <m:sty m:val="p"/>
          </m:rPr>
          <w:rPr>
            <w:rFonts w:ascii="Cambria Math" w:eastAsiaTheme="minorHAnsi" w:hAnsi="Cambria Math"/>
            <w:lang w:val="en-US"/>
          </w:rPr>
          <m:t>)=</m:t>
        </m:r>
        <m:sSubSup>
          <m:sSubSupPr>
            <m:ctrlPr>
              <w:rPr>
                <w:rFonts w:ascii="Cambria Math" w:hAnsi="Cambria Math"/>
                <w:i/>
                <w:lang w:val="en-US"/>
              </w:rPr>
            </m:ctrlPr>
          </m:sSubSupPr>
          <m:e>
            <m:r>
              <w:rPr>
                <w:rFonts w:ascii="Cambria Math" w:hAnsi="Cambria Math"/>
                <w:lang w:val="en-US"/>
              </w:rPr>
              <m:t>π</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m:rPr>
            <m:sty m:val="p"/>
          </m:rPr>
          <w:rPr>
            <w:rFonts w:ascii="Cambria Math" w:eastAsiaTheme="minorHAnsi" w:hAnsi="Cambria Math"/>
            <w:lang w:val="en-US"/>
          </w:rPr>
          <m:t>*</m:t>
        </m:r>
        <m:d>
          <m:dPr>
            <m:begChr m:val="["/>
            <m:endChr m:val="]"/>
            <m:ctrlPr>
              <w:rPr>
                <w:rFonts w:ascii="Cambria Math" w:eastAsiaTheme="minorHAnsi" w:hAnsi="Cambria Math"/>
                <w:lang w:val="en-US"/>
              </w:rPr>
            </m:ctrlPr>
          </m:dPr>
          <m:e>
            <m:sSub>
              <m:sSubPr>
                <m:ctrlPr>
                  <w:rPr>
                    <w:rFonts w:ascii="Cambria Math" w:eastAsiaTheme="minorHAnsi" w:hAnsi="Cambria Math"/>
                    <w:lang w:val="en-US"/>
                  </w:rPr>
                </m:ctrlPr>
              </m:sSubPr>
              <m:e>
                <m:r>
                  <w:rPr>
                    <w:rFonts w:ascii="Cambria Math" w:eastAsiaTheme="minorHAnsi" w:hAnsi="Cambria Math"/>
                    <w:lang w:val="en-US"/>
                  </w:rPr>
                  <m:t>ψ</m:t>
                </m:r>
              </m:e>
              <m:sub>
                <m:r>
                  <w:rPr>
                    <w:rFonts w:ascii="Cambria Math" w:eastAsiaTheme="minorHAnsi" w:hAnsi="Cambria Math"/>
                    <w:lang w:val="en-US"/>
                  </w:rPr>
                  <m:t>p</m:t>
                </m:r>
              </m:sub>
            </m:sSub>
            <m:r>
              <m:rPr>
                <m:sty m:val="p"/>
              </m:rPr>
              <w:rPr>
                <w:rFonts w:ascii="Cambria Math" w:eastAsiaTheme="minorHAnsi" w:hAnsi="Cambria Math"/>
                <w:lang w:val="en-US"/>
              </w:rPr>
              <m:t>(</m:t>
            </m:r>
            <m:r>
              <w:rPr>
                <w:rFonts w:ascii="Cambria Math" w:eastAsiaTheme="minorHAnsi" w:hAnsi="Cambria Math"/>
                <w:lang w:val="en-US"/>
              </w:rPr>
              <m:t>t</m:t>
            </m:r>
            <m:r>
              <m:rPr>
                <m:sty m:val="p"/>
              </m:rPr>
              <w:rPr>
                <w:rFonts w:ascii="Cambria Math" w:eastAsiaTheme="minorHAnsi" w:hAnsi="Cambria Math"/>
                <w:lang w:val="en-US"/>
              </w:rPr>
              <m:t>)*</m:t>
            </m:r>
            <m:sSub>
              <m:sSubPr>
                <m:ctrlPr>
                  <w:rPr>
                    <w:rFonts w:ascii="Cambria Math" w:eastAsiaTheme="minorHAnsi" w:hAnsi="Cambria Math"/>
                    <w:lang w:val="en-US"/>
                  </w:rPr>
                </m:ctrlPr>
              </m:sSubPr>
              <m:e>
                <m:r>
                  <w:rPr>
                    <w:rFonts w:ascii="Cambria Math" w:eastAsiaTheme="minorHAnsi" w:hAnsi="Cambria Math"/>
                    <w:lang w:val="en-US"/>
                  </w:rPr>
                  <m:t>w</m:t>
                </m:r>
              </m:e>
              <m:sub>
                <m:r>
                  <w:rPr>
                    <w:rFonts w:ascii="Cambria Math" w:eastAsiaTheme="minorHAnsi" w:hAnsi="Cambria Math"/>
                    <w:lang w:val="en-US"/>
                  </w:rPr>
                  <m:t>c</m:t>
                </m:r>
                <m:r>
                  <m:rPr>
                    <m:sty m:val="p"/>
                  </m:rPr>
                  <w:rPr>
                    <w:rFonts w:ascii="Cambria Math" w:eastAsiaTheme="minorHAnsi" w:hAnsi="Cambria Math"/>
                    <w:lang w:val="en-US"/>
                  </w:rPr>
                  <m:t xml:space="preserve"> ,</m:t>
                </m:r>
                <m:r>
                  <w:rPr>
                    <w:rFonts w:ascii="Cambria Math" w:eastAsiaTheme="minorHAnsi" w:hAnsi="Cambria Math"/>
                    <w:lang w:val="en-US"/>
                  </w:rPr>
                  <m:t>g</m:t>
                </m:r>
                <m:r>
                  <m:rPr>
                    <m:sty m:val="p"/>
                  </m:rPr>
                  <w:rPr>
                    <w:rFonts w:ascii="Cambria Math" w:eastAsiaTheme="minorHAnsi" w:hAnsi="Cambria Math"/>
                    <w:lang w:val="en-US"/>
                  </w:rPr>
                  <m:t>=1</m:t>
                </m:r>
              </m:sub>
            </m:sSub>
            <m:r>
              <m:rPr>
                <m:sty m:val="p"/>
              </m:rPr>
              <w:rPr>
                <w:rFonts w:ascii="Cambria Math" w:eastAsiaTheme="minorHAnsi" w:hAnsi="Cambria Math"/>
                <w:lang w:val="en-US"/>
              </w:rPr>
              <m:t>*</m:t>
            </m:r>
            <m:sSub>
              <m:sSubPr>
                <m:ctrlPr>
                  <w:rPr>
                    <w:rFonts w:ascii="Cambria Math" w:eastAsiaTheme="minorHAnsi" w:hAnsi="Cambria Math"/>
                    <w:lang w:val="en-US"/>
                  </w:rPr>
                </m:ctrlPr>
              </m:sSubPr>
              <m:e>
                <m:r>
                  <w:rPr>
                    <w:rFonts w:ascii="Cambria Math" w:eastAsiaTheme="minorHAnsi" w:hAnsi="Cambria Math"/>
                    <w:lang w:val="en-US"/>
                  </w:rPr>
                  <m:t>ϖ</m:t>
                </m:r>
              </m:e>
              <m:sub>
                <m:r>
                  <w:rPr>
                    <w:rFonts w:ascii="Cambria Math" w:eastAsiaTheme="minorHAnsi" w:hAnsi="Cambria Math"/>
                    <w:lang w:val="en-US"/>
                  </w:rPr>
                  <m:t>p</m:t>
                </m:r>
                <m:r>
                  <m:rPr>
                    <m:sty m:val="p"/>
                  </m:rPr>
                  <w:rPr>
                    <w:rFonts w:ascii="Cambria Math" w:eastAsiaTheme="minorHAnsi" w:hAnsi="Cambria Math"/>
                    <w:lang w:val="en-US"/>
                  </w:rPr>
                  <m:t>,</m:t>
                </m:r>
                <m:r>
                  <w:rPr>
                    <w:rFonts w:ascii="Cambria Math" w:eastAsiaTheme="minorHAnsi" w:hAnsi="Cambria Math"/>
                    <w:lang w:val="en-US"/>
                  </w:rPr>
                  <m:t>g</m:t>
                </m:r>
                <m:r>
                  <m:rPr>
                    <m:sty m:val="p"/>
                  </m:rPr>
                  <w:rPr>
                    <w:rFonts w:ascii="Cambria Math" w:eastAsiaTheme="minorHAnsi" w:hAnsi="Cambria Math"/>
                    <w:lang w:val="en-US"/>
                  </w:rPr>
                  <m:t>=1</m:t>
                </m:r>
              </m:sub>
            </m:sSub>
            <m:r>
              <m:rPr>
                <m:sty m:val="p"/>
              </m:rPr>
              <w:rPr>
                <w:rFonts w:ascii="Cambria Math" w:eastAsiaTheme="minorHAnsi" w:hAnsi="Cambria Math"/>
                <w:lang w:val="en-US"/>
              </w:rPr>
              <m:t>(</m:t>
            </m:r>
            <m:r>
              <w:rPr>
                <w:rFonts w:ascii="Cambria Math" w:eastAsiaTheme="minorHAnsi" w:hAnsi="Cambria Math"/>
                <w:lang w:val="en-US"/>
              </w:rPr>
              <m:t>t</m:t>
            </m:r>
            <m:r>
              <m:rPr>
                <m:sty m:val="p"/>
              </m:rPr>
              <w:rPr>
                <w:rFonts w:ascii="Cambria Math" w:eastAsiaTheme="minorHAnsi" w:hAnsi="Cambria Math"/>
                <w:lang w:val="en-US"/>
              </w:rPr>
              <m:t>)+</m:t>
            </m:r>
            <m:d>
              <m:dPr>
                <m:ctrlPr>
                  <w:rPr>
                    <w:rFonts w:ascii="Cambria Math" w:eastAsiaTheme="minorHAnsi" w:hAnsi="Cambria Math"/>
                    <w:lang w:val="en-US"/>
                  </w:rPr>
                </m:ctrlPr>
              </m:dPr>
              <m:e>
                <m:r>
                  <m:rPr>
                    <m:sty m:val="p"/>
                  </m:rPr>
                  <w:rPr>
                    <w:rFonts w:ascii="Cambria Math" w:eastAsiaTheme="minorHAnsi" w:hAnsi="Cambria Math"/>
                    <w:lang w:val="en-US"/>
                  </w:rPr>
                  <m:t>1-</m:t>
                </m:r>
                <m:sSub>
                  <m:sSubPr>
                    <m:ctrlPr>
                      <w:rPr>
                        <w:rFonts w:ascii="Cambria Math" w:eastAsiaTheme="minorHAnsi" w:hAnsi="Cambria Math"/>
                        <w:lang w:val="en-US"/>
                      </w:rPr>
                    </m:ctrlPr>
                  </m:sSubPr>
                  <m:e>
                    <m:r>
                      <w:rPr>
                        <w:rFonts w:ascii="Cambria Math" w:eastAsiaTheme="minorHAnsi" w:hAnsi="Cambria Math"/>
                        <w:lang w:val="en-US"/>
                      </w:rPr>
                      <m:t>ψ</m:t>
                    </m:r>
                  </m:e>
                  <m:sub>
                    <m:r>
                      <w:rPr>
                        <w:rFonts w:ascii="Cambria Math" w:eastAsiaTheme="minorHAnsi" w:hAnsi="Cambria Math"/>
                        <w:lang w:val="en-US"/>
                      </w:rPr>
                      <m:t>p</m:t>
                    </m:r>
                  </m:sub>
                </m:sSub>
                <m:d>
                  <m:dPr>
                    <m:ctrlPr>
                      <w:rPr>
                        <w:rFonts w:ascii="Cambria Math" w:eastAsiaTheme="minorHAnsi" w:hAnsi="Cambria Math"/>
                        <w:lang w:val="en-US"/>
                      </w:rPr>
                    </m:ctrlPr>
                  </m:dPr>
                  <m:e>
                    <m:r>
                      <w:rPr>
                        <w:rFonts w:ascii="Cambria Math" w:eastAsiaTheme="minorHAnsi" w:hAnsi="Cambria Math"/>
                        <w:lang w:val="en-US"/>
                      </w:rPr>
                      <m:t>t</m:t>
                    </m:r>
                  </m:e>
                </m:d>
              </m:e>
            </m:d>
            <m:r>
              <m:rPr>
                <m:sty m:val="p"/>
              </m:rPr>
              <w:rPr>
                <w:rFonts w:ascii="Cambria Math" w:eastAsiaTheme="minorHAnsi" w:hAnsi="Cambria Math"/>
                <w:lang w:val="en-US"/>
              </w:rPr>
              <m:t>*</m:t>
            </m:r>
            <m:sSub>
              <m:sSubPr>
                <m:ctrlPr>
                  <w:rPr>
                    <w:rFonts w:ascii="Cambria Math" w:eastAsiaTheme="minorHAnsi" w:hAnsi="Cambria Math"/>
                    <w:lang w:val="en-US"/>
                  </w:rPr>
                </m:ctrlPr>
              </m:sSubPr>
              <m:e>
                <m:r>
                  <w:rPr>
                    <w:rFonts w:ascii="Cambria Math" w:eastAsiaTheme="minorHAnsi" w:hAnsi="Cambria Math"/>
                    <w:lang w:val="en-US"/>
                  </w:rPr>
                  <m:t>w</m:t>
                </m:r>
              </m:e>
              <m:sub>
                <m:r>
                  <w:rPr>
                    <w:rFonts w:ascii="Cambria Math" w:eastAsiaTheme="minorHAnsi" w:hAnsi="Cambria Math"/>
                    <w:lang w:val="en-US"/>
                  </w:rPr>
                  <m:t>c</m:t>
                </m:r>
                <m:r>
                  <m:rPr>
                    <m:sty m:val="p"/>
                  </m:rPr>
                  <w:rPr>
                    <w:rFonts w:ascii="Cambria Math" w:eastAsiaTheme="minorHAnsi" w:hAnsi="Cambria Math"/>
                    <w:lang w:val="en-US"/>
                  </w:rPr>
                  <m:t xml:space="preserve"> , </m:t>
                </m:r>
                <m:r>
                  <w:rPr>
                    <w:rFonts w:ascii="Cambria Math" w:eastAsiaTheme="minorHAnsi" w:hAnsi="Cambria Math"/>
                    <w:lang w:val="en-US"/>
                  </w:rPr>
                  <m:t>g</m:t>
                </m:r>
                <m:r>
                  <m:rPr>
                    <m:sty m:val="p"/>
                  </m:rPr>
                  <w:rPr>
                    <w:rFonts w:ascii="Cambria Math" w:eastAsiaTheme="minorHAnsi" w:hAnsi="Cambria Math"/>
                    <w:lang w:val="en-US"/>
                  </w:rPr>
                  <m:t>=2</m:t>
                </m:r>
              </m:sub>
            </m:sSub>
            <m:r>
              <m:rPr>
                <m:sty m:val="p"/>
              </m:rPr>
              <w:rPr>
                <w:rFonts w:ascii="Cambria Math" w:eastAsiaTheme="minorHAnsi" w:hAnsi="Cambria Math"/>
                <w:lang w:val="en-US"/>
              </w:rPr>
              <m:t>*</m:t>
            </m:r>
            <m:sSub>
              <m:sSubPr>
                <m:ctrlPr>
                  <w:rPr>
                    <w:rFonts w:ascii="Cambria Math" w:eastAsiaTheme="minorHAnsi" w:hAnsi="Cambria Math"/>
                    <w:lang w:val="en-US"/>
                  </w:rPr>
                </m:ctrlPr>
              </m:sSubPr>
              <m:e>
                <m:r>
                  <w:rPr>
                    <w:rFonts w:ascii="Cambria Math" w:eastAsiaTheme="minorHAnsi" w:hAnsi="Cambria Math"/>
                    <w:lang w:val="en-US"/>
                  </w:rPr>
                  <m:t>ϖ</m:t>
                </m:r>
              </m:e>
              <m:sub>
                <m:r>
                  <w:rPr>
                    <w:rFonts w:ascii="Cambria Math" w:eastAsiaTheme="minorHAnsi" w:hAnsi="Cambria Math"/>
                    <w:lang w:val="en-US"/>
                  </w:rPr>
                  <m:t>p</m:t>
                </m:r>
                <m:r>
                  <m:rPr>
                    <m:sty m:val="p"/>
                  </m:rPr>
                  <w:rPr>
                    <w:rFonts w:ascii="Cambria Math" w:eastAsiaTheme="minorHAnsi" w:hAnsi="Cambria Math"/>
                    <w:lang w:val="en-US"/>
                  </w:rPr>
                  <m:t>,</m:t>
                </m:r>
                <m:r>
                  <w:rPr>
                    <w:rFonts w:ascii="Cambria Math" w:eastAsiaTheme="minorHAnsi" w:hAnsi="Cambria Math"/>
                    <w:lang w:val="en-US"/>
                  </w:rPr>
                  <m:t>g</m:t>
                </m:r>
                <m:r>
                  <m:rPr>
                    <m:sty m:val="p"/>
                  </m:rPr>
                  <w:rPr>
                    <w:rFonts w:ascii="Cambria Math" w:eastAsiaTheme="minorHAnsi" w:hAnsi="Cambria Math"/>
                    <w:lang w:val="en-US"/>
                  </w:rPr>
                  <m:t>=2</m:t>
                </m:r>
              </m:sub>
            </m:sSub>
            <m:r>
              <m:rPr>
                <m:sty m:val="p"/>
              </m:rPr>
              <w:rPr>
                <w:rFonts w:ascii="Cambria Math" w:eastAsiaTheme="minorHAnsi" w:hAnsi="Cambria Math"/>
                <w:lang w:val="en-US"/>
              </w:rPr>
              <m:t>(</m:t>
            </m:r>
            <m:r>
              <w:rPr>
                <w:rFonts w:ascii="Cambria Math" w:eastAsiaTheme="minorHAnsi" w:hAnsi="Cambria Math"/>
                <w:lang w:val="en-US"/>
              </w:rPr>
              <m:t>t</m:t>
            </m:r>
            <m:r>
              <m:rPr>
                <m:sty m:val="p"/>
              </m:rPr>
              <w:rPr>
                <w:rFonts w:ascii="Cambria Math" w:eastAsiaTheme="minorHAnsi" w:hAnsi="Cambria Math"/>
                <w:lang w:val="en-US"/>
              </w:rPr>
              <m:t>)</m:t>
            </m:r>
          </m:e>
        </m:d>
      </m:oMath>
      <w:r w:rsidRPr="00783571">
        <w:rPr>
          <w:lang w:val="en-US"/>
        </w:rPr>
        <w:tab/>
        <w:t>(5</w:t>
      </w:r>
      <w:r w:rsidR="00C277F4" w:rsidRPr="00783571">
        <w:rPr>
          <w:lang w:val="en-US"/>
        </w:rPr>
        <w:t>.</w:t>
      </w:r>
      <w:r w:rsidR="00C83FAA" w:rsidRPr="00783571">
        <w:rPr>
          <w:lang w:val="en-US"/>
        </w:rPr>
        <w:t>10</w:t>
      </w:r>
      <w:r w:rsidRPr="00783571">
        <w:rPr>
          <w:lang w:val="en-US"/>
        </w:rPr>
        <w:t>)</w:t>
      </w:r>
    </w:p>
    <w:p w14:paraId="7064C51B" w14:textId="77777777" w:rsidR="00E53406" w:rsidRPr="00783571" w:rsidRDefault="005C4A78" w:rsidP="00474F9B">
      <w:pPr>
        <w:pStyle w:val="BodyText"/>
        <w:keepNext/>
        <w:rPr>
          <w:rFonts w:eastAsiaTheme="minorHAnsi"/>
        </w:rPr>
      </w:pPr>
      <w:r w:rsidRPr="00783571">
        <w:rPr>
          <w:rFonts w:eastAsiaTheme="minorHAnsi"/>
        </w:rPr>
        <w:t>w</w:t>
      </w:r>
      <w:r w:rsidR="00E53406" w:rsidRPr="00783571">
        <w:rPr>
          <w:rFonts w:eastAsiaTheme="minorHAnsi"/>
        </w:rPr>
        <w:t>here</w:t>
      </w:r>
    </w:p>
    <w:p w14:paraId="64EA9810" w14:textId="57D6CC25" w:rsidR="00E53406" w:rsidRPr="00783571" w:rsidRDefault="000F17E7" w:rsidP="00425360">
      <w:pPr>
        <w:pStyle w:val="bullets"/>
      </w:pPr>
      <m:oMath>
        <m:sSubSup>
          <m:sSubSupPr>
            <m:ctrlPr>
              <w:rPr>
                <w:rFonts w:ascii="Cambria Math" w:hAnsi="Cambria Math"/>
                <w:i/>
                <w:sz w:val="24"/>
              </w:rPr>
            </m:ctrlPr>
          </m:sSubSupPr>
          <m:e>
            <m:r>
              <w:rPr>
                <w:rFonts w:ascii="Cambria Math" w:hAnsi="Cambria Math"/>
              </w:rPr>
              <m:t>τ</m:t>
            </m:r>
          </m:e>
          <m:sub>
            <m:r>
              <w:rPr>
                <w:rFonts w:ascii="Cambria Math" w:hAnsi="Cambria Math"/>
              </w:rPr>
              <m:t>p</m:t>
            </m:r>
          </m:sub>
          <m:sup>
            <m:r>
              <w:rPr>
                <w:rFonts w:ascii="Cambria Math" w:hAnsi="Cambria Math"/>
              </w:rPr>
              <m:t>c</m:t>
            </m:r>
          </m:sup>
        </m:sSubSup>
        <m:r>
          <w:rPr>
            <w:rFonts w:ascii="Cambria Math" w:hAnsi="Cambria Math"/>
            <w:sz w:val="24"/>
          </w:rPr>
          <m:t>(t)</m:t>
        </m:r>
      </m:oMath>
      <w:r w:rsidR="00E53406" w:rsidRPr="00783571">
        <w:t xml:space="preserve"> = </w:t>
      </w:r>
      <w:r w:rsidR="00CA4D64" w:rsidRPr="00783571">
        <w:t>d</w:t>
      </w:r>
      <w:r w:rsidR="00DF5ADE" w:rsidRPr="00783571">
        <w:t>iagnosis rate based on</w:t>
      </w:r>
      <w:r w:rsidR="00E53406" w:rsidRPr="00783571">
        <w:t xml:space="preserve"> test and notification </w:t>
      </w:r>
      <w:r w:rsidR="00DF5ADE" w:rsidRPr="00783571">
        <w:t xml:space="preserve">of </w:t>
      </w:r>
      <w:r w:rsidR="00E53406" w:rsidRPr="00783571">
        <w:t>unaware</w:t>
      </w:r>
      <w:r w:rsidR="00DF5ADE" w:rsidRPr="00783571">
        <w:t xml:space="preserve"> infected individuals in</w:t>
      </w:r>
      <w:r w:rsidR="00E53406" w:rsidRPr="00783571">
        <w:t xml:space="preserve"> </w:t>
      </w:r>
      <w:r w:rsidR="008C3821" w:rsidRPr="00783571">
        <w:t xml:space="preserve">compartment </w:t>
      </w:r>
      <w:r w:rsidR="008C3821" w:rsidRPr="00783571">
        <w:rPr>
          <w:i/>
        </w:rPr>
        <w:t>c</w:t>
      </w:r>
      <w:r w:rsidR="00DF5ADE" w:rsidRPr="00783571">
        <w:rPr>
          <w:iCs/>
        </w:rPr>
        <w:t xml:space="preserve">, progressing </w:t>
      </w:r>
      <w:r w:rsidR="00AF110F" w:rsidRPr="00783571">
        <w:rPr>
          <w:iCs/>
        </w:rPr>
        <w:t xml:space="preserve">them </w:t>
      </w:r>
      <w:r w:rsidR="00DF5ADE" w:rsidRPr="00783571">
        <w:rPr>
          <w:iCs/>
        </w:rPr>
        <w:t>from unaware</w:t>
      </w:r>
      <w:r w:rsidR="00DF5ADE" w:rsidRPr="00783571">
        <w:rPr>
          <w:i/>
        </w:rPr>
        <w:t xml:space="preserve"> </w:t>
      </w:r>
      <w:r w:rsidR="00E53406" w:rsidRPr="00783571">
        <w:t>(</w:t>
      </w:r>
      <w:r w:rsidR="00E53406" w:rsidRPr="00783571">
        <w:rPr>
          <w:i/>
          <w:iCs/>
        </w:rPr>
        <w:t>r</w:t>
      </w:r>
      <w:r w:rsidR="00E628BE" w:rsidRPr="00783571">
        <w:rPr>
          <w:i/>
          <w:iCs/>
        </w:rPr>
        <w:t> = </w:t>
      </w:r>
      <w:r w:rsidR="00E53406" w:rsidRPr="00783571">
        <w:t>1) to aware (</w:t>
      </w:r>
      <w:r w:rsidR="00E53406" w:rsidRPr="00783571">
        <w:rPr>
          <w:i/>
          <w:iCs/>
        </w:rPr>
        <w:t>r</w:t>
      </w:r>
      <w:r w:rsidR="00E628BE" w:rsidRPr="00783571">
        <w:t> = </w:t>
      </w:r>
      <w:r w:rsidR="00E53406" w:rsidRPr="00783571">
        <w:t>2</w:t>
      </w:r>
      <w:r w:rsidR="008C3821" w:rsidRPr="00783571">
        <w:t xml:space="preserve"> or </w:t>
      </w:r>
      <w:r w:rsidR="008C3821" w:rsidRPr="00783571">
        <w:rPr>
          <w:i/>
        </w:rPr>
        <w:t>r</w:t>
      </w:r>
      <w:r w:rsidR="00E628BE" w:rsidRPr="00783571">
        <w:rPr>
          <w:i/>
        </w:rPr>
        <w:t> = </w:t>
      </w:r>
      <w:r w:rsidR="008C3821" w:rsidRPr="00783571">
        <w:t>3</w:t>
      </w:r>
      <w:r w:rsidR="00E53406" w:rsidRPr="00783571">
        <w:t xml:space="preserve">), by </w:t>
      </w:r>
      <w:r w:rsidR="000C57A4" w:rsidRPr="00783571">
        <w:t xml:space="preserve">subpopulation </w:t>
      </w:r>
      <w:r w:rsidR="00E53406" w:rsidRPr="00783571">
        <w:rPr>
          <w:i/>
        </w:rPr>
        <w:t>p</w:t>
      </w:r>
      <w:r w:rsidR="00425360" w:rsidRPr="00783571">
        <w:t xml:space="preserve">, for </w:t>
      </w:r>
      <w:r w:rsidR="00425360" w:rsidRPr="00783571">
        <w:rPr>
          <w:i/>
        </w:rPr>
        <w:t>c</w:t>
      </w:r>
      <w:r w:rsidR="00425360" w:rsidRPr="00783571">
        <w:t xml:space="preserve"> = {3</w:t>
      </w:r>
      <w:r w:rsidR="004F4E6D" w:rsidRPr="00783571">
        <w:t>,</w:t>
      </w:r>
      <w:r w:rsidR="00425360" w:rsidRPr="00783571">
        <w:t xml:space="preserve"> 6, 11, 16, 21}</w:t>
      </w:r>
      <w:r w:rsidR="00CA4D64" w:rsidRPr="00783571">
        <w:t>;</w:t>
      </w:r>
    </w:p>
    <w:p w14:paraId="16D89660" w14:textId="66628B05" w:rsidR="00E12D6A" w:rsidRPr="00783571" w:rsidRDefault="000F17E7" w:rsidP="00C0054E">
      <w:pPr>
        <w:pStyle w:val="bullets"/>
      </w:pPr>
      <m:oMath>
        <m:sSub>
          <m:sSubPr>
            <m:ctrlPr>
              <w:rPr>
                <w:rFonts w:ascii="Cambria Math" w:hAnsi="Cambria Math"/>
                <w:i/>
              </w:rPr>
            </m:ctrlPr>
          </m:sSubPr>
          <m:e>
            <m:r>
              <w:rPr>
                <w:rFonts w:ascii="Cambria Math" w:hAnsi="Cambria Math"/>
              </w:rPr>
              <m:t>ψ</m:t>
            </m:r>
          </m:e>
          <m:sub>
            <m:r>
              <w:rPr>
                <w:rFonts w:ascii="Cambria Math" w:hAnsi="Cambria Math"/>
              </w:rPr>
              <m:t>p</m:t>
            </m:r>
          </m:sub>
        </m:sSub>
        <m:r>
          <w:rPr>
            <w:rFonts w:ascii="Cambria Math" w:hAnsi="Cambria Math"/>
          </w:rPr>
          <m:t>(t)</m:t>
        </m:r>
      </m:oMath>
      <w:r w:rsidR="00E12D6A" w:rsidRPr="00783571">
        <w:t xml:space="preserve"> = </w:t>
      </w:r>
      <w:r w:rsidR="00CA4D64" w:rsidRPr="00783571">
        <w:t>p</w:t>
      </w:r>
      <w:r w:rsidR="00E12D6A" w:rsidRPr="00783571">
        <w:t>ercent</w:t>
      </w:r>
      <w:r w:rsidR="005B0687" w:rsidRPr="00783571">
        <w:t>age</w:t>
      </w:r>
      <w:r w:rsidR="00E12D6A" w:rsidRPr="00783571">
        <w:t xml:space="preserve"> of screens </w:t>
      </w:r>
      <w:r w:rsidR="005B0687" w:rsidRPr="00783571">
        <w:t>that</w:t>
      </w:r>
      <w:r w:rsidR="00E12D6A" w:rsidRPr="00783571">
        <w:t xml:space="preserve"> are rapid</w:t>
      </w:r>
      <w:r w:rsidR="00AF110F" w:rsidRPr="00783571">
        <w:t xml:space="preserve"> (type of test </w:t>
      </w:r>
      <w:r w:rsidR="00AF110F" w:rsidRPr="00783571">
        <w:rPr>
          <w:i/>
          <w:iCs/>
        </w:rPr>
        <w:t>g</w:t>
      </w:r>
      <w:r w:rsidR="00AF110F" w:rsidRPr="00783571">
        <w:t xml:space="preserve"> = 1)</w:t>
      </w:r>
      <w:r w:rsidR="005B0687" w:rsidRPr="00783571">
        <w:t>,</w:t>
      </w:r>
      <w:r w:rsidR="00E12D6A" w:rsidRPr="00783571">
        <w:t xml:space="preserve"> by subpopulation </w:t>
      </w:r>
      <w:r w:rsidR="00E12D6A" w:rsidRPr="00783571">
        <w:rPr>
          <w:i/>
        </w:rPr>
        <w:t>p</w:t>
      </w:r>
      <w:r w:rsidR="00617B5A" w:rsidRPr="00783571">
        <w:rPr>
          <w:i/>
        </w:rPr>
        <w:t xml:space="preserve"> </w:t>
      </w:r>
      <w:r w:rsidR="00617B5A" w:rsidRPr="00783571">
        <w:rPr>
          <w:iCs/>
        </w:rPr>
        <w:t>and time</w:t>
      </w:r>
      <w:r w:rsidR="00617B5A" w:rsidRPr="00783571">
        <w:rPr>
          <w:i/>
        </w:rPr>
        <w:t xml:space="preserve"> t</w:t>
      </w:r>
      <w:r w:rsidR="00CA4D64" w:rsidRPr="00783571">
        <w:rPr>
          <w:i/>
        </w:rPr>
        <w:t>;</w:t>
      </w:r>
    </w:p>
    <w:p w14:paraId="0E0D9E52" w14:textId="25D99B46" w:rsidR="000C57A4" w:rsidRPr="00783571" w:rsidRDefault="000F17E7" w:rsidP="003168C5">
      <w:pPr>
        <w:pStyle w:val="bullets"/>
      </w:pPr>
      <m:oMath>
        <m:sSub>
          <m:sSubPr>
            <m:ctrlPr>
              <w:rPr>
                <w:rFonts w:ascii="Cambria Math" w:hAnsi="Cambria Math"/>
                <w:i/>
              </w:rPr>
            </m:ctrlPr>
          </m:sSubPr>
          <m:e>
            <m:r>
              <w:rPr>
                <w:rFonts w:ascii="Cambria Math" w:hAnsi="Cambria Math"/>
              </w:rPr>
              <m:t>ϖ</m:t>
            </m:r>
          </m:e>
          <m:sub>
            <m:r>
              <w:rPr>
                <w:rFonts w:ascii="Cambria Math" w:hAnsi="Cambria Math"/>
              </w:rPr>
              <m:t>p,g</m:t>
            </m:r>
          </m:sub>
        </m:sSub>
        <m:r>
          <w:rPr>
            <w:rFonts w:ascii="Cambria Math" w:hAnsi="Cambria Math"/>
          </w:rPr>
          <m:t>(t)</m:t>
        </m:r>
      </m:oMath>
      <w:r w:rsidR="000C57A4" w:rsidRPr="00783571">
        <w:t xml:space="preserve"> = probability of notification given a</w:t>
      </w:r>
      <w:r w:rsidR="00436AD3" w:rsidRPr="00783571">
        <w:t xml:space="preserve"> confirmed positive test result</w:t>
      </w:r>
      <w:r w:rsidR="003168C5" w:rsidRPr="00783571">
        <w:t xml:space="preserve"> for a previously undiagnosed individual in</w:t>
      </w:r>
      <w:r w:rsidR="000C57A4" w:rsidRPr="00783571">
        <w:t xml:space="preserve"> subpopulation </w:t>
      </w:r>
      <w:r w:rsidR="000C57A4" w:rsidRPr="00783571">
        <w:rPr>
          <w:i/>
        </w:rPr>
        <w:t>p</w:t>
      </w:r>
      <w:r w:rsidR="00436AD3" w:rsidRPr="00783571">
        <w:rPr>
          <w:i/>
        </w:rPr>
        <w:t xml:space="preserve"> </w:t>
      </w:r>
      <w:r w:rsidR="00436AD3" w:rsidRPr="00783571">
        <w:t>and type of test</w:t>
      </w:r>
      <w:r w:rsidR="00436AD3" w:rsidRPr="00783571">
        <w:rPr>
          <w:i/>
        </w:rPr>
        <w:t xml:space="preserve"> g</w:t>
      </w:r>
      <w:r w:rsidR="002B5D24" w:rsidRPr="00783571">
        <w:rPr>
          <w:iCs/>
        </w:rPr>
        <w:t xml:space="preserve"> at time </w:t>
      </w:r>
      <w:r w:rsidR="002B5D24" w:rsidRPr="00783571">
        <w:rPr>
          <w:i/>
        </w:rPr>
        <w:t>t</w:t>
      </w:r>
      <w:r w:rsidR="00CA4D64" w:rsidRPr="00783571">
        <w:rPr>
          <w:iCs/>
        </w:rPr>
        <w:t>; and</w:t>
      </w:r>
    </w:p>
    <w:p w14:paraId="3B7F612B" w14:textId="4F17FC31" w:rsidR="00E53406" w:rsidRPr="00783571" w:rsidRDefault="000C57A4" w:rsidP="00C0054E">
      <w:pPr>
        <w:pStyle w:val="bullets"/>
      </w:pPr>
      <w:r w:rsidRPr="00783571">
        <w:rPr>
          <w:i/>
        </w:rPr>
        <w:t>w</w:t>
      </w:r>
      <w:r w:rsidRPr="00783571">
        <w:rPr>
          <w:i/>
          <w:vertAlign w:val="subscript"/>
        </w:rPr>
        <w:t>c</w:t>
      </w:r>
      <w:r w:rsidR="00436AD3" w:rsidRPr="00783571">
        <w:rPr>
          <w:i/>
          <w:vertAlign w:val="subscript"/>
        </w:rPr>
        <w:t>,g</w:t>
      </w:r>
      <w:r w:rsidR="000C2D5B" w:rsidRPr="00783571">
        <w:rPr>
          <w:i/>
          <w:vertAlign w:val="subscript"/>
        </w:rPr>
        <w:t xml:space="preserve"> </w:t>
      </w:r>
      <w:r w:rsidRPr="00783571">
        <w:rPr>
          <w:i/>
        </w:rPr>
        <w:t>=</w:t>
      </w:r>
      <w:r w:rsidR="000C2D5B" w:rsidRPr="00783571">
        <w:rPr>
          <w:i/>
        </w:rPr>
        <w:t xml:space="preserve"> </w:t>
      </w:r>
      <w:r w:rsidR="00CA4D64" w:rsidRPr="00783571">
        <w:t>t</w:t>
      </w:r>
      <w:r w:rsidRPr="00783571">
        <w:t xml:space="preserve">est sensitivity by compartment </w:t>
      </w:r>
      <w:r w:rsidRPr="00783571">
        <w:rPr>
          <w:i/>
        </w:rPr>
        <w:t>c</w:t>
      </w:r>
      <w:r w:rsidR="00E12D6A" w:rsidRPr="00783571">
        <w:t xml:space="preserve"> and type of test</w:t>
      </w:r>
      <w:r w:rsidR="00436AD3" w:rsidRPr="00783571">
        <w:t xml:space="preserve"> </w:t>
      </w:r>
      <w:r w:rsidR="00436AD3" w:rsidRPr="00783571">
        <w:rPr>
          <w:i/>
        </w:rPr>
        <w:t>g</w:t>
      </w:r>
      <w:r w:rsidR="00CA4D64" w:rsidRPr="00783571">
        <w:rPr>
          <w:iCs/>
        </w:rPr>
        <w:t>.</w:t>
      </w:r>
    </w:p>
    <w:p w14:paraId="20BF7D00" w14:textId="2A6BA984" w:rsidR="000F420A" w:rsidRPr="00783571" w:rsidRDefault="00617B5A" w:rsidP="00766A8C">
      <w:pPr>
        <w:pStyle w:val="BodyText"/>
      </w:pPr>
      <w:r w:rsidRPr="00783571">
        <w:rPr>
          <w:rFonts w:eastAsiaTheme="minorHAnsi"/>
        </w:rPr>
        <w:t xml:space="preserve">Undiagnosed infected individuals </w:t>
      </w:r>
      <w:r w:rsidR="00186AEF" w:rsidRPr="00783571">
        <w:t>who</w:t>
      </w:r>
      <w:r w:rsidR="00FD4CDF" w:rsidRPr="00783571">
        <w:t xml:space="preserve"> are diagnosed progress either to the aware stages without immediate linkage to </w:t>
      </w:r>
      <w:r w:rsidR="003C0141" w:rsidRPr="00783571">
        <w:t xml:space="preserve">HIV </w:t>
      </w:r>
      <w:r w:rsidR="00FD4CDF" w:rsidRPr="00783571">
        <w:t>care (</w:t>
      </w:r>
      <w:r w:rsidR="00FD4CDF" w:rsidRPr="00783571">
        <w:rPr>
          <w:i/>
        </w:rPr>
        <w:t>r</w:t>
      </w:r>
      <w:r w:rsidR="00E628BE" w:rsidRPr="00783571">
        <w:rPr>
          <w:i/>
        </w:rPr>
        <w:t> = </w:t>
      </w:r>
      <w:r w:rsidR="00FD4CDF" w:rsidRPr="00783571">
        <w:t xml:space="preserve">1 to </w:t>
      </w:r>
      <w:r w:rsidR="00FD4CDF" w:rsidRPr="00783571">
        <w:rPr>
          <w:i/>
        </w:rPr>
        <w:t>r</w:t>
      </w:r>
      <w:r w:rsidR="00E628BE" w:rsidRPr="00783571">
        <w:t> = </w:t>
      </w:r>
      <w:r w:rsidR="008C3821" w:rsidRPr="00783571">
        <w:t>2</w:t>
      </w:r>
      <w:r w:rsidR="00FD4CDF" w:rsidRPr="00783571">
        <w:t xml:space="preserve">) or to the aware stages with immediate linkage to </w:t>
      </w:r>
      <w:r w:rsidR="003C0141" w:rsidRPr="00783571">
        <w:t xml:space="preserve">HIV </w:t>
      </w:r>
      <w:r w:rsidR="00FD4CDF" w:rsidRPr="00783571">
        <w:t>care (</w:t>
      </w:r>
      <w:r w:rsidR="00FD4CDF" w:rsidRPr="00783571">
        <w:rPr>
          <w:i/>
        </w:rPr>
        <w:t>r</w:t>
      </w:r>
      <w:r w:rsidR="00E628BE" w:rsidRPr="00783571">
        <w:rPr>
          <w:i/>
        </w:rPr>
        <w:t> = </w:t>
      </w:r>
      <w:r w:rsidR="00FD4CDF" w:rsidRPr="00783571">
        <w:t xml:space="preserve">1 to </w:t>
      </w:r>
      <w:r w:rsidR="00FD4CDF" w:rsidRPr="00783571">
        <w:rPr>
          <w:i/>
        </w:rPr>
        <w:t>r</w:t>
      </w:r>
      <w:r w:rsidR="00E628BE" w:rsidRPr="00783571">
        <w:t> = </w:t>
      </w:r>
      <w:r w:rsidR="00FD4CDF" w:rsidRPr="00783571">
        <w:t>3).</w:t>
      </w:r>
      <w:r w:rsidR="000F420A" w:rsidRPr="00783571">
        <w:t xml:space="preserve"> </w:t>
      </w:r>
      <w:r w:rsidR="005F5C70" w:rsidRPr="00783571">
        <w:t>HIV-uninfected</w:t>
      </w:r>
      <w:r w:rsidR="00FD4CDF" w:rsidRPr="00783571">
        <w:t xml:space="preserve"> individuals cannot be diagnosed </w:t>
      </w:r>
      <w:r w:rsidR="00186AEF" w:rsidRPr="00783571">
        <w:t xml:space="preserve">and do not </w:t>
      </w:r>
      <w:r w:rsidR="00FD4CDF" w:rsidRPr="00783571">
        <w:t>transition between</w:t>
      </w:r>
      <w:r w:rsidR="00186AEF" w:rsidRPr="00783571">
        <w:t xml:space="preserve"> the main</w:t>
      </w:r>
      <w:r w:rsidR="00FD4CDF" w:rsidRPr="00783571">
        <w:t xml:space="preserve"> compartments; if tested, they remain in the susceptible stage (</w:t>
      </w:r>
      <w:r w:rsidR="00FD4CDF" w:rsidRPr="00783571">
        <w:rPr>
          <w:i/>
        </w:rPr>
        <w:t>h</w:t>
      </w:r>
      <w:r w:rsidR="00E628BE" w:rsidRPr="00783571">
        <w:t> = </w:t>
      </w:r>
      <w:r w:rsidR="00FD4CDF" w:rsidRPr="00783571">
        <w:t>0)</w:t>
      </w:r>
      <w:r w:rsidRPr="00783571">
        <w:t>; the only effect of their testing in the model is to incur costs</w:t>
      </w:r>
      <w:r w:rsidR="00FD4CDF" w:rsidRPr="00783571">
        <w:t>.</w:t>
      </w:r>
      <w:r w:rsidR="00AF110F" w:rsidRPr="00783571">
        <w:t xml:space="preserve"> </w:t>
      </w:r>
      <w:r w:rsidR="00766A8C" w:rsidRPr="00783571">
        <w:t xml:space="preserve">The model assumed </w:t>
      </w:r>
      <w:r w:rsidR="00AF110F" w:rsidRPr="00783571">
        <w:t>100% test specificity.</w:t>
      </w:r>
    </w:p>
    <w:p w14:paraId="144CBDF3" w14:textId="44AB8D3E" w:rsidR="00B20C8F" w:rsidRPr="00783571" w:rsidRDefault="00B20C8F" w:rsidP="00B20C8F">
      <w:pPr>
        <w:pStyle w:val="Heading3"/>
      </w:pPr>
      <w:bookmarkStart w:id="41" w:name="_Toc510104453"/>
      <w:bookmarkStart w:id="42" w:name="_Toc398293117"/>
      <w:r w:rsidRPr="00783571">
        <w:t xml:space="preserve">PrEP </w:t>
      </w:r>
      <w:r w:rsidR="000F3209" w:rsidRPr="00783571">
        <w:t>P</w:t>
      </w:r>
      <w:r w:rsidRPr="00783571">
        <w:t>articipation</w:t>
      </w:r>
      <w:bookmarkEnd w:id="41"/>
    </w:p>
    <w:p w14:paraId="1936566D" w14:textId="1B63A078" w:rsidR="00B20C8F" w:rsidRPr="00783571" w:rsidRDefault="00B20C8F" w:rsidP="00546F1F">
      <w:pPr>
        <w:pStyle w:val="BodyText"/>
      </w:pPr>
      <w:r w:rsidRPr="00783571">
        <w:t xml:space="preserve">Uninfected individuals may initiate or </w:t>
      </w:r>
      <w:r w:rsidR="00766A8C" w:rsidRPr="00783571">
        <w:t>stop participation in</w:t>
      </w:r>
      <w:r w:rsidRPr="00783571">
        <w:t xml:space="preserve"> PrEP</w:t>
      </w:r>
      <w:r w:rsidR="008C3EEF" w:rsidRPr="00783571">
        <w:t xml:space="preserve"> each year</w:t>
      </w:r>
      <w:r w:rsidRPr="00783571">
        <w:t xml:space="preserve"> in </w:t>
      </w:r>
      <w:r w:rsidR="00546F1F" w:rsidRPr="00783571">
        <w:t>the third time period</w:t>
      </w:r>
      <w:r w:rsidRPr="00783571">
        <w:t xml:space="preserve">, but they do not otherwise transition between the continuum-of-care stages. </w:t>
      </w:r>
      <w:r w:rsidR="008C3EEF" w:rsidRPr="00783571">
        <w:t>T</w:t>
      </w:r>
      <w:r w:rsidRPr="00783571">
        <w:t xml:space="preserve">he model’s </w:t>
      </w:r>
      <w:r w:rsidR="00C96D72" w:rsidRPr="00783571">
        <w:t>base case</w:t>
      </w:r>
      <w:r w:rsidRPr="00783571">
        <w:t xml:space="preserve"> assumes no use of PrEP (rates of PrEP initiation and </w:t>
      </w:r>
      <w:r w:rsidR="00766A8C" w:rsidRPr="00783571">
        <w:t>stopping</w:t>
      </w:r>
      <w:r w:rsidRPr="00783571">
        <w:t> = 0); it is only explored in alternate analyses.</w:t>
      </w:r>
    </w:p>
    <w:p w14:paraId="50397994" w14:textId="6B91E22D" w:rsidR="00A6452A" w:rsidRPr="00783571" w:rsidRDefault="008C3EEF" w:rsidP="00105AA4">
      <w:pPr>
        <w:pStyle w:val="BodyText"/>
      </w:pPr>
      <w:r w:rsidRPr="00783571">
        <w:t xml:space="preserve">Those uninfected individuals who </w:t>
      </w:r>
      <w:r w:rsidR="00724408" w:rsidRPr="00783571">
        <w:t>are in the “on</w:t>
      </w:r>
      <w:r w:rsidR="00784C65" w:rsidRPr="00783571">
        <w:t xml:space="preserve"> PrEP</w:t>
      </w:r>
      <w:r w:rsidR="00724408" w:rsidRPr="00783571">
        <w:t xml:space="preserve">” compartment (c = 2) incur costs for PrEP. They also have reduced incidence of HIV infection (further discussed in </w:t>
      </w:r>
      <w:r w:rsidR="00CA2896" w:rsidRPr="00783571">
        <w:t>Section </w:t>
      </w:r>
      <w:r w:rsidR="00724408" w:rsidRPr="00783571">
        <w:t>6.4).</w:t>
      </w:r>
      <w:bookmarkEnd w:id="42"/>
    </w:p>
    <w:p w14:paraId="47F9F590" w14:textId="77777777" w:rsidR="00813D6D" w:rsidRPr="00783571" w:rsidRDefault="00813D6D" w:rsidP="00813D6D">
      <w:pPr>
        <w:pStyle w:val="BodyText"/>
        <w:sectPr w:rsidR="00813D6D" w:rsidRPr="00783571" w:rsidSect="001A6C07">
          <w:headerReference w:type="even" r:id="rId51"/>
          <w:headerReference w:type="default" r:id="rId52"/>
          <w:footerReference w:type="even" r:id="rId53"/>
          <w:footerReference w:type="default" r:id="rId54"/>
          <w:endnotePr>
            <w:numFmt w:val="decimal"/>
          </w:endnotePr>
          <w:pgSz w:w="12240" w:h="15840"/>
          <w:pgMar w:top="1440" w:right="1440" w:bottom="1440" w:left="1440" w:header="720" w:footer="720" w:gutter="0"/>
          <w:pgNumType w:chapStyle="1"/>
          <w:cols w:space="720"/>
          <w:docGrid w:linePitch="360"/>
        </w:sectPr>
      </w:pPr>
    </w:p>
    <w:p w14:paraId="5B4E6423" w14:textId="77777777" w:rsidR="009D5AF4" w:rsidRPr="00783571" w:rsidRDefault="00B41A9A" w:rsidP="00B41A9A">
      <w:pPr>
        <w:pStyle w:val="Heading1"/>
      </w:pPr>
      <w:bookmarkStart w:id="43" w:name="_Toc398293118"/>
      <w:bookmarkStart w:id="44" w:name="_Toc510104454"/>
      <w:r w:rsidRPr="00783571">
        <w:t>Force of Infection</w:t>
      </w:r>
      <w:bookmarkEnd w:id="43"/>
      <w:bookmarkEnd w:id="44"/>
    </w:p>
    <w:p w14:paraId="209061E8" w14:textId="64042256" w:rsidR="004F4E6D" w:rsidRPr="00783571" w:rsidRDefault="00B41A9A" w:rsidP="008E4622">
      <w:pPr>
        <w:pStyle w:val="BodyText"/>
      </w:pPr>
      <w:r w:rsidRPr="00783571">
        <w:t>This section outlines the methods applied for calculating the force of HIV infection</w:t>
      </w:r>
      <w:r w:rsidR="003303A2" w:rsidRPr="00783571">
        <w:t>, represented by lambda</w:t>
      </w:r>
      <w:r w:rsidRPr="00783571">
        <w:t xml:space="preserve"> (λ). Infection via both vaginal and anal </w:t>
      </w:r>
      <w:r w:rsidR="00782B9B" w:rsidRPr="00783571">
        <w:t>sex act</w:t>
      </w:r>
      <w:r w:rsidRPr="00783571">
        <w:t xml:space="preserve">s occurs for all transmission groups. Infection via </w:t>
      </w:r>
      <w:r w:rsidR="00DB6E5A" w:rsidRPr="00783571">
        <w:t xml:space="preserve">shared </w:t>
      </w:r>
      <w:r w:rsidRPr="00783571">
        <w:t>needle</w:t>
      </w:r>
      <w:r w:rsidR="00DB6E5A" w:rsidRPr="00783571">
        <w:t>s</w:t>
      </w:r>
      <w:r w:rsidRPr="00783571">
        <w:t xml:space="preserve"> occurs for </w:t>
      </w:r>
      <w:r w:rsidR="008E4622" w:rsidRPr="00783571">
        <w:t>PWID</w:t>
      </w:r>
      <w:r w:rsidRPr="00783571">
        <w:t xml:space="preserve"> only.</w:t>
      </w:r>
      <w:r w:rsidR="007E710A" w:rsidRPr="00783571">
        <w:t xml:space="preserve"> Infection risk is calculated per person in the susceptible population.</w:t>
      </w:r>
    </w:p>
    <w:p w14:paraId="69646FD9" w14:textId="2826A346" w:rsidR="000F420A" w:rsidRPr="00783571" w:rsidRDefault="00937B71" w:rsidP="00937B71">
      <w:pPr>
        <w:pStyle w:val="BodyText"/>
      </w:pPr>
      <w:r w:rsidRPr="00783571">
        <w:t>The force of infection for susceptible individuals who are not on PrEP (</w:t>
      </w:r>
      <w:r w:rsidR="00D96458" w:rsidRPr="00783571">
        <w:t>c</w:t>
      </w:r>
      <w:r w:rsidR="00E628BE" w:rsidRPr="00783571">
        <w:t> = </w:t>
      </w:r>
      <w:r w:rsidRPr="00783571">
        <w:t xml:space="preserve">1) is equal to </w:t>
      </w:r>
      <w:r w:rsidRPr="00783571">
        <w:rPr>
          <w:rFonts w:ascii="Calibri" w:hAnsi="Calibri"/>
        </w:rPr>
        <w:t>λ</w:t>
      </w:r>
      <w:r w:rsidRPr="00783571">
        <w:t xml:space="preserve">. For susceptible individuals who are on PrEP, their force of infection is equal to </w:t>
      </w:r>
      <w:r w:rsidRPr="00783571">
        <w:rPr>
          <w:rFonts w:ascii="Calibri" w:hAnsi="Calibri"/>
        </w:rPr>
        <w:t>λ</w:t>
      </w:r>
      <w:r w:rsidRPr="00783571">
        <w:t xml:space="preserve"> reduced by a multiplicative reduction in infection risk.</w:t>
      </w:r>
    </w:p>
    <w:p w14:paraId="4D23CF91" w14:textId="77777777" w:rsidR="00B41A9A" w:rsidRPr="00783571" w:rsidRDefault="00B41A9A" w:rsidP="00B41A9A">
      <w:pPr>
        <w:pStyle w:val="Heading2"/>
      </w:pPr>
      <w:bookmarkStart w:id="45" w:name="_Toc398293119"/>
      <w:bookmarkStart w:id="46" w:name="_Toc510104455"/>
      <w:r w:rsidRPr="00783571">
        <w:t>Sexual and Needle-</w:t>
      </w:r>
      <w:r w:rsidR="00D1426F" w:rsidRPr="00783571">
        <w:t>S</w:t>
      </w:r>
      <w:r w:rsidRPr="00783571">
        <w:t>haring Partnerships</w:t>
      </w:r>
      <w:bookmarkEnd w:id="45"/>
      <w:bookmarkEnd w:id="46"/>
    </w:p>
    <w:p w14:paraId="71DED18D" w14:textId="0FF8E105" w:rsidR="000F420A" w:rsidRPr="00783571" w:rsidRDefault="00B41A9A" w:rsidP="00511F42">
      <w:pPr>
        <w:pStyle w:val="BodyText"/>
      </w:pPr>
      <w:r w:rsidRPr="00783571">
        <w:t>The partner pool of each transmission group was restricted so that unlikely transmissions</w:t>
      </w:r>
      <w:r w:rsidR="00820ABC" w:rsidRPr="00783571">
        <w:t>, such as those between HET males and HET males,</w:t>
      </w:r>
      <w:r w:rsidRPr="00783571">
        <w:t xml:space="preserve"> did not occur</w:t>
      </w:r>
      <w:r w:rsidR="00820ABC" w:rsidRPr="00783571">
        <w:t xml:space="preserve"> and that transmissions </w:t>
      </w:r>
      <w:r w:rsidR="00116715" w:rsidRPr="00783571">
        <w:t xml:space="preserve">come from likely partners, such as </w:t>
      </w:r>
      <w:r w:rsidR="00511F42" w:rsidRPr="00783571">
        <w:t>from</w:t>
      </w:r>
      <w:r w:rsidR="00116715" w:rsidRPr="00783571">
        <w:t xml:space="preserve"> HET males </w:t>
      </w:r>
      <w:r w:rsidR="00511F42" w:rsidRPr="00783571">
        <w:t>to</w:t>
      </w:r>
      <w:r w:rsidR="00116715" w:rsidRPr="00783571">
        <w:t xml:space="preserve"> HET females</w:t>
      </w:r>
      <w:r w:rsidRPr="00783571">
        <w:t>. To implement this assumption, we created two mixing matrices to represent the distributions of sexual and needle-sharing partners, respectively, of the susceptible population</w:t>
      </w:r>
      <w:r w:rsidR="00820ABC" w:rsidRPr="00783571">
        <w:t xml:space="preserve"> </w:t>
      </w:r>
      <w:r w:rsidR="007E710A" w:rsidRPr="00783571">
        <w:t xml:space="preserve">on average </w:t>
      </w:r>
      <w:r w:rsidR="00820ABC" w:rsidRPr="00783571">
        <w:t>within any given year</w:t>
      </w:r>
      <w:r w:rsidRPr="00783571">
        <w:t xml:space="preserve"> by transmission group, sex, risk level, race</w:t>
      </w:r>
      <w:r w:rsidR="00B8648E" w:rsidRPr="00783571">
        <w:t>/ethnicity</w:t>
      </w:r>
      <w:r w:rsidRPr="00783571">
        <w:t>, and age group</w:t>
      </w:r>
      <w:r w:rsidR="009F2437" w:rsidRPr="00783571">
        <w:t>.</w:t>
      </w:r>
      <w:r w:rsidR="007E710A" w:rsidRPr="00783571">
        <w:t xml:space="preserve"> Because infection risk is calculated from the perspective of the susceptible individual, only the mixing patterns of the susceptible population are relevant.</w:t>
      </w:r>
    </w:p>
    <w:p w14:paraId="0C1A134C" w14:textId="0925A6E7" w:rsidR="00B41A9A" w:rsidRPr="00783571" w:rsidRDefault="00B41A9A" w:rsidP="00E9227D">
      <w:pPr>
        <w:pStyle w:val="BodyText"/>
      </w:pPr>
      <w:r w:rsidRPr="00783571">
        <w:t xml:space="preserve">The distribution of sexual partners was defined by sex and transmission group, </w:t>
      </w:r>
      <w:r w:rsidR="005E509E" w:rsidRPr="00783571">
        <w:t>race/</w:t>
      </w:r>
      <w:r w:rsidR="00F10CCC" w:rsidRPr="00783571">
        <w:t xml:space="preserve"> </w:t>
      </w:r>
      <w:r w:rsidR="005E509E" w:rsidRPr="00783571">
        <w:t xml:space="preserve">ethnicity, age group, and </w:t>
      </w:r>
      <w:r w:rsidR="00D81284" w:rsidRPr="00783571">
        <w:t xml:space="preserve">risk level. </w:t>
      </w:r>
      <w:r w:rsidR="00871E69" w:rsidRPr="00783571">
        <w:t>Tables </w:t>
      </w:r>
      <w:r w:rsidR="00F36478" w:rsidRPr="00783571">
        <w:t>6</w:t>
      </w:r>
      <w:r w:rsidR="00CC1362" w:rsidRPr="00783571">
        <w:t>.</w:t>
      </w:r>
      <w:r w:rsidR="00150D22" w:rsidRPr="00783571">
        <w:t xml:space="preserve">1 through </w:t>
      </w:r>
      <w:r w:rsidR="00F36478" w:rsidRPr="00783571">
        <w:t>6</w:t>
      </w:r>
      <w:r w:rsidR="00CC1362" w:rsidRPr="00783571">
        <w:t>.</w:t>
      </w:r>
      <w:r w:rsidR="00150D22" w:rsidRPr="00783571">
        <w:t>4</w:t>
      </w:r>
      <w:r w:rsidRPr="00783571">
        <w:t xml:space="preserve"> outline the values used to determine the distribution of sexual partn</w:t>
      </w:r>
      <w:r w:rsidR="002B54F6" w:rsidRPr="00783571">
        <w:t xml:space="preserve">ers by these categories; </w:t>
      </w:r>
      <w:r w:rsidR="00871E69" w:rsidRPr="00783571">
        <w:t>Tables </w:t>
      </w:r>
      <w:r w:rsidR="00946060" w:rsidRPr="00783571">
        <w:t>6.5 through</w:t>
      </w:r>
      <w:r w:rsidR="00150D22" w:rsidRPr="00783571">
        <w:t xml:space="preserve"> </w:t>
      </w:r>
      <w:r w:rsidR="00F36478" w:rsidRPr="00783571">
        <w:t>6</w:t>
      </w:r>
      <w:r w:rsidR="00CC1362" w:rsidRPr="00783571">
        <w:t>.</w:t>
      </w:r>
      <w:r w:rsidR="00694ABD" w:rsidRPr="00783571">
        <w:t xml:space="preserve">7 </w:t>
      </w:r>
      <w:r w:rsidRPr="00783571">
        <w:t xml:space="preserve">outline the values used to determine the distribution of needle-sharing partners. The values in </w:t>
      </w:r>
      <w:r w:rsidR="008131D8" w:rsidRPr="00783571">
        <w:t xml:space="preserve">several of </w:t>
      </w:r>
      <w:r w:rsidRPr="00783571">
        <w:t>these mixing matrices</w:t>
      </w:r>
      <w:r w:rsidR="008131D8" w:rsidRPr="00783571">
        <w:t xml:space="preserve"> (as specified in the </w:t>
      </w:r>
      <w:r w:rsidR="008131D8" w:rsidRPr="00783571">
        <w:rPr>
          <w:i/>
          <w:iCs/>
        </w:rPr>
        <w:t>Source</w:t>
      </w:r>
      <w:r w:rsidR="008131D8" w:rsidRPr="00783571">
        <w:t xml:space="preserve"> columns)</w:t>
      </w:r>
      <w:r w:rsidRPr="00783571">
        <w:t xml:space="preserve"> were calibrated </w:t>
      </w:r>
      <w:r w:rsidR="002B3F0A" w:rsidRPr="00783571">
        <w:t>to ensure</w:t>
      </w:r>
      <w:r w:rsidRPr="00783571">
        <w:t xml:space="preserve"> that the annual number of infections in 20</w:t>
      </w:r>
      <w:r w:rsidR="002F6834" w:rsidRPr="00783571">
        <w:t>09 and 2013</w:t>
      </w:r>
      <w:r w:rsidRPr="00783571">
        <w:t xml:space="preserve"> estimated by the model closely matched surveillance data from CDC (2012</w:t>
      </w:r>
      <w:r w:rsidR="008132AB" w:rsidRPr="00783571">
        <w:t>a</w:t>
      </w:r>
      <w:r w:rsidRPr="00783571">
        <w:t>). We assumed random mixing within each partner pool.</w:t>
      </w:r>
    </w:p>
    <w:p w14:paraId="5F6314DD" w14:textId="4342F1CC" w:rsidR="008F5D01" w:rsidRPr="00783571" w:rsidRDefault="008F5D01" w:rsidP="008F5D01">
      <w:pPr>
        <w:pStyle w:val="TableTitle"/>
      </w:pPr>
      <w:bookmarkStart w:id="47" w:name="_Toc510104024"/>
      <w:bookmarkStart w:id="48" w:name="_Toc398293120"/>
      <w:r w:rsidRPr="00783571">
        <w:t xml:space="preserve">Table </w:t>
      </w:r>
      <w:r w:rsidR="00F36478" w:rsidRPr="00783571">
        <w:t>6</w:t>
      </w:r>
      <w:r w:rsidR="00563F41" w:rsidRPr="00783571">
        <w:t>.</w:t>
      </w:r>
      <w:r w:rsidRPr="00783571">
        <w:t>1.</w:t>
      </w:r>
      <w:r w:rsidRPr="00783571">
        <w:tab/>
        <w:t xml:space="preserve">Distribution of Sexual Partners by Sex and Transmission </w:t>
      </w:r>
      <w:r w:rsidR="00B8648E" w:rsidRPr="00783571">
        <w:t>G</w:t>
      </w:r>
      <w:r w:rsidRPr="00783571">
        <w:t>roup</w:t>
      </w:r>
      <w:bookmarkEnd w:id="47"/>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1504"/>
        <w:gridCol w:w="954"/>
        <w:gridCol w:w="1085"/>
        <w:gridCol w:w="877"/>
        <w:gridCol w:w="1059"/>
        <w:gridCol w:w="1184"/>
        <w:gridCol w:w="2697"/>
      </w:tblGrid>
      <w:tr w:rsidR="005F1368" w:rsidRPr="00783571" w14:paraId="79315B90" w14:textId="77777777" w:rsidTr="007B145B">
        <w:trPr>
          <w:cantSplit/>
          <w:tblHeader/>
        </w:trPr>
        <w:tc>
          <w:tcPr>
            <w:tcW w:w="9360" w:type="dxa"/>
            <w:gridSpan w:val="7"/>
            <w:tcBorders>
              <w:top w:val="single" w:sz="12" w:space="0" w:color="000000"/>
              <w:bottom w:val="single" w:sz="4" w:space="0" w:color="auto"/>
            </w:tcBorders>
            <w:shd w:val="clear" w:color="auto" w:fill="auto"/>
            <w:noWrap/>
            <w:vAlign w:val="bottom"/>
          </w:tcPr>
          <w:p w14:paraId="51D87C9C" w14:textId="40B67800" w:rsidR="005F1368" w:rsidRPr="00783571" w:rsidRDefault="005F1368" w:rsidP="00474F9B">
            <w:pPr>
              <w:pStyle w:val="TableHeaders"/>
              <w:keepNext/>
              <w:spacing w:before="40" w:after="40"/>
            </w:pPr>
            <w:r w:rsidRPr="00783571">
              <w:t>Partnering populations</w:t>
            </w:r>
          </w:p>
        </w:tc>
      </w:tr>
      <w:tr w:rsidR="008F5D01" w:rsidRPr="00783571" w14:paraId="280C45B5" w14:textId="77777777" w:rsidTr="007B145B">
        <w:trPr>
          <w:cantSplit/>
          <w:tblHeader/>
        </w:trPr>
        <w:tc>
          <w:tcPr>
            <w:tcW w:w="1504" w:type="dxa"/>
            <w:tcBorders>
              <w:top w:val="single" w:sz="4" w:space="0" w:color="auto"/>
              <w:bottom w:val="single" w:sz="12" w:space="0" w:color="auto"/>
            </w:tcBorders>
            <w:shd w:val="clear" w:color="auto" w:fill="auto"/>
            <w:noWrap/>
            <w:vAlign w:val="bottom"/>
            <w:hideMark/>
          </w:tcPr>
          <w:p w14:paraId="77243C59" w14:textId="77777777" w:rsidR="008F5D01" w:rsidRPr="00783571" w:rsidRDefault="00B8648E" w:rsidP="00474F9B">
            <w:pPr>
              <w:pStyle w:val="TableHeaders"/>
              <w:keepNext/>
              <w:spacing w:before="40" w:after="40"/>
              <w:ind w:left="-81" w:right="-88"/>
            </w:pPr>
            <w:r w:rsidRPr="00783571">
              <w:t>Sex and Transmission Group</w:t>
            </w:r>
          </w:p>
        </w:tc>
        <w:tc>
          <w:tcPr>
            <w:tcW w:w="954" w:type="dxa"/>
            <w:tcBorders>
              <w:top w:val="single" w:sz="4" w:space="0" w:color="auto"/>
              <w:bottom w:val="single" w:sz="12" w:space="0" w:color="auto"/>
            </w:tcBorders>
            <w:shd w:val="clear" w:color="auto" w:fill="auto"/>
            <w:noWrap/>
            <w:vAlign w:val="bottom"/>
            <w:hideMark/>
          </w:tcPr>
          <w:p w14:paraId="442C08E9" w14:textId="77777777" w:rsidR="008F5D01" w:rsidRPr="00783571" w:rsidRDefault="008F5D01" w:rsidP="00474F9B">
            <w:pPr>
              <w:pStyle w:val="TableHeaders"/>
              <w:keepNext/>
              <w:spacing w:before="40" w:after="40"/>
            </w:pPr>
            <w:r w:rsidRPr="00783571">
              <w:t xml:space="preserve">HET </w:t>
            </w:r>
            <w:r w:rsidRPr="00783571">
              <w:br/>
              <w:t>Males</w:t>
            </w:r>
          </w:p>
        </w:tc>
        <w:tc>
          <w:tcPr>
            <w:tcW w:w="1085" w:type="dxa"/>
            <w:tcBorders>
              <w:top w:val="single" w:sz="4" w:space="0" w:color="auto"/>
              <w:bottom w:val="single" w:sz="12" w:space="0" w:color="auto"/>
            </w:tcBorders>
            <w:shd w:val="clear" w:color="auto" w:fill="auto"/>
            <w:noWrap/>
            <w:vAlign w:val="bottom"/>
            <w:hideMark/>
          </w:tcPr>
          <w:p w14:paraId="685E9FBE" w14:textId="77777777" w:rsidR="008F5D01" w:rsidRPr="00783571" w:rsidRDefault="008F5D01" w:rsidP="00474F9B">
            <w:pPr>
              <w:pStyle w:val="TableHeaders"/>
              <w:keepNext/>
              <w:spacing w:before="40" w:after="40"/>
              <w:ind w:left="-95" w:right="-95"/>
            </w:pPr>
            <w:r w:rsidRPr="00783571">
              <w:t>HET Females</w:t>
            </w:r>
          </w:p>
        </w:tc>
        <w:tc>
          <w:tcPr>
            <w:tcW w:w="877" w:type="dxa"/>
            <w:tcBorders>
              <w:top w:val="single" w:sz="4" w:space="0" w:color="auto"/>
              <w:bottom w:val="single" w:sz="12" w:space="0" w:color="auto"/>
            </w:tcBorders>
            <w:shd w:val="clear" w:color="auto" w:fill="auto"/>
            <w:noWrap/>
            <w:vAlign w:val="bottom"/>
            <w:hideMark/>
          </w:tcPr>
          <w:p w14:paraId="112338B5" w14:textId="77777777" w:rsidR="008F5D01" w:rsidRPr="00783571" w:rsidRDefault="008F5D01" w:rsidP="00474F9B">
            <w:pPr>
              <w:pStyle w:val="TableHeaders"/>
              <w:keepNext/>
              <w:spacing w:before="40" w:after="40"/>
            </w:pPr>
            <w:r w:rsidRPr="00783571">
              <w:t>MSM</w:t>
            </w:r>
          </w:p>
        </w:tc>
        <w:tc>
          <w:tcPr>
            <w:tcW w:w="1059" w:type="dxa"/>
            <w:tcBorders>
              <w:top w:val="single" w:sz="4" w:space="0" w:color="auto"/>
              <w:bottom w:val="single" w:sz="12" w:space="0" w:color="auto"/>
            </w:tcBorders>
            <w:shd w:val="clear" w:color="auto" w:fill="auto"/>
            <w:noWrap/>
            <w:vAlign w:val="bottom"/>
            <w:hideMark/>
          </w:tcPr>
          <w:p w14:paraId="0F4334D3" w14:textId="6F5B2F97" w:rsidR="008F5D01" w:rsidRPr="00783571" w:rsidRDefault="00F77D76" w:rsidP="00474F9B">
            <w:pPr>
              <w:pStyle w:val="TableHeaders"/>
              <w:keepNext/>
              <w:spacing w:before="40" w:after="40"/>
            </w:pPr>
            <w:r w:rsidRPr="00783571">
              <w:t>PWID</w:t>
            </w:r>
            <w:r w:rsidR="008F5D01" w:rsidRPr="00783571">
              <w:t xml:space="preserve"> Males</w:t>
            </w:r>
          </w:p>
        </w:tc>
        <w:tc>
          <w:tcPr>
            <w:tcW w:w="1184" w:type="dxa"/>
            <w:tcBorders>
              <w:top w:val="single" w:sz="4" w:space="0" w:color="auto"/>
              <w:bottom w:val="single" w:sz="12" w:space="0" w:color="auto"/>
            </w:tcBorders>
            <w:shd w:val="clear" w:color="auto" w:fill="auto"/>
            <w:noWrap/>
            <w:vAlign w:val="bottom"/>
            <w:hideMark/>
          </w:tcPr>
          <w:p w14:paraId="204E378E" w14:textId="183DAA52" w:rsidR="008F5D01" w:rsidRPr="00783571" w:rsidRDefault="00F77D76" w:rsidP="00474F9B">
            <w:pPr>
              <w:pStyle w:val="TableHeaders"/>
              <w:keepNext/>
              <w:spacing w:before="40" w:after="40"/>
            </w:pPr>
            <w:r w:rsidRPr="00783571">
              <w:t>PWID</w:t>
            </w:r>
            <w:r w:rsidR="008F5D01" w:rsidRPr="00783571">
              <w:t xml:space="preserve"> Females</w:t>
            </w:r>
          </w:p>
        </w:tc>
        <w:tc>
          <w:tcPr>
            <w:tcW w:w="2697" w:type="dxa"/>
            <w:tcBorders>
              <w:top w:val="single" w:sz="4" w:space="0" w:color="auto"/>
              <w:bottom w:val="single" w:sz="12" w:space="0" w:color="auto"/>
            </w:tcBorders>
            <w:shd w:val="clear" w:color="auto" w:fill="auto"/>
            <w:noWrap/>
            <w:vAlign w:val="bottom"/>
            <w:hideMark/>
          </w:tcPr>
          <w:p w14:paraId="73B5FF33" w14:textId="77777777" w:rsidR="008F5D01" w:rsidRPr="00783571" w:rsidRDefault="008F5D01" w:rsidP="00474F9B">
            <w:pPr>
              <w:pStyle w:val="TableHeaders"/>
              <w:keepNext/>
              <w:spacing w:before="40" w:after="40"/>
            </w:pPr>
            <w:r w:rsidRPr="00783571">
              <w:t>Source</w:t>
            </w:r>
          </w:p>
        </w:tc>
      </w:tr>
      <w:tr w:rsidR="00136D77" w:rsidRPr="00783571" w14:paraId="7C963C0F" w14:textId="77777777" w:rsidTr="007B145B">
        <w:trPr>
          <w:cantSplit/>
        </w:trPr>
        <w:tc>
          <w:tcPr>
            <w:tcW w:w="1504" w:type="dxa"/>
            <w:tcBorders>
              <w:top w:val="single" w:sz="12" w:space="0" w:color="auto"/>
              <w:bottom w:val="single" w:sz="6" w:space="0" w:color="808080" w:themeColor="background1" w:themeShade="80"/>
            </w:tcBorders>
            <w:shd w:val="clear" w:color="auto" w:fill="auto"/>
            <w:noWrap/>
            <w:hideMark/>
          </w:tcPr>
          <w:p w14:paraId="79DB0618" w14:textId="77777777" w:rsidR="00136D77" w:rsidRPr="00783571" w:rsidRDefault="00136D77" w:rsidP="00474F9B">
            <w:pPr>
              <w:pStyle w:val="TableText"/>
              <w:keepNext/>
              <w:spacing w:before="40" w:after="40"/>
            </w:pPr>
            <w:r w:rsidRPr="00783571">
              <w:t>HET males</w:t>
            </w:r>
          </w:p>
        </w:tc>
        <w:tc>
          <w:tcPr>
            <w:tcW w:w="954" w:type="dxa"/>
            <w:tcBorders>
              <w:top w:val="single" w:sz="12" w:space="0" w:color="auto"/>
              <w:bottom w:val="single" w:sz="6" w:space="0" w:color="808080" w:themeColor="background1" w:themeShade="80"/>
            </w:tcBorders>
            <w:shd w:val="clear" w:color="auto" w:fill="auto"/>
            <w:noWrap/>
            <w:hideMark/>
          </w:tcPr>
          <w:p w14:paraId="6285C2A6" w14:textId="77777777" w:rsidR="00136D77" w:rsidRPr="00783571" w:rsidRDefault="00136D77" w:rsidP="00474F9B">
            <w:pPr>
              <w:pStyle w:val="TableTextDec"/>
              <w:keepNext/>
              <w:tabs>
                <w:tab w:val="clear" w:pos="1015"/>
                <w:tab w:val="decimal" w:pos="388"/>
              </w:tabs>
              <w:spacing w:before="40" w:after="40"/>
            </w:pPr>
          </w:p>
        </w:tc>
        <w:tc>
          <w:tcPr>
            <w:tcW w:w="1085" w:type="dxa"/>
            <w:tcBorders>
              <w:top w:val="single" w:sz="12" w:space="0" w:color="auto"/>
              <w:bottom w:val="single" w:sz="6" w:space="0" w:color="808080" w:themeColor="background1" w:themeShade="80"/>
            </w:tcBorders>
            <w:shd w:val="clear" w:color="auto" w:fill="auto"/>
            <w:noWrap/>
            <w:hideMark/>
          </w:tcPr>
          <w:p w14:paraId="408944EE" w14:textId="4B38A087" w:rsidR="00136D77" w:rsidRPr="00783571" w:rsidRDefault="00136D77" w:rsidP="00474F9B">
            <w:pPr>
              <w:pStyle w:val="TableTextDec"/>
              <w:keepNext/>
              <w:tabs>
                <w:tab w:val="clear" w:pos="1015"/>
                <w:tab w:val="decimal" w:pos="388"/>
              </w:tabs>
              <w:spacing w:before="40" w:after="40"/>
            </w:pPr>
            <w:r w:rsidRPr="00783571">
              <w:t>9</w:t>
            </w:r>
            <w:r w:rsidR="00824E63" w:rsidRPr="00783571">
              <w:t>9.5</w:t>
            </w:r>
            <w:r w:rsidRPr="00783571">
              <w:t>%</w:t>
            </w:r>
          </w:p>
        </w:tc>
        <w:tc>
          <w:tcPr>
            <w:tcW w:w="877" w:type="dxa"/>
            <w:tcBorders>
              <w:top w:val="single" w:sz="12" w:space="0" w:color="auto"/>
              <w:bottom w:val="single" w:sz="6" w:space="0" w:color="808080" w:themeColor="background1" w:themeShade="80"/>
            </w:tcBorders>
            <w:shd w:val="clear" w:color="auto" w:fill="auto"/>
            <w:noWrap/>
            <w:hideMark/>
          </w:tcPr>
          <w:p w14:paraId="6D262424" w14:textId="77777777" w:rsidR="00136D77" w:rsidRPr="00783571" w:rsidRDefault="00136D77" w:rsidP="00474F9B">
            <w:pPr>
              <w:pStyle w:val="TableTextDec"/>
              <w:keepNext/>
              <w:tabs>
                <w:tab w:val="clear" w:pos="1015"/>
              </w:tabs>
              <w:spacing w:before="40" w:after="40"/>
              <w:ind w:left="-96" w:right="-87"/>
              <w:jc w:val="right"/>
            </w:pPr>
          </w:p>
        </w:tc>
        <w:tc>
          <w:tcPr>
            <w:tcW w:w="1059" w:type="dxa"/>
            <w:tcBorders>
              <w:top w:val="single" w:sz="12" w:space="0" w:color="auto"/>
              <w:bottom w:val="single" w:sz="6" w:space="0" w:color="808080" w:themeColor="background1" w:themeShade="80"/>
            </w:tcBorders>
            <w:shd w:val="clear" w:color="auto" w:fill="auto"/>
            <w:noWrap/>
            <w:hideMark/>
          </w:tcPr>
          <w:p w14:paraId="6B45766E" w14:textId="77777777" w:rsidR="00136D77" w:rsidRPr="00783571" w:rsidRDefault="00136D77" w:rsidP="00474F9B">
            <w:pPr>
              <w:pStyle w:val="TableTextDec"/>
              <w:keepNext/>
              <w:tabs>
                <w:tab w:val="clear" w:pos="1015"/>
                <w:tab w:val="decimal" w:pos="388"/>
              </w:tabs>
              <w:spacing w:before="40" w:after="40"/>
            </w:pPr>
          </w:p>
        </w:tc>
        <w:tc>
          <w:tcPr>
            <w:tcW w:w="1184" w:type="dxa"/>
            <w:tcBorders>
              <w:top w:val="single" w:sz="12" w:space="0" w:color="auto"/>
              <w:bottom w:val="single" w:sz="6" w:space="0" w:color="808080" w:themeColor="background1" w:themeShade="80"/>
            </w:tcBorders>
            <w:shd w:val="clear" w:color="auto" w:fill="auto"/>
            <w:noWrap/>
            <w:hideMark/>
          </w:tcPr>
          <w:p w14:paraId="62DD55D1" w14:textId="06A10233" w:rsidR="00136D77" w:rsidRPr="00783571" w:rsidRDefault="00824E63" w:rsidP="00474F9B">
            <w:pPr>
              <w:pStyle w:val="TableTextDec"/>
              <w:keepNext/>
              <w:tabs>
                <w:tab w:val="clear" w:pos="1015"/>
                <w:tab w:val="decimal" w:pos="388"/>
              </w:tabs>
              <w:spacing w:before="40" w:after="40"/>
            </w:pPr>
            <w:r w:rsidRPr="00783571">
              <w:t>0.5</w:t>
            </w:r>
            <w:r w:rsidR="00136D77" w:rsidRPr="00783571">
              <w:t>%</w:t>
            </w:r>
          </w:p>
        </w:tc>
        <w:tc>
          <w:tcPr>
            <w:tcW w:w="2697" w:type="dxa"/>
            <w:tcBorders>
              <w:top w:val="single" w:sz="12" w:space="0" w:color="auto"/>
              <w:bottom w:val="single" w:sz="6" w:space="0" w:color="808080" w:themeColor="background1" w:themeShade="80"/>
            </w:tcBorders>
            <w:shd w:val="clear" w:color="auto" w:fill="auto"/>
            <w:noWrap/>
            <w:hideMark/>
          </w:tcPr>
          <w:p w14:paraId="60321681" w14:textId="77777777" w:rsidR="00136D77" w:rsidRPr="00783571" w:rsidRDefault="00136D77" w:rsidP="00474F9B">
            <w:pPr>
              <w:pStyle w:val="TableText"/>
              <w:keepNext/>
              <w:spacing w:before="40" w:after="40"/>
            </w:pPr>
            <w:r w:rsidRPr="00783571">
              <w:t>Determined by calibration</w:t>
            </w:r>
          </w:p>
        </w:tc>
      </w:tr>
      <w:tr w:rsidR="00136D77" w:rsidRPr="00783571" w14:paraId="52418656" w14:textId="77777777" w:rsidTr="00260D8A">
        <w:trPr>
          <w:cantSplit/>
        </w:trPr>
        <w:tc>
          <w:tcPr>
            <w:tcW w:w="1504" w:type="dxa"/>
            <w:tcBorders>
              <w:top w:val="single" w:sz="6" w:space="0" w:color="808080" w:themeColor="background1" w:themeShade="80"/>
              <w:bottom w:val="single" w:sz="6" w:space="0" w:color="808080" w:themeColor="background1" w:themeShade="80"/>
            </w:tcBorders>
            <w:shd w:val="clear" w:color="auto" w:fill="auto"/>
            <w:noWrap/>
            <w:hideMark/>
          </w:tcPr>
          <w:p w14:paraId="2A8B0C8D" w14:textId="77777777" w:rsidR="00136D77" w:rsidRPr="00783571" w:rsidRDefault="00136D77" w:rsidP="00474F9B">
            <w:pPr>
              <w:pStyle w:val="TableText"/>
              <w:keepNext/>
              <w:spacing w:before="40" w:after="40"/>
            </w:pPr>
            <w:r w:rsidRPr="00783571">
              <w:t>HET females</w:t>
            </w:r>
          </w:p>
        </w:tc>
        <w:tc>
          <w:tcPr>
            <w:tcW w:w="954" w:type="dxa"/>
            <w:tcBorders>
              <w:top w:val="single" w:sz="6" w:space="0" w:color="808080" w:themeColor="background1" w:themeShade="80"/>
              <w:bottom w:val="single" w:sz="6" w:space="0" w:color="808080" w:themeColor="background1" w:themeShade="80"/>
            </w:tcBorders>
            <w:shd w:val="clear" w:color="auto" w:fill="auto"/>
            <w:noWrap/>
            <w:hideMark/>
          </w:tcPr>
          <w:p w14:paraId="336D55DD" w14:textId="0FFF54B9" w:rsidR="00136D77" w:rsidRPr="00783571" w:rsidRDefault="00136D77" w:rsidP="00474F9B">
            <w:pPr>
              <w:pStyle w:val="TableTextDec"/>
              <w:keepNext/>
              <w:tabs>
                <w:tab w:val="clear" w:pos="1015"/>
                <w:tab w:val="decimal" w:pos="388"/>
              </w:tabs>
              <w:spacing w:before="40" w:after="40"/>
            </w:pPr>
            <w:r w:rsidRPr="00783571">
              <w:t>9</w:t>
            </w:r>
            <w:r w:rsidR="00824E63" w:rsidRPr="00783571">
              <w:t>7.2</w:t>
            </w:r>
            <w:r w:rsidRPr="00783571">
              <w:t>%</w:t>
            </w:r>
          </w:p>
        </w:tc>
        <w:tc>
          <w:tcPr>
            <w:tcW w:w="1085" w:type="dxa"/>
            <w:tcBorders>
              <w:top w:val="single" w:sz="6" w:space="0" w:color="808080" w:themeColor="background1" w:themeShade="80"/>
              <w:bottom w:val="single" w:sz="6" w:space="0" w:color="808080" w:themeColor="background1" w:themeShade="80"/>
            </w:tcBorders>
            <w:shd w:val="clear" w:color="auto" w:fill="auto"/>
            <w:noWrap/>
            <w:hideMark/>
          </w:tcPr>
          <w:p w14:paraId="0483D48F" w14:textId="77777777" w:rsidR="00136D77" w:rsidRPr="00783571" w:rsidRDefault="00136D77" w:rsidP="00474F9B">
            <w:pPr>
              <w:pStyle w:val="TableTextDec"/>
              <w:keepNext/>
              <w:tabs>
                <w:tab w:val="clear" w:pos="1015"/>
                <w:tab w:val="decimal" w:pos="388"/>
              </w:tabs>
              <w:spacing w:before="40" w:after="40"/>
            </w:pPr>
          </w:p>
        </w:tc>
        <w:tc>
          <w:tcPr>
            <w:tcW w:w="877" w:type="dxa"/>
            <w:tcBorders>
              <w:top w:val="single" w:sz="6" w:space="0" w:color="808080" w:themeColor="background1" w:themeShade="80"/>
              <w:bottom w:val="single" w:sz="6" w:space="0" w:color="808080" w:themeColor="background1" w:themeShade="80"/>
            </w:tcBorders>
            <w:shd w:val="clear" w:color="auto" w:fill="auto"/>
            <w:noWrap/>
            <w:hideMark/>
          </w:tcPr>
          <w:p w14:paraId="507E1A2F" w14:textId="40309AA4" w:rsidR="00136D77" w:rsidRPr="00783571" w:rsidRDefault="00136D77" w:rsidP="00474F9B">
            <w:pPr>
              <w:pStyle w:val="TableTextDec"/>
              <w:keepNext/>
              <w:tabs>
                <w:tab w:val="clear" w:pos="1015"/>
              </w:tabs>
              <w:spacing w:before="40" w:after="40"/>
              <w:ind w:left="-96" w:right="-87"/>
              <w:jc w:val="right"/>
            </w:pPr>
            <w:r w:rsidRPr="00783571">
              <w:t>2.</w:t>
            </w:r>
            <w:r w:rsidR="00824E63" w:rsidRPr="00783571">
              <w:t>6</w:t>
            </w:r>
            <w:r w:rsidRPr="00783571">
              <w:t>%</w:t>
            </w:r>
          </w:p>
        </w:tc>
        <w:tc>
          <w:tcPr>
            <w:tcW w:w="1059" w:type="dxa"/>
            <w:tcBorders>
              <w:top w:val="single" w:sz="6" w:space="0" w:color="808080" w:themeColor="background1" w:themeShade="80"/>
              <w:bottom w:val="single" w:sz="6" w:space="0" w:color="808080" w:themeColor="background1" w:themeShade="80"/>
            </w:tcBorders>
            <w:shd w:val="clear" w:color="auto" w:fill="auto"/>
            <w:noWrap/>
            <w:hideMark/>
          </w:tcPr>
          <w:p w14:paraId="10BF6BAC" w14:textId="44394FB3" w:rsidR="00136D77" w:rsidRPr="00783571" w:rsidRDefault="00136D77" w:rsidP="00474F9B">
            <w:pPr>
              <w:pStyle w:val="TableTextDec"/>
              <w:keepNext/>
              <w:tabs>
                <w:tab w:val="clear" w:pos="1015"/>
                <w:tab w:val="decimal" w:pos="388"/>
              </w:tabs>
              <w:spacing w:before="40" w:after="40"/>
            </w:pPr>
            <w:r w:rsidRPr="00783571">
              <w:t>0.</w:t>
            </w:r>
            <w:r w:rsidR="00824E63" w:rsidRPr="00783571">
              <w:t>2</w:t>
            </w:r>
            <w:r w:rsidRPr="00783571">
              <w:t>%</w:t>
            </w:r>
          </w:p>
        </w:tc>
        <w:tc>
          <w:tcPr>
            <w:tcW w:w="1184" w:type="dxa"/>
            <w:tcBorders>
              <w:top w:val="single" w:sz="6" w:space="0" w:color="808080" w:themeColor="background1" w:themeShade="80"/>
              <w:bottom w:val="single" w:sz="6" w:space="0" w:color="808080" w:themeColor="background1" w:themeShade="80"/>
            </w:tcBorders>
            <w:shd w:val="clear" w:color="auto" w:fill="auto"/>
            <w:noWrap/>
            <w:hideMark/>
          </w:tcPr>
          <w:p w14:paraId="1A925CDC" w14:textId="77777777" w:rsidR="00136D77" w:rsidRPr="00783571" w:rsidRDefault="00136D77" w:rsidP="00474F9B">
            <w:pPr>
              <w:pStyle w:val="TableTextDec"/>
              <w:keepNext/>
              <w:tabs>
                <w:tab w:val="clear" w:pos="1015"/>
                <w:tab w:val="decimal" w:pos="388"/>
              </w:tabs>
              <w:spacing w:before="40" w:after="40"/>
            </w:pPr>
          </w:p>
        </w:tc>
        <w:tc>
          <w:tcPr>
            <w:tcW w:w="2697" w:type="dxa"/>
            <w:tcBorders>
              <w:top w:val="single" w:sz="6" w:space="0" w:color="808080" w:themeColor="background1" w:themeShade="80"/>
              <w:bottom w:val="single" w:sz="6" w:space="0" w:color="808080" w:themeColor="background1" w:themeShade="80"/>
            </w:tcBorders>
            <w:shd w:val="clear" w:color="auto" w:fill="auto"/>
            <w:noWrap/>
            <w:hideMark/>
          </w:tcPr>
          <w:p w14:paraId="7C012050" w14:textId="77777777" w:rsidR="00136D77" w:rsidRPr="00783571" w:rsidRDefault="00136D77" w:rsidP="00474F9B">
            <w:pPr>
              <w:pStyle w:val="TableText"/>
              <w:keepNext/>
              <w:spacing w:before="40" w:after="40"/>
            </w:pPr>
            <w:r w:rsidRPr="00783571">
              <w:t>Determined by calibration</w:t>
            </w:r>
          </w:p>
        </w:tc>
      </w:tr>
      <w:tr w:rsidR="00136D77" w:rsidRPr="00783571" w14:paraId="5F4B2807" w14:textId="77777777" w:rsidTr="00260D8A">
        <w:trPr>
          <w:cantSplit/>
        </w:trPr>
        <w:tc>
          <w:tcPr>
            <w:tcW w:w="1504" w:type="dxa"/>
            <w:tcBorders>
              <w:top w:val="single" w:sz="6" w:space="0" w:color="808080" w:themeColor="background1" w:themeShade="80"/>
              <w:bottom w:val="single" w:sz="6" w:space="0" w:color="808080" w:themeColor="background1" w:themeShade="80"/>
            </w:tcBorders>
            <w:shd w:val="clear" w:color="auto" w:fill="auto"/>
            <w:noWrap/>
            <w:hideMark/>
          </w:tcPr>
          <w:p w14:paraId="36CB7306" w14:textId="77777777" w:rsidR="00136D77" w:rsidRPr="00783571" w:rsidRDefault="00136D77" w:rsidP="00474F9B">
            <w:pPr>
              <w:pStyle w:val="TableText"/>
              <w:keepNext/>
              <w:spacing w:before="40" w:after="40"/>
            </w:pPr>
            <w:r w:rsidRPr="00783571">
              <w:t>MSM</w:t>
            </w:r>
          </w:p>
        </w:tc>
        <w:tc>
          <w:tcPr>
            <w:tcW w:w="954" w:type="dxa"/>
            <w:tcBorders>
              <w:top w:val="single" w:sz="6" w:space="0" w:color="808080" w:themeColor="background1" w:themeShade="80"/>
              <w:bottom w:val="single" w:sz="6" w:space="0" w:color="808080" w:themeColor="background1" w:themeShade="80"/>
            </w:tcBorders>
            <w:shd w:val="clear" w:color="auto" w:fill="auto"/>
            <w:noWrap/>
            <w:hideMark/>
          </w:tcPr>
          <w:p w14:paraId="36088898" w14:textId="77777777" w:rsidR="00136D77" w:rsidRPr="00783571" w:rsidRDefault="00136D77" w:rsidP="00474F9B">
            <w:pPr>
              <w:pStyle w:val="TableTextDec"/>
              <w:keepNext/>
              <w:tabs>
                <w:tab w:val="clear" w:pos="1015"/>
                <w:tab w:val="decimal" w:pos="388"/>
              </w:tabs>
              <w:spacing w:before="40" w:after="40"/>
            </w:pPr>
          </w:p>
        </w:tc>
        <w:tc>
          <w:tcPr>
            <w:tcW w:w="1085" w:type="dxa"/>
            <w:tcBorders>
              <w:top w:val="single" w:sz="6" w:space="0" w:color="808080" w:themeColor="background1" w:themeShade="80"/>
              <w:bottom w:val="single" w:sz="6" w:space="0" w:color="808080" w:themeColor="background1" w:themeShade="80"/>
            </w:tcBorders>
            <w:shd w:val="clear" w:color="auto" w:fill="auto"/>
            <w:noWrap/>
            <w:hideMark/>
          </w:tcPr>
          <w:p w14:paraId="006CF9C7" w14:textId="07794ACB" w:rsidR="00136D77" w:rsidRPr="00783571" w:rsidRDefault="00824E63" w:rsidP="00474F9B">
            <w:pPr>
              <w:pStyle w:val="TableTextDec"/>
              <w:keepNext/>
              <w:tabs>
                <w:tab w:val="clear" w:pos="1015"/>
                <w:tab w:val="decimal" w:pos="388"/>
              </w:tabs>
              <w:spacing w:before="40" w:after="40"/>
            </w:pPr>
            <w:r w:rsidRPr="00783571">
              <w:t>39.3</w:t>
            </w:r>
            <w:r w:rsidR="00136D77" w:rsidRPr="00783571">
              <w:t>%</w:t>
            </w:r>
          </w:p>
        </w:tc>
        <w:tc>
          <w:tcPr>
            <w:tcW w:w="877" w:type="dxa"/>
            <w:tcBorders>
              <w:top w:val="single" w:sz="6" w:space="0" w:color="808080" w:themeColor="background1" w:themeShade="80"/>
              <w:bottom w:val="single" w:sz="6" w:space="0" w:color="808080" w:themeColor="background1" w:themeShade="80"/>
            </w:tcBorders>
            <w:shd w:val="clear" w:color="auto" w:fill="auto"/>
            <w:noWrap/>
            <w:hideMark/>
          </w:tcPr>
          <w:p w14:paraId="6FB6F080" w14:textId="68E31DEA" w:rsidR="00136D77" w:rsidRPr="00783571" w:rsidRDefault="00824E63" w:rsidP="00474F9B">
            <w:pPr>
              <w:pStyle w:val="TableTextDec"/>
              <w:keepNext/>
              <w:tabs>
                <w:tab w:val="clear" w:pos="1015"/>
              </w:tabs>
              <w:spacing w:before="40" w:after="40"/>
              <w:ind w:left="-96" w:right="-87"/>
              <w:jc w:val="right"/>
            </w:pPr>
            <w:r w:rsidRPr="00783571">
              <w:t>60.5</w:t>
            </w:r>
            <w:r w:rsidR="00136D77" w:rsidRPr="00783571">
              <w:t>%</w:t>
            </w:r>
          </w:p>
        </w:tc>
        <w:tc>
          <w:tcPr>
            <w:tcW w:w="1059" w:type="dxa"/>
            <w:tcBorders>
              <w:top w:val="single" w:sz="6" w:space="0" w:color="808080" w:themeColor="background1" w:themeShade="80"/>
              <w:bottom w:val="single" w:sz="6" w:space="0" w:color="808080" w:themeColor="background1" w:themeShade="80"/>
            </w:tcBorders>
            <w:shd w:val="clear" w:color="auto" w:fill="auto"/>
            <w:noWrap/>
            <w:hideMark/>
          </w:tcPr>
          <w:p w14:paraId="58355AF5" w14:textId="77777777" w:rsidR="00136D77" w:rsidRPr="00783571" w:rsidRDefault="00136D77" w:rsidP="00474F9B">
            <w:pPr>
              <w:pStyle w:val="TableTextDec"/>
              <w:keepNext/>
              <w:tabs>
                <w:tab w:val="clear" w:pos="1015"/>
                <w:tab w:val="decimal" w:pos="388"/>
              </w:tabs>
              <w:spacing w:before="40" w:after="40"/>
            </w:pPr>
          </w:p>
        </w:tc>
        <w:tc>
          <w:tcPr>
            <w:tcW w:w="1184" w:type="dxa"/>
            <w:tcBorders>
              <w:top w:val="single" w:sz="6" w:space="0" w:color="808080" w:themeColor="background1" w:themeShade="80"/>
              <w:bottom w:val="single" w:sz="6" w:space="0" w:color="808080" w:themeColor="background1" w:themeShade="80"/>
            </w:tcBorders>
            <w:shd w:val="clear" w:color="auto" w:fill="auto"/>
            <w:noWrap/>
            <w:hideMark/>
          </w:tcPr>
          <w:p w14:paraId="11EF4325" w14:textId="7EB5CD6C" w:rsidR="00136D77" w:rsidRPr="00783571" w:rsidRDefault="00136D77" w:rsidP="00474F9B">
            <w:pPr>
              <w:pStyle w:val="TableTextDec"/>
              <w:keepNext/>
              <w:tabs>
                <w:tab w:val="clear" w:pos="1015"/>
                <w:tab w:val="decimal" w:pos="388"/>
              </w:tabs>
              <w:spacing w:before="40" w:after="40"/>
            </w:pPr>
            <w:r w:rsidRPr="00783571">
              <w:t>0.3%</w:t>
            </w:r>
          </w:p>
        </w:tc>
        <w:tc>
          <w:tcPr>
            <w:tcW w:w="2697" w:type="dxa"/>
            <w:tcBorders>
              <w:top w:val="single" w:sz="6" w:space="0" w:color="808080" w:themeColor="background1" w:themeShade="80"/>
              <w:bottom w:val="single" w:sz="6" w:space="0" w:color="808080" w:themeColor="background1" w:themeShade="80"/>
            </w:tcBorders>
            <w:shd w:val="clear" w:color="auto" w:fill="auto"/>
            <w:noWrap/>
            <w:hideMark/>
          </w:tcPr>
          <w:p w14:paraId="22EFA9A0" w14:textId="77777777" w:rsidR="00136D77" w:rsidRPr="00783571" w:rsidRDefault="00136D77" w:rsidP="00474F9B">
            <w:pPr>
              <w:pStyle w:val="TableText"/>
              <w:keepNext/>
              <w:spacing w:before="40" w:after="40"/>
            </w:pPr>
            <w:r w:rsidRPr="00783571">
              <w:t>Determined by calibration</w:t>
            </w:r>
          </w:p>
        </w:tc>
      </w:tr>
      <w:tr w:rsidR="00136D77" w:rsidRPr="00783571" w14:paraId="09462175" w14:textId="77777777" w:rsidTr="00260D8A">
        <w:trPr>
          <w:cantSplit/>
        </w:trPr>
        <w:tc>
          <w:tcPr>
            <w:tcW w:w="1504" w:type="dxa"/>
            <w:tcBorders>
              <w:top w:val="single" w:sz="6" w:space="0" w:color="808080" w:themeColor="background1" w:themeShade="80"/>
              <w:bottom w:val="single" w:sz="6" w:space="0" w:color="808080" w:themeColor="background1" w:themeShade="80"/>
            </w:tcBorders>
            <w:shd w:val="clear" w:color="auto" w:fill="auto"/>
            <w:noWrap/>
            <w:hideMark/>
          </w:tcPr>
          <w:p w14:paraId="614B8AA1" w14:textId="5A26618B" w:rsidR="00136D77" w:rsidRPr="00783571" w:rsidRDefault="00136D77" w:rsidP="00474F9B">
            <w:pPr>
              <w:pStyle w:val="TableText"/>
              <w:keepNext/>
              <w:spacing w:before="40" w:after="40"/>
            </w:pPr>
            <w:r w:rsidRPr="00783571">
              <w:t>PWID male</w:t>
            </w:r>
          </w:p>
        </w:tc>
        <w:tc>
          <w:tcPr>
            <w:tcW w:w="954" w:type="dxa"/>
            <w:tcBorders>
              <w:top w:val="single" w:sz="6" w:space="0" w:color="808080" w:themeColor="background1" w:themeShade="80"/>
              <w:bottom w:val="single" w:sz="6" w:space="0" w:color="808080" w:themeColor="background1" w:themeShade="80"/>
            </w:tcBorders>
            <w:shd w:val="clear" w:color="auto" w:fill="auto"/>
            <w:noWrap/>
            <w:hideMark/>
          </w:tcPr>
          <w:p w14:paraId="2A122685" w14:textId="77777777" w:rsidR="00136D77" w:rsidRPr="00783571" w:rsidRDefault="00136D77" w:rsidP="00474F9B">
            <w:pPr>
              <w:pStyle w:val="TableTextDec"/>
              <w:keepNext/>
              <w:tabs>
                <w:tab w:val="clear" w:pos="1015"/>
                <w:tab w:val="decimal" w:pos="388"/>
              </w:tabs>
              <w:spacing w:before="40" w:after="40"/>
            </w:pPr>
          </w:p>
        </w:tc>
        <w:tc>
          <w:tcPr>
            <w:tcW w:w="1085" w:type="dxa"/>
            <w:tcBorders>
              <w:top w:val="single" w:sz="6" w:space="0" w:color="808080" w:themeColor="background1" w:themeShade="80"/>
              <w:bottom w:val="single" w:sz="6" w:space="0" w:color="808080" w:themeColor="background1" w:themeShade="80"/>
            </w:tcBorders>
            <w:shd w:val="clear" w:color="auto" w:fill="auto"/>
            <w:noWrap/>
            <w:hideMark/>
          </w:tcPr>
          <w:p w14:paraId="155C829A" w14:textId="7F915C3C" w:rsidR="00136D77" w:rsidRPr="00783571" w:rsidRDefault="00824E63" w:rsidP="00474F9B">
            <w:pPr>
              <w:pStyle w:val="TableTextDec"/>
              <w:keepNext/>
              <w:tabs>
                <w:tab w:val="clear" w:pos="1015"/>
                <w:tab w:val="decimal" w:pos="388"/>
              </w:tabs>
              <w:spacing w:before="40" w:after="40"/>
            </w:pPr>
            <w:r w:rsidRPr="00783571">
              <w:t>69.8</w:t>
            </w:r>
            <w:r w:rsidR="00136D77" w:rsidRPr="00783571">
              <w:t>%</w:t>
            </w:r>
          </w:p>
        </w:tc>
        <w:tc>
          <w:tcPr>
            <w:tcW w:w="877" w:type="dxa"/>
            <w:tcBorders>
              <w:top w:val="single" w:sz="6" w:space="0" w:color="808080" w:themeColor="background1" w:themeShade="80"/>
              <w:bottom w:val="single" w:sz="6" w:space="0" w:color="808080" w:themeColor="background1" w:themeShade="80"/>
            </w:tcBorders>
            <w:shd w:val="clear" w:color="auto" w:fill="auto"/>
            <w:noWrap/>
            <w:hideMark/>
          </w:tcPr>
          <w:p w14:paraId="190B0FF6" w14:textId="77777777" w:rsidR="00136D77" w:rsidRPr="00783571" w:rsidRDefault="00136D77" w:rsidP="00474F9B">
            <w:pPr>
              <w:pStyle w:val="TableTextDec"/>
              <w:keepNext/>
              <w:tabs>
                <w:tab w:val="clear" w:pos="1015"/>
              </w:tabs>
              <w:spacing w:before="40" w:after="40"/>
              <w:ind w:left="-96" w:right="-87"/>
              <w:jc w:val="right"/>
            </w:pPr>
          </w:p>
        </w:tc>
        <w:tc>
          <w:tcPr>
            <w:tcW w:w="1059" w:type="dxa"/>
            <w:tcBorders>
              <w:top w:val="single" w:sz="6" w:space="0" w:color="808080" w:themeColor="background1" w:themeShade="80"/>
              <w:bottom w:val="single" w:sz="6" w:space="0" w:color="808080" w:themeColor="background1" w:themeShade="80"/>
            </w:tcBorders>
            <w:shd w:val="clear" w:color="auto" w:fill="auto"/>
            <w:noWrap/>
            <w:hideMark/>
          </w:tcPr>
          <w:p w14:paraId="587004D1" w14:textId="77777777" w:rsidR="00136D77" w:rsidRPr="00783571" w:rsidRDefault="00136D77" w:rsidP="00474F9B">
            <w:pPr>
              <w:pStyle w:val="TableTextDec"/>
              <w:keepNext/>
              <w:tabs>
                <w:tab w:val="clear" w:pos="1015"/>
                <w:tab w:val="decimal" w:pos="388"/>
              </w:tabs>
              <w:spacing w:before="40" w:after="40"/>
            </w:pPr>
          </w:p>
        </w:tc>
        <w:tc>
          <w:tcPr>
            <w:tcW w:w="1184" w:type="dxa"/>
            <w:tcBorders>
              <w:top w:val="single" w:sz="6" w:space="0" w:color="808080" w:themeColor="background1" w:themeShade="80"/>
              <w:bottom w:val="single" w:sz="6" w:space="0" w:color="808080" w:themeColor="background1" w:themeShade="80"/>
            </w:tcBorders>
            <w:shd w:val="clear" w:color="auto" w:fill="auto"/>
            <w:noWrap/>
            <w:hideMark/>
          </w:tcPr>
          <w:p w14:paraId="5C75A575" w14:textId="516FC1BF" w:rsidR="00136D77" w:rsidRPr="00783571" w:rsidRDefault="00824E63" w:rsidP="00474F9B">
            <w:pPr>
              <w:pStyle w:val="TableTextDec"/>
              <w:keepNext/>
              <w:tabs>
                <w:tab w:val="clear" w:pos="1015"/>
                <w:tab w:val="decimal" w:pos="388"/>
              </w:tabs>
              <w:spacing w:before="40" w:after="40"/>
            </w:pPr>
            <w:r w:rsidRPr="00783571">
              <w:t>30.2</w:t>
            </w:r>
            <w:r w:rsidR="00136D77" w:rsidRPr="00783571">
              <w:t>%</w:t>
            </w:r>
          </w:p>
        </w:tc>
        <w:tc>
          <w:tcPr>
            <w:tcW w:w="2697" w:type="dxa"/>
            <w:tcBorders>
              <w:top w:val="single" w:sz="6" w:space="0" w:color="808080" w:themeColor="background1" w:themeShade="80"/>
              <w:bottom w:val="single" w:sz="6" w:space="0" w:color="808080" w:themeColor="background1" w:themeShade="80"/>
            </w:tcBorders>
            <w:shd w:val="clear" w:color="auto" w:fill="auto"/>
            <w:noWrap/>
          </w:tcPr>
          <w:p w14:paraId="28596A0C" w14:textId="77777777" w:rsidR="00136D77" w:rsidRPr="00783571" w:rsidRDefault="00136D77" w:rsidP="00474F9B">
            <w:pPr>
              <w:pStyle w:val="TableText"/>
              <w:keepNext/>
              <w:spacing w:before="40" w:after="40"/>
            </w:pPr>
            <w:r w:rsidRPr="00783571">
              <w:t>Determined by calibration</w:t>
            </w:r>
          </w:p>
        </w:tc>
      </w:tr>
      <w:tr w:rsidR="00136D77" w:rsidRPr="00783571" w14:paraId="0D4F31DE" w14:textId="77777777" w:rsidTr="00260D8A">
        <w:trPr>
          <w:cantSplit/>
        </w:trPr>
        <w:tc>
          <w:tcPr>
            <w:tcW w:w="1504" w:type="dxa"/>
            <w:tcBorders>
              <w:top w:val="single" w:sz="6" w:space="0" w:color="808080" w:themeColor="background1" w:themeShade="80"/>
              <w:bottom w:val="single" w:sz="12" w:space="0" w:color="000000"/>
            </w:tcBorders>
            <w:shd w:val="clear" w:color="auto" w:fill="auto"/>
            <w:noWrap/>
            <w:hideMark/>
          </w:tcPr>
          <w:p w14:paraId="627E49D6" w14:textId="74CEDE0E" w:rsidR="00136D77" w:rsidRPr="00783571" w:rsidRDefault="00136D77" w:rsidP="00474F9B">
            <w:pPr>
              <w:pStyle w:val="TableText"/>
              <w:keepNext/>
              <w:spacing w:before="40" w:after="40"/>
            </w:pPr>
            <w:r w:rsidRPr="00783571">
              <w:t>PWID female</w:t>
            </w:r>
          </w:p>
        </w:tc>
        <w:tc>
          <w:tcPr>
            <w:tcW w:w="954" w:type="dxa"/>
            <w:tcBorders>
              <w:top w:val="single" w:sz="6" w:space="0" w:color="808080" w:themeColor="background1" w:themeShade="80"/>
              <w:bottom w:val="single" w:sz="12" w:space="0" w:color="000000"/>
            </w:tcBorders>
            <w:shd w:val="clear" w:color="auto" w:fill="auto"/>
            <w:noWrap/>
            <w:hideMark/>
          </w:tcPr>
          <w:p w14:paraId="21E389C2" w14:textId="6F03F491" w:rsidR="00136D77" w:rsidRPr="00783571" w:rsidRDefault="00824E63" w:rsidP="00474F9B">
            <w:pPr>
              <w:pStyle w:val="TableTextDec"/>
              <w:keepNext/>
              <w:tabs>
                <w:tab w:val="clear" w:pos="1015"/>
                <w:tab w:val="decimal" w:pos="388"/>
              </w:tabs>
              <w:spacing w:before="40" w:after="40"/>
            </w:pPr>
            <w:r w:rsidRPr="00783571">
              <w:t>36.9</w:t>
            </w:r>
            <w:r w:rsidR="00136D77" w:rsidRPr="00783571">
              <w:t>%</w:t>
            </w:r>
          </w:p>
        </w:tc>
        <w:tc>
          <w:tcPr>
            <w:tcW w:w="1085" w:type="dxa"/>
            <w:tcBorders>
              <w:top w:val="single" w:sz="6" w:space="0" w:color="808080" w:themeColor="background1" w:themeShade="80"/>
              <w:bottom w:val="single" w:sz="12" w:space="0" w:color="000000"/>
            </w:tcBorders>
            <w:shd w:val="clear" w:color="auto" w:fill="auto"/>
            <w:noWrap/>
            <w:hideMark/>
          </w:tcPr>
          <w:p w14:paraId="3128AA59" w14:textId="77777777" w:rsidR="00136D77" w:rsidRPr="00783571" w:rsidRDefault="00136D77" w:rsidP="00474F9B">
            <w:pPr>
              <w:pStyle w:val="TableTextDec"/>
              <w:keepNext/>
              <w:tabs>
                <w:tab w:val="clear" w:pos="1015"/>
                <w:tab w:val="decimal" w:pos="388"/>
              </w:tabs>
              <w:spacing w:before="40" w:after="40"/>
            </w:pPr>
          </w:p>
        </w:tc>
        <w:tc>
          <w:tcPr>
            <w:tcW w:w="877" w:type="dxa"/>
            <w:tcBorders>
              <w:top w:val="single" w:sz="6" w:space="0" w:color="808080" w:themeColor="background1" w:themeShade="80"/>
              <w:bottom w:val="single" w:sz="12" w:space="0" w:color="000000"/>
            </w:tcBorders>
            <w:shd w:val="clear" w:color="auto" w:fill="auto"/>
            <w:noWrap/>
            <w:hideMark/>
          </w:tcPr>
          <w:p w14:paraId="001BEE21" w14:textId="57CFE6CE" w:rsidR="00136D77" w:rsidRPr="00783571" w:rsidRDefault="00136D77" w:rsidP="00474F9B">
            <w:pPr>
              <w:pStyle w:val="TableTextDec"/>
              <w:keepNext/>
              <w:tabs>
                <w:tab w:val="clear" w:pos="1015"/>
              </w:tabs>
              <w:spacing w:before="40" w:after="40"/>
              <w:ind w:left="-96" w:right="-87"/>
              <w:jc w:val="right"/>
            </w:pPr>
            <w:r w:rsidRPr="00783571">
              <w:t>1.0%</w:t>
            </w:r>
          </w:p>
        </w:tc>
        <w:tc>
          <w:tcPr>
            <w:tcW w:w="1059" w:type="dxa"/>
            <w:tcBorders>
              <w:top w:val="single" w:sz="6" w:space="0" w:color="808080" w:themeColor="background1" w:themeShade="80"/>
              <w:bottom w:val="single" w:sz="12" w:space="0" w:color="000000"/>
            </w:tcBorders>
            <w:shd w:val="clear" w:color="auto" w:fill="auto"/>
            <w:noWrap/>
            <w:hideMark/>
          </w:tcPr>
          <w:p w14:paraId="4A8B1AA4" w14:textId="335F4738" w:rsidR="00136D77" w:rsidRPr="00783571" w:rsidRDefault="00824E63" w:rsidP="00474F9B">
            <w:pPr>
              <w:pStyle w:val="TableTextDec"/>
              <w:keepNext/>
              <w:tabs>
                <w:tab w:val="clear" w:pos="1015"/>
                <w:tab w:val="decimal" w:pos="388"/>
              </w:tabs>
              <w:spacing w:before="40" w:after="40"/>
            </w:pPr>
            <w:r w:rsidRPr="00783571">
              <w:t>62.1</w:t>
            </w:r>
            <w:r w:rsidR="00136D77" w:rsidRPr="00783571">
              <w:t>%</w:t>
            </w:r>
          </w:p>
        </w:tc>
        <w:tc>
          <w:tcPr>
            <w:tcW w:w="1184" w:type="dxa"/>
            <w:tcBorders>
              <w:top w:val="single" w:sz="6" w:space="0" w:color="808080" w:themeColor="background1" w:themeShade="80"/>
              <w:bottom w:val="single" w:sz="12" w:space="0" w:color="000000"/>
            </w:tcBorders>
            <w:shd w:val="clear" w:color="auto" w:fill="auto"/>
            <w:noWrap/>
            <w:hideMark/>
          </w:tcPr>
          <w:p w14:paraId="5589D753" w14:textId="77777777" w:rsidR="00136D77" w:rsidRPr="00783571" w:rsidRDefault="00136D77" w:rsidP="00474F9B">
            <w:pPr>
              <w:pStyle w:val="TableTextDec"/>
              <w:keepNext/>
              <w:tabs>
                <w:tab w:val="clear" w:pos="1015"/>
                <w:tab w:val="decimal" w:pos="388"/>
              </w:tabs>
              <w:spacing w:before="40" w:after="40"/>
            </w:pPr>
          </w:p>
        </w:tc>
        <w:tc>
          <w:tcPr>
            <w:tcW w:w="2697" w:type="dxa"/>
            <w:tcBorders>
              <w:top w:val="single" w:sz="6" w:space="0" w:color="808080" w:themeColor="background1" w:themeShade="80"/>
              <w:bottom w:val="single" w:sz="12" w:space="0" w:color="000000"/>
            </w:tcBorders>
            <w:shd w:val="clear" w:color="auto" w:fill="auto"/>
            <w:noWrap/>
          </w:tcPr>
          <w:p w14:paraId="241679E6" w14:textId="76527F8A" w:rsidR="00136D77" w:rsidRPr="00783571" w:rsidRDefault="00136D77" w:rsidP="00474F9B">
            <w:pPr>
              <w:pStyle w:val="TableText"/>
              <w:keepNext/>
              <w:spacing w:before="40" w:after="40"/>
            </w:pPr>
            <w:r w:rsidRPr="00783571">
              <w:t>Determined by calibration; PWID females—MSM partnerships assumed</w:t>
            </w:r>
          </w:p>
        </w:tc>
      </w:tr>
    </w:tbl>
    <w:p w14:paraId="3238C5CD" w14:textId="6C27209A" w:rsidR="008F5D01" w:rsidRPr="00783571" w:rsidRDefault="00B8648E" w:rsidP="00181BDA">
      <w:pPr>
        <w:pStyle w:val="Source1"/>
      </w:pPr>
      <w:r w:rsidRPr="00783571">
        <w:t xml:space="preserve">Note: </w:t>
      </w:r>
      <w:r w:rsidR="008F5D01" w:rsidRPr="00783571">
        <w:t>HET</w:t>
      </w:r>
      <w:r w:rsidR="00E628BE" w:rsidRPr="00783571">
        <w:t> = </w:t>
      </w:r>
      <w:r w:rsidR="008F5D01" w:rsidRPr="00783571">
        <w:t>heterosexual; MSM</w:t>
      </w:r>
      <w:r w:rsidR="00E628BE" w:rsidRPr="00783571">
        <w:t> = </w:t>
      </w:r>
      <w:r w:rsidR="008F5D01" w:rsidRPr="00783571">
        <w:t>men who have sex with men</w:t>
      </w:r>
      <w:r w:rsidR="00F77D76" w:rsidRPr="00783571">
        <w:t>; PWID</w:t>
      </w:r>
      <w:r w:rsidR="00E628BE" w:rsidRPr="00783571">
        <w:t> = </w:t>
      </w:r>
      <w:r w:rsidR="00F77D76" w:rsidRPr="00783571">
        <w:t>people who inject drugs</w:t>
      </w:r>
    </w:p>
    <w:p w14:paraId="47090D22" w14:textId="2557E648" w:rsidR="008F5D01" w:rsidRPr="00783571" w:rsidRDefault="004F4E6D" w:rsidP="008F5D01">
      <w:pPr>
        <w:pStyle w:val="TableTitle"/>
      </w:pPr>
      <w:bookmarkStart w:id="49" w:name="_Toc510104025"/>
      <w:r w:rsidRPr="00783571">
        <w:t>Table 6.</w:t>
      </w:r>
      <w:r w:rsidR="008F5D01" w:rsidRPr="00783571">
        <w:t>2.</w:t>
      </w:r>
      <w:r w:rsidR="008F5D01" w:rsidRPr="00783571">
        <w:tab/>
        <w:t>Distribution of Sexual Partners by Race</w:t>
      </w:r>
      <w:r w:rsidR="00B8648E" w:rsidRPr="00783571">
        <w:t>/Ethnicity</w:t>
      </w:r>
      <w:bookmarkEnd w:id="49"/>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2009"/>
        <w:gridCol w:w="1350"/>
        <w:gridCol w:w="1350"/>
        <w:gridCol w:w="1350"/>
        <w:gridCol w:w="3301"/>
      </w:tblGrid>
      <w:tr w:rsidR="008F5D01" w:rsidRPr="00783571" w14:paraId="50FA4D57" w14:textId="77777777" w:rsidTr="00260D8A">
        <w:trPr>
          <w:cantSplit/>
          <w:tblHeader/>
        </w:trPr>
        <w:tc>
          <w:tcPr>
            <w:tcW w:w="2009" w:type="dxa"/>
            <w:tcBorders>
              <w:top w:val="single" w:sz="12" w:space="0" w:color="000000"/>
              <w:bottom w:val="single" w:sz="6" w:space="0" w:color="auto"/>
            </w:tcBorders>
            <w:shd w:val="clear" w:color="auto" w:fill="auto"/>
            <w:noWrap/>
            <w:vAlign w:val="bottom"/>
            <w:hideMark/>
          </w:tcPr>
          <w:p w14:paraId="4149AC04" w14:textId="77777777" w:rsidR="008F5D01" w:rsidRPr="00783571" w:rsidRDefault="00B8648E" w:rsidP="00D81284">
            <w:pPr>
              <w:pStyle w:val="TableHeaders"/>
              <w:keepNext/>
            </w:pPr>
            <w:r w:rsidRPr="00783571">
              <w:t>Race/Ethnicity</w:t>
            </w:r>
          </w:p>
        </w:tc>
        <w:tc>
          <w:tcPr>
            <w:tcW w:w="1350" w:type="dxa"/>
            <w:tcBorders>
              <w:top w:val="single" w:sz="12" w:space="0" w:color="000000"/>
              <w:bottom w:val="single" w:sz="6" w:space="0" w:color="auto"/>
            </w:tcBorders>
            <w:shd w:val="clear" w:color="auto" w:fill="auto"/>
            <w:noWrap/>
            <w:vAlign w:val="bottom"/>
            <w:hideMark/>
          </w:tcPr>
          <w:p w14:paraId="4258E70D" w14:textId="77777777" w:rsidR="008F5D01" w:rsidRPr="00783571" w:rsidRDefault="008F5D01" w:rsidP="00D81284">
            <w:pPr>
              <w:pStyle w:val="TableHeaders"/>
              <w:keepNext/>
            </w:pPr>
            <w:r w:rsidRPr="00783571">
              <w:t>Black</w:t>
            </w:r>
          </w:p>
        </w:tc>
        <w:tc>
          <w:tcPr>
            <w:tcW w:w="1350" w:type="dxa"/>
            <w:tcBorders>
              <w:top w:val="single" w:sz="12" w:space="0" w:color="000000"/>
              <w:bottom w:val="single" w:sz="6" w:space="0" w:color="auto"/>
            </w:tcBorders>
            <w:shd w:val="clear" w:color="auto" w:fill="auto"/>
            <w:noWrap/>
            <w:vAlign w:val="bottom"/>
            <w:hideMark/>
          </w:tcPr>
          <w:p w14:paraId="67A4B024" w14:textId="77777777" w:rsidR="008F5D01" w:rsidRPr="00783571" w:rsidRDefault="008F5D01" w:rsidP="00D81284">
            <w:pPr>
              <w:pStyle w:val="TableHeaders"/>
              <w:keepNext/>
            </w:pPr>
            <w:r w:rsidRPr="00783571">
              <w:t>Hispanic</w:t>
            </w:r>
          </w:p>
        </w:tc>
        <w:tc>
          <w:tcPr>
            <w:tcW w:w="1350" w:type="dxa"/>
            <w:tcBorders>
              <w:top w:val="single" w:sz="12" w:space="0" w:color="000000"/>
              <w:bottom w:val="single" w:sz="6" w:space="0" w:color="auto"/>
            </w:tcBorders>
            <w:shd w:val="clear" w:color="auto" w:fill="auto"/>
            <w:noWrap/>
            <w:vAlign w:val="bottom"/>
            <w:hideMark/>
          </w:tcPr>
          <w:p w14:paraId="34064DCA" w14:textId="77777777" w:rsidR="008F5D01" w:rsidRPr="00783571" w:rsidRDefault="008F5D01" w:rsidP="00D81284">
            <w:pPr>
              <w:pStyle w:val="TableHeaders"/>
              <w:keepNext/>
            </w:pPr>
            <w:r w:rsidRPr="00783571">
              <w:t>Other</w:t>
            </w:r>
          </w:p>
        </w:tc>
        <w:tc>
          <w:tcPr>
            <w:tcW w:w="3301" w:type="dxa"/>
            <w:tcBorders>
              <w:top w:val="single" w:sz="12" w:space="0" w:color="000000"/>
              <w:bottom w:val="single" w:sz="6" w:space="0" w:color="auto"/>
            </w:tcBorders>
            <w:shd w:val="clear" w:color="auto" w:fill="auto"/>
            <w:noWrap/>
            <w:vAlign w:val="bottom"/>
            <w:hideMark/>
          </w:tcPr>
          <w:p w14:paraId="70E309C2" w14:textId="77777777" w:rsidR="008F5D01" w:rsidRPr="00783571" w:rsidRDefault="008F5D01" w:rsidP="00D81284">
            <w:pPr>
              <w:pStyle w:val="TableHeaders"/>
              <w:keepNext/>
            </w:pPr>
            <w:r w:rsidRPr="00783571">
              <w:t>Source</w:t>
            </w:r>
          </w:p>
        </w:tc>
      </w:tr>
      <w:tr w:rsidR="00136D77" w:rsidRPr="00783571" w14:paraId="201FA5D5" w14:textId="77777777" w:rsidTr="00260D8A">
        <w:trPr>
          <w:cantSplit/>
        </w:trPr>
        <w:tc>
          <w:tcPr>
            <w:tcW w:w="2009" w:type="dxa"/>
            <w:tcBorders>
              <w:top w:val="single" w:sz="6" w:space="0" w:color="auto"/>
              <w:bottom w:val="single" w:sz="6" w:space="0" w:color="808080" w:themeColor="background1" w:themeShade="80"/>
            </w:tcBorders>
            <w:shd w:val="clear" w:color="auto" w:fill="auto"/>
            <w:noWrap/>
            <w:hideMark/>
          </w:tcPr>
          <w:p w14:paraId="2D75D1CE" w14:textId="77777777" w:rsidR="00136D77" w:rsidRPr="00783571" w:rsidRDefault="00136D77" w:rsidP="00D81284">
            <w:pPr>
              <w:pStyle w:val="TableText"/>
              <w:keepNext/>
            </w:pPr>
            <w:r w:rsidRPr="00783571">
              <w:t>Black</w:t>
            </w:r>
          </w:p>
        </w:tc>
        <w:tc>
          <w:tcPr>
            <w:tcW w:w="1350" w:type="dxa"/>
            <w:tcBorders>
              <w:top w:val="single" w:sz="6" w:space="0" w:color="auto"/>
              <w:bottom w:val="single" w:sz="6" w:space="0" w:color="808080" w:themeColor="background1" w:themeShade="80"/>
            </w:tcBorders>
            <w:shd w:val="clear" w:color="auto" w:fill="auto"/>
            <w:noWrap/>
            <w:hideMark/>
          </w:tcPr>
          <w:p w14:paraId="1BFEA574" w14:textId="3865AD4D" w:rsidR="00136D77" w:rsidRPr="00783571" w:rsidRDefault="00824E63" w:rsidP="00D81284">
            <w:pPr>
              <w:pStyle w:val="TableTextDec"/>
              <w:keepNext/>
              <w:tabs>
                <w:tab w:val="clear" w:pos="1015"/>
                <w:tab w:val="decimal" w:pos="434"/>
              </w:tabs>
            </w:pPr>
            <w:r w:rsidRPr="00783571">
              <w:t>89.4</w:t>
            </w:r>
            <w:r w:rsidR="00136D77" w:rsidRPr="00783571">
              <w:t>%</w:t>
            </w:r>
          </w:p>
        </w:tc>
        <w:tc>
          <w:tcPr>
            <w:tcW w:w="1350" w:type="dxa"/>
            <w:tcBorders>
              <w:top w:val="single" w:sz="6" w:space="0" w:color="auto"/>
              <w:bottom w:val="single" w:sz="6" w:space="0" w:color="808080" w:themeColor="background1" w:themeShade="80"/>
            </w:tcBorders>
            <w:shd w:val="clear" w:color="auto" w:fill="auto"/>
            <w:noWrap/>
            <w:hideMark/>
          </w:tcPr>
          <w:p w14:paraId="131E0FE9" w14:textId="34EBDBCB" w:rsidR="00136D77" w:rsidRPr="00783571" w:rsidRDefault="00136D77" w:rsidP="00732DBA">
            <w:pPr>
              <w:pStyle w:val="TableTextDec"/>
              <w:keepNext/>
              <w:tabs>
                <w:tab w:val="clear" w:pos="1015"/>
                <w:tab w:val="decimal" w:pos="434"/>
              </w:tabs>
            </w:pPr>
            <w:r w:rsidRPr="00783571">
              <w:t>2.</w:t>
            </w:r>
            <w:r w:rsidR="00824E63" w:rsidRPr="00783571">
              <w:t>8</w:t>
            </w:r>
            <w:r w:rsidRPr="00783571">
              <w:t>%</w:t>
            </w:r>
          </w:p>
        </w:tc>
        <w:tc>
          <w:tcPr>
            <w:tcW w:w="1350" w:type="dxa"/>
            <w:tcBorders>
              <w:top w:val="single" w:sz="6" w:space="0" w:color="auto"/>
              <w:bottom w:val="single" w:sz="6" w:space="0" w:color="808080" w:themeColor="background1" w:themeShade="80"/>
            </w:tcBorders>
            <w:shd w:val="clear" w:color="auto" w:fill="auto"/>
            <w:noWrap/>
            <w:hideMark/>
          </w:tcPr>
          <w:p w14:paraId="03551D0A" w14:textId="7E23A8A7" w:rsidR="00136D77" w:rsidRPr="00783571" w:rsidRDefault="00824E63" w:rsidP="00D81284">
            <w:pPr>
              <w:pStyle w:val="TableTextDec"/>
              <w:keepNext/>
              <w:tabs>
                <w:tab w:val="clear" w:pos="1015"/>
                <w:tab w:val="decimal" w:pos="434"/>
              </w:tabs>
            </w:pPr>
            <w:r w:rsidRPr="00783571">
              <w:t>7.8</w:t>
            </w:r>
            <w:r w:rsidR="00136D77" w:rsidRPr="00783571">
              <w:t>%</w:t>
            </w:r>
          </w:p>
        </w:tc>
        <w:tc>
          <w:tcPr>
            <w:tcW w:w="3301" w:type="dxa"/>
            <w:vMerge w:val="restart"/>
            <w:tcBorders>
              <w:top w:val="single" w:sz="6" w:space="0" w:color="auto"/>
              <w:bottom w:val="single" w:sz="6" w:space="0" w:color="808080" w:themeColor="background1" w:themeShade="80"/>
            </w:tcBorders>
            <w:shd w:val="clear" w:color="auto" w:fill="auto"/>
            <w:noWrap/>
            <w:hideMark/>
          </w:tcPr>
          <w:p w14:paraId="7347AF5E" w14:textId="35AEEA75" w:rsidR="00136D77" w:rsidRPr="00783571" w:rsidRDefault="00136D77" w:rsidP="00D81284">
            <w:pPr>
              <w:pStyle w:val="TableText"/>
              <w:keepNext/>
            </w:pPr>
            <w:r w:rsidRPr="00783571">
              <w:t>Determined by calibration</w:t>
            </w:r>
            <w:r w:rsidRPr="00783571" w:rsidDel="00732DBA">
              <w:t xml:space="preserve"> </w:t>
            </w:r>
          </w:p>
        </w:tc>
      </w:tr>
      <w:tr w:rsidR="00136D77" w:rsidRPr="00783571" w14:paraId="45178A5D" w14:textId="77777777" w:rsidTr="00260D8A">
        <w:trPr>
          <w:cantSplit/>
        </w:trPr>
        <w:tc>
          <w:tcPr>
            <w:tcW w:w="2009" w:type="dxa"/>
            <w:tcBorders>
              <w:top w:val="single" w:sz="6" w:space="0" w:color="808080" w:themeColor="background1" w:themeShade="80"/>
              <w:bottom w:val="single" w:sz="6" w:space="0" w:color="808080" w:themeColor="background1" w:themeShade="80"/>
            </w:tcBorders>
            <w:shd w:val="clear" w:color="auto" w:fill="auto"/>
            <w:noWrap/>
            <w:hideMark/>
          </w:tcPr>
          <w:p w14:paraId="7929B085" w14:textId="77777777" w:rsidR="00136D77" w:rsidRPr="00783571" w:rsidRDefault="00136D77" w:rsidP="00D81284">
            <w:pPr>
              <w:pStyle w:val="TableText"/>
              <w:keepNext/>
            </w:pPr>
            <w:r w:rsidRPr="00783571">
              <w:t>Hispanic</w:t>
            </w:r>
          </w:p>
        </w:tc>
        <w:tc>
          <w:tcPr>
            <w:tcW w:w="1350" w:type="dxa"/>
            <w:tcBorders>
              <w:top w:val="single" w:sz="6" w:space="0" w:color="808080" w:themeColor="background1" w:themeShade="80"/>
              <w:bottom w:val="single" w:sz="6" w:space="0" w:color="808080" w:themeColor="background1" w:themeShade="80"/>
            </w:tcBorders>
            <w:shd w:val="clear" w:color="auto" w:fill="auto"/>
            <w:noWrap/>
            <w:hideMark/>
          </w:tcPr>
          <w:p w14:paraId="4F65DDD8" w14:textId="58374516" w:rsidR="00136D77" w:rsidRPr="00783571" w:rsidRDefault="00136D77" w:rsidP="00D81284">
            <w:pPr>
              <w:pStyle w:val="TableTextDec"/>
              <w:keepNext/>
              <w:tabs>
                <w:tab w:val="clear" w:pos="1015"/>
                <w:tab w:val="decimal" w:pos="434"/>
              </w:tabs>
            </w:pPr>
            <w:r w:rsidRPr="00783571">
              <w:t>4.8%</w:t>
            </w:r>
          </w:p>
        </w:tc>
        <w:tc>
          <w:tcPr>
            <w:tcW w:w="1350" w:type="dxa"/>
            <w:tcBorders>
              <w:top w:val="single" w:sz="6" w:space="0" w:color="808080" w:themeColor="background1" w:themeShade="80"/>
              <w:bottom w:val="single" w:sz="6" w:space="0" w:color="808080" w:themeColor="background1" w:themeShade="80"/>
            </w:tcBorders>
            <w:shd w:val="clear" w:color="auto" w:fill="auto"/>
            <w:noWrap/>
            <w:hideMark/>
          </w:tcPr>
          <w:p w14:paraId="11FC874E" w14:textId="4DFF539C" w:rsidR="00136D77" w:rsidRPr="00783571" w:rsidRDefault="00824E63" w:rsidP="00D81284">
            <w:pPr>
              <w:pStyle w:val="TableTextDec"/>
              <w:keepNext/>
              <w:tabs>
                <w:tab w:val="clear" w:pos="1015"/>
                <w:tab w:val="decimal" w:pos="434"/>
              </w:tabs>
            </w:pPr>
            <w:r w:rsidRPr="00783571">
              <w:t>67.5</w:t>
            </w:r>
            <w:r w:rsidR="00136D77" w:rsidRPr="00783571">
              <w:t>%</w:t>
            </w:r>
          </w:p>
        </w:tc>
        <w:tc>
          <w:tcPr>
            <w:tcW w:w="1350" w:type="dxa"/>
            <w:tcBorders>
              <w:top w:val="single" w:sz="6" w:space="0" w:color="808080" w:themeColor="background1" w:themeShade="80"/>
              <w:bottom w:val="single" w:sz="6" w:space="0" w:color="808080" w:themeColor="background1" w:themeShade="80"/>
            </w:tcBorders>
            <w:shd w:val="clear" w:color="auto" w:fill="auto"/>
            <w:noWrap/>
            <w:hideMark/>
          </w:tcPr>
          <w:p w14:paraId="1FDF7B07" w14:textId="66C40BC1" w:rsidR="00136D77" w:rsidRPr="00783571" w:rsidRDefault="00136D77" w:rsidP="00732DBA">
            <w:pPr>
              <w:pStyle w:val="TableTextDec"/>
              <w:keepNext/>
              <w:tabs>
                <w:tab w:val="clear" w:pos="1015"/>
                <w:tab w:val="decimal" w:pos="434"/>
              </w:tabs>
            </w:pPr>
            <w:r w:rsidRPr="00783571">
              <w:t>2</w:t>
            </w:r>
            <w:r w:rsidR="00824E63" w:rsidRPr="00783571">
              <w:t>7</w:t>
            </w:r>
            <w:r w:rsidRPr="00783571">
              <w:t>.8%</w:t>
            </w:r>
          </w:p>
        </w:tc>
        <w:tc>
          <w:tcPr>
            <w:tcW w:w="3301" w:type="dxa"/>
            <w:vMerge/>
            <w:tcBorders>
              <w:top w:val="single" w:sz="6" w:space="0" w:color="808080" w:themeColor="background1" w:themeShade="80"/>
              <w:bottom w:val="single" w:sz="6" w:space="0" w:color="808080" w:themeColor="background1" w:themeShade="80"/>
            </w:tcBorders>
            <w:shd w:val="clear" w:color="auto" w:fill="auto"/>
            <w:noWrap/>
          </w:tcPr>
          <w:p w14:paraId="5B7F7E27" w14:textId="77777777" w:rsidR="00136D77" w:rsidRPr="00783571" w:rsidRDefault="00136D77" w:rsidP="00D81284">
            <w:pPr>
              <w:pStyle w:val="TableText"/>
              <w:keepNext/>
            </w:pPr>
          </w:p>
        </w:tc>
      </w:tr>
      <w:tr w:rsidR="00136D77" w:rsidRPr="00783571" w14:paraId="38854649" w14:textId="77777777" w:rsidTr="00260D8A">
        <w:trPr>
          <w:cantSplit/>
        </w:trPr>
        <w:tc>
          <w:tcPr>
            <w:tcW w:w="2009" w:type="dxa"/>
            <w:tcBorders>
              <w:top w:val="single" w:sz="6" w:space="0" w:color="808080" w:themeColor="background1" w:themeShade="80"/>
              <w:bottom w:val="single" w:sz="12" w:space="0" w:color="000000"/>
            </w:tcBorders>
            <w:shd w:val="clear" w:color="auto" w:fill="auto"/>
            <w:noWrap/>
            <w:hideMark/>
          </w:tcPr>
          <w:p w14:paraId="3323F6B7" w14:textId="77777777" w:rsidR="00136D77" w:rsidRPr="00783571" w:rsidRDefault="00136D77" w:rsidP="00D81284">
            <w:pPr>
              <w:pStyle w:val="TableText"/>
              <w:keepNext/>
            </w:pPr>
            <w:r w:rsidRPr="00783571">
              <w:t>Other</w:t>
            </w:r>
          </w:p>
        </w:tc>
        <w:tc>
          <w:tcPr>
            <w:tcW w:w="1350" w:type="dxa"/>
            <w:tcBorders>
              <w:top w:val="single" w:sz="6" w:space="0" w:color="808080" w:themeColor="background1" w:themeShade="80"/>
              <w:bottom w:val="single" w:sz="12" w:space="0" w:color="000000"/>
            </w:tcBorders>
            <w:shd w:val="clear" w:color="auto" w:fill="auto"/>
            <w:noWrap/>
            <w:hideMark/>
          </w:tcPr>
          <w:p w14:paraId="05BC97A9" w14:textId="28FFBA84" w:rsidR="00136D77" w:rsidRPr="00783571" w:rsidRDefault="00824E63" w:rsidP="00732DBA">
            <w:pPr>
              <w:pStyle w:val="TableTextDec"/>
              <w:keepNext/>
              <w:tabs>
                <w:tab w:val="clear" w:pos="1015"/>
                <w:tab w:val="decimal" w:pos="434"/>
              </w:tabs>
            </w:pPr>
            <w:r w:rsidRPr="00783571">
              <w:t>4.6</w:t>
            </w:r>
            <w:r w:rsidR="00136D77" w:rsidRPr="00783571">
              <w:t>%</w:t>
            </w:r>
          </w:p>
        </w:tc>
        <w:tc>
          <w:tcPr>
            <w:tcW w:w="1350" w:type="dxa"/>
            <w:tcBorders>
              <w:top w:val="single" w:sz="6" w:space="0" w:color="808080" w:themeColor="background1" w:themeShade="80"/>
              <w:bottom w:val="single" w:sz="12" w:space="0" w:color="000000"/>
            </w:tcBorders>
            <w:shd w:val="clear" w:color="auto" w:fill="auto"/>
            <w:noWrap/>
            <w:hideMark/>
          </w:tcPr>
          <w:p w14:paraId="2F12E551" w14:textId="06674190" w:rsidR="00136D77" w:rsidRPr="00783571" w:rsidRDefault="00824E63" w:rsidP="00732DBA">
            <w:pPr>
              <w:pStyle w:val="TableTextDec"/>
              <w:keepNext/>
              <w:tabs>
                <w:tab w:val="clear" w:pos="1015"/>
                <w:tab w:val="decimal" w:pos="434"/>
              </w:tabs>
            </w:pPr>
            <w:r w:rsidRPr="00783571">
              <w:t>6.1</w:t>
            </w:r>
            <w:r w:rsidR="00136D77" w:rsidRPr="00783571">
              <w:t>%</w:t>
            </w:r>
          </w:p>
        </w:tc>
        <w:tc>
          <w:tcPr>
            <w:tcW w:w="1350" w:type="dxa"/>
            <w:tcBorders>
              <w:top w:val="single" w:sz="6" w:space="0" w:color="808080" w:themeColor="background1" w:themeShade="80"/>
              <w:bottom w:val="single" w:sz="12" w:space="0" w:color="000000"/>
            </w:tcBorders>
            <w:shd w:val="clear" w:color="auto" w:fill="auto"/>
            <w:noWrap/>
            <w:hideMark/>
          </w:tcPr>
          <w:p w14:paraId="02F433BD" w14:textId="44DAF98D" w:rsidR="00136D77" w:rsidRPr="00783571" w:rsidRDefault="00824E63" w:rsidP="00732DBA">
            <w:pPr>
              <w:pStyle w:val="TableTextDec"/>
              <w:keepNext/>
              <w:tabs>
                <w:tab w:val="clear" w:pos="1015"/>
                <w:tab w:val="decimal" w:pos="434"/>
              </w:tabs>
            </w:pPr>
            <w:r w:rsidRPr="00783571">
              <w:t>89.3</w:t>
            </w:r>
            <w:r w:rsidR="00136D77" w:rsidRPr="00783571">
              <w:t>%</w:t>
            </w:r>
          </w:p>
        </w:tc>
        <w:tc>
          <w:tcPr>
            <w:tcW w:w="3301" w:type="dxa"/>
            <w:vMerge/>
            <w:tcBorders>
              <w:top w:val="single" w:sz="6" w:space="0" w:color="808080" w:themeColor="background1" w:themeShade="80"/>
              <w:bottom w:val="single" w:sz="12" w:space="0" w:color="000000"/>
            </w:tcBorders>
            <w:shd w:val="clear" w:color="auto" w:fill="auto"/>
            <w:noWrap/>
          </w:tcPr>
          <w:p w14:paraId="6D718EEF" w14:textId="77777777" w:rsidR="00136D77" w:rsidRPr="00783571" w:rsidRDefault="00136D77" w:rsidP="00D81284">
            <w:pPr>
              <w:pStyle w:val="TableText"/>
              <w:keepNext/>
            </w:pPr>
          </w:p>
        </w:tc>
      </w:tr>
    </w:tbl>
    <w:p w14:paraId="5DB08240" w14:textId="77777777" w:rsidR="002B54F6" w:rsidRPr="00783571" w:rsidRDefault="002B54F6" w:rsidP="002B54F6">
      <w:pPr>
        <w:pStyle w:val="Source1"/>
      </w:pPr>
    </w:p>
    <w:p w14:paraId="7A1E3251" w14:textId="436DF49F" w:rsidR="008F5D01" w:rsidRPr="00783571" w:rsidRDefault="004F4E6D" w:rsidP="008F5D01">
      <w:pPr>
        <w:pStyle w:val="TableTitle"/>
        <w:rPr>
          <w:vertAlign w:val="superscript"/>
        </w:rPr>
      </w:pPr>
      <w:bookmarkStart w:id="50" w:name="_Toc510104026"/>
      <w:r w:rsidRPr="00783571">
        <w:t>Table 6.</w:t>
      </w:r>
      <w:r w:rsidR="008F5D01" w:rsidRPr="00783571">
        <w:t>3.</w:t>
      </w:r>
      <w:r w:rsidR="008F5D01" w:rsidRPr="00783571">
        <w:tab/>
        <w:t>Distribution of Sexual Partners by Age</w:t>
      </w:r>
      <w:bookmarkEnd w:id="50"/>
      <w:r w:rsidR="008F5D01" w:rsidRPr="00783571">
        <w:t xml:space="preserve"> </w:t>
      </w:r>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1379"/>
        <w:gridCol w:w="1206"/>
        <w:gridCol w:w="1206"/>
        <w:gridCol w:w="1206"/>
        <w:gridCol w:w="1206"/>
        <w:gridCol w:w="1206"/>
        <w:gridCol w:w="1951"/>
      </w:tblGrid>
      <w:tr w:rsidR="008F5D01" w:rsidRPr="00783571" w14:paraId="56944796" w14:textId="77777777" w:rsidTr="00260D8A">
        <w:trPr>
          <w:cantSplit/>
          <w:tblHeader/>
        </w:trPr>
        <w:tc>
          <w:tcPr>
            <w:tcW w:w="1379" w:type="dxa"/>
            <w:tcBorders>
              <w:top w:val="single" w:sz="12" w:space="0" w:color="000000"/>
              <w:bottom w:val="single" w:sz="6" w:space="0" w:color="auto"/>
            </w:tcBorders>
            <w:shd w:val="clear" w:color="auto" w:fill="auto"/>
            <w:noWrap/>
            <w:vAlign w:val="bottom"/>
          </w:tcPr>
          <w:p w14:paraId="737D3473" w14:textId="77777777" w:rsidR="008F5D01" w:rsidRPr="00783571" w:rsidRDefault="00D1426F" w:rsidP="000B1C51">
            <w:pPr>
              <w:pStyle w:val="TableHeaders"/>
              <w:keepNext/>
              <w:spacing w:before="60" w:after="60"/>
            </w:pPr>
            <w:r w:rsidRPr="00783571">
              <w:t>Age Group</w:t>
            </w:r>
          </w:p>
        </w:tc>
        <w:tc>
          <w:tcPr>
            <w:tcW w:w="1206" w:type="dxa"/>
            <w:tcBorders>
              <w:top w:val="single" w:sz="12" w:space="0" w:color="000000"/>
              <w:bottom w:val="single" w:sz="6" w:space="0" w:color="auto"/>
            </w:tcBorders>
            <w:shd w:val="clear" w:color="auto" w:fill="auto"/>
            <w:noWrap/>
            <w:vAlign w:val="bottom"/>
          </w:tcPr>
          <w:p w14:paraId="255216B1" w14:textId="77777777" w:rsidR="008F5D01" w:rsidRPr="00783571" w:rsidRDefault="008F5D01" w:rsidP="000B1C51">
            <w:pPr>
              <w:pStyle w:val="TableHeaders"/>
              <w:keepNext/>
              <w:spacing w:before="60" w:after="60"/>
            </w:pPr>
            <w:r w:rsidRPr="00783571">
              <w:t>13–17</w:t>
            </w:r>
          </w:p>
        </w:tc>
        <w:tc>
          <w:tcPr>
            <w:tcW w:w="1206" w:type="dxa"/>
            <w:tcBorders>
              <w:top w:val="single" w:sz="12" w:space="0" w:color="000000"/>
              <w:bottom w:val="single" w:sz="6" w:space="0" w:color="auto"/>
            </w:tcBorders>
            <w:shd w:val="clear" w:color="auto" w:fill="auto"/>
            <w:noWrap/>
            <w:vAlign w:val="bottom"/>
          </w:tcPr>
          <w:p w14:paraId="593D41F7" w14:textId="77777777" w:rsidR="008F5D01" w:rsidRPr="00783571" w:rsidRDefault="008F5D01" w:rsidP="000B1C51">
            <w:pPr>
              <w:pStyle w:val="TableHeaders"/>
              <w:keepNext/>
              <w:spacing w:before="60" w:after="60"/>
            </w:pPr>
            <w:r w:rsidRPr="00783571">
              <w:t>18–24</w:t>
            </w:r>
          </w:p>
        </w:tc>
        <w:tc>
          <w:tcPr>
            <w:tcW w:w="1206" w:type="dxa"/>
            <w:tcBorders>
              <w:top w:val="single" w:sz="12" w:space="0" w:color="000000"/>
              <w:bottom w:val="single" w:sz="6" w:space="0" w:color="auto"/>
            </w:tcBorders>
            <w:shd w:val="clear" w:color="auto" w:fill="auto"/>
            <w:noWrap/>
            <w:vAlign w:val="bottom"/>
          </w:tcPr>
          <w:p w14:paraId="1E188D61" w14:textId="77777777" w:rsidR="008F5D01" w:rsidRPr="00783571" w:rsidRDefault="008F5D01" w:rsidP="000B1C51">
            <w:pPr>
              <w:pStyle w:val="TableHeaders"/>
              <w:keepNext/>
              <w:spacing w:before="60" w:after="60"/>
            </w:pPr>
            <w:r w:rsidRPr="00783571">
              <w:t>25–34</w:t>
            </w:r>
          </w:p>
        </w:tc>
        <w:tc>
          <w:tcPr>
            <w:tcW w:w="1206" w:type="dxa"/>
            <w:tcBorders>
              <w:top w:val="single" w:sz="12" w:space="0" w:color="000000"/>
              <w:bottom w:val="single" w:sz="6" w:space="0" w:color="auto"/>
            </w:tcBorders>
            <w:shd w:val="clear" w:color="auto" w:fill="auto"/>
            <w:noWrap/>
            <w:vAlign w:val="bottom"/>
          </w:tcPr>
          <w:p w14:paraId="2EF48440" w14:textId="77777777" w:rsidR="008F5D01" w:rsidRPr="00783571" w:rsidRDefault="008F5D01" w:rsidP="000B1C51">
            <w:pPr>
              <w:pStyle w:val="TableHeaders"/>
              <w:keepNext/>
              <w:spacing w:before="60" w:after="60"/>
            </w:pPr>
            <w:r w:rsidRPr="00783571">
              <w:t>35–44</w:t>
            </w:r>
          </w:p>
        </w:tc>
        <w:tc>
          <w:tcPr>
            <w:tcW w:w="1206" w:type="dxa"/>
            <w:tcBorders>
              <w:top w:val="single" w:sz="12" w:space="0" w:color="000000"/>
              <w:bottom w:val="single" w:sz="6" w:space="0" w:color="auto"/>
            </w:tcBorders>
            <w:shd w:val="clear" w:color="auto" w:fill="auto"/>
            <w:noWrap/>
            <w:vAlign w:val="bottom"/>
          </w:tcPr>
          <w:p w14:paraId="7582660F" w14:textId="77777777" w:rsidR="008F5D01" w:rsidRPr="00783571" w:rsidRDefault="008F5D01" w:rsidP="000B1C51">
            <w:pPr>
              <w:pStyle w:val="TableHeaders"/>
              <w:keepNext/>
              <w:spacing w:before="60" w:after="60"/>
            </w:pPr>
            <w:r w:rsidRPr="00783571">
              <w:t>45–64</w:t>
            </w:r>
          </w:p>
        </w:tc>
        <w:tc>
          <w:tcPr>
            <w:tcW w:w="1951" w:type="dxa"/>
            <w:tcBorders>
              <w:top w:val="single" w:sz="12" w:space="0" w:color="000000"/>
              <w:bottom w:val="single" w:sz="6" w:space="0" w:color="auto"/>
            </w:tcBorders>
            <w:shd w:val="clear" w:color="auto" w:fill="auto"/>
            <w:noWrap/>
            <w:vAlign w:val="bottom"/>
            <w:hideMark/>
          </w:tcPr>
          <w:p w14:paraId="26925359" w14:textId="77777777" w:rsidR="008F5D01" w:rsidRPr="00783571" w:rsidRDefault="008F5D01" w:rsidP="000B1C51">
            <w:pPr>
              <w:pStyle w:val="TableHeaders"/>
              <w:keepNext/>
              <w:spacing w:before="60" w:after="60"/>
            </w:pPr>
            <w:r w:rsidRPr="00783571">
              <w:t>Source</w:t>
            </w:r>
          </w:p>
        </w:tc>
      </w:tr>
      <w:tr w:rsidR="008F5D01" w:rsidRPr="00783571" w14:paraId="61B40126" w14:textId="77777777" w:rsidTr="00260D8A">
        <w:trPr>
          <w:cantSplit/>
        </w:trPr>
        <w:tc>
          <w:tcPr>
            <w:tcW w:w="1379" w:type="dxa"/>
            <w:tcBorders>
              <w:top w:val="single" w:sz="6" w:space="0" w:color="auto"/>
              <w:bottom w:val="single" w:sz="6" w:space="0" w:color="808080" w:themeColor="background1" w:themeShade="80"/>
            </w:tcBorders>
            <w:shd w:val="clear" w:color="auto" w:fill="auto"/>
            <w:noWrap/>
          </w:tcPr>
          <w:p w14:paraId="118B1F8F" w14:textId="77777777" w:rsidR="008F5D01" w:rsidRPr="00783571" w:rsidRDefault="008F5D01" w:rsidP="000B1C51">
            <w:pPr>
              <w:pStyle w:val="TableText"/>
              <w:keepNext/>
            </w:pPr>
            <w:r w:rsidRPr="00783571">
              <w:t>13–17</w:t>
            </w:r>
          </w:p>
        </w:tc>
        <w:tc>
          <w:tcPr>
            <w:tcW w:w="1206" w:type="dxa"/>
            <w:tcBorders>
              <w:top w:val="single" w:sz="6" w:space="0" w:color="auto"/>
              <w:bottom w:val="single" w:sz="6" w:space="0" w:color="808080" w:themeColor="background1" w:themeShade="80"/>
            </w:tcBorders>
            <w:shd w:val="clear" w:color="auto" w:fill="auto"/>
            <w:noWrap/>
          </w:tcPr>
          <w:p w14:paraId="2146712A" w14:textId="77777777" w:rsidR="008F5D01" w:rsidRPr="00783571" w:rsidRDefault="008F5D01" w:rsidP="000B1C51">
            <w:pPr>
              <w:pStyle w:val="TableText"/>
              <w:keepNext/>
              <w:tabs>
                <w:tab w:val="decimal" w:pos="377"/>
              </w:tabs>
            </w:pPr>
            <w:r w:rsidRPr="00783571">
              <w:t>91.05%</w:t>
            </w:r>
          </w:p>
        </w:tc>
        <w:tc>
          <w:tcPr>
            <w:tcW w:w="1206" w:type="dxa"/>
            <w:tcBorders>
              <w:top w:val="single" w:sz="6" w:space="0" w:color="auto"/>
              <w:bottom w:val="single" w:sz="6" w:space="0" w:color="808080" w:themeColor="background1" w:themeShade="80"/>
            </w:tcBorders>
            <w:shd w:val="clear" w:color="auto" w:fill="auto"/>
            <w:noWrap/>
          </w:tcPr>
          <w:p w14:paraId="26702549" w14:textId="77777777" w:rsidR="008F5D01" w:rsidRPr="00783571" w:rsidRDefault="008F5D01" w:rsidP="000B1C51">
            <w:pPr>
              <w:pStyle w:val="TableText"/>
              <w:keepNext/>
              <w:tabs>
                <w:tab w:val="decimal" w:pos="377"/>
              </w:tabs>
            </w:pPr>
            <w:r w:rsidRPr="00783571">
              <w:t>2.24%</w:t>
            </w:r>
          </w:p>
        </w:tc>
        <w:tc>
          <w:tcPr>
            <w:tcW w:w="1206" w:type="dxa"/>
            <w:tcBorders>
              <w:top w:val="single" w:sz="6" w:space="0" w:color="auto"/>
              <w:bottom w:val="single" w:sz="6" w:space="0" w:color="808080" w:themeColor="background1" w:themeShade="80"/>
            </w:tcBorders>
            <w:shd w:val="clear" w:color="auto" w:fill="auto"/>
            <w:noWrap/>
          </w:tcPr>
          <w:p w14:paraId="375330DF" w14:textId="77777777" w:rsidR="008F5D01" w:rsidRPr="00783571" w:rsidRDefault="008F5D01" w:rsidP="000B1C51">
            <w:pPr>
              <w:pStyle w:val="TableText"/>
              <w:keepNext/>
              <w:tabs>
                <w:tab w:val="decimal" w:pos="377"/>
              </w:tabs>
            </w:pPr>
            <w:r w:rsidRPr="00783571">
              <w:t>2.24%</w:t>
            </w:r>
          </w:p>
        </w:tc>
        <w:tc>
          <w:tcPr>
            <w:tcW w:w="1206" w:type="dxa"/>
            <w:tcBorders>
              <w:top w:val="single" w:sz="6" w:space="0" w:color="auto"/>
              <w:bottom w:val="single" w:sz="6" w:space="0" w:color="808080" w:themeColor="background1" w:themeShade="80"/>
            </w:tcBorders>
            <w:shd w:val="clear" w:color="auto" w:fill="auto"/>
            <w:noWrap/>
          </w:tcPr>
          <w:p w14:paraId="0D869C34" w14:textId="77777777" w:rsidR="008F5D01" w:rsidRPr="00783571" w:rsidRDefault="008F5D01" w:rsidP="000B1C51">
            <w:pPr>
              <w:pStyle w:val="TableText"/>
              <w:keepNext/>
              <w:tabs>
                <w:tab w:val="decimal" w:pos="377"/>
              </w:tabs>
            </w:pPr>
            <w:r w:rsidRPr="00783571">
              <w:t>2.24%</w:t>
            </w:r>
          </w:p>
        </w:tc>
        <w:tc>
          <w:tcPr>
            <w:tcW w:w="1206" w:type="dxa"/>
            <w:tcBorders>
              <w:top w:val="single" w:sz="6" w:space="0" w:color="auto"/>
              <w:bottom w:val="single" w:sz="6" w:space="0" w:color="808080" w:themeColor="background1" w:themeShade="80"/>
            </w:tcBorders>
            <w:shd w:val="clear" w:color="auto" w:fill="auto"/>
            <w:noWrap/>
          </w:tcPr>
          <w:p w14:paraId="00232B6B" w14:textId="77777777" w:rsidR="008F5D01" w:rsidRPr="00783571" w:rsidRDefault="008F5D01" w:rsidP="000B1C51">
            <w:pPr>
              <w:pStyle w:val="TableText"/>
              <w:keepNext/>
              <w:tabs>
                <w:tab w:val="decimal" w:pos="377"/>
              </w:tabs>
            </w:pPr>
            <w:r w:rsidRPr="00783571">
              <w:t>2.24%</w:t>
            </w:r>
          </w:p>
        </w:tc>
        <w:tc>
          <w:tcPr>
            <w:tcW w:w="1951" w:type="dxa"/>
            <w:vMerge w:val="restart"/>
            <w:tcBorders>
              <w:top w:val="single" w:sz="6" w:space="0" w:color="auto"/>
              <w:bottom w:val="single" w:sz="6" w:space="0" w:color="808080" w:themeColor="background1" w:themeShade="80"/>
            </w:tcBorders>
            <w:shd w:val="clear" w:color="auto" w:fill="auto"/>
            <w:noWrap/>
          </w:tcPr>
          <w:p w14:paraId="60456802" w14:textId="77777777" w:rsidR="008F5D01" w:rsidRPr="00783571" w:rsidRDefault="008F5D01" w:rsidP="000B1C51">
            <w:pPr>
              <w:pStyle w:val="TableText"/>
              <w:keepNext/>
              <w:rPr>
                <w:vertAlign w:val="superscript"/>
              </w:rPr>
            </w:pPr>
            <w:r w:rsidRPr="00783571">
              <w:t>Calculated from Glick et al. (2012)</w:t>
            </w:r>
          </w:p>
        </w:tc>
      </w:tr>
      <w:tr w:rsidR="008F5D01" w:rsidRPr="00783571" w14:paraId="16A774B7" w14:textId="77777777" w:rsidTr="00260D8A">
        <w:trPr>
          <w:cantSplit/>
        </w:trPr>
        <w:tc>
          <w:tcPr>
            <w:tcW w:w="1379" w:type="dxa"/>
            <w:tcBorders>
              <w:top w:val="single" w:sz="6" w:space="0" w:color="808080" w:themeColor="background1" w:themeShade="80"/>
              <w:bottom w:val="single" w:sz="6" w:space="0" w:color="808080" w:themeColor="background1" w:themeShade="80"/>
            </w:tcBorders>
            <w:shd w:val="clear" w:color="auto" w:fill="auto"/>
            <w:noWrap/>
          </w:tcPr>
          <w:p w14:paraId="519CF0A9" w14:textId="77777777" w:rsidR="008F5D01" w:rsidRPr="00783571" w:rsidRDefault="008F5D01" w:rsidP="000B1C51">
            <w:pPr>
              <w:pStyle w:val="TableText"/>
              <w:keepNext/>
            </w:pPr>
            <w:r w:rsidRPr="00783571">
              <w:t>18–24</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0CC965C7" w14:textId="77777777" w:rsidR="008F5D01" w:rsidRPr="00783571" w:rsidRDefault="008F5D01" w:rsidP="000B1C51">
            <w:pPr>
              <w:pStyle w:val="TableText"/>
              <w:keepNext/>
              <w:tabs>
                <w:tab w:val="decimal" w:pos="377"/>
              </w:tabs>
            </w:pPr>
            <w:r w:rsidRPr="00783571">
              <w:t>2.24%</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255249BA" w14:textId="77777777" w:rsidR="008F5D01" w:rsidRPr="00783571" w:rsidRDefault="008F5D01" w:rsidP="000B1C51">
            <w:pPr>
              <w:pStyle w:val="TableText"/>
              <w:keepNext/>
              <w:tabs>
                <w:tab w:val="decimal" w:pos="377"/>
              </w:tabs>
            </w:pPr>
            <w:r w:rsidRPr="00783571">
              <w:t>91.05%</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60E33484" w14:textId="77777777" w:rsidR="008F5D01" w:rsidRPr="00783571" w:rsidRDefault="008F5D01" w:rsidP="000B1C51">
            <w:pPr>
              <w:pStyle w:val="TableText"/>
              <w:keepNext/>
              <w:tabs>
                <w:tab w:val="decimal" w:pos="377"/>
              </w:tabs>
            </w:pPr>
            <w:r w:rsidRPr="00783571">
              <w:t>2.24%</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0762A4E4" w14:textId="77777777" w:rsidR="008F5D01" w:rsidRPr="00783571" w:rsidRDefault="008F5D01" w:rsidP="000B1C51">
            <w:pPr>
              <w:pStyle w:val="TableText"/>
              <w:keepNext/>
              <w:tabs>
                <w:tab w:val="decimal" w:pos="377"/>
              </w:tabs>
            </w:pPr>
            <w:r w:rsidRPr="00783571">
              <w:t>2.24%</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6E5C78BF" w14:textId="77777777" w:rsidR="008F5D01" w:rsidRPr="00783571" w:rsidRDefault="008F5D01" w:rsidP="000B1C51">
            <w:pPr>
              <w:pStyle w:val="TableText"/>
              <w:keepNext/>
              <w:tabs>
                <w:tab w:val="decimal" w:pos="377"/>
              </w:tabs>
            </w:pPr>
            <w:r w:rsidRPr="00783571">
              <w:t>2.24%</w:t>
            </w:r>
          </w:p>
        </w:tc>
        <w:tc>
          <w:tcPr>
            <w:tcW w:w="1951" w:type="dxa"/>
            <w:vMerge/>
            <w:tcBorders>
              <w:top w:val="single" w:sz="6" w:space="0" w:color="808080" w:themeColor="background1" w:themeShade="80"/>
              <w:bottom w:val="single" w:sz="6" w:space="0" w:color="808080" w:themeColor="background1" w:themeShade="80"/>
            </w:tcBorders>
            <w:shd w:val="clear" w:color="auto" w:fill="auto"/>
            <w:noWrap/>
          </w:tcPr>
          <w:p w14:paraId="6C9120E2" w14:textId="77777777" w:rsidR="008F5D01" w:rsidRPr="00783571" w:rsidRDefault="008F5D01" w:rsidP="000B1C51">
            <w:pPr>
              <w:pStyle w:val="TableText"/>
              <w:keepNext/>
            </w:pPr>
          </w:p>
        </w:tc>
      </w:tr>
      <w:tr w:rsidR="008F5D01" w:rsidRPr="00783571" w14:paraId="65F43452" w14:textId="77777777" w:rsidTr="00260D8A">
        <w:trPr>
          <w:cantSplit/>
        </w:trPr>
        <w:tc>
          <w:tcPr>
            <w:tcW w:w="1379" w:type="dxa"/>
            <w:tcBorders>
              <w:top w:val="single" w:sz="6" w:space="0" w:color="808080" w:themeColor="background1" w:themeShade="80"/>
              <w:bottom w:val="single" w:sz="6" w:space="0" w:color="808080" w:themeColor="background1" w:themeShade="80"/>
            </w:tcBorders>
            <w:shd w:val="clear" w:color="auto" w:fill="auto"/>
            <w:noWrap/>
          </w:tcPr>
          <w:p w14:paraId="313558A3" w14:textId="77777777" w:rsidR="008F5D01" w:rsidRPr="00783571" w:rsidRDefault="008F5D01" w:rsidP="000B1C51">
            <w:pPr>
              <w:pStyle w:val="TableText"/>
              <w:keepNext/>
            </w:pPr>
            <w:r w:rsidRPr="00783571">
              <w:t>25–34</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66963BFB" w14:textId="77777777" w:rsidR="008F5D01" w:rsidRPr="00783571" w:rsidRDefault="008F5D01" w:rsidP="000B1C51">
            <w:pPr>
              <w:pStyle w:val="TableText"/>
              <w:keepNext/>
              <w:tabs>
                <w:tab w:val="decimal" w:pos="377"/>
              </w:tabs>
            </w:pPr>
            <w:r w:rsidRPr="00783571">
              <w:t>9.46%</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2C87F310" w14:textId="77777777" w:rsidR="008F5D01" w:rsidRPr="00783571" w:rsidRDefault="008F5D01" w:rsidP="000B1C51">
            <w:pPr>
              <w:pStyle w:val="TableText"/>
              <w:keepNext/>
              <w:tabs>
                <w:tab w:val="decimal" w:pos="377"/>
              </w:tabs>
            </w:pPr>
            <w:r w:rsidRPr="00783571">
              <w:t>9.46%</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76846F59" w14:textId="77777777" w:rsidR="008F5D01" w:rsidRPr="00783571" w:rsidRDefault="008F5D01" w:rsidP="000B1C51">
            <w:pPr>
              <w:pStyle w:val="TableText"/>
              <w:keepNext/>
              <w:tabs>
                <w:tab w:val="decimal" w:pos="377"/>
              </w:tabs>
            </w:pPr>
            <w:r w:rsidRPr="00783571">
              <w:t>62.18%</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51B08E8F" w14:textId="77777777" w:rsidR="008F5D01" w:rsidRPr="00783571" w:rsidRDefault="008F5D01" w:rsidP="000B1C51">
            <w:pPr>
              <w:pStyle w:val="TableText"/>
              <w:keepNext/>
              <w:tabs>
                <w:tab w:val="decimal" w:pos="377"/>
              </w:tabs>
            </w:pPr>
            <w:r w:rsidRPr="00783571">
              <w:t>9.46%</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7D59ED12" w14:textId="77777777" w:rsidR="008F5D01" w:rsidRPr="00783571" w:rsidRDefault="008F5D01" w:rsidP="000B1C51">
            <w:pPr>
              <w:pStyle w:val="TableText"/>
              <w:keepNext/>
              <w:tabs>
                <w:tab w:val="decimal" w:pos="377"/>
              </w:tabs>
            </w:pPr>
            <w:r w:rsidRPr="00783571">
              <w:t>9.46%</w:t>
            </w:r>
          </w:p>
        </w:tc>
        <w:tc>
          <w:tcPr>
            <w:tcW w:w="1951" w:type="dxa"/>
            <w:vMerge/>
            <w:tcBorders>
              <w:top w:val="single" w:sz="6" w:space="0" w:color="808080" w:themeColor="background1" w:themeShade="80"/>
              <w:bottom w:val="single" w:sz="6" w:space="0" w:color="808080" w:themeColor="background1" w:themeShade="80"/>
            </w:tcBorders>
            <w:shd w:val="clear" w:color="auto" w:fill="auto"/>
            <w:noWrap/>
          </w:tcPr>
          <w:p w14:paraId="7DE8C5AB" w14:textId="77777777" w:rsidR="008F5D01" w:rsidRPr="00783571" w:rsidRDefault="008F5D01" w:rsidP="000B1C51">
            <w:pPr>
              <w:pStyle w:val="TableText"/>
              <w:keepNext/>
            </w:pPr>
          </w:p>
        </w:tc>
      </w:tr>
      <w:tr w:rsidR="008F5D01" w:rsidRPr="00783571" w14:paraId="62AA6675" w14:textId="77777777" w:rsidTr="00260D8A">
        <w:trPr>
          <w:cantSplit/>
        </w:trPr>
        <w:tc>
          <w:tcPr>
            <w:tcW w:w="1379" w:type="dxa"/>
            <w:tcBorders>
              <w:top w:val="single" w:sz="6" w:space="0" w:color="808080" w:themeColor="background1" w:themeShade="80"/>
              <w:bottom w:val="single" w:sz="6" w:space="0" w:color="808080" w:themeColor="background1" w:themeShade="80"/>
            </w:tcBorders>
            <w:shd w:val="clear" w:color="auto" w:fill="auto"/>
            <w:noWrap/>
          </w:tcPr>
          <w:p w14:paraId="648809B9" w14:textId="77777777" w:rsidR="008F5D01" w:rsidRPr="00783571" w:rsidRDefault="008F5D01" w:rsidP="000B1C51">
            <w:pPr>
              <w:pStyle w:val="TableText"/>
              <w:keepNext/>
            </w:pPr>
            <w:r w:rsidRPr="00783571">
              <w:t>35–44</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51E9F98A" w14:textId="77777777" w:rsidR="008F5D01" w:rsidRPr="00783571" w:rsidRDefault="008F5D01" w:rsidP="000B1C51">
            <w:pPr>
              <w:pStyle w:val="TableText"/>
              <w:keepNext/>
              <w:tabs>
                <w:tab w:val="decimal" w:pos="377"/>
              </w:tabs>
            </w:pPr>
            <w:r w:rsidRPr="00783571">
              <w:t>5.25%</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1816FC3A" w14:textId="77777777" w:rsidR="008F5D01" w:rsidRPr="00783571" w:rsidRDefault="008F5D01" w:rsidP="000B1C51">
            <w:pPr>
              <w:pStyle w:val="TableText"/>
              <w:keepNext/>
              <w:tabs>
                <w:tab w:val="decimal" w:pos="377"/>
              </w:tabs>
            </w:pPr>
            <w:r w:rsidRPr="00783571">
              <w:t>5.25%</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44D6EF6C" w14:textId="77777777" w:rsidR="008F5D01" w:rsidRPr="00783571" w:rsidRDefault="008F5D01" w:rsidP="000B1C51">
            <w:pPr>
              <w:pStyle w:val="TableText"/>
              <w:keepNext/>
              <w:tabs>
                <w:tab w:val="decimal" w:pos="377"/>
              </w:tabs>
            </w:pPr>
            <w:r w:rsidRPr="00783571">
              <w:t>5.25%</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04ABDE7A" w14:textId="77777777" w:rsidR="008F5D01" w:rsidRPr="00783571" w:rsidRDefault="008F5D01" w:rsidP="000B1C51">
            <w:pPr>
              <w:pStyle w:val="TableText"/>
              <w:keepNext/>
              <w:tabs>
                <w:tab w:val="decimal" w:pos="377"/>
              </w:tabs>
            </w:pPr>
            <w:r w:rsidRPr="00783571">
              <w:t>79.00%</w:t>
            </w:r>
          </w:p>
        </w:tc>
        <w:tc>
          <w:tcPr>
            <w:tcW w:w="1206" w:type="dxa"/>
            <w:tcBorders>
              <w:top w:val="single" w:sz="6" w:space="0" w:color="808080" w:themeColor="background1" w:themeShade="80"/>
              <w:bottom w:val="single" w:sz="6" w:space="0" w:color="808080" w:themeColor="background1" w:themeShade="80"/>
            </w:tcBorders>
            <w:shd w:val="clear" w:color="auto" w:fill="auto"/>
            <w:noWrap/>
          </w:tcPr>
          <w:p w14:paraId="5082926F" w14:textId="77777777" w:rsidR="008F5D01" w:rsidRPr="00783571" w:rsidRDefault="008F5D01" w:rsidP="000B1C51">
            <w:pPr>
              <w:pStyle w:val="TableText"/>
              <w:keepNext/>
              <w:tabs>
                <w:tab w:val="decimal" w:pos="377"/>
              </w:tabs>
            </w:pPr>
            <w:r w:rsidRPr="00783571">
              <w:t>5.25%</w:t>
            </w:r>
          </w:p>
        </w:tc>
        <w:tc>
          <w:tcPr>
            <w:tcW w:w="1951" w:type="dxa"/>
            <w:vMerge/>
            <w:tcBorders>
              <w:top w:val="single" w:sz="6" w:space="0" w:color="808080" w:themeColor="background1" w:themeShade="80"/>
              <w:bottom w:val="single" w:sz="6" w:space="0" w:color="808080" w:themeColor="background1" w:themeShade="80"/>
            </w:tcBorders>
            <w:shd w:val="clear" w:color="auto" w:fill="auto"/>
            <w:noWrap/>
          </w:tcPr>
          <w:p w14:paraId="3C389B4B" w14:textId="77777777" w:rsidR="008F5D01" w:rsidRPr="00783571" w:rsidRDefault="008F5D01" w:rsidP="000B1C51">
            <w:pPr>
              <w:pStyle w:val="TableText"/>
              <w:keepNext/>
            </w:pPr>
          </w:p>
        </w:tc>
      </w:tr>
      <w:tr w:rsidR="008F5D01" w:rsidRPr="00783571" w14:paraId="62CE053F" w14:textId="77777777" w:rsidTr="00260D8A">
        <w:trPr>
          <w:cantSplit/>
        </w:trPr>
        <w:tc>
          <w:tcPr>
            <w:tcW w:w="1379" w:type="dxa"/>
            <w:tcBorders>
              <w:top w:val="single" w:sz="6" w:space="0" w:color="808080" w:themeColor="background1" w:themeShade="80"/>
              <w:bottom w:val="single" w:sz="12" w:space="0" w:color="000000"/>
            </w:tcBorders>
            <w:shd w:val="clear" w:color="auto" w:fill="auto"/>
            <w:noWrap/>
          </w:tcPr>
          <w:p w14:paraId="3E298B05" w14:textId="77777777" w:rsidR="008F5D01" w:rsidRPr="00783571" w:rsidRDefault="008F5D01" w:rsidP="000B1C51">
            <w:pPr>
              <w:pStyle w:val="TableText"/>
              <w:keepNext/>
            </w:pPr>
            <w:r w:rsidRPr="00783571">
              <w:t>45–64</w:t>
            </w:r>
          </w:p>
        </w:tc>
        <w:tc>
          <w:tcPr>
            <w:tcW w:w="1206" w:type="dxa"/>
            <w:tcBorders>
              <w:top w:val="single" w:sz="6" w:space="0" w:color="808080" w:themeColor="background1" w:themeShade="80"/>
              <w:bottom w:val="single" w:sz="12" w:space="0" w:color="000000"/>
            </w:tcBorders>
            <w:shd w:val="clear" w:color="auto" w:fill="auto"/>
            <w:noWrap/>
          </w:tcPr>
          <w:p w14:paraId="5AC70399" w14:textId="77777777" w:rsidR="008F5D01" w:rsidRPr="00783571" w:rsidRDefault="008F5D01" w:rsidP="000B1C51">
            <w:pPr>
              <w:pStyle w:val="TableText"/>
              <w:keepNext/>
              <w:tabs>
                <w:tab w:val="decimal" w:pos="377"/>
              </w:tabs>
            </w:pPr>
            <w:r w:rsidRPr="00783571">
              <w:t>5.25%</w:t>
            </w:r>
          </w:p>
        </w:tc>
        <w:tc>
          <w:tcPr>
            <w:tcW w:w="1206" w:type="dxa"/>
            <w:tcBorders>
              <w:top w:val="single" w:sz="6" w:space="0" w:color="808080" w:themeColor="background1" w:themeShade="80"/>
              <w:bottom w:val="single" w:sz="12" w:space="0" w:color="000000"/>
            </w:tcBorders>
            <w:shd w:val="clear" w:color="auto" w:fill="auto"/>
            <w:noWrap/>
          </w:tcPr>
          <w:p w14:paraId="1FE1FB0C" w14:textId="77777777" w:rsidR="008F5D01" w:rsidRPr="00783571" w:rsidRDefault="008F5D01" w:rsidP="000B1C51">
            <w:pPr>
              <w:pStyle w:val="TableText"/>
              <w:keepNext/>
              <w:tabs>
                <w:tab w:val="decimal" w:pos="377"/>
              </w:tabs>
            </w:pPr>
            <w:r w:rsidRPr="00783571">
              <w:t>5.25%</w:t>
            </w:r>
          </w:p>
        </w:tc>
        <w:tc>
          <w:tcPr>
            <w:tcW w:w="1206" w:type="dxa"/>
            <w:tcBorders>
              <w:top w:val="single" w:sz="6" w:space="0" w:color="808080" w:themeColor="background1" w:themeShade="80"/>
              <w:bottom w:val="single" w:sz="12" w:space="0" w:color="000000"/>
            </w:tcBorders>
            <w:shd w:val="clear" w:color="auto" w:fill="auto"/>
            <w:noWrap/>
          </w:tcPr>
          <w:p w14:paraId="3B68B581" w14:textId="77777777" w:rsidR="008F5D01" w:rsidRPr="00783571" w:rsidRDefault="008F5D01" w:rsidP="000B1C51">
            <w:pPr>
              <w:pStyle w:val="TableText"/>
              <w:keepNext/>
              <w:tabs>
                <w:tab w:val="decimal" w:pos="377"/>
              </w:tabs>
            </w:pPr>
            <w:r w:rsidRPr="00783571">
              <w:t>5.25%</w:t>
            </w:r>
          </w:p>
        </w:tc>
        <w:tc>
          <w:tcPr>
            <w:tcW w:w="1206" w:type="dxa"/>
            <w:tcBorders>
              <w:top w:val="single" w:sz="6" w:space="0" w:color="808080" w:themeColor="background1" w:themeShade="80"/>
              <w:bottom w:val="single" w:sz="12" w:space="0" w:color="000000"/>
            </w:tcBorders>
            <w:shd w:val="clear" w:color="auto" w:fill="auto"/>
            <w:noWrap/>
          </w:tcPr>
          <w:p w14:paraId="3B07EDE8" w14:textId="77777777" w:rsidR="008F5D01" w:rsidRPr="00783571" w:rsidRDefault="008F5D01" w:rsidP="000B1C51">
            <w:pPr>
              <w:pStyle w:val="TableText"/>
              <w:keepNext/>
              <w:tabs>
                <w:tab w:val="decimal" w:pos="377"/>
              </w:tabs>
            </w:pPr>
            <w:r w:rsidRPr="00783571">
              <w:t>5.25%</w:t>
            </w:r>
          </w:p>
        </w:tc>
        <w:tc>
          <w:tcPr>
            <w:tcW w:w="1206" w:type="dxa"/>
            <w:tcBorders>
              <w:top w:val="single" w:sz="6" w:space="0" w:color="808080" w:themeColor="background1" w:themeShade="80"/>
              <w:bottom w:val="single" w:sz="12" w:space="0" w:color="000000"/>
            </w:tcBorders>
            <w:shd w:val="clear" w:color="auto" w:fill="auto"/>
            <w:noWrap/>
          </w:tcPr>
          <w:p w14:paraId="3A3EA12B" w14:textId="77777777" w:rsidR="008F5D01" w:rsidRPr="00783571" w:rsidRDefault="008F5D01" w:rsidP="000B1C51">
            <w:pPr>
              <w:pStyle w:val="TableText"/>
              <w:keepNext/>
              <w:tabs>
                <w:tab w:val="decimal" w:pos="377"/>
              </w:tabs>
            </w:pPr>
            <w:r w:rsidRPr="00783571">
              <w:t>79.00%</w:t>
            </w:r>
          </w:p>
        </w:tc>
        <w:tc>
          <w:tcPr>
            <w:tcW w:w="1951" w:type="dxa"/>
            <w:vMerge/>
            <w:tcBorders>
              <w:top w:val="single" w:sz="6" w:space="0" w:color="808080" w:themeColor="background1" w:themeShade="80"/>
              <w:bottom w:val="single" w:sz="12" w:space="0" w:color="000000"/>
            </w:tcBorders>
            <w:shd w:val="clear" w:color="auto" w:fill="auto"/>
            <w:noWrap/>
          </w:tcPr>
          <w:p w14:paraId="0FB9B7D4" w14:textId="77777777" w:rsidR="008F5D01" w:rsidRPr="00783571" w:rsidRDefault="008F5D01" w:rsidP="000B1C51">
            <w:pPr>
              <w:pStyle w:val="TableText"/>
              <w:keepNext/>
            </w:pPr>
          </w:p>
        </w:tc>
      </w:tr>
    </w:tbl>
    <w:p w14:paraId="14AC3BCC" w14:textId="77777777" w:rsidR="008F5D01" w:rsidRPr="00783571" w:rsidRDefault="008F5D01" w:rsidP="00181BDA">
      <w:pPr>
        <w:pStyle w:val="Source1"/>
      </w:pPr>
    </w:p>
    <w:p w14:paraId="2E7EC8E4" w14:textId="14B42613" w:rsidR="008F5D01" w:rsidRPr="00783571" w:rsidRDefault="004F4E6D" w:rsidP="008F5D01">
      <w:pPr>
        <w:pStyle w:val="TableTitle"/>
      </w:pPr>
      <w:bookmarkStart w:id="51" w:name="_Toc510104027"/>
      <w:r w:rsidRPr="00783571">
        <w:t>Table 6.</w:t>
      </w:r>
      <w:r w:rsidR="008F5D01" w:rsidRPr="00783571">
        <w:t>4.</w:t>
      </w:r>
      <w:r w:rsidR="008F5D01" w:rsidRPr="00783571">
        <w:tab/>
        <w:t>Distribution of Sexual Partners by Risk Level</w:t>
      </w:r>
      <w:r w:rsidR="0018472F" w:rsidRPr="00783571">
        <w:t>, by Transmission Group</w:t>
      </w:r>
      <w:bookmarkEnd w:id="51"/>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1754"/>
        <w:gridCol w:w="1719"/>
        <w:gridCol w:w="1506"/>
        <w:gridCol w:w="1620"/>
        <w:gridCol w:w="2761"/>
      </w:tblGrid>
      <w:tr w:rsidR="0018472F" w:rsidRPr="00783571" w14:paraId="4DD1F4C1" w14:textId="77777777" w:rsidTr="00260D8A">
        <w:trPr>
          <w:cantSplit/>
          <w:tblHeader/>
        </w:trPr>
        <w:tc>
          <w:tcPr>
            <w:tcW w:w="1754" w:type="dxa"/>
            <w:tcBorders>
              <w:top w:val="single" w:sz="12" w:space="0" w:color="000000"/>
              <w:bottom w:val="single" w:sz="6" w:space="0" w:color="auto"/>
            </w:tcBorders>
          </w:tcPr>
          <w:p w14:paraId="50EDAD1E" w14:textId="77777777" w:rsidR="0018472F" w:rsidRPr="00783571" w:rsidRDefault="0018472F" w:rsidP="000B1C51">
            <w:pPr>
              <w:pStyle w:val="TableHeaders"/>
              <w:keepNext/>
              <w:spacing w:before="60" w:after="60"/>
            </w:pPr>
            <w:r w:rsidRPr="00783571">
              <w:t>Transmission Group</w:t>
            </w:r>
          </w:p>
        </w:tc>
        <w:tc>
          <w:tcPr>
            <w:tcW w:w="1719" w:type="dxa"/>
            <w:tcBorders>
              <w:top w:val="single" w:sz="12" w:space="0" w:color="000000"/>
              <w:bottom w:val="single" w:sz="6" w:space="0" w:color="auto"/>
            </w:tcBorders>
            <w:shd w:val="clear" w:color="auto" w:fill="auto"/>
            <w:noWrap/>
            <w:vAlign w:val="bottom"/>
            <w:hideMark/>
          </w:tcPr>
          <w:p w14:paraId="49172D04" w14:textId="77777777" w:rsidR="0018472F" w:rsidRPr="00783571" w:rsidRDefault="0018472F" w:rsidP="000B1C51">
            <w:pPr>
              <w:pStyle w:val="TableHeaders"/>
              <w:keepNext/>
              <w:spacing w:before="60" w:after="60"/>
            </w:pPr>
            <w:r w:rsidRPr="00783571">
              <w:t>Risk Level</w:t>
            </w:r>
          </w:p>
        </w:tc>
        <w:tc>
          <w:tcPr>
            <w:tcW w:w="1506" w:type="dxa"/>
            <w:tcBorders>
              <w:top w:val="single" w:sz="12" w:space="0" w:color="000000"/>
              <w:bottom w:val="single" w:sz="6" w:space="0" w:color="auto"/>
            </w:tcBorders>
            <w:shd w:val="clear" w:color="auto" w:fill="auto"/>
            <w:noWrap/>
            <w:vAlign w:val="bottom"/>
            <w:hideMark/>
          </w:tcPr>
          <w:p w14:paraId="1926D97B" w14:textId="77777777" w:rsidR="0018472F" w:rsidRPr="00783571" w:rsidRDefault="0018472F" w:rsidP="000B1C51">
            <w:pPr>
              <w:pStyle w:val="TableHeaders"/>
              <w:keepNext/>
              <w:spacing w:before="60" w:after="60"/>
            </w:pPr>
            <w:r w:rsidRPr="00783571">
              <w:t>Low</w:t>
            </w:r>
          </w:p>
        </w:tc>
        <w:tc>
          <w:tcPr>
            <w:tcW w:w="1620" w:type="dxa"/>
            <w:tcBorders>
              <w:top w:val="single" w:sz="12" w:space="0" w:color="000000"/>
              <w:bottom w:val="single" w:sz="6" w:space="0" w:color="auto"/>
            </w:tcBorders>
            <w:shd w:val="clear" w:color="auto" w:fill="auto"/>
            <w:noWrap/>
            <w:vAlign w:val="bottom"/>
            <w:hideMark/>
          </w:tcPr>
          <w:p w14:paraId="02721429" w14:textId="77777777" w:rsidR="0018472F" w:rsidRPr="00783571" w:rsidRDefault="0018472F" w:rsidP="000B1C51">
            <w:pPr>
              <w:pStyle w:val="TableHeaders"/>
              <w:keepNext/>
              <w:spacing w:before="60" w:after="60"/>
            </w:pPr>
            <w:r w:rsidRPr="00783571">
              <w:t>High</w:t>
            </w:r>
          </w:p>
        </w:tc>
        <w:tc>
          <w:tcPr>
            <w:tcW w:w="2761" w:type="dxa"/>
            <w:tcBorders>
              <w:top w:val="single" w:sz="12" w:space="0" w:color="000000"/>
              <w:bottom w:val="single" w:sz="6" w:space="0" w:color="auto"/>
            </w:tcBorders>
            <w:shd w:val="clear" w:color="auto" w:fill="auto"/>
            <w:noWrap/>
            <w:vAlign w:val="bottom"/>
            <w:hideMark/>
          </w:tcPr>
          <w:p w14:paraId="6D7C1F84" w14:textId="77777777" w:rsidR="0018472F" w:rsidRPr="00783571" w:rsidRDefault="0018472F" w:rsidP="000B1C51">
            <w:pPr>
              <w:pStyle w:val="TableHeaders"/>
              <w:keepNext/>
              <w:spacing w:before="60" w:after="60"/>
            </w:pPr>
            <w:r w:rsidRPr="00783571">
              <w:t>Source</w:t>
            </w:r>
          </w:p>
        </w:tc>
      </w:tr>
      <w:tr w:rsidR="00136D77" w:rsidRPr="00783571" w14:paraId="73FAB026" w14:textId="77777777" w:rsidTr="00260D8A">
        <w:trPr>
          <w:cantSplit/>
        </w:trPr>
        <w:tc>
          <w:tcPr>
            <w:tcW w:w="1754" w:type="dxa"/>
            <w:vMerge w:val="restart"/>
            <w:tcBorders>
              <w:top w:val="single" w:sz="6" w:space="0" w:color="auto"/>
              <w:bottom w:val="single" w:sz="6" w:space="0" w:color="808080" w:themeColor="background1" w:themeShade="80"/>
            </w:tcBorders>
          </w:tcPr>
          <w:p w14:paraId="0AA76CF4" w14:textId="1EFA59C0" w:rsidR="00136D77" w:rsidRPr="00783571" w:rsidRDefault="00136D77" w:rsidP="00C03EBD">
            <w:pPr>
              <w:pStyle w:val="TableText"/>
              <w:keepNext/>
            </w:pPr>
            <w:r w:rsidRPr="00783571">
              <w:t xml:space="preserve">HET </w:t>
            </w:r>
          </w:p>
        </w:tc>
        <w:tc>
          <w:tcPr>
            <w:tcW w:w="1719" w:type="dxa"/>
            <w:tcBorders>
              <w:top w:val="single" w:sz="6" w:space="0" w:color="auto"/>
              <w:bottom w:val="single" w:sz="6" w:space="0" w:color="808080" w:themeColor="background1" w:themeShade="80"/>
            </w:tcBorders>
            <w:shd w:val="clear" w:color="auto" w:fill="auto"/>
            <w:noWrap/>
            <w:hideMark/>
          </w:tcPr>
          <w:p w14:paraId="540B8223" w14:textId="77777777" w:rsidR="00136D77" w:rsidRPr="00783571" w:rsidRDefault="00136D77" w:rsidP="0018472F">
            <w:pPr>
              <w:pStyle w:val="TableText"/>
              <w:keepNext/>
              <w:jc w:val="center"/>
            </w:pPr>
            <w:r w:rsidRPr="00783571">
              <w:t>Low</w:t>
            </w:r>
          </w:p>
        </w:tc>
        <w:tc>
          <w:tcPr>
            <w:tcW w:w="1506" w:type="dxa"/>
            <w:tcBorders>
              <w:top w:val="single" w:sz="6" w:space="0" w:color="auto"/>
              <w:bottom w:val="single" w:sz="6" w:space="0" w:color="808080" w:themeColor="background1" w:themeShade="80"/>
            </w:tcBorders>
            <w:shd w:val="clear" w:color="auto" w:fill="auto"/>
            <w:noWrap/>
          </w:tcPr>
          <w:p w14:paraId="588C6D14" w14:textId="25480EAF" w:rsidR="00136D77" w:rsidRPr="00783571" w:rsidRDefault="00136D77" w:rsidP="00732DBA">
            <w:pPr>
              <w:pStyle w:val="TableText"/>
              <w:keepNext/>
              <w:jc w:val="center"/>
            </w:pPr>
            <w:r w:rsidRPr="00783571">
              <w:t>9</w:t>
            </w:r>
            <w:r w:rsidR="00824E63" w:rsidRPr="00783571">
              <w:t>6.44</w:t>
            </w:r>
            <w:r w:rsidRPr="00783571">
              <w:t>%</w:t>
            </w:r>
          </w:p>
        </w:tc>
        <w:tc>
          <w:tcPr>
            <w:tcW w:w="1620" w:type="dxa"/>
            <w:tcBorders>
              <w:top w:val="single" w:sz="6" w:space="0" w:color="auto"/>
              <w:bottom w:val="single" w:sz="6" w:space="0" w:color="808080" w:themeColor="background1" w:themeShade="80"/>
            </w:tcBorders>
            <w:shd w:val="clear" w:color="auto" w:fill="auto"/>
            <w:noWrap/>
          </w:tcPr>
          <w:p w14:paraId="1E41757B" w14:textId="40DEEC47" w:rsidR="00136D77" w:rsidRPr="00783571" w:rsidRDefault="00824E63" w:rsidP="0018472F">
            <w:pPr>
              <w:pStyle w:val="TableText"/>
              <w:keepNext/>
              <w:jc w:val="center"/>
            </w:pPr>
            <w:r w:rsidRPr="00783571">
              <w:t>3</w:t>
            </w:r>
            <w:r w:rsidR="00136D77" w:rsidRPr="00783571">
              <w:t>.56%</w:t>
            </w:r>
          </w:p>
        </w:tc>
        <w:tc>
          <w:tcPr>
            <w:tcW w:w="2761" w:type="dxa"/>
            <w:vMerge w:val="restart"/>
            <w:tcBorders>
              <w:top w:val="single" w:sz="6" w:space="0" w:color="auto"/>
            </w:tcBorders>
            <w:shd w:val="clear" w:color="auto" w:fill="auto"/>
            <w:noWrap/>
            <w:hideMark/>
          </w:tcPr>
          <w:p w14:paraId="5044A1A9" w14:textId="652550EB" w:rsidR="00136D77" w:rsidRPr="00783571" w:rsidRDefault="00136D77" w:rsidP="00181BDA">
            <w:pPr>
              <w:pStyle w:val="TableText"/>
              <w:keepNext/>
            </w:pPr>
            <w:r w:rsidRPr="00783571">
              <w:t>Determined by calibration. Mixing for high-risk level HETs and PWIDs are assumed to be equal.</w:t>
            </w:r>
          </w:p>
        </w:tc>
      </w:tr>
      <w:tr w:rsidR="00136D77" w:rsidRPr="00783571" w14:paraId="701EDBE0" w14:textId="77777777" w:rsidTr="00260D8A">
        <w:trPr>
          <w:cantSplit/>
        </w:trPr>
        <w:tc>
          <w:tcPr>
            <w:tcW w:w="1754" w:type="dxa"/>
            <w:vMerge/>
            <w:tcBorders>
              <w:top w:val="single" w:sz="6" w:space="0" w:color="808080" w:themeColor="background1" w:themeShade="80"/>
              <w:bottom w:val="single" w:sz="6" w:space="0" w:color="808080" w:themeColor="background1" w:themeShade="80"/>
            </w:tcBorders>
          </w:tcPr>
          <w:p w14:paraId="7344A740" w14:textId="77777777" w:rsidR="00136D77" w:rsidRPr="00783571" w:rsidRDefault="00136D77" w:rsidP="000B1C51">
            <w:pPr>
              <w:pStyle w:val="TableText"/>
              <w:keepNext/>
            </w:pPr>
          </w:p>
        </w:tc>
        <w:tc>
          <w:tcPr>
            <w:tcW w:w="1719" w:type="dxa"/>
            <w:tcBorders>
              <w:top w:val="single" w:sz="6" w:space="0" w:color="808080" w:themeColor="background1" w:themeShade="80"/>
              <w:bottom w:val="single" w:sz="6" w:space="0" w:color="808080" w:themeColor="background1" w:themeShade="80"/>
            </w:tcBorders>
            <w:shd w:val="clear" w:color="auto" w:fill="auto"/>
            <w:noWrap/>
            <w:hideMark/>
          </w:tcPr>
          <w:p w14:paraId="2BD12F6C" w14:textId="77777777" w:rsidR="00136D77" w:rsidRPr="00783571" w:rsidRDefault="00136D77" w:rsidP="0018472F">
            <w:pPr>
              <w:pStyle w:val="TableText"/>
              <w:keepNext/>
              <w:jc w:val="center"/>
            </w:pPr>
            <w:r w:rsidRPr="00783571">
              <w:t>High</w:t>
            </w:r>
          </w:p>
        </w:tc>
        <w:tc>
          <w:tcPr>
            <w:tcW w:w="1506" w:type="dxa"/>
            <w:tcBorders>
              <w:top w:val="single" w:sz="6" w:space="0" w:color="808080" w:themeColor="background1" w:themeShade="80"/>
              <w:bottom w:val="single" w:sz="6" w:space="0" w:color="808080" w:themeColor="background1" w:themeShade="80"/>
            </w:tcBorders>
            <w:shd w:val="clear" w:color="auto" w:fill="auto"/>
            <w:noWrap/>
          </w:tcPr>
          <w:p w14:paraId="13150EBD" w14:textId="615A3532" w:rsidR="00136D77" w:rsidRPr="00783571" w:rsidRDefault="00824E63" w:rsidP="0018472F">
            <w:pPr>
              <w:pStyle w:val="TableText"/>
              <w:keepNext/>
              <w:jc w:val="center"/>
            </w:pPr>
            <w:r w:rsidRPr="00783571">
              <w:t>22.39</w:t>
            </w:r>
            <w:r w:rsidR="00136D77" w:rsidRPr="00783571">
              <w:t>%</w:t>
            </w:r>
          </w:p>
        </w:tc>
        <w:tc>
          <w:tcPr>
            <w:tcW w:w="1620" w:type="dxa"/>
            <w:tcBorders>
              <w:top w:val="single" w:sz="6" w:space="0" w:color="808080" w:themeColor="background1" w:themeShade="80"/>
              <w:bottom w:val="single" w:sz="6" w:space="0" w:color="808080" w:themeColor="background1" w:themeShade="80"/>
            </w:tcBorders>
            <w:shd w:val="clear" w:color="auto" w:fill="auto"/>
            <w:noWrap/>
          </w:tcPr>
          <w:p w14:paraId="29E32D99" w14:textId="31F65776" w:rsidR="00136D77" w:rsidRPr="00783571" w:rsidRDefault="00824E63" w:rsidP="0018472F">
            <w:pPr>
              <w:pStyle w:val="TableText"/>
              <w:keepNext/>
              <w:jc w:val="center"/>
            </w:pPr>
            <w:r w:rsidRPr="00783571">
              <w:t>77.61</w:t>
            </w:r>
            <w:r w:rsidR="00136D77" w:rsidRPr="00783571">
              <w:t>%</w:t>
            </w:r>
          </w:p>
        </w:tc>
        <w:tc>
          <w:tcPr>
            <w:tcW w:w="2761" w:type="dxa"/>
            <w:vMerge/>
            <w:shd w:val="clear" w:color="auto" w:fill="auto"/>
            <w:noWrap/>
          </w:tcPr>
          <w:p w14:paraId="0B58FE42" w14:textId="05179395" w:rsidR="00136D77" w:rsidRPr="00783571" w:rsidRDefault="00136D77" w:rsidP="000B1C51">
            <w:pPr>
              <w:pStyle w:val="TableText"/>
              <w:keepNext/>
            </w:pPr>
          </w:p>
        </w:tc>
      </w:tr>
      <w:tr w:rsidR="00824E63" w:rsidRPr="00783571" w14:paraId="7D50F7BF" w14:textId="77777777" w:rsidTr="00260D8A">
        <w:trPr>
          <w:cantSplit/>
        </w:trPr>
        <w:tc>
          <w:tcPr>
            <w:tcW w:w="1754" w:type="dxa"/>
            <w:tcBorders>
              <w:top w:val="single" w:sz="6" w:space="0" w:color="808080" w:themeColor="background1" w:themeShade="80"/>
              <w:bottom w:val="single" w:sz="6" w:space="0" w:color="808080" w:themeColor="background1" w:themeShade="80"/>
            </w:tcBorders>
          </w:tcPr>
          <w:p w14:paraId="6A38A745" w14:textId="77777777" w:rsidR="00824E63" w:rsidRPr="00783571" w:rsidRDefault="00824E63" w:rsidP="00824E63">
            <w:pPr>
              <w:pStyle w:val="TableText"/>
              <w:keepNext/>
            </w:pPr>
            <w:r w:rsidRPr="00783571">
              <w:t>PWID</w:t>
            </w:r>
            <w:r w:rsidRPr="00783571">
              <w:rPr>
                <w:vertAlign w:val="superscript"/>
              </w:rPr>
              <w:t>a</w:t>
            </w:r>
          </w:p>
        </w:tc>
        <w:tc>
          <w:tcPr>
            <w:tcW w:w="1719" w:type="dxa"/>
            <w:tcBorders>
              <w:top w:val="single" w:sz="6" w:space="0" w:color="808080" w:themeColor="background1" w:themeShade="80"/>
              <w:bottom w:val="single" w:sz="6" w:space="0" w:color="808080" w:themeColor="background1" w:themeShade="80"/>
            </w:tcBorders>
            <w:shd w:val="clear" w:color="auto" w:fill="auto"/>
            <w:noWrap/>
          </w:tcPr>
          <w:p w14:paraId="1A75F948" w14:textId="77777777" w:rsidR="00824E63" w:rsidRPr="00783571" w:rsidRDefault="00824E63" w:rsidP="00824E63">
            <w:pPr>
              <w:pStyle w:val="TableText"/>
              <w:keepNext/>
              <w:jc w:val="center"/>
            </w:pPr>
            <w:r w:rsidRPr="00783571">
              <w:t>High</w:t>
            </w:r>
          </w:p>
        </w:tc>
        <w:tc>
          <w:tcPr>
            <w:tcW w:w="1506" w:type="dxa"/>
            <w:tcBorders>
              <w:top w:val="single" w:sz="6" w:space="0" w:color="808080" w:themeColor="background1" w:themeShade="80"/>
              <w:bottom w:val="single" w:sz="6" w:space="0" w:color="808080" w:themeColor="background1" w:themeShade="80"/>
            </w:tcBorders>
            <w:shd w:val="clear" w:color="auto" w:fill="auto"/>
            <w:noWrap/>
          </w:tcPr>
          <w:p w14:paraId="3AE8F242" w14:textId="38ADF498" w:rsidR="00824E63" w:rsidRPr="00783571" w:rsidRDefault="00824E63" w:rsidP="00824E63">
            <w:pPr>
              <w:pStyle w:val="TableText"/>
              <w:keepNext/>
              <w:jc w:val="center"/>
            </w:pPr>
            <w:r w:rsidRPr="00783571">
              <w:t>22.39%</w:t>
            </w:r>
          </w:p>
        </w:tc>
        <w:tc>
          <w:tcPr>
            <w:tcW w:w="1620" w:type="dxa"/>
            <w:tcBorders>
              <w:top w:val="single" w:sz="6" w:space="0" w:color="808080" w:themeColor="background1" w:themeShade="80"/>
              <w:bottom w:val="single" w:sz="6" w:space="0" w:color="808080" w:themeColor="background1" w:themeShade="80"/>
            </w:tcBorders>
            <w:shd w:val="clear" w:color="auto" w:fill="auto"/>
            <w:noWrap/>
          </w:tcPr>
          <w:p w14:paraId="15A2A32C" w14:textId="3F36F9CE" w:rsidR="00824E63" w:rsidRPr="00783571" w:rsidRDefault="00824E63" w:rsidP="00824E63">
            <w:pPr>
              <w:pStyle w:val="TableText"/>
              <w:keepNext/>
              <w:jc w:val="center"/>
            </w:pPr>
            <w:r w:rsidRPr="00783571">
              <w:t>77.61%</w:t>
            </w:r>
          </w:p>
        </w:tc>
        <w:tc>
          <w:tcPr>
            <w:tcW w:w="2761" w:type="dxa"/>
            <w:vMerge/>
            <w:shd w:val="clear" w:color="auto" w:fill="auto"/>
            <w:noWrap/>
          </w:tcPr>
          <w:p w14:paraId="1B5A969E" w14:textId="77777777" w:rsidR="00824E63" w:rsidRPr="00783571" w:rsidRDefault="00824E63" w:rsidP="00824E63">
            <w:pPr>
              <w:pStyle w:val="TableText"/>
              <w:keepNext/>
            </w:pPr>
          </w:p>
        </w:tc>
      </w:tr>
      <w:tr w:rsidR="00136D77" w:rsidRPr="00783571" w14:paraId="21424CE7" w14:textId="77777777" w:rsidTr="00260D8A">
        <w:trPr>
          <w:cantSplit/>
        </w:trPr>
        <w:tc>
          <w:tcPr>
            <w:tcW w:w="1754" w:type="dxa"/>
            <w:vMerge w:val="restart"/>
            <w:tcBorders>
              <w:top w:val="single" w:sz="6" w:space="0" w:color="808080" w:themeColor="background1" w:themeShade="80"/>
              <w:bottom w:val="single" w:sz="6" w:space="0" w:color="808080" w:themeColor="background1" w:themeShade="80"/>
            </w:tcBorders>
          </w:tcPr>
          <w:p w14:paraId="6AE61F87" w14:textId="77777777" w:rsidR="00136D77" w:rsidRPr="00783571" w:rsidRDefault="00136D77" w:rsidP="000B1C51">
            <w:pPr>
              <w:pStyle w:val="TableText"/>
              <w:keepNext/>
            </w:pPr>
            <w:r w:rsidRPr="00783571">
              <w:t>MSM</w:t>
            </w:r>
          </w:p>
        </w:tc>
        <w:tc>
          <w:tcPr>
            <w:tcW w:w="1719" w:type="dxa"/>
            <w:tcBorders>
              <w:top w:val="single" w:sz="6" w:space="0" w:color="808080" w:themeColor="background1" w:themeShade="80"/>
              <w:bottom w:val="single" w:sz="6" w:space="0" w:color="808080" w:themeColor="background1" w:themeShade="80"/>
            </w:tcBorders>
            <w:shd w:val="clear" w:color="auto" w:fill="auto"/>
            <w:noWrap/>
          </w:tcPr>
          <w:p w14:paraId="19546153" w14:textId="77777777" w:rsidR="00136D77" w:rsidRPr="00783571" w:rsidRDefault="00136D77" w:rsidP="0018472F">
            <w:pPr>
              <w:pStyle w:val="TableText"/>
              <w:keepNext/>
              <w:jc w:val="center"/>
            </w:pPr>
            <w:r w:rsidRPr="00783571">
              <w:t>Low</w:t>
            </w:r>
          </w:p>
        </w:tc>
        <w:tc>
          <w:tcPr>
            <w:tcW w:w="1506" w:type="dxa"/>
            <w:tcBorders>
              <w:top w:val="single" w:sz="6" w:space="0" w:color="808080" w:themeColor="background1" w:themeShade="80"/>
              <w:bottom w:val="single" w:sz="6" w:space="0" w:color="808080" w:themeColor="background1" w:themeShade="80"/>
            </w:tcBorders>
            <w:shd w:val="clear" w:color="auto" w:fill="auto"/>
            <w:noWrap/>
          </w:tcPr>
          <w:p w14:paraId="55267A8D" w14:textId="3086B54D" w:rsidR="00136D77" w:rsidRPr="00783571" w:rsidRDefault="00136D77" w:rsidP="0018472F">
            <w:pPr>
              <w:pStyle w:val="TableText"/>
              <w:keepNext/>
              <w:jc w:val="center"/>
            </w:pPr>
            <w:r w:rsidRPr="00783571">
              <w:t>9</w:t>
            </w:r>
            <w:r w:rsidR="00824E63" w:rsidRPr="00783571">
              <w:t>6.15</w:t>
            </w:r>
            <w:r w:rsidRPr="00783571">
              <w:t>%</w:t>
            </w:r>
          </w:p>
        </w:tc>
        <w:tc>
          <w:tcPr>
            <w:tcW w:w="1620" w:type="dxa"/>
            <w:tcBorders>
              <w:top w:val="single" w:sz="6" w:space="0" w:color="808080" w:themeColor="background1" w:themeShade="80"/>
              <w:bottom w:val="single" w:sz="6" w:space="0" w:color="808080" w:themeColor="background1" w:themeShade="80"/>
            </w:tcBorders>
            <w:shd w:val="clear" w:color="auto" w:fill="auto"/>
            <w:noWrap/>
          </w:tcPr>
          <w:p w14:paraId="4038656A" w14:textId="3C6731F4" w:rsidR="00136D77" w:rsidRPr="00783571" w:rsidRDefault="00824E63" w:rsidP="0018472F">
            <w:pPr>
              <w:pStyle w:val="TableText"/>
              <w:keepNext/>
              <w:jc w:val="center"/>
            </w:pPr>
            <w:r w:rsidRPr="00783571">
              <w:t>3.85</w:t>
            </w:r>
            <w:r w:rsidR="00136D77" w:rsidRPr="00783571">
              <w:t>%</w:t>
            </w:r>
          </w:p>
        </w:tc>
        <w:tc>
          <w:tcPr>
            <w:tcW w:w="2761" w:type="dxa"/>
            <w:vMerge/>
            <w:shd w:val="clear" w:color="auto" w:fill="auto"/>
            <w:noWrap/>
          </w:tcPr>
          <w:p w14:paraId="4E976674" w14:textId="4373FF3A" w:rsidR="00136D77" w:rsidRPr="00783571" w:rsidRDefault="00136D77" w:rsidP="000B1C51">
            <w:pPr>
              <w:pStyle w:val="TableText"/>
              <w:keepNext/>
            </w:pPr>
          </w:p>
        </w:tc>
      </w:tr>
      <w:tr w:rsidR="00136D77" w:rsidRPr="00783571" w14:paraId="7AF877C7" w14:textId="77777777" w:rsidTr="00260D8A">
        <w:trPr>
          <w:cantSplit/>
        </w:trPr>
        <w:tc>
          <w:tcPr>
            <w:tcW w:w="1754" w:type="dxa"/>
            <w:vMerge/>
            <w:tcBorders>
              <w:top w:val="single" w:sz="6" w:space="0" w:color="808080" w:themeColor="background1" w:themeShade="80"/>
              <w:bottom w:val="single" w:sz="12" w:space="0" w:color="000000"/>
            </w:tcBorders>
          </w:tcPr>
          <w:p w14:paraId="078D0ED1" w14:textId="77777777" w:rsidR="00136D77" w:rsidRPr="00783571" w:rsidRDefault="00136D77" w:rsidP="000B1C51">
            <w:pPr>
              <w:pStyle w:val="TableText"/>
              <w:keepNext/>
            </w:pPr>
          </w:p>
        </w:tc>
        <w:tc>
          <w:tcPr>
            <w:tcW w:w="1719" w:type="dxa"/>
            <w:tcBorders>
              <w:top w:val="single" w:sz="6" w:space="0" w:color="808080" w:themeColor="background1" w:themeShade="80"/>
              <w:bottom w:val="single" w:sz="12" w:space="0" w:color="000000"/>
            </w:tcBorders>
            <w:shd w:val="clear" w:color="auto" w:fill="auto"/>
            <w:noWrap/>
          </w:tcPr>
          <w:p w14:paraId="497E13AF" w14:textId="77777777" w:rsidR="00136D77" w:rsidRPr="00783571" w:rsidRDefault="00136D77" w:rsidP="0018472F">
            <w:pPr>
              <w:pStyle w:val="TableText"/>
              <w:keepNext/>
              <w:jc w:val="center"/>
            </w:pPr>
            <w:r w:rsidRPr="00783571">
              <w:t>High</w:t>
            </w:r>
          </w:p>
        </w:tc>
        <w:tc>
          <w:tcPr>
            <w:tcW w:w="1506" w:type="dxa"/>
            <w:tcBorders>
              <w:top w:val="single" w:sz="6" w:space="0" w:color="808080" w:themeColor="background1" w:themeShade="80"/>
              <w:bottom w:val="single" w:sz="12" w:space="0" w:color="000000"/>
            </w:tcBorders>
            <w:shd w:val="clear" w:color="auto" w:fill="auto"/>
            <w:noWrap/>
          </w:tcPr>
          <w:p w14:paraId="04C5FD6A" w14:textId="174112B1" w:rsidR="00136D77" w:rsidRPr="00783571" w:rsidRDefault="00824E63" w:rsidP="0018472F">
            <w:pPr>
              <w:pStyle w:val="TableText"/>
              <w:keepNext/>
              <w:jc w:val="center"/>
            </w:pPr>
            <w:r w:rsidRPr="00783571">
              <w:t>23.12</w:t>
            </w:r>
            <w:r w:rsidR="00136D77" w:rsidRPr="00783571">
              <w:t>%</w:t>
            </w:r>
          </w:p>
        </w:tc>
        <w:tc>
          <w:tcPr>
            <w:tcW w:w="1620" w:type="dxa"/>
            <w:tcBorders>
              <w:top w:val="single" w:sz="6" w:space="0" w:color="808080" w:themeColor="background1" w:themeShade="80"/>
              <w:bottom w:val="single" w:sz="12" w:space="0" w:color="000000"/>
            </w:tcBorders>
            <w:shd w:val="clear" w:color="auto" w:fill="auto"/>
            <w:noWrap/>
          </w:tcPr>
          <w:p w14:paraId="3A978102" w14:textId="1CA023A6" w:rsidR="00136D77" w:rsidRPr="00783571" w:rsidRDefault="00824E63" w:rsidP="0018472F">
            <w:pPr>
              <w:pStyle w:val="TableText"/>
              <w:keepNext/>
              <w:jc w:val="center"/>
            </w:pPr>
            <w:r w:rsidRPr="00783571">
              <w:t>76.88</w:t>
            </w:r>
            <w:r w:rsidR="00136D77" w:rsidRPr="00783571">
              <w:t>%</w:t>
            </w:r>
          </w:p>
        </w:tc>
        <w:tc>
          <w:tcPr>
            <w:tcW w:w="2761" w:type="dxa"/>
            <w:vMerge/>
            <w:tcBorders>
              <w:bottom w:val="single" w:sz="12" w:space="0" w:color="000000"/>
            </w:tcBorders>
            <w:shd w:val="clear" w:color="auto" w:fill="auto"/>
            <w:noWrap/>
          </w:tcPr>
          <w:p w14:paraId="613CF7BA" w14:textId="14658525" w:rsidR="00136D77" w:rsidRPr="00783571" w:rsidRDefault="00136D77" w:rsidP="000B1C51">
            <w:pPr>
              <w:pStyle w:val="TableText"/>
              <w:keepNext/>
            </w:pPr>
          </w:p>
        </w:tc>
      </w:tr>
    </w:tbl>
    <w:p w14:paraId="29180C00" w14:textId="4E75D576" w:rsidR="008F5D01" w:rsidRPr="00783571" w:rsidRDefault="008B7BBC" w:rsidP="00D05643">
      <w:pPr>
        <w:pStyle w:val="Source2"/>
      </w:pPr>
      <w:r w:rsidRPr="00783571">
        <w:t>Note: HET = heterosexual</w:t>
      </w:r>
      <w:r w:rsidR="00C03EBD" w:rsidRPr="00783571">
        <w:t xml:space="preserve">; PWID = </w:t>
      </w:r>
      <w:r w:rsidRPr="00783571">
        <w:t>people who inject drugs; MSM = men who have sex with men</w:t>
      </w:r>
    </w:p>
    <w:p w14:paraId="063E2D43" w14:textId="7805B6EA" w:rsidR="002A1E55" w:rsidRPr="00783571" w:rsidRDefault="002A1E55" w:rsidP="00D05643">
      <w:pPr>
        <w:pStyle w:val="Source4"/>
      </w:pPr>
      <w:r w:rsidRPr="00783571">
        <w:rPr>
          <w:vertAlign w:val="superscript"/>
        </w:rPr>
        <w:t xml:space="preserve">a </w:t>
      </w:r>
      <w:r w:rsidRPr="00783571">
        <w:t>All PWID are high-risk.</w:t>
      </w:r>
    </w:p>
    <w:p w14:paraId="1A911579" w14:textId="5D506725" w:rsidR="008F5D01" w:rsidRPr="00783571" w:rsidRDefault="004F4E6D" w:rsidP="008F5D01">
      <w:pPr>
        <w:pStyle w:val="TableTitle"/>
      </w:pPr>
      <w:bookmarkStart w:id="52" w:name="_Toc510104028"/>
      <w:r w:rsidRPr="00783571">
        <w:t>Table 6.</w:t>
      </w:r>
      <w:r w:rsidR="008F5D01" w:rsidRPr="00783571">
        <w:t>5.</w:t>
      </w:r>
      <w:r w:rsidR="008F5D01" w:rsidRPr="00783571">
        <w:tab/>
        <w:t>Distribution of Needle-Sharing Partners by Sex (</w:t>
      </w:r>
      <w:r w:rsidR="00A1059F" w:rsidRPr="00783571">
        <w:t>PWID</w:t>
      </w:r>
      <w:r w:rsidR="008F5D01" w:rsidRPr="00783571">
        <w:t xml:space="preserve"> </w:t>
      </w:r>
      <w:r w:rsidR="00D1426F" w:rsidRPr="00783571">
        <w:t>O</w:t>
      </w:r>
      <w:r w:rsidR="008F5D01" w:rsidRPr="00783571">
        <w:t>nly)</w:t>
      </w:r>
      <w:bookmarkEnd w:id="52"/>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2124"/>
        <w:gridCol w:w="1777"/>
        <w:gridCol w:w="1839"/>
        <w:gridCol w:w="3620"/>
      </w:tblGrid>
      <w:tr w:rsidR="008F5D01" w:rsidRPr="00783571" w14:paraId="1BE5C978" w14:textId="77777777" w:rsidTr="00260D8A">
        <w:trPr>
          <w:cantSplit/>
          <w:tblHeader/>
        </w:trPr>
        <w:tc>
          <w:tcPr>
            <w:tcW w:w="2124" w:type="dxa"/>
            <w:tcBorders>
              <w:top w:val="single" w:sz="12" w:space="0" w:color="000000"/>
              <w:bottom w:val="single" w:sz="6" w:space="0" w:color="auto"/>
            </w:tcBorders>
            <w:shd w:val="clear" w:color="auto" w:fill="auto"/>
            <w:noWrap/>
            <w:vAlign w:val="bottom"/>
            <w:hideMark/>
          </w:tcPr>
          <w:p w14:paraId="4AF182A5" w14:textId="77777777" w:rsidR="008F5D01" w:rsidRPr="00783571" w:rsidRDefault="00B8648E" w:rsidP="000B1C51">
            <w:pPr>
              <w:pStyle w:val="TableHeaders"/>
              <w:keepNext/>
              <w:spacing w:before="60" w:after="60"/>
            </w:pPr>
            <w:r w:rsidRPr="00783571">
              <w:t>Sex</w:t>
            </w:r>
          </w:p>
        </w:tc>
        <w:tc>
          <w:tcPr>
            <w:tcW w:w="1777" w:type="dxa"/>
            <w:tcBorders>
              <w:top w:val="single" w:sz="12" w:space="0" w:color="000000"/>
              <w:bottom w:val="single" w:sz="6" w:space="0" w:color="auto"/>
            </w:tcBorders>
            <w:shd w:val="clear" w:color="auto" w:fill="auto"/>
            <w:noWrap/>
            <w:vAlign w:val="bottom"/>
            <w:hideMark/>
          </w:tcPr>
          <w:p w14:paraId="2E2DDCEB" w14:textId="77777777" w:rsidR="008F5D01" w:rsidRPr="00783571" w:rsidRDefault="008F5D01" w:rsidP="000B1C51">
            <w:pPr>
              <w:pStyle w:val="TableHeaders"/>
              <w:keepNext/>
              <w:spacing w:before="60" w:after="60"/>
            </w:pPr>
            <w:r w:rsidRPr="00783571">
              <w:t>Males</w:t>
            </w:r>
          </w:p>
        </w:tc>
        <w:tc>
          <w:tcPr>
            <w:tcW w:w="1839" w:type="dxa"/>
            <w:tcBorders>
              <w:top w:val="single" w:sz="12" w:space="0" w:color="000000"/>
              <w:bottom w:val="single" w:sz="6" w:space="0" w:color="auto"/>
            </w:tcBorders>
            <w:shd w:val="clear" w:color="auto" w:fill="auto"/>
            <w:noWrap/>
            <w:vAlign w:val="bottom"/>
            <w:hideMark/>
          </w:tcPr>
          <w:p w14:paraId="3080E935" w14:textId="77777777" w:rsidR="008F5D01" w:rsidRPr="00783571" w:rsidRDefault="008F5D01" w:rsidP="000B1C51">
            <w:pPr>
              <w:pStyle w:val="TableHeaders"/>
              <w:keepNext/>
              <w:spacing w:before="60" w:after="60"/>
            </w:pPr>
            <w:r w:rsidRPr="00783571">
              <w:t>Females</w:t>
            </w:r>
          </w:p>
        </w:tc>
        <w:tc>
          <w:tcPr>
            <w:tcW w:w="3620" w:type="dxa"/>
            <w:tcBorders>
              <w:top w:val="single" w:sz="12" w:space="0" w:color="000000"/>
              <w:bottom w:val="single" w:sz="6" w:space="0" w:color="auto"/>
            </w:tcBorders>
            <w:shd w:val="clear" w:color="auto" w:fill="auto"/>
            <w:noWrap/>
            <w:vAlign w:val="bottom"/>
            <w:hideMark/>
          </w:tcPr>
          <w:p w14:paraId="5C7F54D1" w14:textId="77777777" w:rsidR="008F5D01" w:rsidRPr="00783571" w:rsidRDefault="008F5D01" w:rsidP="000B1C51">
            <w:pPr>
              <w:pStyle w:val="TableHeaders"/>
              <w:keepNext/>
              <w:spacing w:before="60" w:after="60"/>
            </w:pPr>
            <w:r w:rsidRPr="00783571">
              <w:t>Source</w:t>
            </w:r>
          </w:p>
        </w:tc>
      </w:tr>
      <w:tr w:rsidR="00887AC9" w:rsidRPr="00783571" w14:paraId="1A4F425F" w14:textId="77777777" w:rsidTr="00260D8A">
        <w:trPr>
          <w:cantSplit/>
        </w:trPr>
        <w:tc>
          <w:tcPr>
            <w:tcW w:w="2124" w:type="dxa"/>
            <w:tcBorders>
              <w:top w:val="single" w:sz="6" w:space="0" w:color="auto"/>
              <w:bottom w:val="single" w:sz="6" w:space="0" w:color="808080" w:themeColor="background1" w:themeShade="80"/>
            </w:tcBorders>
            <w:shd w:val="clear" w:color="auto" w:fill="auto"/>
            <w:noWrap/>
            <w:hideMark/>
          </w:tcPr>
          <w:p w14:paraId="596EB784" w14:textId="77777777" w:rsidR="00887AC9" w:rsidRPr="00783571" w:rsidRDefault="00887AC9" w:rsidP="000B1C51">
            <w:pPr>
              <w:pStyle w:val="TableText"/>
              <w:keepNext/>
            </w:pPr>
            <w:r w:rsidRPr="00783571">
              <w:t>Males</w:t>
            </w:r>
          </w:p>
        </w:tc>
        <w:tc>
          <w:tcPr>
            <w:tcW w:w="1777" w:type="dxa"/>
            <w:tcBorders>
              <w:top w:val="single" w:sz="6" w:space="0" w:color="auto"/>
              <w:bottom w:val="single" w:sz="6" w:space="0" w:color="808080" w:themeColor="background1" w:themeShade="80"/>
            </w:tcBorders>
            <w:shd w:val="clear" w:color="auto" w:fill="auto"/>
            <w:noWrap/>
          </w:tcPr>
          <w:p w14:paraId="07832244" w14:textId="77777777" w:rsidR="00887AC9" w:rsidRPr="00783571" w:rsidRDefault="00887AC9" w:rsidP="000B1C51">
            <w:pPr>
              <w:pStyle w:val="TableText"/>
              <w:keepNext/>
              <w:jc w:val="center"/>
            </w:pPr>
            <w:r w:rsidRPr="00783571">
              <w:t>62.99%</w:t>
            </w:r>
          </w:p>
        </w:tc>
        <w:tc>
          <w:tcPr>
            <w:tcW w:w="1839" w:type="dxa"/>
            <w:tcBorders>
              <w:top w:val="single" w:sz="6" w:space="0" w:color="auto"/>
              <w:bottom w:val="single" w:sz="6" w:space="0" w:color="808080" w:themeColor="background1" w:themeShade="80"/>
            </w:tcBorders>
            <w:shd w:val="clear" w:color="auto" w:fill="auto"/>
            <w:noWrap/>
          </w:tcPr>
          <w:p w14:paraId="4CC63FFA" w14:textId="77777777" w:rsidR="00887AC9" w:rsidRPr="00783571" w:rsidRDefault="00887AC9" w:rsidP="000B1C51">
            <w:pPr>
              <w:pStyle w:val="TableText"/>
              <w:keepNext/>
              <w:jc w:val="center"/>
            </w:pPr>
            <w:r w:rsidRPr="00783571">
              <w:t>37.01%</w:t>
            </w:r>
          </w:p>
        </w:tc>
        <w:tc>
          <w:tcPr>
            <w:tcW w:w="3620" w:type="dxa"/>
            <w:vMerge w:val="restart"/>
            <w:tcBorders>
              <w:top w:val="single" w:sz="6" w:space="0" w:color="auto"/>
              <w:bottom w:val="single" w:sz="6" w:space="0" w:color="808080" w:themeColor="background1" w:themeShade="80"/>
            </w:tcBorders>
            <w:shd w:val="clear" w:color="auto" w:fill="auto"/>
            <w:noWrap/>
            <w:hideMark/>
          </w:tcPr>
          <w:p w14:paraId="6C913947" w14:textId="5C334AEE" w:rsidR="00887AC9" w:rsidRPr="00783571" w:rsidRDefault="00887AC9" w:rsidP="008131D8">
            <w:pPr>
              <w:pStyle w:val="TableText"/>
              <w:keepNext/>
            </w:pPr>
            <w:r w:rsidRPr="00783571">
              <w:t xml:space="preserve">Assumed proportional to </w:t>
            </w:r>
            <w:r w:rsidR="00A1059F" w:rsidRPr="00783571">
              <w:t>PWID</w:t>
            </w:r>
            <w:r w:rsidRPr="00783571">
              <w:t xml:space="preserve"> population size</w:t>
            </w:r>
            <w:r w:rsidRPr="00783571">
              <w:rPr>
                <w:szCs w:val="18"/>
              </w:rPr>
              <w:t xml:space="preserve"> from Lansky et al. (2014)</w:t>
            </w:r>
          </w:p>
        </w:tc>
      </w:tr>
      <w:tr w:rsidR="00887AC9" w:rsidRPr="00783571" w14:paraId="587C86B4" w14:textId="77777777" w:rsidTr="00260D8A">
        <w:trPr>
          <w:cantSplit/>
        </w:trPr>
        <w:tc>
          <w:tcPr>
            <w:tcW w:w="2124" w:type="dxa"/>
            <w:tcBorders>
              <w:top w:val="single" w:sz="6" w:space="0" w:color="808080" w:themeColor="background1" w:themeShade="80"/>
              <w:bottom w:val="single" w:sz="12" w:space="0" w:color="000000"/>
            </w:tcBorders>
            <w:shd w:val="clear" w:color="auto" w:fill="auto"/>
            <w:noWrap/>
            <w:hideMark/>
          </w:tcPr>
          <w:p w14:paraId="6DB1E770" w14:textId="77777777" w:rsidR="00887AC9" w:rsidRPr="00783571" w:rsidRDefault="00887AC9" w:rsidP="000B1C51">
            <w:pPr>
              <w:pStyle w:val="TableText"/>
              <w:keepNext/>
            </w:pPr>
            <w:r w:rsidRPr="00783571">
              <w:t>Females</w:t>
            </w:r>
          </w:p>
        </w:tc>
        <w:tc>
          <w:tcPr>
            <w:tcW w:w="1777" w:type="dxa"/>
            <w:tcBorders>
              <w:top w:val="single" w:sz="6" w:space="0" w:color="808080" w:themeColor="background1" w:themeShade="80"/>
              <w:bottom w:val="single" w:sz="12" w:space="0" w:color="000000"/>
            </w:tcBorders>
            <w:shd w:val="clear" w:color="auto" w:fill="auto"/>
            <w:noWrap/>
          </w:tcPr>
          <w:p w14:paraId="5D08A4FA" w14:textId="77777777" w:rsidR="00887AC9" w:rsidRPr="00783571" w:rsidRDefault="00887AC9" w:rsidP="000B1C51">
            <w:pPr>
              <w:pStyle w:val="TableText"/>
              <w:keepNext/>
              <w:jc w:val="center"/>
            </w:pPr>
            <w:r w:rsidRPr="00783571">
              <w:t>62.99%</w:t>
            </w:r>
          </w:p>
        </w:tc>
        <w:tc>
          <w:tcPr>
            <w:tcW w:w="1839" w:type="dxa"/>
            <w:tcBorders>
              <w:top w:val="single" w:sz="6" w:space="0" w:color="808080" w:themeColor="background1" w:themeShade="80"/>
              <w:bottom w:val="single" w:sz="12" w:space="0" w:color="000000"/>
            </w:tcBorders>
            <w:shd w:val="clear" w:color="auto" w:fill="auto"/>
            <w:noWrap/>
          </w:tcPr>
          <w:p w14:paraId="2FADFD3D" w14:textId="77777777" w:rsidR="00887AC9" w:rsidRPr="00783571" w:rsidRDefault="00887AC9" w:rsidP="000B1C51">
            <w:pPr>
              <w:pStyle w:val="TableText"/>
              <w:keepNext/>
              <w:jc w:val="center"/>
            </w:pPr>
            <w:r w:rsidRPr="00783571">
              <w:t>37.01%</w:t>
            </w:r>
          </w:p>
        </w:tc>
        <w:tc>
          <w:tcPr>
            <w:tcW w:w="3620" w:type="dxa"/>
            <w:vMerge/>
            <w:tcBorders>
              <w:top w:val="single" w:sz="6" w:space="0" w:color="808080" w:themeColor="background1" w:themeShade="80"/>
              <w:bottom w:val="single" w:sz="12" w:space="0" w:color="000000"/>
            </w:tcBorders>
            <w:shd w:val="clear" w:color="auto" w:fill="auto"/>
            <w:noWrap/>
          </w:tcPr>
          <w:p w14:paraId="40D8CEA6" w14:textId="77777777" w:rsidR="00887AC9" w:rsidRPr="00783571" w:rsidRDefault="00887AC9" w:rsidP="000B1C51">
            <w:pPr>
              <w:pStyle w:val="TableText"/>
              <w:keepNext/>
            </w:pPr>
          </w:p>
        </w:tc>
      </w:tr>
    </w:tbl>
    <w:p w14:paraId="0F8F8234" w14:textId="7C3FED76" w:rsidR="004F4E6D" w:rsidRPr="00783571" w:rsidRDefault="005D471A" w:rsidP="00D05643">
      <w:pPr>
        <w:pStyle w:val="Source1"/>
      </w:pPr>
      <w:r w:rsidRPr="00783571">
        <w:t xml:space="preserve">Note: </w:t>
      </w:r>
      <w:r w:rsidR="00F77D76" w:rsidRPr="00783571">
        <w:t>PWID</w:t>
      </w:r>
      <w:r w:rsidR="00E628BE" w:rsidRPr="00783571">
        <w:t> = </w:t>
      </w:r>
      <w:r w:rsidR="00F77D76" w:rsidRPr="00783571">
        <w:t>people who inject drugs</w:t>
      </w:r>
    </w:p>
    <w:p w14:paraId="43FFECB3" w14:textId="288242B4" w:rsidR="008F5D01" w:rsidRPr="00783571" w:rsidRDefault="004F4E6D" w:rsidP="008B7BBC">
      <w:pPr>
        <w:pStyle w:val="TableTitle"/>
      </w:pPr>
      <w:bookmarkStart w:id="53" w:name="_Toc510104029"/>
      <w:r w:rsidRPr="00783571">
        <w:t>Table 6.</w:t>
      </w:r>
      <w:r w:rsidR="008F5D01" w:rsidRPr="00783571">
        <w:t>6.</w:t>
      </w:r>
      <w:r w:rsidR="008F5D01" w:rsidRPr="00783571">
        <w:tab/>
        <w:t>Distribution of Needle-Sharing Partners by Race</w:t>
      </w:r>
      <w:r w:rsidR="00B8648E" w:rsidRPr="00783571">
        <w:t>/Ethnicity</w:t>
      </w:r>
      <w:r w:rsidR="008F5D01" w:rsidRPr="00783571">
        <w:t xml:space="preserve"> (</w:t>
      </w:r>
      <w:r w:rsidR="00F77D76" w:rsidRPr="00783571">
        <w:t>PWID</w:t>
      </w:r>
      <w:r w:rsidR="008F5D01" w:rsidRPr="00783571">
        <w:t xml:space="preserve"> </w:t>
      </w:r>
      <w:r w:rsidR="00D1426F" w:rsidRPr="00783571">
        <w:t>O</w:t>
      </w:r>
      <w:r w:rsidR="008F5D01" w:rsidRPr="00783571">
        <w:t>nly)</w:t>
      </w:r>
      <w:bookmarkEnd w:id="53"/>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2134"/>
        <w:gridCol w:w="1585"/>
        <w:gridCol w:w="1585"/>
        <w:gridCol w:w="1585"/>
        <w:gridCol w:w="2471"/>
      </w:tblGrid>
      <w:tr w:rsidR="008F5D01" w:rsidRPr="00783571" w14:paraId="4827690A" w14:textId="77777777" w:rsidTr="00260D8A">
        <w:trPr>
          <w:cantSplit/>
          <w:tblHeader/>
        </w:trPr>
        <w:tc>
          <w:tcPr>
            <w:tcW w:w="2134" w:type="dxa"/>
            <w:tcBorders>
              <w:top w:val="single" w:sz="12" w:space="0" w:color="000000"/>
              <w:bottom w:val="single" w:sz="6" w:space="0" w:color="auto"/>
            </w:tcBorders>
            <w:shd w:val="clear" w:color="auto" w:fill="auto"/>
            <w:noWrap/>
            <w:vAlign w:val="bottom"/>
            <w:hideMark/>
          </w:tcPr>
          <w:p w14:paraId="4C287AC6" w14:textId="77777777" w:rsidR="008F5D01" w:rsidRPr="00783571" w:rsidRDefault="00B8648E" w:rsidP="000B1C51">
            <w:pPr>
              <w:pStyle w:val="TableHeaders"/>
              <w:keepNext/>
              <w:spacing w:before="60" w:after="60"/>
            </w:pPr>
            <w:r w:rsidRPr="00783571">
              <w:t>Race/Ethnicity</w:t>
            </w:r>
          </w:p>
        </w:tc>
        <w:tc>
          <w:tcPr>
            <w:tcW w:w="1585" w:type="dxa"/>
            <w:tcBorders>
              <w:top w:val="single" w:sz="12" w:space="0" w:color="000000"/>
              <w:bottom w:val="single" w:sz="6" w:space="0" w:color="auto"/>
            </w:tcBorders>
            <w:shd w:val="clear" w:color="auto" w:fill="auto"/>
            <w:noWrap/>
            <w:vAlign w:val="bottom"/>
            <w:hideMark/>
          </w:tcPr>
          <w:p w14:paraId="47FADF69" w14:textId="77777777" w:rsidR="008F5D01" w:rsidRPr="00783571" w:rsidRDefault="008F5D01" w:rsidP="000B1C51">
            <w:pPr>
              <w:pStyle w:val="TableHeaders"/>
              <w:keepNext/>
              <w:spacing w:before="60" w:after="60"/>
            </w:pPr>
            <w:r w:rsidRPr="00783571">
              <w:t>Black</w:t>
            </w:r>
          </w:p>
        </w:tc>
        <w:tc>
          <w:tcPr>
            <w:tcW w:w="1585" w:type="dxa"/>
            <w:tcBorders>
              <w:top w:val="single" w:sz="12" w:space="0" w:color="000000"/>
              <w:bottom w:val="single" w:sz="6" w:space="0" w:color="auto"/>
            </w:tcBorders>
            <w:shd w:val="clear" w:color="auto" w:fill="auto"/>
            <w:noWrap/>
            <w:vAlign w:val="bottom"/>
            <w:hideMark/>
          </w:tcPr>
          <w:p w14:paraId="7E59A50B" w14:textId="77777777" w:rsidR="008F5D01" w:rsidRPr="00783571" w:rsidRDefault="008F5D01" w:rsidP="000B1C51">
            <w:pPr>
              <w:pStyle w:val="TableHeaders"/>
              <w:keepNext/>
              <w:spacing w:before="60" w:after="60"/>
            </w:pPr>
            <w:r w:rsidRPr="00783571">
              <w:t>Hispanic</w:t>
            </w:r>
          </w:p>
        </w:tc>
        <w:tc>
          <w:tcPr>
            <w:tcW w:w="1585" w:type="dxa"/>
            <w:tcBorders>
              <w:top w:val="single" w:sz="12" w:space="0" w:color="000000"/>
              <w:bottom w:val="single" w:sz="6" w:space="0" w:color="auto"/>
            </w:tcBorders>
            <w:shd w:val="clear" w:color="auto" w:fill="auto"/>
            <w:noWrap/>
            <w:vAlign w:val="bottom"/>
            <w:hideMark/>
          </w:tcPr>
          <w:p w14:paraId="501D9866" w14:textId="77777777" w:rsidR="008F5D01" w:rsidRPr="00783571" w:rsidRDefault="008F5D01" w:rsidP="000B1C51">
            <w:pPr>
              <w:pStyle w:val="TableHeaders"/>
              <w:keepNext/>
              <w:spacing w:before="60" w:after="60"/>
            </w:pPr>
            <w:r w:rsidRPr="00783571">
              <w:t>Other</w:t>
            </w:r>
          </w:p>
        </w:tc>
        <w:tc>
          <w:tcPr>
            <w:tcW w:w="2471" w:type="dxa"/>
            <w:tcBorders>
              <w:top w:val="single" w:sz="12" w:space="0" w:color="000000"/>
              <w:bottom w:val="single" w:sz="6" w:space="0" w:color="auto"/>
            </w:tcBorders>
            <w:shd w:val="clear" w:color="auto" w:fill="auto"/>
            <w:noWrap/>
            <w:vAlign w:val="bottom"/>
            <w:hideMark/>
          </w:tcPr>
          <w:p w14:paraId="1A6C4F35" w14:textId="77777777" w:rsidR="008F5D01" w:rsidRPr="00783571" w:rsidRDefault="008F5D01" w:rsidP="000B1C51">
            <w:pPr>
              <w:pStyle w:val="TableHeaders"/>
              <w:keepNext/>
              <w:spacing w:before="60" w:after="60"/>
            </w:pPr>
            <w:r w:rsidRPr="00783571">
              <w:t>Source</w:t>
            </w:r>
          </w:p>
        </w:tc>
      </w:tr>
      <w:tr w:rsidR="008F5D01" w:rsidRPr="00783571" w14:paraId="56D2ED30" w14:textId="77777777" w:rsidTr="00260D8A">
        <w:trPr>
          <w:cantSplit/>
        </w:trPr>
        <w:tc>
          <w:tcPr>
            <w:tcW w:w="2134" w:type="dxa"/>
            <w:tcBorders>
              <w:top w:val="single" w:sz="6" w:space="0" w:color="auto"/>
              <w:bottom w:val="single" w:sz="6" w:space="0" w:color="808080" w:themeColor="background1" w:themeShade="80"/>
            </w:tcBorders>
            <w:shd w:val="clear" w:color="auto" w:fill="auto"/>
            <w:noWrap/>
            <w:hideMark/>
          </w:tcPr>
          <w:p w14:paraId="2AF574BC" w14:textId="77777777" w:rsidR="008F5D01" w:rsidRPr="00783571" w:rsidRDefault="008F5D01" w:rsidP="000B1C51">
            <w:pPr>
              <w:pStyle w:val="TableText"/>
              <w:keepNext/>
            </w:pPr>
            <w:r w:rsidRPr="00783571">
              <w:t>Black</w:t>
            </w:r>
          </w:p>
        </w:tc>
        <w:tc>
          <w:tcPr>
            <w:tcW w:w="1585" w:type="dxa"/>
            <w:tcBorders>
              <w:top w:val="single" w:sz="6" w:space="0" w:color="auto"/>
              <w:bottom w:val="single" w:sz="6" w:space="0" w:color="808080" w:themeColor="background1" w:themeShade="80"/>
            </w:tcBorders>
            <w:shd w:val="clear" w:color="auto" w:fill="auto"/>
            <w:noWrap/>
            <w:hideMark/>
          </w:tcPr>
          <w:p w14:paraId="258C0A71" w14:textId="77777777" w:rsidR="008F5D01" w:rsidRPr="00783571" w:rsidRDefault="008F5D01" w:rsidP="000B1C51">
            <w:pPr>
              <w:pStyle w:val="TableText"/>
              <w:keepNext/>
              <w:jc w:val="center"/>
            </w:pPr>
            <w:r w:rsidRPr="00783571">
              <w:t>80%</w:t>
            </w:r>
          </w:p>
        </w:tc>
        <w:tc>
          <w:tcPr>
            <w:tcW w:w="1585" w:type="dxa"/>
            <w:tcBorders>
              <w:top w:val="single" w:sz="6" w:space="0" w:color="auto"/>
              <w:bottom w:val="single" w:sz="6" w:space="0" w:color="808080" w:themeColor="background1" w:themeShade="80"/>
            </w:tcBorders>
            <w:shd w:val="clear" w:color="auto" w:fill="auto"/>
            <w:noWrap/>
            <w:hideMark/>
          </w:tcPr>
          <w:p w14:paraId="08796918" w14:textId="77777777" w:rsidR="008F5D01" w:rsidRPr="00783571" w:rsidRDefault="008F5D01" w:rsidP="000B1C51">
            <w:pPr>
              <w:pStyle w:val="TableText"/>
              <w:keepNext/>
              <w:jc w:val="center"/>
            </w:pPr>
            <w:r w:rsidRPr="00783571">
              <w:t>5%</w:t>
            </w:r>
          </w:p>
        </w:tc>
        <w:tc>
          <w:tcPr>
            <w:tcW w:w="1585" w:type="dxa"/>
            <w:tcBorders>
              <w:top w:val="single" w:sz="6" w:space="0" w:color="auto"/>
              <w:bottom w:val="single" w:sz="6" w:space="0" w:color="808080" w:themeColor="background1" w:themeShade="80"/>
            </w:tcBorders>
            <w:shd w:val="clear" w:color="auto" w:fill="auto"/>
            <w:noWrap/>
            <w:hideMark/>
          </w:tcPr>
          <w:p w14:paraId="34C1819B" w14:textId="77777777" w:rsidR="008F5D01" w:rsidRPr="00783571" w:rsidRDefault="008F5D01" w:rsidP="000B1C51">
            <w:pPr>
              <w:pStyle w:val="TableText"/>
              <w:keepNext/>
              <w:jc w:val="center"/>
            </w:pPr>
            <w:r w:rsidRPr="00783571">
              <w:t>15%</w:t>
            </w:r>
          </w:p>
        </w:tc>
        <w:tc>
          <w:tcPr>
            <w:tcW w:w="2471" w:type="dxa"/>
            <w:vMerge w:val="restart"/>
            <w:tcBorders>
              <w:top w:val="single" w:sz="6" w:space="0" w:color="auto"/>
              <w:bottom w:val="single" w:sz="6" w:space="0" w:color="808080" w:themeColor="background1" w:themeShade="80"/>
            </w:tcBorders>
            <w:shd w:val="clear" w:color="auto" w:fill="auto"/>
            <w:noWrap/>
            <w:hideMark/>
          </w:tcPr>
          <w:p w14:paraId="7E95E083" w14:textId="77777777" w:rsidR="008F5D01" w:rsidRPr="00783571" w:rsidRDefault="008F5D01" w:rsidP="000B1C51">
            <w:pPr>
              <w:pStyle w:val="TableText"/>
              <w:keepNext/>
            </w:pPr>
            <w:r w:rsidRPr="00783571">
              <w:t xml:space="preserve">Assumed based on Lasry et al. (2012) </w:t>
            </w:r>
          </w:p>
        </w:tc>
      </w:tr>
      <w:tr w:rsidR="008F5D01" w:rsidRPr="00783571" w14:paraId="19A85B14" w14:textId="77777777" w:rsidTr="00260D8A">
        <w:trPr>
          <w:cantSplit/>
        </w:trPr>
        <w:tc>
          <w:tcPr>
            <w:tcW w:w="2134" w:type="dxa"/>
            <w:tcBorders>
              <w:top w:val="single" w:sz="6" w:space="0" w:color="808080" w:themeColor="background1" w:themeShade="80"/>
              <w:bottom w:val="single" w:sz="6" w:space="0" w:color="808080" w:themeColor="background1" w:themeShade="80"/>
            </w:tcBorders>
            <w:shd w:val="clear" w:color="auto" w:fill="auto"/>
            <w:noWrap/>
            <w:hideMark/>
          </w:tcPr>
          <w:p w14:paraId="74E21DFB" w14:textId="77777777" w:rsidR="008F5D01" w:rsidRPr="00783571" w:rsidRDefault="008F5D01" w:rsidP="000B1C51">
            <w:pPr>
              <w:pStyle w:val="TableText"/>
              <w:keepNext/>
            </w:pPr>
            <w:r w:rsidRPr="00783571">
              <w:t>Hispanic</w:t>
            </w:r>
          </w:p>
        </w:tc>
        <w:tc>
          <w:tcPr>
            <w:tcW w:w="1585" w:type="dxa"/>
            <w:tcBorders>
              <w:top w:val="single" w:sz="6" w:space="0" w:color="808080" w:themeColor="background1" w:themeShade="80"/>
              <w:bottom w:val="single" w:sz="6" w:space="0" w:color="808080" w:themeColor="background1" w:themeShade="80"/>
            </w:tcBorders>
            <w:shd w:val="clear" w:color="auto" w:fill="auto"/>
            <w:noWrap/>
            <w:hideMark/>
          </w:tcPr>
          <w:p w14:paraId="21A51455" w14:textId="77777777" w:rsidR="008F5D01" w:rsidRPr="00783571" w:rsidRDefault="008F5D01" w:rsidP="000B1C51">
            <w:pPr>
              <w:pStyle w:val="TableText"/>
              <w:keepNext/>
              <w:jc w:val="center"/>
            </w:pPr>
            <w:r w:rsidRPr="00783571">
              <w:t>5%</w:t>
            </w:r>
          </w:p>
        </w:tc>
        <w:tc>
          <w:tcPr>
            <w:tcW w:w="1585" w:type="dxa"/>
            <w:tcBorders>
              <w:top w:val="single" w:sz="6" w:space="0" w:color="808080" w:themeColor="background1" w:themeShade="80"/>
              <w:bottom w:val="single" w:sz="6" w:space="0" w:color="808080" w:themeColor="background1" w:themeShade="80"/>
            </w:tcBorders>
            <w:shd w:val="clear" w:color="auto" w:fill="auto"/>
            <w:noWrap/>
            <w:hideMark/>
          </w:tcPr>
          <w:p w14:paraId="5509B4F4" w14:textId="77777777" w:rsidR="008F5D01" w:rsidRPr="00783571" w:rsidRDefault="008F5D01" w:rsidP="000B1C51">
            <w:pPr>
              <w:pStyle w:val="TableText"/>
              <w:keepNext/>
              <w:jc w:val="center"/>
            </w:pPr>
            <w:r w:rsidRPr="00783571">
              <w:t>80%</w:t>
            </w:r>
          </w:p>
        </w:tc>
        <w:tc>
          <w:tcPr>
            <w:tcW w:w="1585" w:type="dxa"/>
            <w:tcBorders>
              <w:top w:val="single" w:sz="6" w:space="0" w:color="808080" w:themeColor="background1" w:themeShade="80"/>
              <w:bottom w:val="single" w:sz="6" w:space="0" w:color="808080" w:themeColor="background1" w:themeShade="80"/>
            </w:tcBorders>
            <w:shd w:val="clear" w:color="auto" w:fill="auto"/>
            <w:noWrap/>
            <w:hideMark/>
          </w:tcPr>
          <w:p w14:paraId="706FD7B1" w14:textId="77777777" w:rsidR="008F5D01" w:rsidRPr="00783571" w:rsidRDefault="008F5D01" w:rsidP="000B1C51">
            <w:pPr>
              <w:pStyle w:val="TableText"/>
              <w:keepNext/>
              <w:jc w:val="center"/>
            </w:pPr>
            <w:r w:rsidRPr="00783571">
              <w:t>15%</w:t>
            </w:r>
          </w:p>
        </w:tc>
        <w:tc>
          <w:tcPr>
            <w:tcW w:w="2471" w:type="dxa"/>
            <w:vMerge/>
            <w:tcBorders>
              <w:top w:val="single" w:sz="6" w:space="0" w:color="808080" w:themeColor="background1" w:themeShade="80"/>
              <w:bottom w:val="single" w:sz="6" w:space="0" w:color="808080" w:themeColor="background1" w:themeShade="80"/>
            </w:tcBorders>
            <w:shd w:val="clear" w:color="auto" w:fill="auto"/>
            <w:noWrap/>
          </w:tcPr>
          <w:p w14:paraId="0DB2A674" w14:textId="77777777" w:rsidR="008F5D01" w:rsidRPr="00783571" w:rsidRDefault="008F5D01" w:rsidP="000B1C51">
            <w:pPr>
              <w:pStyle w:val="TableText"/>
              <w:keepNext/>
            </w:pPr>
          </w:p>
        </w:tc>
      </w:tr>
      <w:tr w:rsidR="008F5D01" w:rsidRPr="00783571" w14:paraId="58107103" w14:textId="77777777" w:rsidTr="00260D8A">
        <w:trPr>
          <w:cantSplit/>
        </w:trPr>
        <w:tc>
          <w:tcPr>
            <w:tcW w:w="2134" w:type="dxa"/>
            <w:tcBorders>
              <w:top w:val="single" w:sz="6" w:space="0" w:color="808080" w:themeColor="background1" w:themeShade="80"/>
              <w:bottom w:val="single" w:sz="12" w:space="0" w:color="000000"/>
            </w:tcBorders>
            <w:shd w:val="clear" w:color="auto" w:fill="auto"/>
            <w:noWrap/>
            <w:hideMark/>
          </w:tcPr>
          <w:p w14:paraId="6ABAC4D0" w14:textId="77777777" w:rsidR="008F5D01" w:rsidRPr="00783571" w:rsidRDefault="008F5D01" w:rsidP="000B1C51">
            <w:pPr>
              <w:pStyle w:val="TableText"/>
              <w:keepNext/>
            </w:pPr>
            <w:r w:rsidRPr="00783571">
              <w:t>Other</w:t>
            </w:r>
          </w:p>
        </w:tc>
        <w:tc>
          <w:tcPr>
            <w:tcW w:w="1585" w:type="dxa"/>
            <w:tcBorders>
              <w:top w:val="single" w:sz="6" w:space="0" w:color="808080" w:themeColor="background1" w:themeShade="80"/>
              <w:bottom w:val="single" w:sz="12" w:space="0" w:color="000000"/>
            </w:tcBorders>
            <w:shd w:val="clear" w:color="auto" w:fill="auto"/>
            <w:noWrap/>
            <w:hideMark/>
          </w:tcPr>
          <w:p w14:paraId="1A1D4265" w14:textId="77777777" w:rsidR="008F5D01" w:rsidRPr="00783571" w:rsidRDefault="008F5D01" w:rsidP="000B1C51">
            <w:pPr>
              <w:pStyle w:val="TableText"/>
              <w:keepNext/>
              <w:jc w:val="center"/>
            </w:pPr>
            <w:r w:rsidRPr="00783571">
              <w:t>15%</w:t>
            </w:r>
          </w:p>
        </w:tc>
        <w:tc>
          <w:tcPr>
            <w:tcW w:w="1585" w:type="dxa"/>
            <w:tcBorders>
              <w:top w:val="single" w:sz="6" w:space="0" w:color="808080" w:themeColor="background1" w:themeShade="80"/>
              <w:bottom w:val="single" w:sz="12" w:space="0" w:color="000000"/>
            </w:tcBorders>
            <w:shd w:val="clear" w:color="auto" w:fill="auto"/>
            <w:noWrap/>
            <w:hideMark/>
          </w:tcPr>
          <w:p w14:paraId="6F88E691" w14:textId="77777777" w:rsidR="008F5D01" w:rsidRPr="00783571" w:rsidRDefault="008F5D01" w:rsidP="000B1C51">
            <w:pPr>
              <w:pStyle w:val="TableText"/>
              <w:keepNext/>
              <w:jc w:val="center"/>
            </w:pPr>
            <w:r w:rsidRPr="00783571">
              <w:t>5%</w:t>
            </w:r>
          </w:p>
        </w:tc>
        <w:tc>
          <w:tcPr>
            <w:tcW w:w="1585" w:type="dxa"/>
            <w:tcBorders>
              <w:top w:val="single" w:sz="6" w:space="0" w:color="808080" w:themeColor="background1" w:themeShade="80"/>
              <w:bottom w:val="single" w:sz="12" w:space="0" w:color="000000"/>
            </w:tcBorders>
            <w:shd w:val="clear" w:color="auto" w:fill="auto"/>
            <w:noWrap/>
            <w:hideMark/>
          </w:tcPr>
          <w:p w14:paraId="72024C9F" w14:textId="77777777" w:rsidR="008F5D01" w:rsidRPr="00783571" w:rsidRDefault="008F5D01" w:rsidP="000B1C51">
            <w:pPr>
              <w:pStyle w:val="TableText"/>
              <w:keepNext/>
              <w:jc w:val="center"/>
            </w:pPr>
            <w:r w:rsidRPr="00783571">
              <w:t>80%</w:t>
            </w:r>
          </w:p>
        </w:tc>
        <w:tc>
          <w:tcPr>
            <w:tcW w:w="2471" w:type="dxa"/>
            <w:vMerge/>
            <w:tcBorders>
              <w:top w:val="single" w:sz="6" w:space="0" w:color="808080" w:themeColor="background1" w:themeShade="80"/>
              <w:bottom w:val="single" w:sz="12" w:space="0" w:color="000000"/>
            </w:tcBorders>
            <w:shd w:val="clear" w:color="auto" w:fill="auto"/>
            <w:noWrap/>
          </w:tcPr>
          <w:p w14:paraId="5D426B04" w14:textId="77777777" w:rsidR="008F5D01" w:rsidRPr="00783571" w:rsidRDefault="008F5D01" w:rsidP="000B1C51">
            <w:pPr>
              <w:pStyle w:val="TableText"/>
              <w:keepNext/>
            </w:pPr>
          </w:p>
        </w:tc>
      </w:tr>
    </w:tbl>
    <w:p w14:paraId="09CC63E6" w14:textId="175BE0A6" w:rsidR="008F5D01" w:rsidRPr="00783571" w:rsidRDefault="005D471A" w:rsidP="00D05643">
      <w:pPr>
        <w:pStyle w:val="Source1"/>
      </w:pPr>
      <w:r w:rsidRPr="00783571">
        <w:t xml:space="preserve">Note: </w:t>
      </w:r>
      <w:r w:rsidR="00F77D76" w:rsidRPr="00783571">
        <w:t>PWID</w:t>
      </w:r>
      <w:r w:rsidR="00E628BE" w:rsidRPr="00783571">
        <w:t> = </w:t>
      </w:r>
      <w:r w:rsidR="00F77D76" w:rsidRPr="00783571">
        <w:t>people who inject drugs</w:t>
      </w:r>
    </w:p>
    <w:p w14:paraId="01211FF0" w14:textId="1EA5156E" w:rsidR="008F5D01" w:rsidRPr="00783571" w:rsidRDefault="004F4E6D" w:rsidP="008F5D01">
      <w:pPr>
        <w:pStyle w:val="TableTitle"/>
      </w:pPr>
      <w:bookmarkStart w:id="54" w:name="_Toc510104030"/>
      <w:r w:rsidRPr="00783571">
        <w:t>Table 6.</w:t>
      </w:r>
      <w:r w:rsidR="008F5D01" w:rsidRPr="00783571">
        <w:t>7.</w:t>
      </w:r>
      <w:r w:rsidR="008F5D01" w:rsidRPr="00783571">
        <w:tab/>
        <w:t>Distribution of Needle-Shari</w:t>
      </w:r>
      <w:r w:rsidR="00D1426F" w:rsidRPr="00783571">
        <w:t>ng Partners by Age Group (</w:t>
      </w:r>
      <w:r w:rsidR="00F77D76" w:rsidRPr="00783571">
        <w:t>PWID</w:t>
      </w:r>
      <w:r w:rsidR="00D1426F" w:rsidRPr="00783571">
        <w:t xml:space="preserve"> O</w:t>
      </w:r>
      <w:r w:rsidR="008F5D01" w:rsidRPr="00783571">
        <w:t>nly)</w:t>
      </w:r>
      <w:bookmarkEnd w:id="54"/>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1649"/>
        <w:gridCol w:w="1116"/>
        <w:gridCol w:w="1116"/>
        <w:gridCol w:w="1116"/>
        <w:gridCol w:w="1116"/>
        <w:gridCol w:w="1116"/>
        <w:gridCol w:w="2131"/>
      </w:tblGrid>
      <w:tr w:rsidR="008F5D01" w:rsidRPr="00783571" w14:paraId="11214B9E" w14:textId="6B494A4F" w:rsidTr="00260D8A">
        <w:trPr>
          <w:cantSplit/>
          <w:tblHeader/>
        </w:trPr>
        <w:tc>
          <w:tcPr>
            <w:tcW w:w="1649" w:type="dxa"/>
            <w:tcBorders>
              <w:top w:val="single" w:sz="12" w:space="0" w:color="000000"/>
              <w:bottom w:val="single" w:sz="6" w:space="0" w:color="auto"/>
            </w:tcBorders>
            <w:shd w:val="clear" w:color="auto" w:fill="auto"/>
            <w:noWrap/>
            <w:vAlign w:val="bottom"/>
          </w:tcPr>
          <w:p w14:paraId="6ED2E232" w14:textId="2A100B47" w:rsidR="008F5D01" w:rsidRPr="00783571" w:rsidRDefault="005D471A" w:rsidP="000B1C51">
            <w:pPr>
              <w:pStyle w:val="TableHeaders"/>
              <w:keepNext/>
              <w:spacing w:before="60" w:after="60"/>
            </w:pPr>
            <w:r w:rsidRPr="00783571">
              <w:t>Age Group</w:t>
            </w:r>
          </w:p>
        </w:tc>
        <w:tc>
          <w:tcPr>
            <w:tcW w:w="1116" w:type="dxa"/>
            <w:tcBorders>
              <w:top w:val="single" w:sz="12" w:space="0" w:color="000000"/>
              <w:bottom w:val="single" w:sz="6" w:space="0" w:color="auto"/>
            </w:tcBorders>
            <w:shd w:val="clear" w:color="auto" w:fill="auto"/>
            <w:noWrap/>
            <w:vAlign w:val="bottom"/>
          </w:tcPr>
          <w:p w14:paraId="2B3C9838" w14:textId="448D737E" w:rsidR="008F5D01" w:rsidRPr="00783571" w:rsidRDefault="008F5D01" w:rsidP="000B1C51">
            <w:pPr>
              <w:pStyle w:val="TableHeaders"/>
              <w:keepNext/>
              <w:spacing w:before="60" w:after="60"/>
            </w:pPr>
            <w:r w:rsidRPr="00783571">
              <w:t>13–17</w:t>
            </w:r>
          </w:p>
        </w:tc>
        <w:tc>
          <w:tcPr>
            <w:tcW w:w="1116" w:type="dxa"/>
            <w:tcBorders>
              <w:top w:val="single" w:sz="12" w:space="0" w:color="000000"/>
              <w:bottom w:val="single" w:sz="6" w:space="0" w:color="auto"/>
            </w:tcBorders>
            <w:shd w:val="clear" w:color="auto" w:fill="auto"/>
            <w:noWrap/>
            <w:vAlign w:val="bottom"/>
          </w:tcPr>
          <w:p w14:paraId="4EA86BB1" w14:textId="0194744E" w:rsidR="008F5D01" w:rsidRPr="00783571" w:rsidRDefault="008F5D01" w:rsidP="000B1C51">
            <w:pPr>
              <w:pStyle w:val="TableHeaders"/>
              <w:keepNext/>
              <w:spacing w:before="60" w:after="60"/>
            </w:pPr>
            <w:r w:rsidRPr="00783571">
              <w:t>18–24</w:t>
            </w:r>
          </w:p>
        </w:tc>
        <w:tc>
          <w:tcPr>
            <w:tcW w:w="1116" w:type="dxa"/>
            <w:tcBorders>
              <w:top w:val="single" w:sz="12" w:space="0" w:color="000000"/>
              <w:bottom w:val="single" w:sz="6" w:space="0" w:color="auto"/>
            </w:tcBorders>
            <w:shd w:val="clear" w:color="auto" w:fill="auto"/>
            <w:noWrap/>
            <w:vAlign w:val="bottom"/>
          </w:tcPr>
          <w:p w14:paraId="2E384CDA" w14:textId="373E8B69" w:rsidR="008F5D01" w:rsidRPr="00783571" w:rsidRDefault="008F5D01" w:rsidP="000B1C51">
            <w:pPr>
              <w:pStyle w:val="TableHeaders"/>
              <w:keepNext/>
              <w:spacing w:before="60" w:after="60"/>
            </w:pPr>
            <w:r w:rsidRPr="00783571">
              <w:t>25–34</w:t>
            </w:r>
          </w:p>
        </w:tc>
        <w:tc>
          <w:tcPr>
            <w:tcW w:w="1116" w:type="dxa"/>
            <w:tcBorders>
              <w:top w:val="single" w:sz="12" w:space="0" w:color="000000"/>
              <w:bottom w:val="single" w:sz="6" w:space="0" w:color="auto"/>
            </w:tcBorders>
            <w:shd w:val="clear" w:color="auto" w:fill="auto"/>
            <w:noWrap/>
            <w:vAlign w:val="bottom"/>
          </w:tcPr>
          <w:p w14:paraId="40E92215" w14:textId="75770206" w:rsidR="008F5D01" w:rsidRPr="00783571" w:rsidRDefault="008F5D01" w:rsidP="000B1C51">
            <w:pPr>
              <w:pStyle w:val="TableHeaders"/>
              <w:keepNext/>
              <w:spacing w:before="60" w:after="60"/>
            </w:pPr>
            <w:r w:rsidRPr="00783571">
              <w:t>35–44</w:t>
            </w:r>
          </w:p>
        </w:tc>
        <w:tc>
          <w:tcPr>
            <w:tcW w:w="1116" w:type="dxa"/>
            <w:tcBorders>
              <w:top w:val="single" w:sz="12" w:space="0" w:color="000000"/>
              <w:bottom w:val="single" w:sz="6" w:space="0" w:color="auto"/>
            </w:tcBorders>
            <w:shd w:val="clear" w:color="auto" w:fill="auto"/>
            <w:noWrap/>
            <w:vAlign w:val="bottom"/>
          </w:tcPr>
          <w:p w14:paraId="4ACD6621" w14:textId="7195A566" w:rsidR="008F5D01" w:rsidRPr="00783571" w:rsidRDefault="008F5D01" w:rsidP="000B1C51">
            <w:pPr>
              <w:pStyle w:val="TableHeaders"/>
              <w:keepNext/>
              <w:spacing w:before="60" w:after="60"/>
            </w:pPr>
            <w:r w:rsidRPr="00783571">
              <w:t>45–64</w:t>
            </w:r>
          </w:p>
        </w:tc>
        <w:tc>
          <w:tcPr>
            <w:tcW w:w="2131" w:type="dxa"/>
            <w:tcBorders>
              <w:top w:val="single" w:sz="12" w:space="0" w:color="000000"/>
              <w:bottom w:val="single" w:sz="6" w:space="0" w:color="auto"/>
            </w:tcBorders>
            <w:shd w:val="clear" w:color="auto" w:fill="auto"/>
            <w:noWrap/>
            <w:vAlign w:val="bottom"/>
          </w:tcPr>
          <w:p w14:paraId="44D3EC69" w14:textId="14F738C3" w:rsidR="008F5D01" w:rsidRPr="00783571" w:rsidRDefault="008F5D01" w:rsidP="000B1C51">
            <w:pPr>
              <w:pStyle w:val="TableHeaders"/>
              <w:keepNext/>
              <w:spacing w:before="60" w:after="60"/>
            </w:pPr>
            <w:r w:rsidRPr="00783571">
              <w:t>Source</w:t>
            </w:r>
          </w:p>
        </w:tc>
      </w:tr>
      <w:tr w:rsidR="00732DBA" w:rsidRPr="00783571" w14:paraId="45884793" w14:textId="11CA104D" w:rsidTr="00260D8A">
        <w:trPr>
          <w:cantSplit/>
        </w:trPr>
        <w:tc>
          <w:tcPr>
            <w:tcW w:w="1649" w:type="dxa"/>
            <w:tcBorders>
              <w:top w:val="single" w:sz="6" w:space="0" w:color="auto"/>
              <w:bottom w:val="single" w:sz="6" w:space="0" w:color="808080" w:themeColor="background1" w:themeShade="80"/>
            </w:tcBorders>
            <w:shd w:val="clear" w:color="auto" w:fill="auto"/>
            <w:noWrap/>
          </w:tcPr>
          <w:p w14:paraId="455EAD36" w14:textId="75B49EC0" w:rsidR="00732DBA" w:rsidRPr="00783571" w:rsidRDefault="00732DBA" w:rsidP="000B1C51">
            <w:pPr>
              <w:pStyle w:val="TableText"/>
              <w:keepNext/>
            </w:pPr>
            <w:r w:rsidRPr="00783571">
              <w:t>13–17</w:t>
            </w:r>
          </w:p>
        </w:tc>
        <w:tc>
          <w:tcPr>
            <w:tcW w:w="1116" w:type="dxa"/>
            <w:tcBorders>
              <w:top w:val="single" w:sz="6" w:space="0" w:color="auto"/>
              <w:bottom w:val="single" w:sz="6" w:space="0" w:color="808080" w:themeColor="background1" w:themeShade="80"/>
            </w:tcBorders>
            <w:shd w:val="clear" w:color="auto" w:fill="auto"/>
            <w:noWrap/>
          </w:tcPr>
          <w:p w14:paraId="5C27CF07" w14:textId="3D0A3A3F" w:rsidR="00732DBA" w:rsidRPr="00783571" w:rsidRDefault="00732DBA" w:rsidP="000B1C51">
            <w:pPr>
              <w:pStyle w:val="TableTextDec"/>
              <w:keepNext/>
              <w:tabs>
                <w:tab w:val="clear" w:pos="1015"/>
                <w:tab w:val="decimal" w:pos="437"/>
              </w:tabs>
            </w:pPr>
            <w:r w:rsidRPr="00783571">
              <w:t>91.05%</w:t>
            </w:r>
          </w:p>
        </w:tc>
        <w:tc>
          <w:tcPr>
            <w:tcW w:w="1116" w:type="dxa"/>
            <w:tcBorders>
              <w:top w:val="single" w:sz="6" w:space="0" w:color="auto"/>
              <w:bottom w:val="single" w:sz="6" w:space="0" w:color="808080" w:themeColor="background1" w:themeShade="80"/>
            </w:tcBorders>
            <w:shd w:val="clear" w:color="auto" w:fill="auto"/>
            <w:noWrap/>
          </w:tcPr>
          <w:p w14:paraId="7E3E1449" w14:textId="29DE6E1D" w:rsidR="00732DBA" w:rsidRPr="00783571" w:rsidRDefault="00732DBA" w:rsidP="000B1C51">
            <w:pPr>
              <w:pStyle w:val="TableTextDec"/>
              <w:keepNext/>
              <w:tabs>
                <w:tab w:val="clear" w:pos="1015"/>
                <w:tab w:val="decimal" w:pos="437"/>
              </w:tabs>
            </w:pPr>
            <w:r w:rsidRPr="00783571">
              <w:t>2.24%</w:t>
            </w:r>
          </w:p>
        </w:tc>
        <w:tc>
          <w:tcPr>
            <w:tcW w:w="1116" w:type="dxa"/>
            <w:tcBorders>
              <w:top w:val="single" w:sz="6" w:space="0" w:color="auto"/>
              <w:bottom w:val="single" w:sz="6" w:space="0" w:color="808080" w:themeColor="background1" w:themeShade="80"/>
            </w:tcBorders>
            <w:shd w:val="clear" w:color="auto" w:fill="auto"/>
            <w:noWrap/>
          </w:tcPr>
          <w:p w14:paraId="2E9D1F12" w14:textId="2252FFC2" w:rsidR="00732DBA" w:rsidRPr="00783571" w:rsidRDefault="00732DBA" w:rsidP="000B1C51">
            <w:pPr>
              <w:pStyle w:val="TableTextDec"/>
              <w:keepNext/>
              <w:tabs>
                <w:tab w:val="clear" w:pos="1015"/>
                <w:tab w:val="decimal" w:pos="437"/>
              </w:tabs>
            </w:pPr>
            <w:r w:rsidRPr="00783571">
              <w:t>2.24%</w:t>
            </w:r>
          </w:p>
        </w:tc>
        <w:tc>
          <w:tcPr>
            <w:tcW w:w="1116" w:type="dxa"/>
            <w:tcBorders>
              <w:top w:val="single" w:sz="6" w:space="0" w:color="auto"/>
              <w:bottom w:val="single" w:sz="6" w:space="0" w:color="808080" w:themeColor="background1" w:themeShade="80"/>
            </w:tcBorders>
            <w:shd w:val="clear" w:color="auto" w:fill="auto"/>
            <w:noWrap/>
          </w:tcPr>
          <w:p w14:paraId="5CBDB467" w14:textId="53C79AF8" w:rsidR="00732DBA" w:rsidRPr="00783571" w:rsidRDefault="00732DBA" w:rsidP="000B1C51">
            <w:pPr>
              <w:pStyle w:val="TableTextDec"/>
              <w:keepNext/>
              <w:tabs>
                <w:tab w:val="clear" w:pos="1015"/>
                <w:tab w:val="decimal" w:pos="437"/>
              </w:tabs>
            </w:pPr>
            <w:r w:rsidRPr="00783571">
              <w:t>2.24%</w:t>
            </w:r>
          </w:p>
        </w:tc>
        <w:tc>
          <w:tcPr>
            <w:tcW w:w="1116" w:type="dxa"/>
            <w:tcBorders>
              <w:top w:val="single" w:sz="6" w:space="0" w:color="auto"/>
              <w:bottom w:val="single" w:sz="6" w:space="0" w:color="808080" w:themeColor="background1" w:themeShade="80"/>
            </w:tcBorders>
            <w:shd w:val="clear" w:color="auto" w:fill="auto"/>
            <w:noWrap/>
          </w:tcPr>
          <w:p w14:paraId="74BEBC77" w14:textId="6B925CD5" w:rsidR="00732DBA" w:rsidRPr="00783571" w:rsidRDefault="00732DBA" w:rsidP="000B1C51">
            <w:pPr>
              <w:pStyle w:val="TableTextDec"/>
              <w:keepNext/>
              <w:tabs>
                <w:tab w:val="clear" w:pos="1015"/>
                <w:tab w:val="decimal" w:pos="437"/>
              </w:tabs>
            </w:pPr>
            <w:r w:rsidRPr="00783571">
              <w:t>2.24%</w:t>
            </w:r>
          </w:p>
        </w:tc>
        <w:tc>
          <w:tcPr>
            <w:tcW w:w="2131" w:type="dxa"/>
            <w:vMerge w:val="restart"/>
            <w:tcBorders>
              <w:top w:val="single" w:sz="6" w:space="0" w:color="auto"/>
              <w:bottom w:val="single" w:sz="6" w:space="0" w:color="808080" w:themeColor="background1" w:themeShade="80"/>
            </w:tcBorders>
            <w:shd w:val="clear" w:color="auto" w:fill="auto"/>
            <w:noWrap/>
          </w:tcPr>
          <w:p w14:paraId="54511465" w14:textId="0E3B9302" w:rsidR="00732DBA" w:rsidRPr="00783571" w:rsidRDefault="00732DBA" w:rsidP="00546F1F">
            <w:pPr>
              <w:pStyle w:val="TableText"/>
              <w:keepNext/>
            </w:pPr>
            <w:r w:rsidRPr="00783571">
              <w:t>Assumed same as sexual mixing by age.</w:t>
            </w:r>
            <w:r w:rsidRPr="00783571" w:rsidDel="00732DBA">
              <w:t xml:space="preserve"> </w:t>
            </w:r>
          </w:p>
        </w:tc>
      </w:tr>
      <w:tr w:rsidR="00732DBA" w:rsidRPr="00783571" w14:paraId="78927AF3" w14:textId="5507BD75" w:rsidTr="00260D8A">
        <w:trPr>
          <w:cantSplit/>
        </w:trPr>
        <w:tc>
          <w:tcPr>
            <w:tcW w:w="1649" w:type="dxa"/>
            <w:tcBorders>
              <w:top w:val="single" w:sz="6" w:space="0" w:color="808080" w:themeColor="background1" w:themeShade="80"/>
              <w:bottom w:val="single" w:sz="6" w:space="0" w:color="808080" w:themeColor="background1" w:themeShade="80"/>
            </w:tcBorders>
            <w:shd w:val="clear" w:color="auto" w:fill="auto"/>
            <w:noWrap/>
          </w:tcPr>
          <w:p w14:paraId="182EA6ED" w14:textId="0FE0188B" w:rsidR="00732DBA" w:rsidRPr="00783571" w:rsidRDefault="00732DBA" w:rsidP="000B1C51">
            <w:pPr>
              <w:pStyle w:val="TableText"/>
              <w:keepNext/>
            </w:pPr>
            <w:r w:rsidRPr="00783571">
              <w:t>18–24</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50C68160" w14:textId="258C4A5F" w:rsidR="00732DBA" w:rsidRPr="00783571" w:rsidRDefault="00732DBA" w:rsidP="000B1C51">
            <w:pPr>
              <w:pStyle w:val="TableTextDec"/>
              <w:keepNext/>
              <w:tabs>
                <w:tab w:val="clear" w:pos="1015"/>
                <w:tab w:val="decimal" w:pos="437"/>
              </w:tabs>
            </w:pPr>
            <w:r w:rsidRPr="00783571">
              <w:t>2.24%</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6A5E3150" w14:textId="0B5230E0" w:rsidR="00732DBA" w:rsidRPr="00783571" w:rsidRDefault="00732DBA" w:rsidP="000B1C51">
            <w:pPr>
              <w:pStyle w:val="TableTextDec"/>
              <w:keepNext/>
              <w:tabs>
                <w:tab w:val="clear" w:pos="1015"/>
                <w:tab w:val="decimal" w:pos="437"/>
              </w:tabs>
            </w:pPr>
            <w:r w:rsidRPr="00783571">
              <w:t>91.05%</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3A96CA6A" w14:textId="1C50BD2D" w:rsidR="00732DBA" w:rsidRPr="00783571" w:rsidRDefault="00732DBA" w:rsidP="000B1C51">
            <w:pPr>
              <w:pStyle w:val="TableTextDec"/>
              <w:keepNext/>
              <w:tabs>
                <w:tab w:val="clear" w:pos="1015"/>
                <w:tab w:val="decimal" w:pos="437"/>
              </w:tabs>
            </w:pPr>
            <w:r w:rsidRPr="00783571">
              <w:t>2.24%</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45E0241E" w14:textId="7CC97CFD" w:rsidR="00732DBA" w:rsidRPr="00783571" w:rsidRDefault="00732DBA" w:rsidP="000B1C51">
            <w:pPr>
              <w:pStyle w:val="TableTextDec"/>
              <w:keepNext/>
              <w:tabs>
                <w:tab w:val="clear" w:pos="1015"/>
                <w:tab w:val="decimal" w:pos="437"/>
              </w:tabs>
            </w:pPr>
            <w:r w:rsidRPr="00783571">
              <w:t>2.24%</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42D6640C" w14:textId="10358CDD" w:rsidR="00732DBA" w:rsidRPr="00783571" w:rsidRDefault="00732DBA" w:rsidP="000B1C51">
            <w:pPr>
              <w:pStyle w:val="TableTextDec"/>
              <w:keepNext/>
              <w:tabs>
                <w:tab w:val="clear" w:pos="1015"/>
                <w:tab w:val="decimal" w:pos="437"/>
              </w:tabs>
            </w:pPr>
            <w:r w:rsidRPr="00783571">
              <w:t>2.24%</w:t>
            </w:r>
          </w:p>
        </w:tc>
        <w:tc>
          <w:tcPr>
            <w:tcW w:w="2131" w:type="dxa"/>
            <w:vMerge/>
            <w:tcBorders>
              <w:top w:val="single" w:sz="6" w:space="0" w:color="808080" w:themeColor="background1" w:themeShade="80"/>
              <w:bottom w:val="single" w:sz="6" w:space="0" w:color="808080" w:themeColor="background1" w:themeShade="80"/>
            </w:tcBorders>
            <w:shd w:val="clear" w:color="auto" w:fill="auto"/>
            <w:noWrap/>
          </w:tcPr>
          <w:p w14:paraId="35C8EF56" w14:textId="0C5FDF57" w:rsidR="00732DBA" w:rsidRPr="00783571" w:rsidRDefault="00732DBA" w:rsidP="000B1C51">
            <w:pPr>
              <w:pStyle w:val="Tabletext0"/>
              <w:keepNext/>
              <w:spacing w:before="60" w:after="60" w:line="240" w:lineRule="auto"/>
            </w:pPr>
          </w:p>
        </w:tc>
      </w:tr>
      <w:tr w:rsidR="00732DBA" w:rsidRPr="00783571" w14:paraId="37C0F6A5" w14:textId="7636B613" w:rsidTr="00260D8A">
        <w:trPr>
          <w:cantSplit/>
        </w:trPr>
        <w:tc>
          <w:tcPr>
            <w:tcW w:w="1649" w:type="dxa"/>
            <w:tcBorders>
              <w:top w:val="single" w:sz="6" w:space="0" w:color="808080" w:themeColor="background1" w:themeShade="80"/>
              <w:bottom w:val="single" w:sz="6" w:space="0" w:color="808080" w:themeColor="background1" w:themeShade="80"/>
            </w:tcBorders>
            <w:shd w:val="clear" w:color="auto" w:fill="auto"/>
            <w:noWrap/>
          </w:tcPr>
          <w:p w14:paraId="2683ABC6" w14:textId="24FC1BD4" w:rsidR="00732DBA" w:rsidRPr="00783571" w:rsidRDefault="00732DBA" w:rsidP="000B1C51">
            <w:pPr>
              <w:pStyle w:val="TableText"/>
              <w:keepNext/>
            </w:pPr>
            <w:r w:rsidRPr="00783571">
              <w:t>25–34</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24618932" w14:textId="79750C68" w:rsidR="00732DBA" w:rsidRPr="00783571" w:rsidRDefault="00732DBA" w:rsidP="000B1C51">
            <w:pPr>
              <w:pStyle w:val="TableTextDec"/>
              <w:keepNext/>
              <w:tabs>
                <w:tab w:val="clear" w:pos="1015"/>
                <w:tab w:val="decimal" w:pos="437"/>
              </w:tabs>
            </w:pPr>
            <w:r w:rsidRPr="00783571">
              <w:t>9.46%</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4CD91AD4" w14:textId="138B51C0" w:rsidR="00732DBA" w:rsidRPr="00783571" w:rsidRDefault="00732DBA" w:rsidP="000B1C51">
            <w:pPr>
              <w:pStyle w:val="TableTextDec"/>
              <w:keepNext/>
              <w:tabs>
                <w:tab w:val="clear" w:pos="1015"/>
                <w:tab w:val="decimal" w:pos="437"/>
              </w:tabs>
            </w:pPr>
            <w:r w:rsidRPr="00783571">
              <w:t>9.46%</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3FE724C9" w14:textId="18A71221" w:rsidR="00732DBA" w:rsidRPr="00783571" w:rsidRDefault="00732DBA" w:rsidP="000B1C51">
            <w:pPr>
              <w:pStyle w:val="TableTextDec"/>
              <w:keepNext/>
              <w:tabs>
                <w:tab w:val="clear" w:pos="1015"/>
                <w:tab w:val="decimal" w:pos="437"/>
              </w:tabs>
            </w:pPr>
            <w:r w:rsidRPr="00783571">
              <w:t>62.18%</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217B10D5" w14:textId="3233DD11" w:rsidR="00732DBA" w:rsidRPr="00783571" w:rsidRDefault="00732DBA" w:rsidP="000B1C51">
            <w:pPr>
              <w:pStyle w:val="TableTextDec"/>
              <w:keepNext/>
              <w:tabs>
                <w:tab w:val="clear" w:pos="1015"/>
                <w:tab w:val="decimal" w:pos="437"/>
              </w:tabs>
            </w:pPr>
            <w:r w:rsidRPr="00783571">
              <w:t>9.46%</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09417EBE" w14:textId="2201CDB0" w:rsidR="00732DBA" w:rsidRPr="00783571" w:rsidRDefault="00732DBA" w:rsidP="000B1C51">
            <w:pPr>
              <w:pStyle w:val="TableTextDec"/>
              <w:keepNext/>
              <w:tabs>
                <w:tab w:val="clear" w:pos="1015"/>
                <w:tab w:val="decimal" w:pos="437"/>
              </w:tabs>
            </w:pPr>
            <w:r w:rsidRPr="00783571">
              <w:t>9.46%</w:t>
            </w:r>
          </w:p>
        </w:tc>
        <w:tc>
          <w:tcPr>
            <w:tcW w:w="2131" w:type="dxa"/>
            <w:vMerge/>
            <w:tcBorders>
              <w:top w:val="single" w:sz="6" w:space="0" w:color="808080" w:themeColor="background1" w:themeShade="80"/>
              <w:bottom w:val="single" w:sz="6" w:space="0" w:color="808080" w:themeColor="background1" w:themeShade="80"/>
            </w:tcBorders>
            <w:shd w:val="clear" w:color="auto" w:fill="auto"/>
            <w:noWrap/>
          </w:tcPr>
          <w:p w14:paraId="30A7FDD1" w14:textId="5F811605" w:rsidR="00732DBA" w:rsidRPr="00783571" w:rsidRDefault="00732DBA" w:rsidP="000B1C51">
            <w:pPr>
              <w:pStyle w:val="Tabletext0"/>
              <w:keepNext/>
              <w:spacing w:before="60" w:after="60" w:line="240" w:lineRule="auto"/>
            </w:pPr>
          </w:p>
        </w:tc>
      </w:tr>
      <w:tr w:rsidR="00732DBA" w:rsidRPr="00783571" w14:paraId="1062106C" w14:textId="0B1536F3" w:rsidTr="00260D8A">
        <w:trPr>
          <w:cantSplit/>
        </w:trPr>
        <w:tc>
          <w:tcPr>
            <w:tcW w:w="1649" w:type="dxa"/>
            <w:tcBorders>
              <w:top w:val="single" w:sz="6" w:space="0" w:color="808080" w:themeColor="background1" w:themeShade="80"/>
              <w:bottom w:val="single" w:sz="6" w:space="0" w:color="808080" w:themeColor="background1" w:themeShade="80"/>
            </w:tcBorders>
            <w:shd w:val="clear" w:color="auto" w:fill="auto"/>
            <w:noWrap/>
          </w:tcPr>
          <w:p w14:paraId="00C2E8DE" w14:textId="2BF3E533" w:rsidR="00732DBA" w:rsidRPr="00783571" w:rsidRDefault="00732DBA" w:rsidP="000B1C51">
            <w:pPr>
              <w:pStyle w:val="TableText"/>
              <w:keepNext/>
            </w:pPr>
            <w:r w:rsidRPr="00783571">
              <w:t>35–44</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506C46B8" w14:textId="00A52CE9" w:rsidR="00732DBA" w:rsidRPr="00783571" w:rsidRDefault="00732DBA" w:rsidP="000B1C51">
            <w:pPr>
              <w:pStyle w:val="TableTextDec"/>
              <w:keepNext/>
              <w:tabs>
                <w:tab w:val="clear" w:pos="1015"/>
                <w:tab w:val="decimal" w:pos="437"/>
              </w:tabs>
            </w:pPr>
            <w:r w:rsidRPr="00783571">
              <w:t>5.25%</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64E1D1EA" w14:textId="023E3508" w:rsidR="00732DBA" w:rsidRPr="00783571" w:rsidRDefault="00732DBA" w:rsidP="000B1C51">
            <w:pPr>
              <w:pStyle w:val="TableTextDec"/>
              <w:keepNext/>
              <w:tabs>
                <w:tab w:val="clear" w:pos="1015"/>
                <w:tab w:val="decimal" w:pos="437"/>
              </w:tabs>
            </w:pPr>
            <w:r w:rsidRPr="00783571">
              <w:t>5.25%</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463EF7D7" w14:textId="4A19CD9C" w:rsidR="00732DBA" w:rsidRPr="00783571" w:rsidRDefault="00732DBA" w:rsidP="000B1C51">
            <w:pPr>
              <w:pStyle w:val="TableTextDec"/>
              <w:keepNext/>
              <w:tabs>
                <w:tab w:val="clear" w:pos="1015"/>
                <w:tab w:val="decimal" w:pos="437"/>
              </w:tabs>
            </w:pPr>
            <w:r w:rsidRPr="00783571">
              <w:t>5.25%</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78B6DA47" w14:textId="66A322CF" w:rsidR="00732DBA" w:rsidRPr="00783571" w:rsidRDefault="00732DBA" w:rsidP="000B1C51">
            <w:pPr>
              <w:pStyle w:val="TableTextDec"/>
              <w:keepNext/>
              <w:tabs>
                <w:tab w:val="clear" w:pos="1015"/>
                <w:tab w:val="decimal" w:pos="437"/>
              </w:tabs>
            </w:pPr>
            <w:r w:rsidRPr="00783571">
              <w:t>79.00%</w:t>
            </w:r>
          </w:p>
        </w:tc>
        <w:tc>
          <w:tcPr>
            <w:tcW w:w="1116" w:type="dxa"/>
            <w:tcBorders>
              <w:top w:val="single" w:sz="6" w:space="0" w:color="808080" w:themeColor="background1" w:themeShade="80"/>
              <w:bottom w:val="single" w:sz="6" w:space="0" w:color="808080" w:themeColor="background1" w:themeShade="80"/>
            </w:tcBorders>
            <w:shd w:val="clear" w:color="auto" w:fill="auto"/>
            <w:noWrap/>
          </w:tcPr>
          <w:p w14:paraId="19E0DA92" w14:textId="495E2174" w:rsidR="00732DBA" w:rsidRPr="00783571" w:rsidRDefault="00732DBA" w:rsidP="000B1C51">
            <w:pPr>
              <w:pStyle w:val="TableTextDec"/>
              <w:keepNext/>
              <w:tabs>
                <w:tab w:val="clear" w:pos="1015"/>
                <w:tab w:val="decimal" w:pos="437"/>
              </w:tabs>
            </w:pPr>
            <w:r w:rsidRPr="00783571">
              <w:t>5.25%</w:t>
            </w:r>
          </w:p>
        </w:tc>
        <w:tc>
          <w:tcPr>
            <w:tcW w:w="2131" w:type="dxa"/>
            <w:vMerge/>
            <w:tcBorders>
              <w:top w:val="single" w:sz="6" w:space="0" w:color="808080" w:themeColor="background1" w:themeShade="80"/>
              <w:bottom w:val="single" w:sz="6" w:space="0" w:color="808080" w:themeColor="background1" w:themeShade="80"/>
            </w:tcBorders>
            <w:shd w:val="clear" w:color="auto" w:fill="auto"/>
            <w:noWrap/>
          </w:tcPr>
          <w:p w14:paraId="622DC16B" w14:textId="2C13B50B" w:rsidR="00732DBA" w:rsidRPr="00783571" w:rsidRDefault="00732DBA" w:rsidP="000B1C51">
            <w:pPr>
              <w:pStyle w:val="Tabletext0"/>
              <w:keepNext/>
              <w:spacing w:before="60" w:after="60" w:line="240" w:lineRule="auto"/>
            </w:pPr>
          </w:p>
        </w:tc>
      </w:tr>
      <w:tr w:rsidR="00732DBA" w:rsidRPr="00783571" w14:paraId="1B412A2C" w14:textId="3CE8EDE6" w:rsidTr="00260D8A">
        <w:trPr>
          <w:cantSplit/>
        </w:trPr>
        <w:tc>
          <w:tcPr>
            <w:tcW w:w="1649" w:type="dxa"/>
            <w:tcBorders>
              <w:top w:val="single" w:sz="6" w:space="0" w:color="808080" w:themeColor="background1" w:themeShade="80"/>
              <w:bottom w:val="single" w:sz="12" w:space="0" w:color="000000"/>
            </w:tcBorders>
            <w:shd w:val="clear" w:color="auto" w:fill="auto"/>
            <w:noWrap/>
          </w:tcPr>
          <w:p w14:paraId="1D1CBDF4" w14:textId="47E9B47C" w:rsidR="00732DBA" w:rsidRPr="00783571" w:rsidRDefault="00732DBA" w:rsidP="000B1C51">
            <w:pPr>
              <w:pStyle w:val="TableText"/>
              <w:keepNext/>
            </w:pPr>
            <w:r w:rsidRPr="00783571">
              <w:t>45–64</w:t>
            </w:r>
          </w:p>
        </w:tc>
        <w:tc>
          <w:tcPr>
            <w:tcW w:w="1116" w:type="dxa"/>
            <w:tcBorders>
              <w:top w:val="single" w:sz="6" w:space="0" w:color="808080" w:themeColor="background1" w:themeShade="80"/>
              <w:bottom w:val="single" w:sz="12" w:space="0" w:color="000000"/>
            </w:tcBorders>
            <w:shd w:val="clear" w:color="auto" w:fill="auto"/>
            <w:noWrap/>
          </w:tcPr>
          <w:p w14:paraId="72AFEE63" w14:textId="47E15A38" w:rsidR="00732DBA" w:rsidRPr="00783571" w:rsidRDefault="00732DBA" w:rsidP="000B1C51">
            <w:pPr>
              <w:pStyle w:val="TableTextDec"/>
              <w:keepNext/>
              <w:tabs>
                <w:tab w:val="clear" w:pos="1015"/>
                <w:tab w:val="decimal" w:pos="437"/>
              </w:tabs>
            </w:pPr>
            <w:r w:rsidRPr="00783571">
              <w:t>5.25%</w:t>
            </w:r>
          </w:p>
        </w:tc>
        <w:tc>
          <w:tcPr>
            <w:tcW w:w="1116" w:type="dxa"/>
            <w:tcBorders>
              <w:top w:val="single" w:sz="6" w:space="0" w:color="808080" w:themeColor="background1" w:themeShade="80"/>
              <w:bottom w:val="single" w:sz="12" w:space="0" w:color="000000"/>
            </w:tcBorders>
            <w:shd w:val="clear" w:color="auto" w:fill="auto"/>
            <w:noWrap/>
          </w:tcPr>
          <w:p w14:paraId="6259475F" w14:textId="6ED79DC1" w:rsidR="00732DBA" w:rsidRPr="00783571" w:rsidRDefault="00732DBA" w:rsidP="000B1C51">
            <w:pPr>
              <w:pStyle w:val="TableTextDec"/>
              <w:keepNext/>
              <w:tabs>
                <w:tab w:val="clear" w:pos="1015"/>
                <w:tab w:val="decimal" w:pos="437"/>
              </w:tabs>
            </w:pPr>
            <w:r w:rsidRPr="00783571">
              <w:t>5.25%</w:t>
            </w:r>
          </w:p>
        </w:tc>
        <w:tc>
          <w:tcPr>
            <w:tcW w:w="1116" w:type="dxa"/>
            <w:tcBorders>
              <w:top w:val="single" w:sz="6" w:space="0" w:color="808080" w:themeColor="background1" w:themeShade="80"/>
              <w:bottom w:val="single" w:sz="12" w:space="0" w:color="000000"/>
            </w:tcBorders>
            <w:shd w:val="clear" w:color="auto" w:fill="auto"/>
            <w:noWrap/>
          </w:tcPr>
          <w:p w14:paraId="1613E7A6" w14:textId="7DF2A06D" w:rsidR="00732DBA" w:rsidRPr="00783571" w:rsidRDefault="00732DBA" w:rsidP="000B1C51">
            <w:pPr>
              <w:pStyle w:val="TableTextDec"/>
              <w:keepNext/>
              <w:tabs>
                <w:tab w:val="clear" w:pos="1015"/>
                <w:tab w:val="decimal" w:pos="437"/>
              </w:tabs>
            </w:pPr>
            <w:r w:rsidRPr="00783571">
              <w:t>5.25%</w:t>
            </w:r>
          </w:p>
        </w:tc>
        <w:tc>
          <w:tcPr>
            <w:tcW w:w="1116" w:type="dxa"/>
            <w:tcBorders>
              <w:top w:val="single" w:sz="6" w:space="0" w:color="808080" w:themeColor="background1" w:themeShade="80"/>
              <w:bottom w:val="single" w:sz="12" w:space="0" w:color="000000"/>
            </w:tcBorders>
            <w:shd w:val="clear" w:color="auto" w:fill="auto"/>
            <w:noWrap/>
          </w:tcPr>
          <w:p w14:paraId="14AA8082" w14:textId="43A81013" w:rsidR="00732DBA" w:rsidRPr="00783571" w:rsidRDefault="00732DBA" w:rsidP="000B1C51">
            <w:pPr>
              <w:pStyle w:val="TableTextDec"/>
              <w:keepNext/>
              <w:tabs>
                <w:tab w:val="clear" w:pos="1015"/>
                <w:tab w:val="decimal" w:pos="437"/>
              </w:tabs>
            </w:pPr>
            <w:r w:rsidRPr="00783571">
              <w:t>5.25%</w:t>
            </w:r>
          </w:p>
        </w:tc>
        <w:tc>
          <w:tcPr>
            <w:tcW w:w="1116" w:type="dxa"/>
            <w:tcBorders>
              <w:top w:val="single" w:sz="6" w:space="0" w:color="808080" w:themeColor="background1" w:themeShade="80"/>
              <w:bottom w:val="single" w:sz="12" w:space="0" w:color="000000"/>
            </w:tcBorders>
            <w:shd w:val="clear" w:color="auto" w:fill="auto"/>
            <w:noWrap/>
          </w:tcPr>
          <w:p w14:paraId="6C10AD5A" w14:textId="10772323" w:rsidR="00732DBA" w:rsidRPr="00783571" w:rsidRDefault="00732DBA" w:rsidP="000B1C51">
            <w:pPr>
              <w:pStyle w:val="TableTextDec"/>
              <w:keepNext/>
              <w:tabs>
                <w:tab w:val="clear" w:pos="1015"/>
                <w:tab w:val="decimal" w:pos="437"/>
              </w:tabs>
            </w:pPr>
            <w:r w:rsidRPr="00783571">
              <w:t>79.00%</w:t>
            </w:r>
          </w:p>
        </w:tc>
        <w:tc>
          <w:tcPr>
            <w:tcW w:w="2131" w:type="dxa"/>
            <w:vMerge/>
            <w:tcBorders>
              <w:top w:val="single" w:sz="6" w:space="0" w:color="808080" w:themeColor="background1" w:themeShade="80"/>
              <w:bottom w:val="single" w:sz="12" w:space="0" w:color="000000"/>
            </w:tcBorders>
            <w:shd w:val="clear" w:color="auto" w:fill="auto"/>
            <w:noWrap/>
          </w:tcPr>
          <w:p w14:paraId="56D74364" w14:textId="3CE1C901" w:rsidR="00732DBA" w:rsidRPr="00783571" w:rsidRDefault="00732DBA" w:rsidP="000B1C51">
            <w:pPr>
              <w:pStyle w:val="Tabletext0"/>
              <w:keepNext/>
              <w:spacing w:before="60" w:after="60" w:line="240" w:lineRule="auto"/>
            </w:pPr>
          </w:p>
        </w:tc>
      </w:tr>
    </w:tbl>
    <w:p w14:paraId="600A8EE9" w14:textId="2ADEEF2D" w:rsidR="00807F4B" w:rsidRPr="00783571" w:rsidRDefault="005D471A" w:rsidP="00D05643">
      <w:pPr>
        <w:pStyle w:val="Source1"/>
      </w:pPr>
      <w:r w:rsidRPr="00783571">
        <w:t xml:space="preserve">Note: </w:t>
      </w:r>
      <w:r w:rsidR="00F77D76" w:rsidRPr="00783571">
        <w:t>PWID</w:t>
      </w:r>
      <w:r w:rsidR="00E628BE" w:rsidRPr="00783571">
        <w:t> = </w:t>
      </w:r>
      <w:r w:rsidR="00F77D76" w:rsidRPr="00783571">
        <w:t>people who inject drugs</w:t>
      </w:r>
    </w:p>
    <w:p w14:paraId="296E3703" w14:textId="77777777" w:rsidR="00467D83" w:rsidRPr="00783571" w:rsidRDefault="00467D83" w:rsidP="00467D83">
      <w:pPr>
        <w:pStyle w:val="Heading2"/>
      </w:pPr>
      <w:bookmarkStart w:id="55" w:name="_Toc510104456"/>
      <w:r w:rsidRPr="00783571">
        <w:t>Per-Partnership Transmission Risk</w:t>
      </w:r>
      <w:bookmarkEnd w:id="55"/>
    </w:p>
    <w:p w14:paraId="04412D55" w14:textId="47AD12DE" w:rsidR="00467D83" w:rsidRPr="00783571" w:rsidRDefault="00467D83" w:rsidP="00B41991">
      <w:pPr>
        <w:pStyle w:val="BodyText"/>
      </w:pPr>
      <w:r w:rsidRPr="00783571">
        <w:t>We calculated the risk of infection per serodiscordant partnership for uninfected individuals according to a Bernoulli process</w:t>
      </w:r>
      <w:r w:rsidRPr="00783571" w:rsidDel="00544F23">
        <w:t xml:space="preserve"> </w:t>
      </w:r>
      <w:r w:rsidRPr="00783571">
        <w:t>that was a function of per-</w:t>
      </w:r>
      <w:r w:rsidR="00DB6E5A" w:rsidRPr="00783571">
        <w:t>act</w:t>
      </w:r>
      <w:r w:rsidRPr="00783571">
        <w:t xml:space="preserve"> transmission risk estimates and the number of </w:t>
      </w:r>
      <w:r w:rsidR="00DB6E5A" w:rsidRPr="00783571">
        <w:t>sex acts and shared needles</w:t>
      </w:r>
      <w:r w:rsidRPr="00783571">
        <w:t xml:space="preserve"> per partnership. In this model, per-act transmission risk represents the probability of transmission per sex</w:t>
      </w:r>
      <w:r w:rsidR="00DB6E5A" w:rsidRPr="00783571">
        <w:t xml:space="preserve"> act</w:t>
      </w:r>
      <w:r w:rsidRPr="00783571">
        <w:t xml:space="preserve"> or </w:t>
      </w:r>
      <w:r w:rsidR="00DB6E5A" w:rsidRPr="00783571">
        <w:t xml:space="preserve">shared </w:t>
      </w:r>
      <w:r w:rsidRPr="00783571">
        <w:t xml:space="preserve">needle between an HIV-infected and HIV-uninfected person. This method </w:t>
      </w:r>
      <w:r w:rsidR="00B41991" w:rsidRPr="00783571">
        <w:t xml:space="preserve">implicitly </w:t>
      </w:r>
      <w:r w:rsidRPr="00783571">
        <w:t xml:space="preserve">assumes that </w:t>
      </w:r>
      <w:r w:rsidR="00DB6E5A" w:rsidRPr="00783571">
        <w:t xml:space="preserve">sex acts and shared needles </w:t>
      </w:r>
      <w:r w:rsidRPr="00783571">
        <w:t>within a partnership are independent</w:t>
      </w:r>
      <w:r w:rsidR="00B41991" w:rsidRPr="00783571">
        <w:t>, each with the same likelihood of infection based on an average weighted by the likelihood of condom use</w:t>
      </w:r>
      <w:r w:rsidRPr="00783571">
        <w:t xml:space="preserve"> (Pinkerton et al., 1998). </w:t>
      </w:r>
      <w:r w:rsidR="00871E69" w:rsidRPr="00783571">
        <w:t>Tables </w:t>
      </w:r>
      <w:r w:rsidRPr="00783571">
        <w:t>6</w:t>
      </w:r>
      <w:r w:rsidR="00CC1362" w:rsidRPr="00783571">
        <w:t>.</w:t>
      </w:r>
      <w:r w:rsidRPr="00783571">
        <w:t>8 through 6</w:t>
      </w:r>
      <w:r w:rsidR="00CC1362" w:rsidRPr="00783571">
        <w:t>.</w:t>
      </w:r>
      <w:r w:rsidRPr="00783571">
        <w:t>12 list the values applied for all parameters that determined these per-partnership risks, as well as the sources from which those values were obtained.</w:t>
      </w:r>
    </w:p>
    <w:bookmarkEnd w:id="48"/>
    <w:p w14:paraId="49FC5B44" w14:textId="77777777" w:rsidR="000B1C51" w:rsidRPr="00783571" w:rsidRDefault="000B1C51" w:rsidP="000B1C51">
      <w:pPr>
        <w:pStyle w:val="BodyText"/>
      </w:pPr>
    </w:p>
    <w:p w14:paraId="71462202" w14:textId="77777777" w:rsidR="00B41A9A" w:rsidRPr="00783571" w:rsidRDefault="00B41A9A" w:rsidP="00B41A9A">
      <w:pPr>
        <w:pStyle w:val="paragraph"/>
        <w:sectPr w:rsidR="00B41A9A" w:rsidRPr="00783571" w:rsidSect="00B73752">
          <w:headerReference w:type="default" r:id="rId55"/>
          <w:endnotePr>
            <w:numFmt w:val="decimal"/>
          </w:endnotePr>
          <w:type w:val="oddPage"/>
          <w:pgSz w:w="12240" w:h="15840"/>
          <w:pgMar w:top="1440" w:right="1440" w:bottom="1440" w:left="1440" w:header="720" w:footer="720" w:gutter="0"/>
          <w:pgNumType w:start="1" w:chapStyle="1"/>
          <w:cols w:space="720"/>
          <w:titlePg/>
          <w:docGrid w:linePitch="360"/>
        </w:sectPr>
      </w:pPr>
    </w:p>
    <w:p w14:paraId="2A938C8E" w14:textId="71B32632" w:rsidR="00547194" w:rsidRPr="00783571" w:rsidRDefault="004F4E6D" w:rsidP="00260D8A">
      <w:pPr>
        <w:pStyle w:val="TableTitle"/>
        <w:spacing w:before="240" w:after="40"/>
        <w:ind w:left="1530"/>
      </w:pPr>
      <w:bookmarkStart w:id="56" w:name="_Toc510104031"/>
      <w:r w:rsidRPr="00783571">
        <w:t>Table 6.</w:t>
      </w:r>
      <w:r w:rsidR="00547194" w:rsidRPr="00783571">
        <w:t>8.</w:t>
      </w:r>
      <w:r w:rsidR="00547194" w:rsidRPr="00783571">
        <w:tab/>
        <w:t>Per-</w:t>
      </w:r>
      <w:r w:rsidR="00DB6E5A" w:rsidRPr="00783571">
        <w:t>Act</w:t>
      </w:r>
      <w:r w:rsidR="00547194" w:rsidRPr="00783571">
        <w:t xml:space="preserve"> HIV Transmission Risk and Reductions in Risk Due to Circumcision</w:t>
      </w:r>
      <w:r w:rsidR="00B40B60" w:rsidRPr="00783571">
        <w:t>,</w:t>
      </w:r>
      <w:r w:rsidR="00547194" w:rsidRPr="00783571">
        <w:t xml:space="preserve"> </w:t>
      </w:r>
      <w:r w:rsidR="00887AC9" w:rsidRPr="00783571">
        <w:t>Viral Load Suppression</w:t>
      </w:r>
      <w:r w:rsidR="007B3390" w:rsidRPr="00783571">
        <w:t>, and Condom Use</w:t>
      </w:r>
      <w:bookmarkEnd w:id="56"/>
    </w:p>
    <w:tbl>
      <w:tblPr>
        <w:tblW w:w="5000" w:type="pct"/>
        <w:tblBorders>
          <w:top w:val="single" w:sz="12" w:space="0" w:color="000000"/>
          <w:bottom w:val="single" w:sz="12" w:space="0" w:color="000000"/>
          <w:insideH w:val="single" w:sz="2" w:space="0" w:color="DDDDDD"/>
        </w:tblBorders>
        <w:tblLayout w:type="fixed"/>
        <w:tblCellMar>
          <w:left w:w="86" w:type="dxa"/>
          <w:right w:w="86" w:type="dxa"/>
        </w:tblCellMar>
        <w:tblLook w:val="04A0" w:firstRow="1" w:lastRow="0" w:firstColumn="1" w:lastColumn="0" w:noHBand="0" w:noVBand="1"/>
      </w:tblPr>
      <w:tblGrid>
        <w:gridCol w:w="3059"/>
        <w:gridCol w:w="979"/>
        <w:gridCol w:w="8922"/>
      </w:tblGrid>
      <w:tr w:rsidR="00547194" w:rsidRPr="00783571" w14:paraId="55F3470F" w14:textId="77777777" w:rsidTr="00863FC7">
        <w:trPr>
          <w:cantSplit/>
          <w:tblHeader/>
        </w:trPr>
        <w:tc>
          <w:tcPr>
            <w:tcW w:w="3112" w:type="dxa"/>
            <w:tcBorders>
              <w:top w:val="single" w:sz="12" w:space="0" w:color="000000"/>
              <w:bottom w:val="single" w:sz="6" w:space="0" w:color="auto"/>
            </w:tcBorders>
            <w:shd w:val="clear" w:color="auto" w:fill="auto"/>
            <w:noWrap/>
            <w:vAlign w:val="bottom"/>
          </w:tcPr>
          <w:p w14:paraId="7983F7BA" w14:textId="77777777" w:rsidR="00547194" w:rsidRPr="00783571" w:rsidRDefault="00547194" w:rsidP="009F0212">
            <w:pPr>
              <w:pStyle w:val="TableHeaders"/>
              <w:spacing w:before="20" w:after="20"/>
            </w:pPr>
            <w:r w:rsidRPr="00783571">
              <w:t>Parameter</w:t>
            </w:r>
          </w:p>
        </w:tc>
        <w:tc>
          <w:tcPr>
            <w:tcW w:w="994" w:type="dxa"/>
            <w:tcBorders>
              <w:top w:val="single" w:sz="12" w:space="0" w:color="000000"/>
              <w:bottom w:val="single" w:sz="6" w:space="0" w:color="auto"/>
            </w:tcBorders>
            <w:shd w:val="clear" w:color="auto" w:fill="auto"/>
            <w:noWrap/>
            <w:vAlign w:val="bottom"/>
            <w:hideMark/>
          </w:tcPr>
          <w:p w14:paraId="56C39A19" w14:textId="77777777" w:rsidR="00547194" w:rsidRPr="00783571" w:rsidRDefault="00547194" w:rsidP="009F0212">
            <w:pPr>
              <w:pStyle w:val="TableHeaders"/>
              <w:spacing w:before="20" w:after="20"/>
            </w:pPr>
            <w:r w:rsidRPr="00783571">
              <w:t>Value</w:t>
            </w:r>
          </w:p>
        </w:tc>
        <w:tc>
          <w:tcPr>
            <w:tcW w:w="9084" w:type="dxa"/>
            <w:tcBorders>
              <w:top w:val="single" w:sz="12" w:space="0" w:color="000000"/>
              <w:bottom w:val="single" w:sz="6" w:space="0" w:color="auto"/>
            </w:tcBorders>
            <w:shd w:val="clear" w:color="auto" w:fill="auto"/>
            <w:noWrap/>
            <w:vAlign w:val="bottom"/>
            <w:hideMark/>
          </w:tcPr>
          <w:p w14:paraId="28FB90EB" w14:textId="77777777" w:rsidR="00547194" w:rsidRPr="00783571" w:rsidRDefault="00547194" w:rsidP="009F0212">
            <w:pPr>
              <w:pStyle w:val="TableHeaders"/>
              <w:spacing w:before="20" w:after="20"/>
            </w:pPr>
            <w:r w:rsidRPr="00783571">
              <w:t>Source</w:t>
            </w:r>
          </w:p>
        </w:tc>
      </w:tr>
      <w:tr w:rsidR="00547194" w:rsidRPr="00783571" w14:paraId="3FFC626E" w14:textId="77777777" w:rsidTr="00863FC7">
        <w:trPr>
          <w:cantSplit/>
        </w:trPr>
        <w:tc>
          <w:tcPr>
            <w:tcW w:w="13190" w:type="dxa"/>
            <w:gridSpan w:val="3"/>
            <w:tcBorders>
              <w:top w:val="single" w:sz="6" w:space="0" w:color="auto"/>
              <w:bottom w:val="single" w:sz="6" w:space="0" w:color="808080" w:themeColor="background1" w:themeShade="80"/>
            </w:tcBorders>
            <w:shd w:val="clear" w:color="auto" w:fill="auto"/>
            <w:noWrap/>
          </w:tcPr>
          <w:p w14:paraId="70F9F36C" w14:textId="3BB171B4" w:rsidR="00547194" w:rsidRPr="00783571" w:rsidRDefault="00547194" w:rsidP="009F0212">
            <w:pPr>
              <w:pStyle w:val="TableText"/>
              <w:spacing w:before="20" w:after="20"/>
            </w:pPr>
            <w:r w:rsidRPr="00783571">
              <w:t xml:space="preserve">Base probability of transmission per unprotected </w:t>
            </w:r>
            <w:r w:rsidR="00782B9B" w:rsidRPr="00783571">
              <w:t>sex act</w:t>
            </w:r>
            <w:r w:rsidRPr="00783571">
              <w:t xml:space="preserve"> (given, if male, uncircumcised HIV-uninfected partners)</w:t>
            </w:r>
          </w:p>
        </w:tc>
      </w:tr>
      <w:tr w:rsidR="00547194" w:rsidRPr="00783571" w14:paraId="0D57709E"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5058FAE4" w14:textId="77777777" w:rsidR="00547194" w:rsidRPr="00783571" w:rsidRDefault="00547194" w:rsidP="009F0212">
            <w:pPr>
              <w:pStyle w:val="TableText"/>
              <w:spacing w:before="20" w:after="20"/>
              <w:ind w:left="270"/>
            </w:pPr>
            <w:r w:rsidRPr="00783571">
              <w:t>Vaginal insertive</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009DCA02" w14:textId="416D0907" w:rsidR="00547194" w:rsidRPr="00783571" w:rsidRDefault="00887AC9" w:rsidP="009F0212">
            <w:pPr>
              <w:pStyle w:val="TableTextDec"/>
              <w:tabs>
                <w:tab w:val="clear" w:pos="1015"/>
              </w:tabs>
              <w:spacing w:before="20" w:after="20"/>
              <w:jc w:val="center"/>
            </w:pPr>
            <w:r w:rsidRPr="00783571">
              <w:t>0.000</w:t>
            </w:r>
            <w:r w:rsidR="00824E63" w:rsidRPr="00783571">
              <w:t>41</w:t>
            </w:r>
          </w:p>
        </w:tc>
        <w:tc>
          <w:tcPr>
            <w:tcW w:w="9084" w:type="dxa"/>
            <w:tcBorders>
              <w:top w:val="single" w:sz="6" w:space="0" w:color="808080" w:themeColor="background1" w:themeShade="80"/>
              <w:bottom w:val="single" w:sz="6" w:space="0" w:color="808080" w:themeColor="background1" w:themeShade="80"/>
            </w:tcBorders>
            <w:shd w:val="clear" w:color="auto" w:fill="auto"/>
            <w:noWrap/>
          </w:tcPr>
          <w:p w14:paraId="405B65A6" w14:textId="223C5584" w:rsidR="00547194" w:rsidRPr="00783571" w:rsidRDefault="00547194" w:rsidP="009F0212">
            <w:pPr>
              <w:pStyle w:val="TableText"/>
              <w:spacing w:before="20" w:after="20"/>
            </w:pPr>
            <w:r w:rsidRPr="00783571">
              <w:t xml:space="preserve">Determined by calibration </w:t>
            </w:r>
          </w:p>
        </w:tc>
      </w:tr>
      <w:tr w:rsidR="00547194" w:rsidRPr="00783571" w14:paraId="7C6AE3CF"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6E881E22" w14:textId="77777777" w:rsidR="00547194" w:rsidRPr="00783571" w:rsidRDefault="00547194" w:rsidP="009F0212">
            <w:pPr>
              <w:pStyle w:val="TableText"/>
              <w:spacing w:before="20" w:after="20"/>
              <w:ind w:left="270"/>
            </w:pPr>
            <w:r w:rsidRPr="00783571">
              <w:t>Vaginal receptive</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76F8FC27" w14:textId="271C0FED" w:rsidR="00547194" w:rsidRPr="00783571" w:rsidRDefault="00887AC9" w:rsidP="009F0212">
            <w:pPr>
              <w:pStyle w:val="TableTextDec"/>
              <w:tabs>
                <w:tab w:val="clear" w:pos="1015"/>
              </w:tabs>
              <w:spacing w:before="20" w:after="20"/>
              <w:jc w:val="center"/>
            </w:pPr>
            <w:r w:rsidRPr="00783571">
              <w:t>0.000</w:t>
            </w:r>
            <w:r w:rsidR="00824E63" w:rsidRPr="00783571">
              <w:t>6</w:t>
            </w:r>
            <w:r w:rsidR="00516CDB" w:rsidRPr="00783571">
              <w:t>1</w:t>
            </w:r>
          </w:p>
        </w:tc>
        <w:tc>
          <w:tcPr>
            <w:tcW w:w="9084" w:type="dxa"/>
            <w:tcBorders>
              <w:top w:val="single" w:sz="6" w:space="0" w:color="808080" w:themeColor="background1" w:themeShade="80"/>
              <w:bottom w:val="single" w:sz="6" w:space="0" w:color="808080" w:themeColor="background1" w:themeShade="80"/>
            </w:tcBorders>
            <w:shd w:val="clear" w:color="auto" w:fill="auto"/>
            <w:noWrap/>
          </w:tcPr>
          <w:p w14:paraId="48EE6379" w14:textId="1ADBEF94" w:rsidR="00547194" w:rsidRPr="00783571" w:rsidRDefault="00547194" w:rsidP="009F0212">
            <w:pPr>
              <w:pStyle w:val="TableText"/>
              <w:spacing w:before="20" w:after="20"/>
            </w:pPr>
            <w:r w:rsidRPr="00783571">
              <w:t xml:space="preserve">Determined by calibration </w:t>
            </w:r>
          </w:p>
        </w:tc>
      </w:tr>
      <w:tr w:rsidR="00547194" w:rsidRPr="00783571" w14:paraId="49B92D60"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2BB267A6" w14:textId="77777777" w:rsidR="00547194" w:rsidRPr="00783571" w:rsidRDefault="00547194" w:rsidP="009F0212">
            <w:pPr>
              <w:pStyle w:val="TableText"/>
              <w:spacing w:before="20" w:after="20"/>
              <w:ind w:left="270"/>
            </w:pPr>
            <w:r w:rsidRPr="00783571">
              <w:t>Anal insertive</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763F110F" w14:textId="54A5E58D" w:rsidR="00887AC9" w:rsidRPr="00783571" w:rsidRDefault="00887AC9" w:rsidP="009F0212">
            <w:pPr>
              <w:pStyle w:val="TableTextDec"/>
              <w:tabs>
                <w:tab w:val="clear" w:pos="1015"/>
              </w:tabs>
              <w:spacing w:before="20" w:after="20"/>
              <w:jc w:val="center"/>
            </w:pPr>
            <w:r w:rsidRPr="00783571">
              <w:t>0.000</w:t>
            </w:r>
            <w:r w:rsidR="00516CDB" w:rsidRPr="00783571">
              <w:t>6</w:t>
            </w:r>
            <w:r w:rsidR="00824E63" w:rsidRPr="00783571">
              <w:t>4</w:t>
            </w:r>
          </w:p>
        </w:tc>
        <w:tc>
          <w:tcPr>
            <w:tcW w:w="9084" w:type="dxa"/>
            <w:tcBorders>
              <w:top w:val="single" w:sz="6" w:space="0" w:color="808080" w:themeColor="background1" w:themeShade="80"/>
              <w:bottom w:val="single" w:sz="6" w:space="0" w:color="808080" w:themeColor="background1" w:themeShade="80"/>
            </w:tcBorders>
            <w:shd w:val="clear" w:color="auto" w:fill="auto"/>
            <w:noWrap/>
          </w:tcPr>
          <w:p w14:paraId="6C7E70C5" w14:textId="543FBB16" w:rsidR="00547194" w:rsidRPr="00783571" w:rsidRDefault="00547194" w:rsidP="009F0212">
            <w:pPr>
              <w:pStyle w:val="TableText"/>
              <w:spacing w:before="20" w:after="20"/>
            </w:pPr>
            <w:r w:rsidRPr="00783571">
              <w:t xml:space="preserve">Determined by calibration </w:t>
            </w:r>
          </w:p>
        </w:tc>
      </w:tr>
      <w:tr w:rsidR="00547194" w:rsidRPr="00783571" w14:paraId="05398E69"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600EA6CC" w14:textId="77777777" w:rsidR="00547194" w:rsidRPr="00783571" w:rsidRDefault="00547194" w:rsidP="009F0212">
            <w:pPr>
              <w:pStyle w:val="TableText"/>
              <w:spacing w:before="20" w:after="20"/>
              <w:ind w:left="270"/>
            </w:pPr>
            <w:r w:rsidRPr="00783571">
              <w:t>Anal receptive</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2D21C1AB" w14:textId="6362E317" w:rsidR="00547194" w:rsidRPr="00783571" w:rsidRDefault="00887AC9" w:rsidP="009F0212">
            <w:pPr>
              <w:pStyle w:val="TableTextDec"/>
              <w:tabs>
                <w:tab w:val="clear" w:pos="1015"/>
              </w:tabs>
              <w:spacing w:before="20" w:after="20"/>
              <w:jc w:val="center"/>
            </w:pPr>
            <w:r w:rsidRPr="00783571">
              <w:t>0.0</w:t>
            </w:r>
            <w:r w:rsidR="00516CDB" w:rsidRPr="00783571">
              <w:t>08</w:t>
            </w:r>
            <w:r w:rsidR="00824E63" w:rsidRPr="00783571">
              <w:t>9</w:t>
            </w:r>
          </w:p>
        </w:tc>
        <w:tc>
          <w:tcPr>
            <w:tcW w:w="9084" w:type="dxa"/>
            <w:tcBorders>
              <w:top w:val="single" w:sz="6" w:space="0" w:color="808080" w:themeColor="background1" w:themeShade="80"/>
              <w:bottom w:val="single" w:sz="6" w:space="0" w:color="808080" w:themeColor="background1" w:themeShade="80"/>
            </w:tcBorders>
            <w:shd w:val="clear" w:color="auto" w:fill="auto"/>
            <w:noWrap/>
          </w:tcPr>
          <w:p w14:paraId="030F83A2" w14:textId="3B671DA8" w:rsidR="00547194" w:rsidRPr="00783571" w:rsidRDefault="00547194" w:rsidP="009F0212">
            <w:pPr>
              <w:pStyle w:val="TableText"/>
              <w:spacing w:before="20" w:after="20"/>
            </w:pPr>
            <w:r w:rsidRPr="00783571">
              <w:t xml:space="preserve">Determined by calibration </w:t>
            </w:r>
          </w:p>
        </w:tc>
      </w:tr>
      <w:tr w:rsidR="00547194" w:rsidRPr="00783571" w14:paraId="3544A116" w14:textId="77777777" w:rsidTr="00863FC7">
        <w:trPr>
          <w:cantSplit/>
        </w:trPr>
        <w:tc>
          <w:tcPr>
            <w:tcW w:w="13190" w:type="dxa"/>
            <w:gridSpan w:val="3"/>
            <w:tcBorders>
              <w:top w:val="single" w:sz="6" w:space="0" w:color="808080" w:themeColor="background1" w:themeShade="80"/>
              <w:bottom w:val="single" w:sz="6" w:space="0" w:color="808080" w:themeColor="background1" w:themeShade="80"/>
            </w:tcBorders>
            <w:shd w:val="clear" w:color="auto" w:fill="auto"/>
            <w:noWrap/>
          </w:tcPr>
          <w:p w14:paraId="0C18FA3D" w14:textId="71A0A055" w:rsidR="00547194" w:rsidRPr="00783571" w:rsidRDefault="00547194" w:rsidP="009F0212">
            <w:pPr>
              <w:pStyle w:val="TableText"/>
              <w:spacing w:before="20" w:after="20"/>
            </w:pPr>
            <w:r w:rsidRPr="00783571">
              <w:t>Relative risk of transmission</w:t>
            </w:r>
            <w:r w:rsidR="00317D06" w:rsidRPr="00783571">
              <w:t xml:space="preserve"> per </w:t>
            </w:r>
            <w:r w:rsidR="00782B9B" w:rsidRPr="00783571">
              <w:t>sex act</w:t>
            </w:r>
            <w:r w:rsidRPr="00783571">
              <w:t xml:space="preserve"> by disease stage</w:t>
            </w:r>
            <w:r w:rsidR="00DE3931" w:rsidRPr="00783571">
              <w:rPr>
                <w:vertAlign w:val="superscript"/>
              </w:rPr>
              <w:t>a</w:t>
            </w:r>
          </w:p>
        </w:tc>
      </w:tr>
      <w:tr w:rsidR="00547194" w:rsidRPr="00783571" w14:paraId="44D82C19"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24E496A6" w14:textId="77777777" w:rsidR="00547194" w:rsidRPr="00783571" w:rsidRDefault="00547194" w:rsidP="009F0212">
            <w:pPr>
              <w:pStyle w:val="TableText"/>
              <w:spacing w:before="20" w:after="20"/>
              <w:ind w:left="270"/>
            </w:pPr>
            <w:r w:rsidRPr="00783571">
              <w:t>Acute</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70742017" w14:textId="77777777" w:rsidR="00547194" w:rsidRPr="00783571" w:rsidRDefault="00547194" w:rsidP="009F0212">
            <w:pPr>
              <w:pStyle w:val="TableTextDec"/>
              <w:tabs>
                <w:tab w:val="clear" w:pos="1015"/>
              </w:tabs>
              <w:spacing w:before="20" w:after="20"/>
              <w:jc w:val="center"/>
            </w:pPr>
            <w:r w:rsidRPr="00783571">
              <w:t>6.8333</w:t>
            </w:r>
          </w:p>
        </w:tc>
        <w:tc>
          <w:tcPr>
            <w:tcW w:w="9084" w:type="dxa"/>
            <w:vMerge w:val="restart"/>
            <w:tcBorders>
              <w:top w:val="single" w:sz="6" w:space="0" w:color="808080" w:themeColor="background1" w:themeShade="80"/>
              <w:bottom w:val="single" w:sz="6" w:space="0" w:color="808080" w:themeColor="background1" w:themeShade="80"/>
            </w:tcBorders>
            <w:shd w:val="clear" w:color="auto" w:fill="auto"/>
            <w:noWrap/>
          </w:tcPr>
          <w:p w14:paraId="31FFFEA1" w14:textId="77777777" w:rsidR="00547194" w:rsidRPr="00783571" w:rsidRDefault="00547194" w:rsidP="009F0212">
            <w:pPr>
              <w:pStyle w:val="TableText"/>
              <w:spacing w:before="20" w:after="20"/>
            </w:pPr>
            <w:r w:rsidRPr="00783571">
              <w:t>Wawer et al. (2005) as cited by Sorensen et al. (2012)</w:t>
            </w:r>
          </w:p>
        </w:tc>
      </w:tr>
      <w:tr w:rsidR="00547194" w:rsidRPr="00783571" w14:paraId="6D9F79A5"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34208B1B" w14:textId="77777777" w:rsidR="00547194" w:rsidRPr="00783571" w:rsidRDefault="00547194" w:rsidP="009F0212">
            <w:pPr>
              <w:pStyle w:val="TableText"/>
              <w:spacing w:before="20" w:after="20"/>
              <w:ind w:left="270"/>
            </w:pPr>
            <w:r w:rsidRPr="00783571">
              <w:t>CD4 &gt; 500</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5F856459" w14:textId="77777777" w:rsidR="00547194" w:rsidRPr="00783571" w:rsidRDefault="00547194" w:rsidP="009F0212">
            <w:pPr>
              <w:pStyle w:val="TableTextDec"/>
              <w:tabs>
                <w:tab w:val="clear" w:pos="1015"/>
              </w:tabs>
              <w:spacing w:before="20" w:after="20"/>
              <w:jc w:val="center"/>
            </w:pPr>
            <w:r w:rsidRPr="00783571">
              <w:t>0.5833</w:t>
            </w:r>
          </w:p>
        </w:tc>
        <w:tc>
          <w:tcPr>
            <w:tcW w:w="9084" w:type="dxa"/>
            <w:vMerge/>
            <w:tcBorders>
              <w:top w:val="single" w:sz="6" w:space="0" w:color="808080" w:themeColor="background1" w:themeShade="80"/>
              <w:bottom w:val="single" w:sz="6" w:space="0" w:color="808080" w:themeColor="background1" w:themeShade="80"/>
            </w:tcBorders>
            <w:shd w:val="clear" w:color="auto" w:fill="auto"/>
            <w:noWrap/>
          </w:tcPr>
          <w:p w14:paraId="1B67867F" w14:textId="77777777" w:rsidR="00547194" w:rsidRPr="00783571" w:rsidRDefault="00547194" w:rsidP="009F0212">
            <w:pPr>
              <w:pStyle w:val="Tabletext0"/>
              <w:spacing w:before="20" w:after="20"/>
            </w:pPr>
          </w:p>
        </w:tc>
      </w:tr>
      <w:tr w:rsidR="00547194" w:rsidRPr="00783571" w14:paraId="078BBBD8"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1A0AA209" w14:textId="77777777" w:rsidR="00547194" w:rsidRPr="00783571" w:rsidRDefault="00547194" w:rsidP="009F0212">
            <w:pPr>
              <w:pStyle w:val="TableText"/>
              <w:spacing w:before="20" w:after="20"/>
              <w:ind w:left="270"/>
            </w:pPr>
            <w:r w:rsidRPr="00783571">
              <w:t>CD4 350–500</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24F6E6BF" w14:textId="77777777" w:rsidR="00547194" w:rsidRPr="00783571" w:rsidRDefault="00547194" w:rsidP="009F0212">
            <w:pPr>
              <w:pStyle w:val="TableTextDec"/>
              <w:tabs>
                <w:tab w:val="clear" w:pos="1015"/>
              </w:tabs>
              <w:spacing w:before="20" w:after="20"/>
              <w:jc w:val="center"/>
            </w:pPr>
            <w:r w:rsidRPr="00783571">
              <w:t>0.5833</w:t>
            </w:r>
          </w:p>
        </w:tc>
        <w:tc>
          <w:tcPr>
            <w:tcW w:w="9084" w:type="dxa"/>
            <w:vMerge/>
            <w:tcBorders>
              <w:top w:val="single" w:sz="6" w:space="0" w:color="808080" w:themeColor="background1" w:themeShade="80"/>
              <w:bottom w:val="single" w:sz="6" w:space="0" w:color="808080" w:themeColor="background1" w:themeShade="80"/>
            </w:tcBorders>
            <w:shd w:val="clear" w:color="auto" w:fill="auto"/>
            <w:noWrap/>
          </w:tcPr>
          <w:p w14:paraId="2EFEFF0F" w14:textId="77777777" w:rsidR="00547194" w:rsidRPr="00783571" w:rsidRDefault="00547194" w:rsidP="009F0212">
            <w:pPr>
              <w:pStyle w:val="Tabletext0"/>
              <w:spacing w:before="20" w:after="20"/>
            </w:pPr>
          </w:p>
        </w:tc>
      </w:tr>
      <w:tr w:rsidR="00547194" w:rsidRPr="00783571" w14:paraId="78A5C0E5"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16B1F555" w14:textId="77777777" w:rsidR="00547194" w:rsidRPr="00783571" w:rsidRDefault="00547194" w:rsidP="009F0212">
            <w:pPr>
              <w:pStyle w:val="TableText"/>
              <w:spacing w:before="20" w:after="20"/>
              <w:ind w:left="270"/>
            </w:pPr>
            <w:r w:rsidRPr="00783571">
              <w:t>CD4 200–350</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441D89A2" w14:textId="77777777" w:rsidR="00547194" w:rsidRPr="00783571" w:rsidRDefault="00547194" w:rsidP="009F0212">
            <w:pPr>
              <w:pStyle w:val="TableTextDec"/>
              <w:tabs>
                <w:tab w:val="clear" w:pos="1015"/>
              </w:tabs>
              <w:spacing w:before="20" w:after="20"/>
              <w:jc w:val="center"/>
            </w:pPr>
            <w:r w:rsidRPr="00783571">
              <w:t>1.1667</w:t>
            </w:r>
          </w:p>
        </w:tc>
        <w:tc>
          <w:tcPr>
            <w:tcW w:w="9084" w:type="dxa"/>
            <w:vMerge/>
            <w:tcBorders>
              <w:top w:val="single" w:sz="6" w:space="0" w:color="808080" w:themeColor="background1" w:themeShade="80"/>
              <w:bottom w:val="single" w:sz="6" w:space="0" w:color="808080" w:themeColor="background1" w:themeShade="80"/>
            </w:tcBorders>
            <w:shd w:val="clear" w:color="auto" w:fill="auto"/>
            <w:noWrap/>
          </w:tcPr>
          <w:p w14:paraId="3C35D7D4" w14:textId="77777777" w:rsidR="00547194" w:rsidRPr="00783571" w:rsidRDefault="00547194" w:rsidP="009F0212">
            <w:pPr>
              <w:pStyle w:val="Tabletext0"/>
              <w:spacing w:before="20" w:after="20"/>
            </w:pPr>
          </w:p>
        </w:tc>
      </w:tr>
      <w:tr w:rsidR="00547194" w:rsidRPr="00783571" w14:paraId="6D573C2D"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09E60C14" w14:textId="77777777" w:rsidR="00547194" w:rsidRPr="00783571" w:rsidRDefault="00547194" w:rsidP="009F0212">
            <w:pPr>
              <w:pStyle w:val="TableText"/>
              <w:spacing w:before="20" w:after="20"/>
              <w:ind w:left="270"/>
            </w:pPr>
            <w:r w:rsidRPr="00783571">
              <w:t>CD4 &lt; 200</w:t>
            </w:r>
            <w:r w:rsidR="00425360" w:rsidRPr="00783571">
              <w:t xml:space="preserve"> (AIDS)</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596A0A8B" w14:textId="77777777" w:rsidR="00547194" w:rsidRPr="00783571" w:rsidRDefault="00547194" w:rsidP="009F0212">
            <w:pPr>
              <w:pStyle w:val="TableTextDec"/>
              <w:tabs>
                <w:tab w:val="clear" w:pos="1015"/>
              </w:tabs>
              <w:spacing w:before="20" w:after="20"/>
              <w:jc w:val="center"/>
            </w:pPr>
            <w:r w:rsidRPr="00783571">
              <w:t>3.5833</w:t>
            </w:r>
          </w:p>
        </w:tc>
        <w:tc>
          <w:tcPr>
            <w:tcW w:w="9084" w:type="dxa"/>
            <w:vMerge/>
            <w:tcBorders>
              <w:top w:val="single" w:sz="6" w:space="0" w:color="808080" w:themeColor="background1" w:themeShade="80"/>
              <w:bottom w:val="single" w:sz="6" w:space="0" w:color="808080" w:themeColor="background1" w:themeShade="80"/>
            </w:tcBorders>
            <w:shd w:val="clear" w:color="auto" w:fill="auto"/>
            <w:noWrap/>
          </w:tcPr>
          <w:p w14:paraId="542367F0" w14:textId="77777777" w:rsidR="00547194" w:rsidRPr="00783571" w:rsidRDefault="00547194" w:rsidP="009F0212">
            <w:pPr>
              <w:pStyle w:val="Tabletext0"/>
              <w:spacing w:before="20" w:after="20"/>
            </w:pPr>
          </w:p>
        </w:tc>
      </w:tr>
      <w:tr w:rsidR="00426372" w:rsidRPr="00783571" w14:paraId="5F69AD26" w14:textId="77777777" w:rsidTr="00863FC7">
        <w:trPr>
          <w:cantSplit/>
        </w:trPr>
        <w:tc>
          <w:tcPr>
            <w:tcW w:w="13190" w:type="dxa"/>
            <w:gridSpan w:val="3"/>
            <w:tcBorders>
              <w:top w:val="single" w:sz="6" w:space="0" w:color="808080" w:themeColor="background1" w:themeShade="80"/>
              <w:bottom w:val="single" w:sz="6" w:space="0" w:color="808080" w:themeColor="background1" w:themeShade="80"/>
            </w:tcBorders>
            <w:shd w:val="clear" w:color="auto" w:fill="auto"/>
            <w:noWrap/>
          </w:tcPr>
          <w:p w14:paraId="46AC69F5" w14:textId="77777777" w:rsidR="00426372" w:rsidRPr="00783571" w:rsidRDefault="00426372" w:rsidP="009F0212">
            <w:pPr>
              <w:pStyle w:val="TableText"/>
              <w:spacing w:before="20" w:after="20"/>
            </w:pPr>
            <w:r w:rsidRPr="00783571">
              <w:t>Base probability of transmission per shared needle</w:t>
            </w:r>
          </w:p>
        </w:tc>
      </w:tr>
      <w:tr w:rsidR="00426372" w:rsidRPr="00783571" w14:paraId="73ECF51B"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74248024" w14:textId="77777777" w:rsidR="00426372" w:rsidRPr="00783571" w:rsidRDefault="00426372" w:rsidP="009F0212">
            <w:pPr>
              <w:pStyle w:val="TableText"/>
              <w:spacing w:before="20" w:after="20"/>
              <w:ind w:left="270"/>
            </w:pP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3754D027" w14:textId="7DE97F3C" w:rsidR="00426372" w:rsidRPr="00783571" w:rsidRDefault="00426372" w:rsidP="009F0212">
            <w:pPr>
              <w:pStyle w:val="TableTextDec"/>
              <w:tabs>
                <w:tab w:val="clear" w:pos="1015"/>
              </w:tabs>
              <w:spacing w:before="20" w:after="20"/>
              <w:jc w:val="center"/>
            </w:pPr>
            <w:r w:rsidRPr="00783571">
              <w:t>0.00</w:t>
            </w:r>
            <w:r w:rsidR="00516CDB" w:rsidRPr="00783571">
              <w:t>16</w:t>
            </w:r>
          </w:p>
        </w:tc>
        <w:tc>
          <w:tcPr>
            <w:tcW w:w="9084" w:type="dxa"/>
            <w:tcBorders>
              <w:top w:val="single" w:sz="6" w:space="0" w:color="808080" w:themeColor="background1" w:themeShade="80"/>
              <w:bottom w:val="single" w:sz="6" w:space="0" w:color="808080" w:themeColor="background1" w:themeShade="80"/>
            </w:tcBorders>
            <w:shd w:val="clear" w:color="auto" w:fill="auto"/>
            <w:noWrap/>
          </w:tcPr>
          <w:p w14:paraId="4BC2315F" w14:textId="01C30C66" w:rsidR="00426372" w:rsidRPr="00783571" w:rsidRDefault="00426372" w:rsidP="009F0212">
            <w:pPr>
              <w:pStyle w:val="TableText"/>
              <w:spacing w:before="20" w:after="20"/>
            </w:pPr>
            <w:r w:rsidRPr="00783571">
              <w:t xml:space="preserve">Determined by calibration within </w:t>
            </w:r>
            <w:r w:rsidR="00134203" w:rsidRPr="00783571">
              <w:t xml:space="preserve">95% confidence interval (0.0010–0.0050), as applied in </w:t>
            </w:r>
            <w:r w:rsidRPr="00783571">
              <w:t>Long et al. (2010).</w:t>
            </w:r>
          </w:p>
        </w:tc>
      </w:tr>
      <w:tr w:rsidR="007B3390" w:rsidRPr="00783571" w14:paraId="763F5BF2" w14:textId="77777777" w:rsidTr="00863FC7">
        <w:trPr>
          <w:cantSplit/>
        </w:trPr>
        <w:tc>
          <w:tcPr>
            <w:tcW w:w="13190" w:type="dxa"/>
            <w:gridSpan w:val="3"/>
            <w:tcBorders>
              <w:top w:val="single" w:sz="6" w:space="0" w:color="808080" w:themeColor="background1" w:themeShade="80"/>
              <w:bottom w:val="single" w:sz="6" w:space="0" w:color="808080" w:themeColor="background1" w:themeShade="80"/>
            </w:tcBorders>
            <w:shd w:val="clear" w:color="auto" w:fill="auto"/>
            <w:noWrap/>
            <w:hideMark/>
          </w:tcPr>
          <w:p w14:paraId="24B2B10F" w14:textId="00832C5D" w:rsidR="007B3390" w:rsidRPr="00783571" w:rsidRDefault="00911B01" w:rsidP="009F0212">
            <w:pPr>
              <w:pStyle w:val="TableText"/>
              <w:spacing w:before="20" w:after="20"/>
            </w:pPr>
            <w:r w:rsidRPr="00783571">
              <w:t>R</w:t>
            </w:r>
            <w:r w:rsidR="007B3390" w:rsidRPr="00783571">
              <w:t xml:space="preserve">eduction in HIV transmission per </w:t>
            </w:r>
            <w:r w:rsidR="00782B9B" w:rsidRPr="00783571">
              <w:t>sex act</w:t>
            </w:r>
            <w:r w:rsidR="007B3390" w:rsidRPr="00783571">
              <w:t xml:space="preserve"> due to condom use</w:t>
            </w:r>
          </w:p>
        </w:tc>
      </w:tr>
      <w:tr w:rsidR="007B3390" w:rsidRPr="00783571" w14:paraId="77CD5E0F"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77B74866" w14:textId="626D8581" w:rsidR="007B3390" w:rsidRPr="00783571" w:rsidRDefault="007B3390" w:rsidP="009F0212">
            <w:pPr>
              <w:pStyle w:val="TableText"/>
              <w:spacing w:before="20" w:after="20"/>
              <w:ind w:left="270"/>
            </w:pPr>
            <w:r w:rsidRPr="00783571">
              <w:t>MSM insertive</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4D616A10" w14:textId="0A4DBE9E" w:rsidR="007B3390" w:rsidRPr="00783571" w:rsidRDefault="00911B01" w:rsidP="009F0212">
            <w:pPr>
              <w:pStyle w:val="TableTextDec"/>
              <w:tabs>
                <w:tab w:val="clear" w:pos="1015"/>
              </w:tabs>
              <w:spacing w:before="20" w:after="20"/>
              <w:jc w:val="center"/>
            </w:pPr>
            <w:r w:rsidRPr="00783571">
              <w:t>0.630</w:t>
            </w:r>
          </w:p>
        </w:tc>
        <w:tc>
          <w:tcPr>
            <w:tcW w:w="9084" w:type="dxa"/>
            <w:tcBorders>
              <w:top w:val="single" w:sz="6" w:space="0" w:color="808080" w:themeColor="background1" w:themeShade="80"/>
              <w:bottom w:val="single" w:sz="6" w:space="0" w:color="808080" w:themeColor="background1" w:themeShade="80"/>
            </w:tcBorders>
            <w:shd w:val="clear" w:color="auto" w:fill="auto"/>
            <w:noWrap/>
          </w:tcPr>
          <w:p w14:paraId="2D2ECF24" w14:textId="32893026" w:rsidR="007B3390" w:rsidRPr="00783571" w:rsidRDefault="00911B01" w:rsidP="009F0212">
            <w:pPr>
              <w:pStyle w:val="TableText"/>
              <w:spacing w:before="20" w:after="20"/>
            </w:pPr>
            <w:r w:rsidRPr="00783571">
              <w:t>Smith et al. (2015)</w:t>
            </w:r>
          </w:p>
        </w:tc>
      </w:tr>
      <w:tr w:rsidR="007B3390" w:rsidRPr="00783571" w14:paraId="648B55A9"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1C9E5851" w14:textId="706B0C17" w:rsidR="007B3390" w:rsidRPr="00783571" w:rsidRDefault="007B3390" w:rsidP="009F0212">
            <w:pPr>
              <w:pStyle w:val="TableText"/>
              <w:spacing w:before="20" w:after="20"/>
              <w:ind w:left="270"/>
            </w:pPr>
            <w:r w:rsidRPr="00783571">
              <w:t>MSM receptive</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01AEE070" w14:textId="38B99980" w:rsidR="007B3390" w:rsidRPr="00783571" w:rsidRDefault="00911B01" w:rsidP="009F0212">
            <w:pPr>
              <w:pStyle w:val="TableTextDec"/>
              <w:tabs>
                <w:tab w:val="clear" w:pos="1015"/>
              </w:tabs>
              <w:spacing w:before="20" w:after="20"/>
              <w:jc w:val="center"/>
            </w:pPr>
            <w:r w:rsidRPr="00783571">
              <w:t>0.720</w:t>
            </w:r>
          </w:p>
        </w:tc>
        <w:tc>
          <w:tcPr>
            <w:tcW w:w="9084" w:type="dxa"/>
            <w:tcBorders>
              <w:top w:val="single" w:sz="6" w:space="0" w:color="808080" w:themeColor="background1" w:themeShade="80"/>
              <w:bottom w:val="single" w:sz="6" w:space="0" w:color="808080" w:themeColor="background1" w:themeShade="80"/>
            </w:tcBorders>
            <w:shd w:val="clear" w:color="auto" w:fill="auto"/>
            <w:noWrap/>
          </w:tcPr>
          <w:p w14:paraId="2CE4E754" w14:textId="37357137" w:rsidR="007B3390" w:rsidRPr="00783571" w:rsidRDefault="00911B01" w:rsidP="009F0212">
            <w:pPr>
              <w:pStyle w:val="TableText"/>
              <w:spacing w:before="20" w:after="20"/>
            </w:pPr>
            <w:r w:rsidRPr="00783571">
              <w:t>Smith et al. (2015)</w:t>
            </w:r>
          </w:p>
        </w:tc>
      </w:tr>
      <w:tr w:rsidR="007B3390" w:rsidRPr="00783571" w14:paraId="657FBF32"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50622490" w14:textId="39EE14C8" w:rsidR="007B3390" w:rsidRPr="00783571" w:rsidRDefault="007B3390" w:rsidP="009F0212">
            <w:pPr>
              <w:pStyle w:val="TableText"/>
              <w:spacing w:before="20" w:after="20"/>
              <w:ind w:left="270"/>
            </w:pPr>
            <w:r w:rsidRPr="00783571">
              <w:t>HET</w:t>
            </w:r>
          </w:p>
        </w:tc>
        <w:tc>
          <w:tcPr>
            <w:tcW w:w="994" w:type="dxa"/>
            <w:tcBorders>
              <w:top w:val="single" w:sz="6" w:space="0" w:color="808080" w:themeColor="background1" w:themeShade="80"/>
              <w:bottom w:val="single" w:sz="6" w:space="0" w:color="808080" w:themeColor="background1" w:themeShade="80"/>
            </w:tcBorders>
            <w:shd w:val="clear" w:color="auto" w:fill="auto"/>
            <w:noWrap/>
          </w:tcPr>
          <w:p w14:paraId="60217EEE" w14:textId="16FCF66B" w:rsidR="007B3390" w:rsidRPr="00783571" w:rsidRDefault="00911B01" w:rsidP="009F0212">
            <w:pPr>
              <w:pStyle w:val="TableTextDec"/>
              <w:tabs>
                <w:tab w:val="clear" w:pos="1015"/>
              </w:tabs>
              <w:spacing w:before="20" w:after="20"/>
              <w:jc w:val="center"/>
            </w:pPr>
            <w:r w:rsidRPr="00783571">
              <w:t>0.802</w:t>
            </w:r>
          </w:p>
        </w:tc>
        <w:tc>
          <w:tcPr>
            <w:tcW w:w="9084" w:type="dxa"/>
            <w:tcBorders>
              <w:top w:val="single" w:sz="6" w:space="0" w:color="808080" w:themeColor="background1" w:themeShade="80"/>
              <w:bottom w:val="single" w:sz="6" w:space="0" w:color="808080" w:themeColor="background1" w:themeShade="80"/>
            </w:tcBorders>
            <w:shd w:val="clear" w:color="auto" w:fill="auto"/>
            <w:noWrap/>
          </w:tcPr>
          <w:p w14:paraId="000F4968" w14:textId="4EC90924" w:rsidR="00911B01" w:rsidRPr="00783571" w:rsidRDefault="00911B01" w:rsidP="009F0212">
            <w:pPr>
              <w:pStyle w:val="TableText"/>
              <w:spacing w:before="20" w:after="20"/>
            </w:pPr>
            <w:r w:rsidRPr="00783571">
              <w:t xml:space="preserve">Weller </w:t>
            </w:r>
            <w:r w:rsidR="009F0212" w:rsidRPr="00783571">
              <w:t>&amp;</w:t>
            </w:r>
            <w:r w:rsidRPr="00783571">
              <w:t xml:space="preserve"> Davis (2002)</w:t>
            </w:r>
          </w:p>
        </w:tc>
      </w:tr>
      <w:tr w:rsidR="00547194" w:rsidRPr="00783571" w14:paraId="380288B3" w14:textId="77777777" w:rsidTr="00863FC7">
        <w:trPr>
          <w:cantSplit/>
        </w:trPr>
        <w:tc>
          <w:tcPr>
            <w:tcW w:w="13190" w:type="dxa"/>
            <w:gridSpan w:val="3"/>
            <w:tcBorders>
              <w:top w:val="single" w:sz="6" w:space="0" w:color="808080" w:themeColor="background1" w:themeShade="80"/>
              <w:bottom w:val="single" w:sz="6" w:space="0" w:color="808080" w:themeColor="background1" w:themeShade="80"/>
            </w:tcBorders>
            <w:shd w:val="clear" w:color="auto" w:fill="auto"/>
            <w:noWrap/>
            <w:hideMark/>
          </w:tcPr>
          <w:p w14:paraId="648406B7" w14:textId="1A04CBE8" w:rsidR="00547194" w:rsidRPr="00783571" w:rsidRDefault="00547194" w:rsidP="009F0212">
            <w:pPr>
              <w:pStyle w:val="TableText"/>
              <w:spacing w:before="20" w:after="20"/>
            </w:pPr>
            <w:r w:rsidRPr="00783571">
              <w:t xml:space="preserve">Reduction in HIV transmission per </w:t>
            </w:r>
            <w:r w:rsidR="00782B9B" w:rsidRPr="00783571">
              <w:t>sex act</w:t>
            </w:r>
            <w:r w:rsidRPr="00783571">
              <w:t xml:space="preserve"> if </w:t>
            </w:r>
            <w:r w:rsidR="005F5C70" w:rsidRPr="00783571">
              <w:t>HIV-uninfected</w:t>
            </w:r>
            <w:r w:rsidRPr="00783571">
              <w:t xml:space="preserve"> partner is circumcised vs. uncircumcised</w:t>
            </w:r>
          </w:p>
        </w:tc>
      </w:tr>
      <w:tr w:rsidR="00547194" w:rsidRPr="00783571" w14:paraId="45471803"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54431C49" w14:textId="77777777" w:rsidR="00547194" w:rsidRPr="00783571" w:rsidRDefault="002B6861" w:rsidP="009F0212">
            <w:pPr>
              <w:pStyle w:val="TableText"/>
              <w:spacing w:before="20" w:after="20"/>
              <w:ind w:left="270"/>
            </w:pPr>
            <w:r w:rsidRPr="00783571">
              <w:t>Vaginal insertive</w:t>
            </w:r>
          </w:p>
        </w:tc>
        <w:tc>
          <w:tcPr>
            <w:tcW w:w="994" w:type="dxa"/>
            <w:tcBorders>
              <w:top w:val="single" w:sz="6" w:space="0" w:color="808080" w:themeColor="background1" w:themeShade="80"/>
              <w:bottom w:val="single" w:sz="6" w:space="0" w:color="808080" w:themeColor="background1" w:themeShade="80"/>
            </w:tcBorders>
            <w:shd w:val="clear" w:color="auto" w:fill="auto"/>
            <w:noWrap/>
            <w:hideMark/>
          </w:tcPr>
          <w:p w14:paraId="2DA0ED85" w14:textId="77777777" w:rsidR="00547194" w:rsidRPr="00783571" w:rsidRDefault="00C432B3" w:rsidP="009F0212">
            <w:pPr>
              <w:pStyle w:val="TableTextDec"/>
              <w:tabs>
                <w:tab w:val="clear" w:pos="1015"/>
              </w:tabs>
              <w:spacing w:before="20" w:after="20"/>
              <w:jc w:val="center"/>
            </w:pPr>
            <w:r w:rsidRPr="00783571">
              <w:t>0.</w:t>
            </w:r>
            <w:r w:rsidR="00547194" w:rsidRPr="00783571">
              <w:t>54</w:t>
            </w:r>
          </w:p>
        </w:tc>
        <w:tc>
          <w:tcPr>
            <w:tcW w:w="9084" w:type="dxa"/>
            <w:tcBorders>
              <w:top w:val="single" w:sz="6" w:space="0" w:color="808080" w:themeColor="background1" w:themeShade="80"/>
              <w:bottom w:val="single" w:sz="6" w:space="0" w:color="808080" w:themeColor="background1" w:themeShade="80"/>
            </w:tcBorders>
            <w:shd w:val="clear" w:color="auto" w:fill="auto"/>
            <w:noWrap/>
            <w:hideMark/>
          </w:tcPr>
          <w:p w14:paraId="11C4C85B" w14:textId="77777777" w:rsidR="00547194" w:rsidRPr="00783571" w:rsidRDefault="00547194" w:rsidP="009F0212">
            <w:pPr>
              <w:pStyle w:val="TableText"/>
              <w:spacing w:before="20" w:after="20"/>
            </w:pPr>
            <w:r w:rsidRPr="00783571">
              <w:t>Siegfried et al. (2009)</w:t>
            </w:r>
          </w:p>
        </w:tc>
      </w:tr>
      <w:tr w:rsidR="002B6861" w:rsidRPr="00783571" w14:paraId="7AF14500"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5370F378" w14:textId="77777777" w:rsidR="002B6861" w:rsidRPr="00783571" w:rsidRDefault="002B6861" w:rsidP="009F0212">
            <w:pPr>
              <w:pStyle w:val="TableText"/>
              <w:spacing w:before="20" w:after="20"/>
              <w:ind w:left="270"/>
            </w:pPr>
            <w:r w:rsidRPr="00783571">
              <w:t>Male-male anal insertive</w:t>
            </w:r>
          </w:p>
        </w:tc>
        <w:tc>
          <w:tcPr>
            <w:tcW w:w="994" w:type="dxa"/>
            <w:tcBorders>
              <w:top w:val="single" w:sz="6" w:space="0" w:color="808080" w:themeColor="background1" w:themeShade="80"/>
              <w:bottom w:val="single" w:sz="6" w:space="0" w:color="808080" w:themeColor="background1" w:themeShade="80"/>
            </w:tcBorders>
            <w:shd w:val="clear" w:color="auto" w:fill="auto"/>
            <w:noWrap/>
            <w:hideMark/>
          </w:tcPr>
          <w:p w14:paraId="2F392E44" w14:textId="77777777" w:rsidR="002B6861" w:rsidRPr="00783571" w:rsidRDefault="002B6861" w:rsidP="009F0212">
            <w:pPr>
              <w:pStyle w:val="TableTextDec"/>
              <w:tabs>
                <w:tab w:val="clear" w:pos="1015"/>
              </w:tabs>
              <w:spacing w:before="20" w:after="20"/>
              <w:jc w:val="center"/>
            </w:pPr>
            <w:r w:rsidRPr="00783571">
              <w:t>0.00</w:t>
            </w:r>
          </w:p>
        </w:tc>
        <w:tc>
          <w:tcPr>
            <w:tcW w:w="9084" w:type="dxa"/>
            <w:tcBorders>
              <w:top w:val="single" w:sz="6" w:space="0" w:color="808080" w:themeColor="background1" w:themeShade="80"/>
              <w:bottom w:val="single" w:sz="6" w:space="0" w:color="808080" w:themeColor="background1" w:themeShade="80"/>
            </w:tcBorders>
            <w:shd w:val="clear" w:color="auto" w:fill="auto"/>
            <w:noWrap/>
            <w:hideMark/>
          </w:tcPr>
          <w:p w14:paraId="3FB0C138" w14:textId="77777777" w:rsidR="002B6861" w:rsidRPr="00783571" w:rsidRDefault="002B6861" w:rsidP="009F0212">
            <w:pPr>
              <w:pStyle w:val="TableText"/>
              <w:spacing w:before="20" w:after="20"/>
            </w:pPr>
            <w:r w:rsidRPr="00783571">
              <w:t>Assumption due to lack of evidence otherwise.</w:t>
            </w:r>
          </w:p>
        </w:tc>
      </w:tr>
      <w:tr w:rsidR="002B6861" w:rsidRPr="00783571" w14:paraId="330377C7"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tcPr>
          <w:p w14:paraId="14F11208" w14:textId="77777777" w:rsidR="002B6861" w:rsidRPr="00783571" w:rsidRDefault="002B6861" w:rsidP="009F0212">
            <w:pPr>
              <w:pStyle w:val="TableText"/>
              <w:spacing w:before="20" w:after="20"/>
              <w:ind w:left="270"/>
            </w:pPr>
            <w:r w:rsidRPr="00783571">
              <w:t>Male-female anal insertive</w:t>
            </w:r>
          </w:p>
        </w:tc>
        <w:tc>
          <w:tcPr>
            <w:tcW w:w="994" w:type="dxa"/>
            <w:tcBorders>
              <w:top w:val="single" w:sz="6" w:space="0" w:color="808080" w:themeColor="background1" w:themeShade="80"/>
              <w:bottom w:val="single" w:sz="6" w:space="0" w:color="808080" w:themeColor="background1" w:themeShade="80"/>
            </w:tcBorders>
            <w:shd w:val="clear" w:color="auto" w:fill="auto"/>
            <w:noWrap/>
            <w:hideMark/>
          </w:tcPr>
          <w:p w14:paraId="7F4D6849" w14:textId="77777777" w:rsidR="002B6861" w:rsidRPr="00783571" w:rsidRDefault="002B6861" w:rsidP="009F0212">
            <w:pPr>
              <w:pStyle w:val="TableTextDec"/>
              <w:tabs>
                <w:tab w:val="clear" w:pos="1015"/>
              </w:tabs>
              <w:spacing w:before="20" w:after="20"/>
              <w:jc w:val="center"/>
            </w:pPr>
            <w:r w:rsidRPr="00783571">
              <w:t>0.00</w:t>
            </w:r>
          </w:p>
        </w:tc>
        <w:tc>
          <w:tcPr>
            <w:tcW w:w="9084" w:type="dxa"/>
            <w:tcBorders>
              <w:top w:val="single" w:sz="6" w:space="0" w:color="808080" w:themeColor="background1" w:themeShade="80"/>
              <w:bottom w:val="single" w:sz="6" w:space="0" w:color="808080" w:themeColor="background1" w:themeShade="80"/>
            </w:tcBorders>
            <w:shd w:val="clear" w:color="auto" w:fill="auto"/>
            <w:noWrap/>
            <w:hideMark/>
          </w:tcPr>
          <w:p w14:paraId="57A6BF3D" w14:textId="77777777" w:rsidR="002B6861" w:rsidRPr="00783571" w:rsidRDefault="002B6861" w:rsidP="009F0212">
            <w:pPr>
              <w:pStyle w:val="TableText"/>
              <w:spacing w:before="20" w:after="20"/>
            </w:pPr>
            <w:r w:rsidRPr="00783571">
              <w:t>Assumption due to lack of evidence otherwise.</w:t>
            </w:r>
          </w:p>
        </w:tc>
      </w:tr>
      <w:tr w:rsidR="00547194" w:rsidRPr="00783571" w14:paraId="34B674A3" w14:textId="77777777" w:rsidTr="00863FC7">
        <w:trPr>
          <w:cantSplit/>
        </w:trPr>
        <w:tc>
          <w:tcPr>
            <w:tcW w:w="13190" w:type="dxa"/>
            <w:gridSpan w:val="3"/>
            <w:tcBorders>
              <w:top w:val="single" w:sz="6" w:space="0" w:color="808080" w:themeColor="background1" w:themeShade="80"/>
              <w:bottom w:val="single" w:sz="6" w:space="0" w:color="808080" w:themeColor="background1" w:themeShade="80"/>
            </w:tcBorders>
            <w:shd w:val="clear" w:color="auto" w:fill="auto"/>
            <w:noWrap/>
            <w:hideMark/>
          </w:tcPr>
          <w:p w14:paraId="2716E75C" w14:textId="03740D65" w:rsidR="00547194" w:rsidRPr="00783571" w:rsidRDefault="00547194" w:rsidP="009F0212">
            <w:pPr>
              <w:pStyle w:val="TableText"/>
              <w:spacing w:before="20" w:after="20"/>
            </w:pPr>
            <w:r w:rsidRPr="00783571">
              <w:t xml:space="preserve">Reduction in HIV transmission per act if </w:t>
            </w:r>
            <w:r w:rsidR="00695572" w:rsidRPr="00783571">
              <w:t xml:space="preserve">partner is </w:t>
            </w:r>
            <w:r w:rsidR="00426372" w:rsidRPr="00783571">
              <w:t>VLS vs. not VLS</w:t>
            </w:r>
          </w:p>
        </w:tc>
      </w:tr>
      <w:tr w:rsidR="00547194" w:rsidRPr="00783571" w14:paraId="739BB033" w14:textId="77777777" w:rsidTr="00863FC7">
        <w:trPr>
          <w:cantSplit/>
        </w:trPr>
        <w:tc>
          <w:tcPr>
            <w:tcW w:w="3112" w:type="dxa"/>
            <w:tcBorders>
              <w:top w:val="single" w:sz="6" w:space="0" w:color="808080" w:themeColor="background1" w:themeShade="80"/>
              <w:bottom w:val="single" w:sz="6" w:space="0" w:color="808080" w:themeColor="background1" w:themeShade="80"/>
            </w:tcBorders>
            <w:shd w:val="clear" w:color="auto" w:fill="auto"/>
            <w:noWrap/>
            <w:hideMark/>
          </w:tcPr>
          <w:p w14:paraId="56A55E3D" w14:textId="3DCDE12D" w:rsidR="00547194" w:rsidRPr="00783571" w:rsidRDefault="00DB6E5A" w:rsidP="009F0212">
            <w:pPr>
              <w:pStyle w:val="TableText"/>
              <w:spacing w:before="20" w:after="20"/>
              <w:ind w:left="270"/>
            </w:pPr>
            <w:r w:rsidRPr="00783571">
              <w:t>Shared needle</w:t>
            </w:r>
          </w:p>
        </w:tc>
        <w:tc>
          <w:tcPr>
            <w:tcW w:w="994" w:type="dxa"/>
            <w:tcBorders>
              <w:top w:val="single" w:sz="6" w:space="0" w:color="808080" w:themeColor="background1" w:themeShade="80"/>
              <w:bottom w:val="single" w:sz="6" w:space="0" w:color="808080" w:themeColor="background1" w:themeShade="80"/>
            </w:tcBorders>
            <w:shd w:val="clear" w:color="auto" w:fill="auto"/>
            <w:noWrap/>
            <w:hideMark/>
          </w:tcPr>
          <w:p w14:paraId="211D3FE0" w14:textId="2E45A686" w:rsidR="00547194" w:rsidRPr="00783571" w:rsidRDefault="00547194" w:rsidP="009F0212">
            <w:pPr>
              <w:pStyle w:val="TableTextDec"/>
              <w:tabs>
                <w:tab w:val="clear" w:pos="1015"/>
              </w:tabs>
              <w:spacing w:before="20" w:after="20"/>
              <w:jc w:val="center"/>
            </w:pPr>
            <w:r w:rsidRPr="00783571">
              <w:t>0.</w:t>
            </w:r>
            <w:r w:rsidR="00824E63" w:rsidRPr="00783571">
              <w:t>665</w:t>
            </w:r>
          </w:p>
        </w:tc>
        <w:tc>
          <w:tcPr>
            <w:tcW w:w="9084" w:type="dxa"/>
            <w:tcBorders>
              <w:top w:val="single" w:sz="6" w:space="0" w:color="808080" w:themeColor="background1" w:themeShade="80"/>
              <w:bottom w:val="single" w:sz="6" w:space="0" w:color="808080" w:themeColor="background1" w:themeShade="80"/>
            </w:tcBorders>
            <w:shd w:val="clear" w:color="auto" w:fill="auto"/>
            <w:noWrap/>
            <w:hideMark/>
          </w:tcPr>
          <w:p w14:paraId="7A28358F" w14:textId="77777777" w:rsidR="00547194" w:rsidRPr="00783571" w:rsidRDefault="00426372" w:rsidP="009F0212">
            <w:pPr>
              <w:pStyle w:val="TableText"/>
              <w:spacing w:before="20" w:after="20"/>
            </w:pPr>
            <w:r w:rsidRPr="00783571">
              <w:t>Determined by calibration.</w:t>
            </w:r>
          </w:p>
        </w:tc>
      </w:tr>
      <w:tr w:rsidR="00547194" w:rsidRPr="00783571" w14:paraId="14A57FCD" w14:textId="77777777" w:rsidTr="00863FC7">
        <w:trPr>
          <w:cantSplit/>
        </w:trPr>
        <w:tc>
          <w:tcPr>
            <w:tcW w:w="3112" w:type="dxa"/>
            <w:tcBorders>
              <w:top w:val="single" w:sz="6" w:space="0" w:color="808080" w:themeColor="background1" w:themeShade="80"/>
              <w:bottom w:val="single" w:sz="12" w:space="0" w:color="auto"/>
            </w:tcBorders>
            <w:shd w:val="clear" w:color="auto" w:fill="auto"/>
            <w:noWrap/>
            <w:hideMark/>
          </w:tcPr>
          <w:p w14:paraId="36C37B1B" w14:textId="39B9E02E" w:rsidR="00547194" w:rsidRPr="00783571" w:rsidRDefault="00547194" w:rsidP="009F0212">
            <w:pPr>
              <w:pStyle w:val="TableText"/>
              <w:spacing w:before="20" w:after="20"/>
              <w:ind w:left="270"/>
            </w:pPr>
            <w:r w:rsidRPr="00783571">
              <w:t>Sex</w:t>
            </w:r>
            <w:r w:rsidR="00DB6E5A" w:rsidRPr="00783571">
              <w:t xml:space="preserve"> act</w:t>
            </w:r>
          </w:p>
        </w:tc>
        <w:tc>
          <w:tcPr>
            <w:tcW w:w="994" w:type="dxa"/>
            <w:tcBorders>
              <w:top w:val="single" w:sz="6" w:space="0" w:color="808080" w:themeColor="background1" w:themeShade="80"/>
              <w:bottom w:val="single" w:sz="12" w:space="0" w:color="auto"/>
            </w:tcBorders>
            <w:shd w:val="clear" w:color="auto" w:fill="auto"/>
            <w:noWrap/>
            <w:hideMark/>
          </w:tcPr>
          <w:p w14:paraId="045687EA" w14:textId="77777777" w:rsidR="00547194" w:rsidRPr="00783571" w:rsidRDefault="00547194" w:rsidP="009F0212">
            <w:pPr>
              <w:pStyle w:val="TableTextDec"/>
              <w:tabs>
                <w:tab w:val="clear" w:pos="1015"/>
              </w:tabs>
              <w:spacing w:before="20" w:after="20"/>
              <w:jc w:val="center"/>
            </w:pPr>
            <w:r w:rsidRPr="00783571">
              <w:t>0.96</w:t>
            </w:r>
          </w:p>
        </w:tc>
        <w:tc>
          <w:tcPr>
            <w:tcW w:w="9084" w:type="dxa"/>
            <w:tcBorders>
              <w:top w:val="single" w:sz="6" w:space="0" w:color="808080" w:themeColor="background1" w:themeShade="80"/>
              <w:bottom w:val="single" w:sz="12" w:space="0" w:color="auto"/>
            </w:tcBorders>
            <w:shd w:val="clear" w:color="auto" w:fill="auto"/>
            <w:noWrap/>
            <w:hideMark/>
          </w:tcPr>
          <w:p w14:paraId="06A8CBF7" w14:textId="77777777" w:rsidR="00547194" w:rsidRPr="00783571" w:rsidRDefault="00547194" w:rsidP="009F0212">
            <w:pPr>
              <w:pStyle w:val="TableText"/>
              <w:spacing w:before="20" w:after="20"/>
            </w:pPr>
            <w:r w:rsidRPr="00783571">
              <w:t>Cohen et al. (2011)</w:t>
            </w:r>
          </w:p>
        </w:tc>
      </w:tr>
    </w:tbl>
    <w:p w14:paraId="2C249060" w14:textId="5999D64C" w:rsidR="00317D06" w:rsidRPr="00783571" w:rsidRDefault="00547194" w:rsidP="00181BDA">
      <w:pPr>
        <w:pStyle w:val="Source2"/>
      </w:pPr>
      <w:r w:rsidRPr="00783571">
        <w:t>Note: ART</w:t>
      </w:r>
      <w:r w:rsidR="00E628BE" w:rsidRPr="00783571">
        <w:t> = </w:t>
      </w:r>
      <w:r w:rsidRPr="00783571">
        <w:t xml:space="preserve">antiretroviral therapy; </w:t>
      </w:r>
      <w:r w:rsidR="00911B01" w:rsidRPr="00783571">
        <w:t xml:space="preserve">HET = heterosexual; </w:t>
      </w:r>
      <w:r w:rsidRPr="00783571">
        <w:t>HIV</w:t>
      </w:r>
      <w:r w:rsidR="00E628BE" w:rsidRPr="00783571">
        <w:t> = </w:t>
      </w:r>
      <w:r w:rsidRPr="00783571">
        <w:t>human immunodeficiency virus</w:t>
      </w:r>
      <w:r w:rsidR="00426372" w:rsidRPr="00783571">
        <w:t xml:space="preserve">; </w:t>
      </w:r>
      <w:r w:rsidR="00911B01" w:rsidRPr="00783571">
        <w:t xml:space="preserve">MSM = men who have sex with men; </w:t>
      </w:r>
      <w:r w:rsidR="00426372" w:rsidRPr="00783571">
        <w:t>VLS</w:t>
      </w:r>
      <w:r w:rsidR="00E628BE" w:rsidRPr="00783571">
        <w:t> = </w:t>
      </w:r>
      <w:r w:rsidR="00426372" w:rsidRPr="00783571">
        <w:t xml:space="preserve">viral load </w:t>
      </w:r>
      <w:r w:rsidR="00116715" w:rsidRPr="00783571">
        <w:t>suppressed</w:t>
      </w:r>
    </w:p>
    <w:p w14:paraId="11C36F7F" w14:textId="7B1C0230" w:rsidR="00317D06" w:rsidRPr="00783571" w:rsidRDefault="00317D06" w:rsidP="00863FC7">
      <w:pPr>
        <w:pStyle w:val="Source4"/>
      </w:pPr>
      <w:r w:rsidRPr="00783571">
        <w:rPr>
          <w:vertAlign w:val="superscript"/>
        </w:rPr>
        <w:t xml:space="preserve">a </w:t>
      </w:r>
      <w:r w:rsidRPr="00783571">
        <w:t>Early infection, the time after acute infection but before viral set point</w:t>
      </w:r>
      <w:r w:rsidR="001C0009" w:rsidRPr="00783571">
        <w:t>,</w:t>
      </w:r>
      <w:r w:rsidRPr="00783571">
        <w:t xml:space="preserve"> when transmission risk per </w:t>
      </w:r>
      <w:r w:rsidR="00DB6E5A" w:rsidRPr="00783571">
        <w:t>sex act or shared needle</w:t>
      </w:r>
      <w:r w:rsidRPr="00783571">
        <w:t xml:space="preserve"> is elevated and testing is less sensitive</w:t>
      </w:r>
      <w:r w:rsidR="00134203" w:rsidRPr="00783571">
        <w:t>,</w:t>
      </w:r>
      <w:r w:rsidRPr="00783571">
        <w:t xml:space="preserve"> is not accounted for in the model.</w:t>
      </w:r>
    </w:p>
    <w:p w14:paraId="11990C98" w14:textId="32D468BE" w:rsidR="00B41A9A" w:rsidRPr="00783571" w:rsidRDefault="004F4E6D" w:rsidP="00260D8A">
      <w:pPr>
        <w:pStyle w:val="TableTitle"/>
        <w:ind w:left="1530"/>
      </w:pPr>
      <w:bookmarkStart w:id="57" w:name="_Toc510104032"/>
      <w:r w:rsidRPr="00783571">
        <w:t>Table 6.</w:t>
      </w:r>
      <w:r w:rsidR="00BB64EA" w:rsidRPr="00783571">
        <w:t>9</w:t>
      </w:r>
      <w:r w:rsidR="00726697" w:rsidRPr="00783571">
        <w:t>.</w:t>
      </w:r>
      <w:r w:rsidR="00726697" w:rsidRPr="00783571">
        <w:tab/>
      </w:r>
      <w:r w:rsidR="00B41A9A" w:rsidRPr="00783571">
        <w:t xml:space="preserve">Sexual Partners and Sex </w:t>
      </w:r>
      <w:r w:rsidR="00782B9B" w:rsidRPr="00783571">
        <w:t>A</w:t>
      </w:r>
      <w:r w:rsidR="00B41A9A" w:rsidRPr="00783571">
        <w:t>cts</w:t>
      </w:r>
      <w:bookmarkEnd w:id="57"/>
    </w:p>
    <w:tbl>
      <w:tblPr>
        <w:tblW w:w="5047"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2847"/>
        <w:gridCol w:w="1135"/>
        <w:gridCol w:w="1136"/>
        <w:gridCol w:w="1136"/>
        <w:gridCol w:w="1136"/>
        <w:gridCol w:w="1136"/>
        <w:gridCol w:w="1147"/>
        <w:gridCol w:w="3409"/>
      </w:tblGrid>
      <w:tr w:rsidR="00B41A9A" w:rsidRPr="00783571" w14:paraId="37B999C0" w14:textId="77777777" w:rsidTr="00863FC7">
        <w:trPr>
          <w:cantSplit/>
          <w:tblHeader/>
        </w:trPr>
        <w:tc>
          <w:tcPr>
            <w:tcW w:w="2846" w:type="dxa"/>
            <w:vMerge w:val="restart"/>
            <w:tcBorders>
              <w:top w:val="single" w:sz="12" w:space="0" w:color="000000"/>
              <w:bottom w:val="single" w:sz="6" w:space="0" w:color="000000"/>
            </w:tcBorders>
            <w:shd w:val="clear" w:color="auto" w:fill="auto"/>
            <w:noWrap/>
            <w:vAlign w:val="bottom"/>
            <w:hideMark/>
          </w:tcPr>
          <w:p w14:paraId="3784D233" w14:textId="77777777" w:rsidR="00B41A9A" w:rsidRPr="00783571" w:rsidRDefault="005E2547" w:rsidP="002B54F6">
            <w:pPr>
              <w:pStyle w:val="TableHeaders"/>
              <w:keepNext/>
              <w:spacing w:before="20" w:after="20"/>
            </w:pPr>
            <w:r w:rsidRPr="00783571">
              <w:t>Parameter</w:t>
            </w:r>
          </w:p>
        </w:tc>
        <w:tc>
          <w:tcPr>
            <w:tcW w:w="3407" w:type="dxa"/>
            <w:gridSpan w:val="3"/>
            <w:tcBorders>
              <w:top w:val="single" w:sz="12" w:space="0" w:color="000000"/>
              <w:bottom w:val="single" w:sz="6" w:space="0" w:color="000000"/>
            </w:tcBorders>
            <w:shd w:val="clear" w:color="auto" w:fill="auto"/>
            <w:noWrap/>
            <w:vAlign w:val="bottom"/>
            <w:hideMark/>
          </w:tcPr>
          <w:p w14:paraId="7D80C418" w14:textId="77777777" w:rsidR="00B41A9A" w:rsidRPr="00783571" w:rsidRDefault="00B41A9A" w:rsidP="002B54F6">
            <w:pPr>
              <w:pStyle w:val="TableHeaders"/>
              <w:keepNext/>
              <w:spacing w:before="20" w:after="20"/>
            </w:pPr>
            <w:r w:rsidRPr="00783571">
              <w:t>Female</w:t>
            </w:r>
          </w:p>
        </w:tc>
        <w:tc>
          <w:tcPr>
            <w:tcW w:w="3419" w:type="dxa"/>
            <w:gridSpan w:val="3"/>
            <w:tcBorders>
              <w:top w:val="single" w:sz="12" w:space="0" w:color="000000"/>
              <w:bottom w:val="single" w:sz="6" w:space="0" w:color="000000"/>
            </w:tcBorders>
            <w:shd w:val="clear" w:color="auto" w:fill="auto"/>
            <w:noWrap/>
            <w:vAlign w:val="bottom"/>
            <w:hideMark/>
          </w:tcPr>
          <w:p w14:paraId="4FEFB731" w14:textId="77777777" w:rsidR="00B41A9A" w:rsidRPr="00783571" w:rsidRDefault="00B41A9A" w:rsidP="002B54F6">
            <w:pPr>
              <w:pStyle w:val="TableHeaders"/>
              <w:keepNext/>
              <w:spacing w:before="20" w:after="20"/>
            </w:pPr>
            <w:r w:rsidRPr="00783571">
              <w:t>Male</w:t>
            </w:r>
          </w:p>
        </w:tc>
        <w:tc>
          <w:tcPr>
            <w:tcW w:w="3409" w:type="dxa"/>
            <w:vMerge w:val="restart"/>
            <w:tcBorders>
              <w:top w:val="single" w:sz="12" w:space="0" w:color="000000"/>
              <w:bottom w:val="single" w:sz="6" w:space="0" w:color="000000"/>
            </w:tcBorders>
            <w:shd w:val="clear" w:color="auto" w:fill="auto"/>
            <w:noWrap/>
            <w:vAlign w:val="bottom"/>
            <w:hideMark/>
          </w:tcPr>
          <w:p w14:paraId="3A53B0FC" w14:textId="77777777" w:rsidR="00B41A9A" w:rsidRPr="00783571" w:rsidRDefault="00B41A9A" w:rsidP="002B54F6">
            <w:pPr>
              <w:pStyle w:val="TableHeaders"/>
              <w:keepNext/>
              <w:spacing w:before="20" w:after="20"/>
            </w:pPr>
            <w:r w:rsidRPr="00783571">
              <w:t>Source</w:t>
            </w:r>
          </w:p>
        </w:tc>
      </w:tr>
      <w:tr w:rsidR="00B41A9A" w:rsidRPr="00783571" w14:paraId="54D6F075" w14:textId="77777777" w:rsidTr="00863FC7">
        <w:trPr>
          <w:cantSplit/>
          <w:tblHeader/>
        </w:trPr>
        <w:tc>
          <w:tcPr>
            <w:tcW w:w="2846" w:type="dxa"/>
            <w:vMerge/>
            <w:tcBorders>
              <w:top w:val="single" w:sz="6" w:space="0" w:color="000000"/>
              <w:bottom w:val="single" w:sz="6" w:space="0" w:color="000000"/>
            </w:tcBorders>
            <w:shd w:val="clear" w:color="auto" w:fill="auto"/>
            <w:noWrap/>
            <w:vAlign w:val="bottom"/>
            <w:hideMark/>
          </w:tcPr>
          <w:p w14:paraId="664C2B4C" w14:textId="77777777" w:rsidR="00B41A9A" w:rsidRPr="00783571" w:rsidRDefault="00B41A9A" w:rsidP="002B54F6">
            <w:pPr>
              <w:pStyle w:val="TableHeaders"/>
              <w:keepNext/>
              <w:spacing w:before="20" w:after="20"/>
            </w:pPr>
          </w:p>
        </w:tc>
        <w:tc>
          <w:tcPr>
            <w:tcW w:w="1135" w:type="dxa"/>
            <w:tcBorders>
              <w:top w:val="single" w:sz="6" w:space="0" w:color="000000"/>
              <w:bottom w:val="single" w:sz="6" w:space="0" w:color="000000"/>
            </w:tcBorders>
            <w:shd w:val="clear" w:color="auto" w:fill="auto"/>
            <w:noWrap/>
            <w:vAlign w:val="bottom"/>
            <w:hideMark/>
          </w:tcPr>
          <w:p w14:paraId="1325E691" w14:textId="77777777" w:rsidR="00B41A9A" w:rsidRPr="00783571" w:rsidRDefault="00B41A9A" w:rsidP="002B54F6">
            <w:pPr>
              <w:pStyle w:val="TableHeaders"/>
              <w:keepNext/>
              <w:spacing w:before="20" w:after="20"/>
            </w:pPr>
            <w:r w:rsidRPr="00783571">
              <w:t>Black</w:t>
            </w:r>
          </w:p>
        </w:tc>
        <w:tc>
          <w:tcPr>
            <w:tcW w:w="1136" w:type="dxa"/>
            <w:tcBorders>
              <w:top w:val="single" w:sz="6" w:space="0" w:color="000000"/>
              <w:bottom w:val="single" w:sz="6" w:space="0" w:color="000000"/>
            </w:tcBorders>
            <w:shd w:val="clear" w:color="auto" w:fill="auto"/>
            <w:noWrap/>
            <w:vAlign w:val="bottom"/>
            <w:hideMark/>
          </w:tcPr>
          <w:p w14:paraId="300B07FE" w14:textId="77777777" w:rsidR="00B41A9A" w:rsidRPr="00783571" w:rsidRDefault="00B41A9A" w:rsidP="002B54F6">
            <w:pPr>
              <w:pStyle w:val="TableHeaders"/>
              <w:keepNext/>
              <w:spacing w:before="20" w:after="20"/>
            </w:pPr>
            <w:r w:rsidRPr="00783571">
              <w:t>Hispanic</w:t>
            </w:r>
          </w:p>
        </w:tc>
        <w:tc>
          <w:tcPr>
            <w:tcW w:w="1136" w:type="dxa"/>
            <w:tcBorders>
              <w:top w:val="single" w:sz="6" w:space="0" w:color="000000"/>
              <w:bottom w:val="single" w:sz="6" w:space="0" w:color="000000"/>
            </w:tcBorders>
            <w:shd w:val="clear" w:color="auto" w:fill="auto"/>
            <w:noWrap/>
            <w:vAlign w:val="bottom"/>
            <w:hideMark/>
          </w:tcPr>
          <w:p w14:paraId="323E6168" w14:textId="77777777" w:rsidR="00B41A9A" w:rsidRPr="00783571" w:rsidRDefault="00B41A9A" w:rsidP="002B54F6">
            <w:pPr>
              <w:pStyle w:val="TableHeaders"/>
              <w:keepNext/>
              <w:spacing w:before="20" w:after="20"/>
            </w:pPr>
            <w:r w:rsidRPr="00783571">
              <w:t>Other</w:t>
            </w:r>
          </w:p>
        </w:tc>
        <w:tc>
          <w:tcPr>
            <w:tcW w:w="1136" w:type="dxa"/>
            <w:tcBorders>
              <w:top w:val="single" w:sz="6" w:space="0" w:color="000000"/>
              <w:bottom w:val="single" w:sz="6" w:space="0" w:color="000000"/>
            </w:tcBorders>
            <w:shd w:val="clear" w:color="auto" w:fill="auto"/>
            <w:noWrap/>
            <w:vAlign w:val="bottom"/>
            <w:hideMark/>
          </w:tcPr>
          <w:p w14:paraId="1E2BAD39" w14:textId="77777777" w:rsidR="00B41A9A" w:rsidRPr="00783571" w:rsidRDefault="00B41A9A" w:rsidP="002B54F6">
            <w:pPr>
              <w:pStyle w:val="TableHeaders"/>
              <w:keepNext/>
              <w:spacing w:before="20" w:after="20"/>
            </w:pPr>
            <w:r w:rsidRPr="00783571">
              <w:t>Black</w:t>
            </w:r>
          </w:p>
        </w:tc>
        <w:tc>
          <w:tcPr>
            <w:tcW w:w="1136" w:type="dxa"/>
            <w:tcBorders>
              <w:top w:val="single" w:sz="6" w:space="0" w:color="000000"/>
              <w:bottom w:val="single" w:sz="6" w:space="0" w:color="000000"/>
            </w:tcBorders>
            <w:shd w:val="clear" w:color="auto" w:fill="auto"/>
            <w:noWrap/>
            <w:vAlign w:val="bottom"/>
            <w:hideMark/>
          </w:tcPr>
          <w:p w14:paraId="0CA12067" w14:textId="77777777" w:rsidR="00B41A9A" w:rsidRPr="00783571" w:rsidRDefault="00B41A9A" w:rsidP="002B54F6">
            <w:pPr>
              <w:pStyle w:val="TableHeaders"/>
              <w:keepNext/>
              <w:spacing w:before="20" w:after="20"/>
            </w:pPr>
            <w:r w:rsidRPr="00783571">
              <w:t>Hispanic</w:t>
            </w:r>
          </w:p>
        </w:tc>
        <w:tc>
          <w:tcPr>
            <w:tcW w:w="1147" w:type="dxa"/>
            <w:tcBorders>
              <w:top w:val="single" w:sz="6" w:space="0" w:color="000000"/>
              <w:bottom w:val="single" w:sz="6" w:space="0" w:color="000000"/>
            </w:tcBorders>
            <w:shd w:val="clear" w:color="auto" w:fill="auto"/>
            <w:noWrap/>
            <w:vAlign w:val="bottom"/>
            <w:hideMark/>
          </w:tcPr>
          <w:p w14:paraId="1C64C7D7" w14:textId="77777777" w:rsidR="00B41A9A" w:rsidRPr="00783571" w:rsidRDefault="00B41A9A" w:rsidP="002B54F6">
            <w:pPr>
              <w:pStyle w:val="TableHeaders"/>
              <w:keepNext/>
              <w:spacing w:before="20" w:after="20"/>
            </w:pPr>
            <w:r w:rsidRPr="00783571">
              <w:t>Other</w:t>
            </w:r>
          </w:p>
        </w:tc>
        <w:tc>
          <w:tcPr>
            <w:tcW w:w="3409" w:type="dxa"/>
            <w:vMerge/>
            <w:tcBorders>
              <w:top w:val="single" w:sz="6" w:space="0" w:color="000000"/>
              <w:bottom w:val="single" w:sz="6" w:space="0" w:color="000000"/>
            </w:tcBorders>
            <w:shd w:val="clear" w:color="auto" w:fill="auto"/>
            <w:noWrap/>
            <w:vAlign w:val="bottom"/>
            <w:hideMark/>
          </w:tcPr>
          <w:p w14:paraId="61535453" w14:textId="77777777" w:rsidR="00B41A9A" w:rsidRPr="00783571" w:rsidRDefault="00B41A9A" w:rsidP="002B54F6">
            <w:pPr>
              <w:pStyle w:val="TableHeaders"/>
              <w:keepNext/>
              <w:spacing w:before="20" w:after="20"/>
            </w:pPr>
          </w:p>
        </w:tc>
      </w:tr>
      <w:tr w:rsidR="00B41A9A" w:rsidRPr="00783571" w14:paraId="55991502" w14:textId="77777777" w:rsidTr="00863FC7">
        <w:trPr>
          <w:cantSplit/>
        </w:trPr>
        <w:tc>
          <w:tcPr>
            <w:tcW w:w="13081" w:type="dxa"/>
            <w:gridSpan w:val="8"/>
            <w:tcBorders>
              <w:top w:val="single" w:sz="6" w:space="0" w:color="000000"/>
              <w:bottom w:val="single" w:sz="6" w:space="0" w:color="808080" w:themeColor="background1" w:themeShade="80"/>
            </w:tcBorders>
            <w:shd w:val="clear" w:color="auto" w:fill="auto"/>
            <w:noWrap/>
            <w:hideMark/>
          </w:tcPr>
          <w:p w14:paraId="54D39F74" w14:textId="7AE58573" w:rsidR="00B41A9A" w:rsidRPr="00783571" w:rsidRDefault="00B41A9A" w:rsidP="00695572">
            <w:pPr>
              <w:pStyle w:val="TableText"/>
              <w:keepNext/>
              <w:spacing w:before="20" w:after="20"/>
            </w:pPr>
            <w:r w:rsidRPr="00783571">
              <w:t xml:space="preserve">Annual number of </w:t>
            </w:r>
            <w:r w:rsidR="00782B9B" w:rsidRPr="00783571">
              <w:t xml:space="preserve">sex </w:t>
            </w:r>
            <w:r w:rsidRPr="00783571">
              <w:t>acts per partner</w:t>
            </w:r>
            <w:r w:rsidR="00695572" w:rsidRPr="00783571">
              <w:t xml:space="preserve"> for HIV-uninfected individuals</w:t>
            </w:r>
          </w:p>
        </w:tc>
      </w:tr>
      <w:tr w:rsidR="00B41A9A" w:rsidRPr="00783571" w14:paraId="0EC2712A"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6CC7CED5" w14:textId="77777777" w:rsidR="00B41A9A" w:rsidRPr="00783571" w:rsidRDefault="00B41A9A" w:rsidP="002B54F6">
            <w:pPr>
              <w:pStyle w:val="TableText"/>
              <w:keepNext/>
              <w:spacing w:before="20" w:after="20"/>
              <w:ind w:left="270"/>
            </w:pPr>
            <w:r w:rsidRPr="00783571">
              <w:t>HET</w:t>
            </w:r>
          </w:p>
        </w:tc>
        <w:tc>
          <w:tcPr>
            <w:tcW w:w="1135" w:type="dxa"/>
            <w:tcBorders>
              <w:top w:val="single" w:sz="6" w:space="0" w:color="808080" w:themeColor="background1" w:themeShade="80"/>
              <w:bottom w:val="single" w:sz="6" w:space="0" w:color="808080" w:themeColor="background1" w:themeShade="80"/>
            </w:tcBorders>
            <w:shd w:val="clear" w:color="auto" w:fill="auto"/>
            <w:noWrap/>
            <w:hideMark/>
          </w:tcPr>
          <w:p w14:paraId="4856AACE" w14:textId="77777777" w:rsidR="00B41A9A" w:rsidRPr="00783571" w:rsidRDefault="00B41A9A" w:rsidP="002B54F6">
            <w:pPr>
              <w:pStyle w:val="TableText"/>
              <w:keepN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3FE36A31" w14:textId="77777777" w:rsidR="00B41A9A" w:rsidRPr="00783571" w:rsidRDefault="00B41A9A" w:rsidP="002B54F6">
            <w:pPr>
              <w:pStyle w:val="TableText"/>
              <w:keepN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126DACF9" w14:textId="77777777" w:rsidR="00B41A9A" w:rsidRPr="00783571" w:rsidRDefault="00B41A9A" w:rsidP="002B54F6">
            <w:pPr>
              <w:pStyle w:val="TableText"/>
              <w:keepN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149197C3" w14:textId="77777777" w:rsidR="00B41A9A" w:rsidRPr="00783571" w:rsidRDefault="00B41A9A" w:rsidP="002B54F6">
            <w:pPr>
              <w:pStyle w:val="TableText"/>
              <w:keepN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3077DC5F" w14:textId="77777777" w:rsidR="00B41A9A" w:rsidRPr="00783571" w:rsidRDefault="00B41A9A" w:rsidP="002B54F6">
            <w:pPr>
              <w:pStyle w:val="TableText"/>
              <w:keepNext/>
              <w:spacing w:before="20" w:after="20"/>
            </w:pPr>
          </w:p>
        </w:tc>
        <w:tc>
          <w:tcPr>
            <w:tcW w:w="1147" w:type="dxa"/>
            <w:tcBorders>
              <w:top w:val="single" w:sz="6" w:space="0" w:color="808080" w:themeColor="background1" w:themeShade="80"/>
              <w:bottom w:val="single" w:sz="6" w:space="0" w:color="808080" w:themeColor="background1" w:themeShade="80"/>
            </w:tcBorders>
            <w:shd w:val="clear" w:color="auto" w:fill="auto"/>
            <w:noWrap/>
            <w:hideMark/>
          </w:tcPr>
          <w:p w14:paraId="014DFBC3" w14:textId="77777777" w:rsidR="00B41A9A" w:rsidRPr="00783571" w:rsidRDefault="00B41A9A" w:rsidP="002B54F6">
            <w:pPr>
              <w:pStyle w:val="TableText"/>
              <w:keepNext/>
              <w:spacing w:before="20" w:after="20"/>
            </w:pP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27C013C0" w14:textId="77777777" w:rsidR="00B41A9A" w:rsidRPr="00783571" w:rsidRDefault="00B41A9A" w:rsidP="002B54F6">
            <w:pPr>
              <w:pStyle w:val="TableText"/>
              <w:keepNext/>
              <w:spacing w:before="20" w:after="20"/>
            </w:pPr>
          </w:p>
        </w:tc>
      </w:tr>
      <w:tr w:rsidR="00B41A9A" w:rsidRPr="00783571" w14:paraId="02410BA5"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547C1104" w14:textId="77777777" w:rsidR="00B41A9A" w:rsidRPr="00783571" w:rsidRDefault="00B41A9A" w:rsidP="002B54F6">
            <w:pPr>
              <w:pStyle w:val="TableText"/>
              <w:spacing w:before="20" w:after="20"/>
              <w:ind w:left="450"/>
            </w:pPr>
            <w:r w:rsidRPr="00783571">
              <w:t>High</w:t>
            </w:r>
          </w:p>
        </w:tc>
        <w:tc>
          <w:tcPr>
            <w:tcW w:w="3407" w:type="dxa"/>
            <w:gridSpan w:val="3"/>
            <w:tcBorders>
              <w:top w:val="single" w:sz="6" w:space="0" w:color="808080" w:themeColor="background1" w:themeShade="80"/>
              <w:bottom w:val="single" w:sz="6" w:space="0" w:color="808080" w:themeColor="background1" w:themeShade="80"/>
            </w:tcBorders>
            <w:shd w:val="clear" w:color="auto" w:fill="auto"/>
            <w:noWrap/>
          </w:tcPr>
          <w:p w14:paraId="36A5A3DA" w14:textId="77777777" w:rsidR="00B41A9A" w:rsidRPr="00783571" w:rsidRDefault="00B41A9A" w:rsidP="002B54F6">
            <w:pPr>
              <w:pStyle w:val="TableText"/>
              <w:spacing w:before="20" w:after="20"/>
            </w:pPr>
            <w:r w:rsidRPr="00783571">
              <w:t>--------------</w:t>
            </w:r>
            <w:r w:rsidR="0037441C" w:rsidRPr="00783571">
              <w:t>--47.3</w:t>
            </w:r>
            <w:r w:rsidRPr="00783571">
              <w:t>-----------------</w:t>
            </w:r>
          </w:p>
        </w:tc>
        <w:tc>
          <w:tcPr>
            <w:tcW w:w="3419" w:type="dxa"/>
            <w:gridSpan w:val="3"/>
            <w:tcBorders>
              <w:top w:val="single" w:sz="6" w:space="0" w:color="808080" w:themeColor="background1" w:themeShade="80"/>
              <w:bottom w:val="single" w:sz="6" w:space="0" w:color="808080" w:themeColor="background1" w:themeShade="80"/>
            </w:tcBorders>
            <w:shd w:val="clear" w:color="auto" w:fill="auto"/>
            <w:noWrap/>
          </w:tcPr>
          <w:p w14:paraId="0B8BB8D1" w14:textId="77777777" w:rsidR="00B41A9A" w:rsidRPr="00783571" w:rsidRDefault="00B41A9A" w:rsidP="002B54F6">
            <w:pPr>
              <w:pStyle w:val="TableText"/>
              <w:spacing w:before="20" w:after="20"/>
            </w:pPr>
            <w:r w:rsidRPr="00783571">
              <w:t>---------------</w:t>
            </w:r>
            <w:r w:rsidR="0037441C" w:rsidRPr="00783571">
              <w:t>-27.5</w:t>
            </w:r>
            <w:r w:rsidRPr="00783571">
              <w:t>------------------</w:t>
            </w: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0A3DDC82" w14:textId="77777777" w:rsidR="00B41A9A" w:rsidRPr="00783571" w:rsidRDefault="00B41A9A" w:rsidP="002B54F6">
            <w:pPr>
              <w:pStyle w:val="TableText"/>
              <w:spacing w:before="20" w:after="20"/>
            </w:pPr>
            <w:r w:rsidRPr="00783571">
              <w:t>Calculated</w:t>
            </w:r>
            <w:r w:rsidRPr="00783571">
              <w:rPr>
                <w:vertAlign w:val="superscript"/>
              </w:rPr>
              <w:t>a, b</w:t>
            </w:r>
          </w:p>
        </w:tc>
      </w:tr>
      <w:tr w:rsidR="00B41A9A" w:rsidRPr="00783571" w14:paraId="03BC51E3"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1468770F" w14:textId="77777777" w:rsidR="00B41A9A" w:rsidRPr="00783571" w:rsidRDefault="00B41A9A" w:rsidP="002B54F6">
            <w:pPr>
              <w:pStyle w:val="TableText"/>
              <w:spacing w:before="20" w:after="20"/>
              <w:ind w:left="450"/>
            </w:pPr>
            <w:r w:rsidRPr="00783571">
              <w:t>Low</w:t>
            </w:r>
          </w:p>
        </w:tc>
        <w:tc>
          <w:tcPr>
            <w:tcW w:w="3407" w:type="dxa"/>
            <w:gridSpan w:val="3"/>
            <w:tcBorders>
              <w:top w:val="single" w:sz="6" w:space="0" w:color="808080" w:themeColor="background1" w:themeShade="80"/>
              <w:bottom w:val="single" w:sz="6" w:space="0" w:color="808080" w:themeColor="background1" w:themeShade="80"/>
            </w:tcBorders>
            <w:shd w:val="clear" w:color="auto" w:fill="auto"/>
            <w:noWrap/>
          </w:tcPr>
          <w:p w14:paraId="06AC442F" w14:textId="77777777" w:rsidR="00B41A9A" w:rsidRPr="00783571" w:rsidRDefault="00B41A9A" w:rsidP="002B54F6">
            <w:pPr>
              <w:pStyle w:val="TableText"/>
              <w:spacing w:before="20" w:after="20"/>
            </w:pPr>
            <w:r w:rsidRPr="00783571">
              <w:t>--------------</w:t>
            </w:r>
            <w:r w:rsidR="0037441C" w:rsidRPr="00783571">
              <w:t>--35.0</w:t>
            </w:r>
            <w:r w:rsidRPr="00783571">
              <w:t>-----------------</w:t>
            </w:r>
          </w:p>
        </w:tc>
        <w:tc>
          <w:tcPr>
            <w:tcW w:w="3419" w:type="dxa"/>
            <w:gridSpan w:val="3"/>
            <w:tcBorders>
              <w:top w:val="single" w:sz="6" w:space="0" w:color="808080" w:themeColor="background1" w:themeShade="80"/>
              <w:bottom w:val="single" w:sz="6" w:space="0" w:color="808080" w:themeColor="background1" w:themeShade="80"/>
            </w:tcBorders>
            <w:shd w:val="clear" w:color="auto" w:fill="auto"/>
            <w:noWrap/>
          </w:tcPr>
          <w:p w14:paraId="19C07F5E" w14:textId="77777777" w:rsidR="00B41A9A" w:rsidRPr="00783571" w:rsidRDefault="00B41A9A" w:rsidP="002B54F6">
            <w:pPr>
              <w:pStyle w:val="TableText"/>
              <w:spacing w:before="20" w:after="20"/>
            </w:pPr>
            <w:r w:rsidRPr="00783571">
              <w:t>-------------</w:t>
            </w:r>
            <w:r w:rsidR="0037441C" w:rsidRPr="00783571">
              <w:t>---32.3</w:t>
            </w:r>
            <w:r w:rsidRPr="00783571">
              <w:t>------------------</w:t>
            </w: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08E2E6C9" w14:textId="77777777" w:rsidR="00B41A9A" w:rsidRPr="00783571" w:rsidRDefault="00B41A9A" w:rsidP="002B54F6">
            <w:pPr>
              <w:pStyle w:val="TableText"/>
              <w:spacing w:before="20" w:after="20"/>
            </w:pPr>
            <w:r w:rsidRPr="00783571">
              <w:t>Calculated</w:t>
            </w:r>
            <w:r w:rsidRPr="00783571">
              <w:rPr>
                <w:vertAlign w:val="superscript"/>
              </w:rPr>
              <w:t>a, b</w:t>
            </w:r>
          </w:p>
        </w:tc>
      </w:tr>
      <w:tr w:rsidR="00B41A9A" w:rsidRPr="00783571" w14:paraId="55AD19FB"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6A9E3306" w14:textId="6816D039" w:rsidR="00B41A9A" w:rsidRPr="00783571" w:rsidRDefault="00F77D76" w:rsidP="002B54F6">
            <w:pPr>
              <w:pStyle w:val="TableText"/>
              <w:spacing w:before="20" w:after="20"/>
              <w:ind w:left="270"/>
            </w:pPr>
            <w:r w:rsidRPr="00783571">
              <w:t>PWID</w:t>
            </w:r>
          </w:p>
        </w:tc>
        <w:tc>
          <w:tcPr>
            <w:tcW w:w="1135" w:type="dxa"/>
            <w:tcBorders>
              <w:top w:val="single" w:sz="6" w:space="0" w:color="808080" w:themeColor="background1" w:themeShade="80"/>
              <w:bottom w:val="single" w:sz="6" w:space="0" w:color="808080" w:themeColor="background1" w:themeShade="80"/>
            </w:tcBorders>
            <w:shd w:val="clear" w:color="auto" w:fill="auto"/>
            <w:noWrap/>
            <w:hideMark/>
          </w:tcPr>
          <w:p w14:paraId="52186AE9"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0DCA3E8B"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22CE226E"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590B97D2"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2CCC4688" w14:textId="77777777" w:rsidR="00B41A9A" w:rsidRPr="00783571" w:rsidRDefault="00B41A9A" w:rsidP="002B54F6">
            <w:pPr>
              <w:pStyle w:val="TableText"/>
              <w:spacing w:before="20" w:after="20"/>
            </w:pPr>
          </w:p>
        </w:tc>
        <w:tc>
          <w:tcPr>
            <w:tcW w:w="1147" w:type="dxa"/>
            <w:tcBorders>
              <w:top w:val="single" w:sz="6" w:space="0" w:color="808080" w:themeColor="background1" w:themeShade="80"/>
              <w:bottom w:val="single" w:sz="6" w:space="0" w:color="808080" w:themeColor="background1" w:themeShade="80"/>
            </w:tcBorders>
            <w:shd w:val="clear" w:color="auto" w:fill="auto"/>
            <w:noWrap/>
            <w:hideMark/>
          </w:tcPr>
          <w:p w14:paraId="33BA90D2" w14:textId="77777777" w:rsidR="00B41A9A" w:rsidRPr="00783571" w:rsidRDefault="00B41A9A" w:rsidP="002B54F6">
            <w:pPr>
              <w:pStyle w:val="TableText"/>
              <w:spacing w:before="20" w:after="20"/>
            </w:pP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175291B9" w14:textId="77777777" w:rsidR="00B41A9A" w:rsidRPr="00783571" w:rsidRDefault="00B41A9A" w:rsidP="002B54F6">
            <w:pPr>
              <w:pStyle w:val="TableText"/>
              <w:spacing w:before="20" w:after="20"/>
            </w:pPr>
          </w:p>
        </w:tc>
      </w:tr>
      <w:tr w:rsidR="004A4830" w:rsidRPr="00783571" w14:paraId="2A2CB92F"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tcPr>
          <w:p w14:paraId="6CCA9FBA" w14:textId="77777777" w:rsidR="004A4830" w:rsidRPr="00783571" w:rsidRDefault="004A4830" w:rsidP="002B54F6">
            <w:pPr>
              <w:pStyle w:val="TableText"/>
              <w:spacing w:before="20" w:after="20"/>
              <w:ind w:left="450"/>
            </w:pPr>
            <w:r w:rsidRPr="00783571">
              <w:t>High</w:t>
            </w:r>
          </w:p>
        </w:tc>
        <w:tc>
          <w:tcPr>
            <w:tcW w:w="1135" w:type="dxa"/>
            <w:tcBorders>
              <w:top w:val="single" w:sz="6" w:space="0" w:color="808080" w:themeColor="background1" w:themeShade="80"/>
              <w:bottom w:val="single" w:sz="6" w:space="0" w:color="808080" w:themeColor="background1" w:themeShade="80"/>
            </w:tcBorders>
            <w:shd w:val="clear" w:color="auto" w:fill="auto"/>
            <w:noWrap/>
          </w:tcPr>
          <w:p w14:paraId="345E91D7" w14:textId="77777777" w:rsidR="004A4830" w:rsidRPr="00783571" w:rsidRDefault="004A4830" w:rsidP="002B54F6">
            <w:pPr>
              <w:pStyle w:val="TableTextDec"/>
              <w:tabs>
                <w:tab w:val="clear" w:pos="1015"/>
                <w:tab w:val="decimal" w:pos="341"/>
              </w:tabs>
              <w:spacing w:before="20" w:after="20"/>
            </w:pPr>
            <w:r w:rsidRPr="00783571">
              <w:t>6.6</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2B0DB4E8" w14:textId="77777777" w:rsidR="004A4830" w:rsidRPr="00783571" w:rsidRDefault="004A4830" w:rsidP="002B54F6">
            <w:pPr>
              <w:pStyle w:val="TableTextDec"/>
              <w:tabs>
                <w:tab w:val="clear" w:pos="1015"/>
                <w:tab w:val="decimal" w:pos="341"/>
              </w:tabs>
              <w:spacing w:before="20" w:after="20"/>
            </w:pPr>
            <w:r w:rsidRPr="00783571">
              <w:t>1.5</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47E1ECEA" w14:textId="77777777" w:rsidR="004A4830" w:rsidRPr="00783571" w:rsidRDefault="004A4830" w:rsidP="002B54F6">
            <w:pPr>
              <w:pStyle w:val="TableTextDec"/>
              <w:tabs>
                <w:tab w:val="clear" w:pos="1015"/>
                <w:tab w:val="decimal" w:pos="341"/>
              </w:tabs>
              <w:spacing w:before="20" w:after="20"/>
            </w:pPr>
            <w:r w:rsidRPr="00783571">
              <w:t>3.</w:t>
            </w:r>
            <w:r w:rsidR="0037441C" w:rsidRPr="00783571">
              <w:t>7</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414AB588" w14:textId="77777777" w:rsidR="004A4830" w:rsidRPr="00783571" w:rsidRDefault="004A4830" w:rsidP="002B54F6">
            <w:pPr>
              <w:pStyle w:val="TableTextDec"/>
              <w:tabs>
                <w:tab w:val="clear" w:pos="1015"/>
                <w:tab w:val="decimal" w:pos="341"/>
              </w:tabs>
              <w:spacing w:before="20" w:after="20"/>
            </w:pPr>
            <w:r w:rsidRPr="00783571">
              <w:t>9.</w:t>
            </w:r>
            <w:r w:rsidR="0037441C" w:rsidRPr="00783571">
              <w:t>8</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6A230B27" w14:textId="77777777" w:rsidR="004A4830" w:rsidRPr="00783571" w:rsidRDefault="004A4830" w:rsidP="002B54F6">
            <w:pPr>
              <w:pStyle w:val="TableTextDec"/>
              <w:tabs>
                <w:tab w:val="clear" w:pos="1015"/>
                <w:tab w:val="decimal" w:pos="341"/>
              </w:tabs>
              <w:spacing w:before="20" w:after="20"/>
            </w:pPr>
            <w:r w:rsidRPr="00783571">
              <w:t>12.6</w:t>
            </w:r>
          </w:p>
        </w:tc>
        <w:tc>
          <w:tcPr>
            <w:tcW w:w="1147" w:type="dxa"/>
            <w:tcBorders>
              <w:top w:val="single" w:sz="6" w:space="0" w:color="808080" w:themeColor="background1" w:themeShade="80"/>
              <w:bottom w:val="single" w:sz="6" w:space="0" w:color="808080" w:themeColor="background1" w:themeShade="80"/>
            </w:tcBorders>
            <w:shd w:val="clear" w:color="auto" w:fill="auto"/>
            <w:noWrap/>
          </w:tcPr>
          <w:p w14:paraId="5D6FD4D2" w14:textId="77777777" w:rsidR="004A4830" w:rsidRPr="00783571" w:rsidRDefault="004A4830" w:rsidP="002B54F6">
            <w:pPr>
              <w:pStyle w:val="TableTextDec"/>
              <w:tabs>
                <w:tab w:val="clear" w:pos="1015"/>
                <w:tab w:val="decimal" w:pos="341"/>
              </w:tabs>
              <w:spacing w:before="20" w:after="20"/>
            </w:pPr>
            <w:r w:rsidRPr="00783571">
              <w:t>11.</w:t>
            </w:r>
            <w:r w:rsidR="0037441C" w:rsidRPr="00783571">
              <w:t>9</w:t>
            </w:r>
          </w:p>
        </w:tc>
        <w:tc>
          <w:tcPr>
            <w:tcW w:w="3409" w:type="dxa"/>
            <w:tcBorders>
              <w:top w:val="single" w:sz="6" w:space="0" w:color="808080" w:themeColor="background1" w:themeShade="80"/>
              <w:bottom w:val="single" w:sz="6" w:space="0" w:color="808080" w:themeColor="background1" w:themeShade="80"/>
            </w:tcBorders>
            <w:shd w:val="clear" w:color="auto" w:fill="auto"/>
            <w:noWrap/>
          </w:tcPr>
          <w:p w14:paraId="26446D95" w14:textId="77777777" w:rsidR="004A4830" w:rsidRPr="00783571" w:rsidRDefault="004A4830" w:rsidP="002B54F6">
            <w:pPr>
              <w:pStyle w:val="TableText"/>
              <w:spacing w:before="20" w:after="20"/>
            </w:pPr>
            <w:r w:rsidRPr="00783571">
              <w:t>Calculated</w:t>
            </w:r>
            <w:r w:rsidRPr="00783571">
              <w:rPr>
                <w:vertAlign w:val="superscript"/>
              </w:rPr>
              <w:t>c</w:t>
            </w:r>
          </w:p>
        </w:tc>
      </w:tr>
      <w:tr w:rsidR="00B41A9A" w:rsidRPr="00783571" w14:paraId="03122E30"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10C90191" w14:textId="77777777" w:rsidR="00B41A9A" w:rsidRPr="00783571" w:rsidRDefault="00B41A9A" w:rsidP="002B54F6">
            <w:pPr>
              <w:pStyle w:val="TableText"/>
              <w:spacing w:before="20" w:after="20"/>
              <w:ind w:left="270"/>
            </w:pPr>
            <w:r w:rsidRPr="00783571">
              <w:t>MSM</w:t>
            </w:r>
          </w:p>
        </w:tc>
        <w:tc>
          <w:tcPr>
            <w:tcW w:w="1135" w:type="dxa"/>
            <w:tcBorders>
              <w:top w:val="single" w:sz="6" w:space="0" w:color="808080" w:themeColor="background1" w:themeShade="80"/>
              <w:bottom w:val="single" w:sz="6" w:space="0" w:color="808080" w:themeColor="background1" w:themeShade="80"/>
            </w:tcBorders>
            <w:shd w:val="clear" w:color="auto" w:fill="auto"/>
            <w:noWrap/>
            <w:hideMark/>
          </w:tcPr>
          <w:p w14:paraId="0A4DC1B7"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640D3922"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6A55BB45"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75FE31CF"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33C9DA0C" w14:textId="77777777" w:rsidR="00B41A9A" w:rsidRPr="00783571" w:rsidRDefault="00B41A9A" w:rsidP="002B54F6">
            <w:pPr>
              <w:pStyle w:val="TableText"/>
              <w:spacing w:before="20" w:after="20"/>
            </w:pPr>
          </w:p>
        </w:tc>
        <w:tc>
          <w:tcPr>
            <w:tcW w:w="1147" w:type="dxa"/>
            <w:tcBorders>
              <w:top w:val="single" w:sz="6" w:space="0" w:color="808080" w:themeColor="background1" w:themeShade="80"/>
              <w:bottom w:val="single" w:sz="6" w:space="0" w:color="808080" w:themeColor="background1" w:themeShade="80"/>
            </w:tcBorders>
            <w:shd w:val="clear" w:color="auto" w:fill="auto"/>
            <w:noWrap/>
            <w:hideMark/>
          </w:tcPr>
          <w:p w14:paraId="61BEBDF9" w14:textId="77777777" w:rsidR="00B41A9A" w:rsidRPr="00783571" w:rsidRDefault="00B41A9A" w:rsidP="002B54F6">
            <w:pPr>
              <w:pStyle w:val="TableText"/>
              <w:spacing w:before="20" w:after="20"/>
            </w:pP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6D8ADB76" w14:textId="77777777" w:rsidR="00B41A9A" w:rsidRPr="00783571" w:rsidRDefault="00B41A9A" w:rsidP="002B54F6">
            <w:pPr>
              <w:pStyle w:val="TableText"/>
              <w:spacing w:before="20" w:after="20"/>
            </w:pPr>
          </w:p>
        </w:tc>
      </w:tr>
      <w:tr w:rsidR="004A4830" w:rsidRPr="00783571" w14:paraId="3BC26454"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tcPr>
          <w:p w14:paraId="6B82A5B3" w14:textId="77777777" w:rsidR="004A4830" w:rsidRPr="00783571" w:rsidRDefault="004A4830" w:rsidP="002B54F6">
            <w:pPr>
              <w:pStyle w:val="TableText"/>
              <w:spacing w:before="20" w:after="20"/>
              <w:ind w:left="450"/>
            </w:pPr>
            <w:r w:rsidRPr="00783571">
              <w:t>High</w:t>
            </w:r>
          </w:p>
        </w:tc>
        <w:tc>
          <w:tcPr>
            <w:tcW w:w="1135" w:type="dxa"/>
            <w:tcBorders>
              <w:top w:val="single" w:sz="6" w:space="0" w:color="808080" w:themeColor="background1" w:themeShade="80"/>
              <w:bottom w:val="single" w:sz="6" w:space="0" w:color="808080" w:themeColor="background1" w:themeShade="80"/>
            </w:tcBorders>
            <w:shd w:val="clear" w:color="auto" w:fill="auto"/>
            <w:noWrap/>
          </w:tcPr>
          <w:p w14:paraId="0E1BC210" w14:textId="1E29E681" w:rsidR="004A483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59F097EF" w14:textId="21AC6B4F" w:rsidR="004A483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7E018788" w14:textId="12BCF888" w:rsidR="004A483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1BB97933" w14:textId="77777777" w:rsidR="004A4830" w:rsidRPr="00783571" w:rsidRDefault="008A29EB" w:rsidP="002B54F6">
            <w:pPr>
              <w:pStyle w:val="TableTextDec"/>
              <w:tabs>
                <w:tab w:val="clear" w:pos="1015"/>
                <w:tab w:val="decimal" w:pos="341"/>
              </w:tabs>
              <w:spacing w:before="20" w:after="20"/>
            </w:pPr>
            <w:r w:rsidRPr="00783571">
              <w:t>8.</w:t>
            </w:r>
            <w:r w:rsidR="00936F03" w:rsidRPr="00783571">
              <w:t>2</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356B58B1" w14:textId="77777777" w:rsidR="004A4830" w:rsidRPr="00783571" w:rsidRDefault="008A29EB" w:rsidP="002B54F6">
            <w:pPr>
              <w:pStyle w:val="TableTextDec"/>
              <w:tabs>
                <w:tab w:val="clear" w:pos="1015"/>
                <w:tab w:val="decimal" w:pos="341"/>
              </w:tabs>
              <w:spacing w:before="20" w:after="20"/>
            </w:pPr>
            <w:r w:rsidRPr="00783571">
              <w:t>9.</w:t>
            </w:r>
            <w:r w:rsidR="00936F03" w:rsidRPr="00783571">
              <w:t>7</w:t>
            </w:r>
          </w:p>
        </w:tc>
        <w:tc>
          <w:tcPr>
            <w:tcW w:w="1147" w:type="dxa"/>
            <w:tcBorders>
              <w:top w:val="single" w:sz="6" w:space="0" w:color="808080" w:themeColor="background1" w:themeShade="80"/>
              <w:bottom w:val="single" w:sz="6" w:space="0" w:color="808080" w:themeColor="background1" w:themeShade="80"/>
            </w:tcBorders>
            <w:shd w:val="clear" w:color="auto" w:fill="auto"/>
            <w:noWrap/>
          </w:tcPr>
          <w:p w14:paraId="72365CDC" w14:textId="77777777" w:rsidR="004A4830" w:rsidRPr="00783571" w:rsidRDefault="008A29EB" w:rsidP="002B54F6">
            <w:pPr>
              <w:pStyle w:val="TableTextDec"/>
              <w:tabs>
                <w:tab w:val="clear" w:pos="1015"/>
                <w:tab w:val="decimal" w:pos="341"/>
              </w:tabs>
              <w:spacing w:before="20" w:after="20"/>
            </w:pPr>
            <w:r w:rsidRPr="00783571">
              <w:t>8.</w:t>
            </w:r>
            <w:r w:rsidR="00936F03" w:rsidRPr="00783571">
              <w:t>6</w:t>
            </w:r>
          </w:p>
        </w:tc>
        <w:tc>
          <w:tcPr>
            <w:tcW w:w="3409" w:type="dxa"/>
            <w:tcBorders>
              <w:top w:val="single" w:sz="6" w:space="0" w:color="808080" w:themeColor="background1" w:themeShade="80"/>
              <w:bottom w:val="single" w:sz="6" w:space="0" w:color="808080" w:themeColor="background1" w:themeShade="80"/>
            </w:tcBorders>
            <w:shd w:val="clear" w:color="auto" w:fill="auto"/>
            <w:noWrap/>
          </w:tcPr>
          <w:p w14:paraId="2A95469B" w14:textId="77777777" w:rsidR="004A4830" w:rsidRPr="00783571" w:rsidRDefault="008A29EB" w:rsidP="002B54F6">
            <w:pPr>
              <w:pStyle w:val="TableText"/>
              <w:spacing w:before="20" w:after="20"/>
            </w:pPr>
            <w:r w:rsidRPr="00783571">
              <w:t>Calculated</w:t>
            </w:r>
            <w:r w:rsidRPr="00783571">
              <w:rPr>
                <w:vertAlign w:val="superscript"/>
              </w:rPr>
              <w:t>c</w:t>
            </w:r>
          </w:p>
        </w:tc>
      </w:tr>
      <w:tr w:rsidR="004A4830" w:rsidRPr="00783571" w14:paraId="43C88C04"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tcPr>
          <w:p w14:paraId="2B8FB0F3" w14:textId="77777777" w:rsidR="004A4830" w:rsidRPr="00783571" w:rsidRDefault="004A4830" w:rsidP="002B54F6">
            <w:pPr>
              <w:pStyle w:val="TableText"/>
              <w:spacing w:before="20" w:after="20"/>
              <w:ind w:left="450"/>
            </w:pPr>
            <w:r w:rsidRPr="00783571">
              <w:t>Low</w:t>
            </w:r>
          </w:p>
        </w:tc>
        <w:tc>
          <w:tcPr>
            <w:tcW w:w="1135" w:type="dxa"/>
            <w:tcBorders>
              <w:top w:val="single" w:sz="6" w:space="0" w:color="808080" w:themeColor="background1" w:themeShade="80"/>
              <w:bottom w:val="single" w:sz="6" w:space="0" w:color="808080" w:themeColor="background1" w:themeShade="80"/>
            </w:tcBorders>
            <w:shd w:val="clear" w:color="auto" w:fill="auto"/>
            <w:noWrap/>
          </w:tcPr>
          <w:p w14:paraId="42842A3A" w14:textId="442F7CD2" w:rsidR="004A483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6354C5A4" w14:textId="1AD07F20" w:rsidR="004A483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462F04DC" w14:textId="4DC502D5" w:rsidR="004A483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14DA556D" w14:textId="77777777" w:rsidR="004A4830" w:rsidRPr="00783571" w:rsidRDefault="008A29EB" w:rsidP="002B54F6">
            <w:pPr>
              <w:pStyle w:val="TableTextDec"/>
              <w:tabs>
                <w:tab w:val="clear" w:pos="1015"/>
                <w:tab w:val="decimal" w:pos="341"/>
              </w:tabs>
              <w:spacing w:before="20" w:after="20"/>
            </w:pPr>
            <w:r w:rsidRPr="00783571">
              <w:t>30.</w:t>
            </w:r>
            <w:r w:rsidR="00936F03" w:rsidRPr="00783571">
              <w:t>9</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170BE07C" w14:textId="77777777" w:rsidR="004A4830" w:rsidRPr="00783571" w:rsidRDefault="008A29EB" w:rsidP="002B54F6">
            <w:pPr>
              <w:pStyle w:val="TableTextDec"/>
              <w:tabs>
                <w:tab w:val="clear" w:pos="1015"/>
                <w:tab w:val="decimal" w:pos="341"/>
              </w:tabs>
              <w:spacing w:before="20" w:after="20"/>
            </w:pPr>
            <w:r w:rsidRPr="00783571">
              <w:t>29.4</w:t>
            </w:r>
          </w:p>
        </w:tc>
        <w:tc>
          <w:tcPr>
            <w:tcW w:w="1147" w:type="dxa"/>
            <w:tcBorders>
              <w:top w:val="single" w:sz="6" w:space="0" w:color="808080" w:themeColor="background1" w:themeShade="80"/>
              <w:bottom w:val="single" w:sz="6" w:space="0" w:color="808080" w:themeColor="background1" w:themeShade="80"/>
            </w:tcBorders>
            <w:shd w:val="clear" w:color="auto" w:fill="auto"/>
            <w:noWrap/>
          </w:tcPr>
          <w:p w14:paraId="3DAFBD21" w14:textId="77777777" w:rsidR="004A4830" w:rsidRPr="00783571" w:rsidRDefault="008A29EB" w:rsidP="002B54F6">
            <w:pPr>
              <w:pStyle w:val="TableTextDec"/>
              <w:tabs>
                <w:tab w:val="clear" w:pos="1015"/>
                <w:tab w:val="decimal" w:pos="341"/>
              </w:tabs>
              <w:spacing w:before="20" w:after="20"/>
            </w:pPr>
            <w:r w:rsidRPr="00783571">
              <w:t>33.1</w:t>
            </w:r>
          </w:p>
        </w:tc>
        <w:tc>
          <w:tcPr>
            <w:tcW w:w="3409" w:type="dxa"/>
            <w:tcBorders>
              <w:top w:val="single" w:sz="6" w:space="0" w:color="808080" w:themeColor="background1" w:themeShade="80"/>
              <w:bottom w:val="single" w:sz="6" w:space="0" w:color="808080" w:themeColor="background1" w:themeShade="80"/>
            </w:tcBorders>
            <w:shd w:val="clear" w:color="auto" w:fill="auto"/>
            <w:noWrap/>
          </w:tcPr>
          <w:p w14:paraId="19F76ACA" w14:textId="77777777" w:rsidR="004A4830" w:rsidRPr="00783571" w:rsidRDefault="008A29EB" w:rsidP="002B54F6">
            <w:pPr>
              <w:pStyle w:val="TableText"/>
              <w:spacing w:before="20" w:after="20"/>
            </w:pPr>
            <w:r w:rsidRPr="00783571">
              <w:t>Calculated</w:t>
            </w:r>
            <w:r w:rsidRPr="00783571">
              <w:rPr>
                <w:vertAlign w:val="superscript"/>
              </w:rPr>
              <w:t>c</w:t>
            </w:r>
          </w:p>
        </w:tc>
      </w:tr>
      <w:tr w:rsidR="00B41A9A" w:rsidRPr="00783571" w14:paraId="2C122892" w14:textId="77777777" w:rsidTr="00863FC7">
        <w:trPr>
          <w:cantSplit/>
        </w:trPr>
        <w:tc>
          <w:tcPr>
            <w:tcW w:w="13081" w:type="dxa"/>
            <w:gridSpan w:val="8"/>
            <w:tcBorders>
              <w:top w:val="single" w:sz="6" w:space="0" w:color="808080" w:themeColor="background1" w:themeShade="80"/>
              <w:bottom w:val="single" w:sz="6" w:space="0" w:color="808080" w:themeColor="background1" w:themeShade="80"/>
            </w:tcBorders>
            <w:shd w:val="clear" w:color="auto" w:fill="auto"/>
            <w:noWrap/>
            <w:hideMark/>
          </w:tcPr>
          <w:p w14:paraId="7FB05DF9" w14:textId="51732EF0" w:rsidR="00B41A9A" w:rsidRPr="00783571" w:rsidRDefault="00B41A9A" w:rsidP="002B54F6">
            <w:pPr>
              <w:pStyle w:val="TableText"/>
              <w:spacing w:before="20" w:after="20"/>
            </w:pPr>
            <w:r w:rsidRPr="00783571">
              <w:t>Annual number of sexual partners</w:t>
            </w:r>
            <w:r w:rsidR="00695572" w:rsidRPr="00783571">
              <w:t xml:space="preserve"> per HIV-uninfected person</w:t>
            </w:r>
          </w:p>
        </w:tc>
      </w:tr>
      <w:tr w:rsidR="00B41A9A" w:rsidRPr="00783571" w14:paraId="4530354E"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4FAB407B" w14:textId="77777777" w:rsidR="00B41A9A" w:rsidRPr="00783571" w:rsidRDefault="00B41A9A" w:rsidP="002B54F6">
            <w:pPr>
              <w:pStyle w:val="TableText"/>
              <w:spacing w:before="20" w:after="20"/>
              <w:ind w:left="270"/>
            </w:pPr>
            <w:r w:rsidRPr="00783571">
              <w:t>HET</w:t>
            </w:r>
          </w:p>
        </w:tc>
        <w:tc>
          <w:tcPr>
            <w:tcW w:w="1135" w:type="dxa"/>
            <w:tcBorders>
              <w:top w:val="single" w:sz="6" w:space="0" w:color="808080" w:themeColor="background1" w:themeShade="80"/>
              <w:bottom w:val="single" w:sz="6" w:space="0" w:color="808080" w:themeColor="background1" w:themeShade="80"/>
            </w:tcBorders>
            <w:shd w:val="clear" w:color="auto" w:fill="auto"/>
            <w:noWrap/>
            <w:hideMark/>
          </w:tcPr>
          <w:p w14:paraId="77D5878C"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55BDF008"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72AE4B94"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23966374" w14:textId="77777777" w:rsidR="00B41A9A" w:rsidRPr="00783571" w:rsidRDefault="00B41A9A" w:rsidP="002B54F6">
            <w:pPr>
              <w:pStyle w:val="TableText"/>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5B722830" w14:textId="77777777" w:rsidR="00B41A9A" w:rsidRPr="00783571" w:rsidRDefault="00B41A9A" w:rsidP="002B54F6">
            <w:pPr>
              <w:pStyle w:val="TableText"/>
              <w:spacing w:before="20" w:after="20"/>
            </w:pPr>
          </w:p>
        </w:tc>
        <w:tc>
          <w:tcPr>
            <w:tcW w:w="1147" w:type="dxa"/>
            <w:tcBorders>
              <w:top w:val="single" w:sz="6" w:space="0" w:color="808080" w:themeColor="background1" w:themeShade="80"/>
              <w:bottom w:val="single" w:sz="6" w:space="0" w:color="808080" w:themeColor="background1" w:themeShade="80"/>
            </w:tcBorders>
            <w:shd w:val="clear" w:color="auto" w:fill="auto"/>
            <w:noWrap/>
            <w:hideMark/>
          </w:tcPr>
          <w:p w14:paraId="457CAB7A" w14:textId="77777777" w:rsidR="00B41A9A" w:rsidRPr="00783571" w:rsidRDefault="00B41A9A" w:rsidP="002B54F6">
            <w:pPr>
              <w:pStyle w:val="TableText"/>
              <w:spacing w:before="20" w:after="20"/>
            </w:pP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5ACB52B1" w14:textId="77777777" w:rsidR="00B41A9A" w:rsidRPr="00783571" w:rsidRDefault="00B41A9A" w:rsidP="002B54F6">
            <w:pPr>
              <w:pStyle w:val="TableText"/>
              <w:spacing w:before="20" w:after="20"/>
            </w:pPr>
          </w:p>
        </w:tc>
      </w:tr>
      <w:tr w:rsidR="00B41A9A" w:rsidRPr="00783571" w14:paraId="5D224B17"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6579C57A" w14:textId="77777777" w:rsidR="00B41A9A" w:rsidRPr="00783571" w:rsidRDefault="00B41A9A" w:rsidP="002B54F6">
            <w:pPr>
              <w:pStyle w:val="TableText"/>
              <w:spacing w:before="20" w:after="20"/>
              <w:ind w:left="450"/>
            </w:pPr>
            <w:r w:rsidRPr="00783571">
              <w:t>High</w:t>
            </w:r>
          </w:p>
        </w:tc>
        <w:tc>
          <w:tcPr>
            <w:tcW w:w="1135" w:type="dxa"/>
            <w:tcBorders>
              <w:top w:val="single" w:sz="6" w:space="0" w:color="808080" w:themeColor="background1" w:themeShade="80"/>
              <w:bottom w:val="single" w:sz="6" w:space="0" w:color="808080" w:themeColor="background1" w:themeShade="80"/>
            </w:tcBorders>
            <w:shd w:val="clear" w:color="auto" w:fill="auto"/>
            <w:noWrap/>
          </w:tcPr>
          <w:p w14:paraId="0B99D8DA" w14:textId="7324023C" w:rsidR="00B41A9A" w:rsidRPr="00783571" w:rsidRDefault="00B41A9A" w:rsidP="002B54F6">
            <w:pPr>
              <w:pStyle w:val="TableTextDec"/>
              <w:tabs>
                <w:tab w:val="clear" w:pos="1015"/>
                <w:tab w:val="decimal" w:pos="341"/>
              </w:tabs>
              <w:spacing w:before="20" w:after="20"/>
            </w:pPr>
            <w:r w:rsidRPr="00783571">
              <w:t>5.</w:t>
            </w:r>
            <w:r w:rsidR="00936F03" w:rsidRPr="00783571">
              <w:t>1</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2820DC84" w14:textId="2E6CC18B" w:rsidR="00B41A9A" w:rsidRPr="00783571" w:rsidRDefault="00B41A9A" w:rsidP="002B54F6">
            <w:pPr>
              <w:pStyle w:val="TableTextDec"/>
              <w:tabs>
                <w:tab w:val="clear" w:pos="1015"/>
                <w:tab w:val="decimal" w:pos="341"/>
              </w:tabs>
              <w:spacing w:before="20" w:after="20"/>
            </w:pPr>
            <w:r w:rsidRPr="00783571">
              <w:t>3.7</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0FB88C12" w14:textId="32AB982F" w:rsidR="00B41A9A" w:rsidRPr="00783571" w:rsidRDefault="00B41A9A" w:rsidP="002B54F6">
            <w:pPr>
              <w:pStyle w:val="TableTextDec"/>
              <w:tabs>
                <w:tab w:val="clear" w:pos="1015"/>
                <w:tab w:val="decimal" w:pos="341"/>
              </w:tabs>
              <w:spacing w:before="20" w:after="20"/>
            </w:pPr>
            <w:r w:rsidRPr="00783571">
              <w:t>3.</w:t>
            </w:r>
            <w:r w:rsidR="00936F03" w:rsidRPr="00783571">
              <w:t>1</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35E25965" w14:textId="7BFA0B01" w:rsidR="00B41A9A" w:rsidRPr="00783571" w:rsidRDefault="00B41A9A" w:rsidP="002B54F6">
            <w:pPr>
              <w:pStyle w:val="TableTextDec"/>
              <w:tabs>
                <w:tab w:val="clear" w:pos="1015"/>
                <w:tab w:val="decimal" w:pos="341"/>
              </w:tabs>
              <w:spacing w:before="20" w:after="20"/>
            </w:pPr>
            <w:r w:rsidRPr="00783571">
              <w:t>9.3</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478C3CC6" w14:textId="42850D97" w:rsidR="00B41A9A" w:rsidRPr="00783571" w:rsidRDefault="00B41A9A" w:rsidP="002B54F6">
            <w:pPr>
              <w:pStyle w:val="TableTextDec"/>
              <w:tabs>
                <w:tab w:val="clear" w:pos="1015"/>
                <w:tab w:val="decimal" w:pos="341"/>
              </w:tabs>
              <w:spacing w:before="20" w:after="20"/>
            </w:pPr>
            <w:r w:rsidRPr="00783571">
              <w:t>6.</w:t>
            </w:r>
            <w:r w:rsidR="00936F03" w:rsidRPr="00783571">
              <w:t>3</w:t>
            </w:r>
          </w:p>
        </w:tc>
        <w:tc>
          <w:tcPr>
            <w:tcW w:w="1147" w:type="dxa"/>
            <w:tcBorders>
              <w:top w:val="single" w:sz="6" w:space="0" w:color="808080" w:themeColor="background1" w:themeShade="80"/>
              <w:bottom w:val="single" w:sz="6" w:space="0" w:color="808080" w:themeColor="background1" w:themeShade="80"/>
            </w:tcBorders>
            <w:shd w:val="clear" w:color="auto" w:fill="auto"/>
            <w:noWrap/>
          </w:tcPr>
          <w:p w14:paraId="6A0463E6" w14:textId="056726D0" w:rsidR="00B41A9A" w:rsidRPr="00783571" w:rsidRDefault="00B41A9A" w:rsidP="002B54F6">
            <w:pPr>
              <w:pStyle w:val="TableTextDec"/>
              <w:tabs>
                <w:tab w:val="clear" w:pos="1015"/>
                <w:tab w:val="decimal" w:pos="341"/>
              </w:tabs>
              <w:spacing w:before="20" w:after="20"/>
            </w:pPr>
            <w:r w:rsidRPr="00783571">
              <w:t>4.</w:t>
            </w:r>
            <w:r w:rsidR="00936F03" w:rsidRPr="00783571">
              <w:t>5</w:t>
            </w: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457964F1" w14:textId="77777777" w:rsidR="00B41A9A" w:rsidRPr="00783571" w:rsidRDefault="00B41A9A" w:rsidP="002B54F6">
            <w:pPr>
              <w:pStyle w:val="TableText"/>
              <w:spacing w:before="20" w:after="20"/>
            </w:pPr>
            <w:r w:rsidRPr="00783571">
              <w:t>Calculated from CDC unpublished data</w:t>
            </w:r>
            <w:r w:rsidRPr="00783571">
              <w:rPr>
                <w:vertAlign w:val="superscript"/>
              </w:rPr>
              <w:t>b</w:t>
            </w:r>
          </w:p>
        </w:tc>
      </w:tr>
      <w:tr w:rsidR="00B41A9A" w:rsidRPr="00783571" w14:paraId="017D529B"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07A78D85" w14:textId="77777777" w:rsidR="00B41A9A" w:rsidRPr="00783571" w:rsidRDefault="00B41A9A" w:rsidP="002B54F6">
            <w:pPr>
              <w:pStyle w:val="TableText"/>
              <w:spacing w:before="20" w:after="20"/>
              <w:ind w:left="450"/>
            </w:pPr>
            <w:r w:rsidRPr="00783571">
              <w:t>Low</w:t>
            </w:r>
          </w:p>
        </w:tc>
        <w:tc>
          <w:tcPr>
            <w:tcW w:w="1135" w:type="dxa"/>
            <w:tcBorders>
              <w:top w:val="single" w:sz="6" w:space="0" w:color="808080" w:themeColor="background1" w:themeShade="80"/>
              <w:bottom w:val="single" w:sz="6" w:space="0" w:color="808080" w:themeColor="background1" w:themeShade="80"/>
            </w:tcBorders>
            <w:shd w:val="clear" w:color="auto" w:fill="auto"/>
            <w:noWrap/>
          </w:tcPr>
          <w:p w14:paraId="41ECEAD4" w14:textId="61489B94" w:rsidR="00B41A9A" w:rsidRPr="00783571" w:rsidRDefault="00936F03" w:rsidP="002B54F6">
            <w:pPr>
              <w:pStyle w:val="TableTextDec"/>
              <w:tabs>
                <w:tab w:val="clear" w:pos="1015"/>
                <w:tab w:val="decimal" w:pos="341"/>
              </w:tabs>
              <w:spacing w:before="20" w:after="20"/>
            </w:pPr>
            <w:r w:rsidRPr="00783571">
              <w:t>1.0</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38F993BE" w14:textId="39856870" w:rsidR="00B41A9A" w:rsidRPr="00783571" w:rsidRDefault="00B41A9A" w:rsidP="002B54F6">
            <w:pPr>
              <w:pStyle w:val="TableTextDec"/>
              <w:tabs>
                <w:tab w:val="clear" w:pos="1015"/>
                <w:tab w:val="decimal" w:pos="341"/>
              </w:tabs>
              <w:spacing w:before="20" w:after="20"/>
            </w:pPr>
            <w:r w:rsidRPr="00783571">
              <w:t>0.8</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59A5B9DC" w14:textId="4E046B33" w:rsidR="00B41A9A" w:rsidRPr="00783571" w:rsidRDefault="00B41A9A" w:rsidP="002B54F6">
            <w:pPr>
              <w:pStyle w:val="TableTextDec"/>
              <w:tabs>
                <w:tab w:val="clear" w:pos="1015"/>
                <w:tab w:val="decimal" w:pos="341"/>
              </w:tabs>
              <w:spacing w:before="20" w:after="20"/>
            </w:pPr>
            <w:r w:rsidRPr="00783571">
              <w:t>0.8</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45D824F5" w14:textId="1A916D8E" w:rsidR="00B41A9A" w:rsidRPr="00783571" w:rsidRDefault="00B41A9A" w:rsidP="002B54F6">
            <w:pPr>
              <w:pStyle w:val="TableTextDec"/>
              <w:tabs>
                <w:tab w:val="clear" w:pos="1015"/>
                <w:tab w:val="decimal" w:pos="341"/>
              </w:tabs>
              <w:spacing w:before="20" w:after="20"/>
            </w:pPr>
            <w:r w:rsidRPr="00783571">
              <w:t>1.4</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100EA466" w14:textId="582494E2" w:rsidR="00B41A9A" w:rsidRPr="00783571" w:rsidRDefault="00B41A9A" w:rsidP="002B54F6">
            <w:pPr>
              <w:pStyle w:val="TableTextDec"/>
              <w:tabs>
                <w:tab w:val="clear" w:pos="1015"/>
                <w:tab w:val="decimal" w:pos="341"/>
              </w:tabs>
              <w:spacing w:before="20" w:after="20"/>
            </w:pPr>
            <w:r w:rsidRPr="00783571">
              <w:t>1.</w:t>
            </w:r>
            <w:r w:rsidR="00936F03" w:rsidRPr="00783571">
              <w:t>1</w:t>
            </w:r>
          </w:p>
        </w:tc>
        <w:tc>
          <w:tcPr>
            <w:tcW w:w="1147" w:type="dxa"/>
            <w:tcBorders>
              <w:top w:val="single" w:sz="6" w:space="0" w:color="808080" w:themeColor="background1" w:themeShade="80"/>
              <w:bottom w:val="single" w:sz="6" w:space="0" w:color="808080" w:themeColor="background1" w:themeShade="80"/>
            </w:tcBorders>
            <w:shd w:val="clear" w:color="auto" w:fill="auto"/>
            <w:noWrap/>
          </w:tcPr>
          <w:p w14:paraId="1CC584EB" w14:textId="0E709A11" w:rsidR="00B41A9A" w:rsidRPr="00783571" w:rsidRDefault="00B41A9A" w:rsidP="002B54F6">
            <w:pPr>
              <w:pStyle w:val="TableTextDec"/>
              <w:tabs>
                <w:tab w:val="clear" w:pos="1015"/>
                <w:tab w:val="decimal" w:pos="341"/>
              </w:tabs>
              <w:spacing w:before="20" w:after="20"/>
            </w:pPr>
            <w:r w:rsidRPr="00783571">
              <w:t>0.8</w:t>
            </w: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6088F71F" w14:textId="77777777" w:rsidR="00B41A9A" w:rsidRPr="00783571" w:rsidRDefault="00B41A9A" w:rsidP="002B54F6">
            <w:pPr>
              <w:pStyle w:val="TableText"/>
              <w:spacing w:before="20" w:after="20"/>
            </w:pPr>
            <w:r w:rsidRPr="00783571">
              <w:t>Calculated from CDC unpublished data</w:t>
            </w:r>
            <w:r w:rsidRPr="00783571">
              <w:rPr>
                <w:vertAlign w:val="superscript"/>
              </w:rPr>
              <w:t>b</w:t>
            </w:r>
          </w:p>
        </w:tc>
      </w:tr>
      <w:tr w:rsidR="00B41A9A" w:rsidRPr="00783571" w14:paraId="0322CADF"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3FD6BED4" w14:textId="5D21F5E7" w:rsidR="00B41A9A" w:rsidRPr="00783571" w:rsidRDefault="00F77D76" w:rsidP="002B54F6">
            <w:pPr>
              <w:pStyle w:val="TableText"/>
              <w:spacing w:before="20" w:after="20"/>
              <w:ind w:left="270"/>
            </w:pPr>
            <w:r w:rsidRPr="00783571">
              <w:t>PWID</w:t>
            </w:r>
          </w:p>
        </w:tc>
        <w:tc>
          <w:tcPr>
            <w:tcW w:w="1135" w:type="dxa"/>
            <w:tcBorders>
              <w:top w:val="single" w:sz="6" w:space="0" w:color="808080" w:themeColor="background1" w:themeShade="80"/>
              <w:bottom w:val="single" w:sz="6" w:space="0" w:color="808080" w:themeColor="background1" w:themeShade="80"/>
            </w:tcBorders>
            <w:shd w:val="clear" w:color="auto" w:fill="auto"/>
            <w:noWrap/>
            <w:hideMark/>
          </w:tcPr>
          <w:p w14:paraId="2C639F8A" w14:textId="77777777" w:rsidR="00B41A9A" w:rsidRPr="00783571" w:rsidRDefault="00B41A9A" w:rsidP="002B54F6">
            <w:pPr>
              <w:pStyle w:val="TableTextDec"/>
              <w:tabs>
                <w:tab w:val="clear" w:pos="1015"/>
                <w:tab w:val="decimal" w:pos="341"/>
              </w:tabs>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04EC2BE1" w14:textId="77777777" w:rsidR="00B41A9A" w:rsidRPr="00783571" w:rsidRDefault="00B41A9A" w:rsidP="002B54F6">
            <w:pPr>
              <w:pStyle w:val="TableTextDec"/>
              <w:tabs>
                <w:tab w:val="clear" w:pos="1015"/>
                <w:tab w:val="decimal" w:pos="341"/>
              </w:tabs>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735C19CC" w14:textId="77777777" w:rsidR="00B41A9A" w:rsidRPr="00783571" w:rsidRDefault="00B41A9A" w:rsidP="002B54F6">
            <w:pPr>
              <w:pStyle w:val="TableTextDec"/>
              <w:tabs>
                <w:tab w:val="clear" w:pos="1015"/>
                <w:tab w:val="decimal" w:pos="341"/>
              </w:tabs>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2F5696C1" w14:textId="77777777" w:rsidR="00B41A9A" w:rsidRPr="00783571" w:rsidRDefault="00B41A9A" w:rsidP="002B54F6">
            <w:pPr>
              <w:pStyle w:val="TableTextDec"/>
              <w:tabs>
                <w:tab w:val="clear" w:pos="1015"/>
                <w:tab w:val="decimal" w:pos="341"/>
              </w:tabs>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27E23678" w14:textId="77777777" w:rsidR="00B41A9A" w:rsidRPr="00783571" w:rsidRDefault="00B41A9A" w:rsidP="002B54F6">
            <w:pPr>
              <w:pStyle w:val="TableTextDec"/>
              <w:tabs>
                <w:tab w:val="clear" w:pos="1015"/>
                <w:tab w:val="decimal" w:pos="341"/>
              </w:tabs>
              <w:spacing w:before="20" w:after="20"/>
            </w:pPr>
          </w:p>
        </w:tc>
        <w:tc>
          <w:tcPr>
            <w:tcW w:w="1147" w:type="dxa"/>
            <w:tcBorders>
              <w:top w:val="single" w:sz="6" w:space="0" w:color="808080" w:themeColor="background1" w:themeShade="80"/>
              <w:bottom w:val="single" w:sz="6" w:space="0" w:color="808080" w:themeColor="background1" w:themeShade="80"/>
            </w:tcBorders>
            <w:shd w:val="clear" w:color="auto" w:fill="auto"/>
            <w:noWrap/>
            <w:hideMark/>
          </w:tcPr>
          <w:p w14:paraId="2C505098" w14:textId="77777777" w:rsidR="00B41A9A" w:rsidRPr="00783571" w:rsidRDefault="00B41A9A" w:rsidP="002B54F6">
            <w:pPr>
              <w:pStyle w:val="TableTextDec"/>
              <w:tabs>
                <w:tab w:val="clear" w:pos="1015"/>
                <w:tab w:val="decimal" w:pos="341"/>
              </w:tabs>
              <w:spacing w:before="20" w:after="20"/>
            </w:pP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20309723" w14:textId="77777777" w:rsidR="00B41A9A" w:rsidRPr="00783571" w:rsidRDefault="00B41A9A" w:rsidP="002B54F6">
            <w:pPr>
              <w:pStyle w:val="TableText"/>
              <w:spacing w:before="20" w:after="20"/>
            </w:pPr>
          </w:p>
        </w:tc>
      </w:tr>
      <w:tr w:rsidR="00B41A9A" w:rsidRPr="00783571" w14:paraId="41114A48"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68CD867B" w14:textId="77777777" w:rsidR="00B41A9A" w:rsidRPr="00783571" w:rsidRDefault="00B41A9A" w:rsidP="002B54F6">
            <w:pPr>
              <w:pStyle w:val="TableText"/>
              <w:spacing w:before="20" w:after="20"/>
              <w:ind w:left="450"/>
            </w:pPr>
            <w:r w:rsidRPr="00783571">
              <w:t>High</w:t>
            </w:r>
          </w:p>
        </w:tc>
        <w:tc>
          <w:tcPr>
            <w:tcW w:w="1135" w:type="dxa"/>
            <w:tcBorders>
              <w:top w:val="single" w:sz="6" w:space="0" w:color="808080" w:themeColor="background1" w:themeShade="80"/>
              <w:bottom w:val="single" w:sz="6" w:space="0" w:color="808080" w:themeColor="background1" w:themeShade="80"/>
            </w:tcBorders>
            <w:shd w:val="clear" w:color="auto" w:fill="auto"/>
            <w:noWrap/>
          </w:tcPr>
          <w:p w14:paraId="2FAD02BD" w14:textId="77777777" w:rsidR="00B41A9A" w:rsidRPr="00783571" w:rsidRDefault="008A29EB" w:rsidP="002B54F6">
            <w:pPr>
              <w:pStyle w:val="TableTextDec"/>
              <w:tabs>
                <w:tab w:val="clear" w:pos="1015"/>
                <w:tab w:val="decimal" w:pos="341"/>
              </w:tabs>
              <w:spacing w:before="20" w:after="20"/>
            </w:pPr>
            <w:r w:rsidRPr="00783571">
              <w:t>10.2</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1B4EE647" w14:textId="77777777" w:rsidR="00B41A9A" w:rsidRPr="00783571" w:rsidRDefault="008A29EB" w:rsidP="002B54F6">
            <w:pPr>
              <w:pStyle w:val="TableTextDec"/>
              <w:tabs>
                <w:tab w:val="clear" w:pos="1015"/>
                <w:tab w:val="decimal" w:pos="341"/>
              </w:tabs>
              <w:spacing w:before="20" w:after="20"/>
            </w:pPr>
            <w:r w:rsidRPr="00783571">
              <w:t>43.6</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3CE4EE8F" w14:textId="77777777" w:rsidR="00B41A9A" w:rsidRPr="00783571" w:rsidRDefault="008A29EB" w:rsidP="002B54F6">
            <w:pPr>
              <w:pStyle w:val="TableTextDec"/>
              <w:tabs>
                <w:tab w:val="clear" w:pos="1015"/>
                <w:tab w:val="decimal" w:pos="341"/>
              </w:tabs>
              <w:spacing w:before="20" w:after="20"/>
            </w:pPr>
            <w:r w:rsidRPr="00783571">
              <w:t>18.4</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35A0C9B4" w14:textId="77777777" w:rsidR="00B41A9A" w:rsidRPr="00783571" w:rsidRDefault="008A29EB" w:rsidP="002B54F6">
            <w:pPr>
              <w:pStyle w:val="TableTextDec"/>
              <w:tabs>
                <w:tab w:val="clear" w:pos="1015"/>
                <w:tab w:val="decimal" w:pos="341"/>
              </w:tabs>
              <w:spacing w:before="20" w:after="20"/>
            </w:pPr>
            <w:r w:rsidRPr="00783571">
              <w:t>6.9</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7466CB7D" w14:textId="77777777" w:rsidR="00B41A9A" w:rsidRPr="00783571" w:rsidRDefault="008A29EB" w:rsidP="002B54F6">
            <w:pPr>
              <w:pStyle w:val="TableTextDec"/>
              <w:tabs>
                <w:tab w:val="clear" w:pos="1015"/>
                <w:tab w:val="decimal" w:pos="341"/>
              </w:tabs>
              <w:spacing w:before="20" w:after="20"/>
            </w:pPr>
            <w:r w:rsidRPr="00783571">
              <w:t>5.</w:t>
            </w:r>
            <w:r w:rsidR="00936F03" w:rsidRPr="00783571">
              <w:t>4</w:t>
            </w:r>
          </w:p>
        </w:tc>
        <w:tc>
          <w:tcPr>
            <w:tcW w:w="1147" w:type="dxa"/>
            <w:tcBorders>
              <w:top w:val="single" w:sz="6" w:space="0" w:color="808080" w:themeColor="background1" w:themeShade="80"/>
              <w:bottom w:val="single" w:sz="6" w:space="0" w:color="808080" w:themeColor="background1" w:themeShade="80"/>
            </w:tcBorders>
            <w:shd w:val="clear" w:color="auto" w:fill="auto"/>
            <w:noWrap/>
          </w:tcPr>
          <w:p w14:paraId="26997718" w14:textId="77777777" w:rsidR="00B41A9A" w:rsidRPr="00783571" w:rsidRDefault="008A29EB" w:rsidP="002B54F6">
            <w:pPr>
              <w:pStyle w:val="TableTextDec"/>
              <w:tabs>
                <w:tab w:val="clear" w:pos="1015"/>
                <w:tab w:val="decimal" w:pos="341"/>
              </w:tabs>
              <w:spacing w:before="20" w:after="20"/>
            </w:pPr>
            <w:r w:rsidRPr="00783571">
              <w:t>5.</w:t>
            </w:r>
            <w:r w:rsidR="00936F03" w:rsidRPr="00783571">
              <w:t>7</w:t>
            </w: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687A90C8" w14:textId="77777777" w:rsidR="00B41A9A" w:rsidRPr="00783571" w:rsidRDefault="006E72C0" w:rsidP="002B54F6">
            <w:pPr>
              <w:pStyle w:val="TableText"/>
              <w:spacing w:before="20" w:after="20"/>
            </w:pPr>
            <w:r w:rsidRPr="00783571">
              <w:t xml:space="preserve">CDC unpublished data based on 2009 </w:t>
            </w:r>
            <w:r w:rsidR="002465F5" w:rsidRPr="00783571">
              <w:t xml:space="preserve">NHBS </w:t>
            </w:r>
            <w:r w:rsidRPr="00783571">
              <w:t>IDU cycle 2</w:t>
            </w:r>
          </w:p>
        </w:tc>
      </w:tr>
      <w:tr w:rsidR="00B41A9A" w:rsidRPr="00783571" w14:paraId="2295B522"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4F5B8F23" w14:textId="77777777" w:rsidR="00B41A9A" w:rsidRPr="00783571" w:rsidRDefault="00B41A9A" w:rsidP="002B54F6">
            <w:pPr>
              <w:pStyle w:val="TableText"/>
              <w:spacing w:before="20" w:after="20"/>
              <w:ind w:left="270"/>
            </w:pPr>
            <w:r w:rsidRPr="00783571">
              <w:t>MSM</w:t>
            </w:r>
          </w:p>
        </w:tc>
        <w:tc>
          <w:tcPr>
            <w:tcW w:w="1135" w:type="dxa"/>
            <w:tcBorders>
              <w:top w:val="single" w:sz="6" w:space="0" w:color="808080" w:themeColor="background1" w:themeShade="80"/>
              <w:bottom w:val="single" w:sz="6" w:space="0" w:color="808080" w:themeColor="background1" w:themeShade="80"/>
            </w:tcBorders>
            <w:shd w:val="clear" w:color="auto" w:fill="auto"/>
            <w:noWrap/>
            <w:hideMark/>
          </w:tcPr>
          <w:p w14:paraId="068F0989" w14:textId="77777777" w:rsidR="00B41A9A" w:rsidRPr="00783571" w:rsidRDefault="00B41A9A" w:rsidP="002B54F6">
            <w:pPr>
              <w:pStyle w:val="TableTextDec"/>
              <w:tabs>
                <w:tab w:val="clear" w:pos="1015"/>
                <w:tab w:val="decimal" w:pos="341"/>
              </w:tabs>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386D7BC0" w14:textId="77777777" w:rsidR="00B41A9A" w:rsidRPr="00783571" w:rsidRDefault="00B41A9A" w:rsidP="002B54F6">
            <w:pPr>
              <w:pStyle w:val="TableTextDec"/>
              <w:tabs>
                <w:tab w:val="clear" w:pos="1015"/>
                <w:tab w:val="decimal" w:pos="341"/>
              </w:tabs>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5B314A51" w14:textId="77777777" w:rsidR="00B41A9A" w:rsidRPr="00783571" w:rsidRDefault="00B41A9A" w:rsidP="002B54F6">
            <w:pPr>
              <w:pStyle w:val="TableTextDec"/>
              <w:tabs>
                <w:tab w:val="clear" w:pos="1015"/>
                <w:tab w:val="decimal" w:pos="341"/>
              </w:tabs>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0CFCEFE7" w14:textId="77777777" w:rsidR="00B41A9A" w:rsidRPr="00783571" w:rsidRDefault="00B41A9A" w:rsidP="002B54F6">
            <w:pPr>
              <w:pStyle w:val="TableTextDec"/>
              <w:tabs>
                <w:tab w:val="clear" w:pos="1015"/>
                <w:tab w:val="decimal" w:pos="341"/>
              </w:tabs>
              <w:spacing w:before="20" w:after="20"/>
            </w:pP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5E8C28AA" w14:textId="77777777" w:rsidR="00B41A9A" w:rsidRPr="00783571" w:rsidRDefault="00B41A9A" w:rsidP="002B54F6">
            <w:pPr>
              <w:pStyle w:val="TableTextDec"/>
              <w:tabs>
                <w:tab w:val="clear" w:pos="1015"/>
                <w:tab w:val="decimal" w:pos="341"/>
              </w:tabs>
              <w:spacing w:before="20" w:after="20"/>
            </w:pPr>
          </w:p>
        </w:tc>
        <w:tc>
          <w:tcPr>
            <w:tcW w:w="1147" w:type="dxa"/>
            <w:tcBorders>
              <w:top w:val="single" w:sz="6" w:space="0" w:color="808080" w:themeColor="background1" w:themeShade="80"/>
              <w:bottom w:val="single" w:sz="6" w:space="0" w:color="808080" w:themeColor="background1" w:themeShade="80"/>
            </w:tcBorders>
            <w:shd w:val="clear" w:color="auto" w:fill="auto"/>
            <w:noWrap/>
            <w:hideMark/>
          </w:tcPr>
          <w:p w14:paraId="4200E0FE" w14:textId="77777777" w:rsidR="00B41A9A" w:rsidRPr="00783571" w:rsidRDefault="00B41A9A" w:rsidP="002B54F6">
            <w:pPr>
              <w:pStyle w:val="TableTextDec"/>
              <w:tabs>
                <w:tab w:val="clear" w:pos="1015"/>
                <w:tab w:val="decimal" w:pos="341"/>
              </w:tabs>
              <w:spacing w:before="20" w:after="20"/>
            </w:pP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36C444F1" w14:textId="77777777" w:rsidR="00B41A9A" w:rsidRPr="00783571" w:rsidRDefault="00B41A9A" w:rsidP="002B54F6">
            <w:pPr>
              <w:pStyle w:val="TableText"/>
              <w:spacing w:before="20" w:after="20"/>
            </w:pPr>
          </w:p>
        </w:tc>
      </w:tr>
      <w:tr w:rsidR="006E72C0" w:rsidRPr="00783571" w14:paraId="3F26A433"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64529C30" w14:textId="77777777" w:rsidR="006E72C0" w:rsidRPr="00783571" w:rsidRDefault="006E72C0" w:rsidP="002B54F6">
            <w:pPr>
              <w:pStyle w:val="TableText"/>
              <w:spacing w:before="20" w:after="20"/>
              <w:ind w:left="450"/>
            </w:pPr>
            <w:r w:rsidRPr="00783571">
              <w:t>High</w:t>
            </w:r>
          </w:p>
        </w:tc>
        <w:tc>
          <w:tcPr>
            <w:tcW w:w="1135" w:type="dxa"/>
            <w:tcBorders>
              <w:top w:val="single" w:sz="6" w:space="0" w:color="808080" w:themeColor="background1" w:themeShade="80"/>
              <w:bottom w:val="single" w:sz="6" w:space="0" w:color="808080" w:themeColor="background1" w:themeShade="80"/>
            </w:tcBorders>
            <w:shd w:val="clear" w:color="auto" w:fill="auto"/>
            <w:noWrap/>
            <w:hideMark/>
          </w:tcPr>
          <w:p w14:paraId="503EB82D" w14:textId="1704C3FB" w:rsidR="006E72C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112C6EEB" w14:textId="793F6A85" w:rsidR="006E72C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6" w:space="0" w:color="808080" w:themeColor="background1" w:themeShade="80"/>
            </w:tcBorders>
            <w:shd w:val="clear" w:color="auto" w:fill="auto"/>
            <w:noWrap/>
            <w:hideMark/>
          </w:tcPr>
          <w:p w14:paraId="70A7D54E" w14:textId="302E2C24" w:rsidR="006E72C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71AF0A6B" w14:textId="77777777" w:rsidR="006E72C0" w:rsidRPr="00783571" w:rsidRDefault="008A29EB" w:rsidP="002B54F6">
            <w:pPr>
              <w:pStyle w:val="TableTextDec"/>
              <w:tabs>
                <w:tab w:val="clear" w:pos="1015"/>
                <w:tab w:val="decimal" w:pos="341"/>
              </w:tabs>
              <w:spacing w:before="20" w:after="20"/>
            </w:pPr>
            <w:r w:rsidRPr="00783571">
              <w:t>8.</w:t>
            </w:r>
            <w:r w:rsidR="00936F03" w:rsidRPr="00783571">
              <w:t>3</w:t>
            </w:r>
          </w:p>
        </w:tc>
        <w:tc>
          <w:tcPr>
            <w:tcW w:w="1136" w:type="dxa"/>
            <w:tcBorders>
              <w:top w:val="single" w:sz="6" w:space="0" w:color="808080" w:themeColor="background1" w:themeShade="80"/>
              <w:bottom w:val="single" w:sz="6" w:space="0" w:color="808080" w:themeColor="background1" w:themeShade="80"/>
            </w:tcBorders>
            <w:shd w:val="clear" w:color="auto" w:fill="auto"/>
            <w:noWrap/>
          </w:tcPr>
          <w:p w14:paraId="632F9917" w14:textId="77777777" w:rsidR="006E72C0" w:rsidRPr="00783571" w:rsidRDefault="00936F03" w:rsidP="002B54F6">
            <w:pPr>
              <w:pStyle w:val="TableTextDec"/>
              <w:tabs>
                <w:tab w:val="clear" w:pos="1015"/>
                <w:tab w:val="decimal" w:pos="341"/>
              </w:tabs>
              <w:spacing w:before="20" w:after="20"/>
            </w:pPr>
            <w:r w:rsidRPr="00783571">
              <w:t>7.0</w:t>
            </w:r>
          </w:p>
        </w:tc>
        <w:tc>
          <w:tcPr>
            <w:tcW w:w="1147" w:type="dxa"/>
            <w:tcBorders>
              <w:top w:val="single" w:sz="6" w:space="0" w:color="808080" w:themeColor="background1" w:themeShade="80"/>
              <w:bottom w:val="single" w:sz="6" w:space="0" w:color="808080" w:themeColor="background1" w:themeShade="80"/>
            </w:tcBorders>
            <w:shd w:val="clear" w:color="auto" w:fill="auto"/>
            <w:noWrap/>
          </w:tcPr>
          <w:p w14:paraId="3410E8B0" w14:textId="77777777" w:rsidR="006E72C0" w:rsidRPr="00783571" w:rsidRDefault="00936F03" w:rsidP="002B54F6">
            <w:pPr>
              <w:pStyle w:val="TableTextDec"/>
              <w:tabs>
                <w:tab w:val="clear" w:pos="1015"/>
                <w:tab w:val="decimal" w:pos="341"/>
              </w:tabs>
              <w:spacing w:before="20" w:after="20"/>
            </w:pPr>
            <w:r w:rsidRPr="00783571">
              <w:t>8.0</w:t>
            </w:r>
          </w:p>
        </w:tc>
        <w:tc>
          <w:tcPr>
            <w:tcW w:w="3409" w:type="dxa"/>
            <w:vMerge w:val="restart"/>
            <w:tcBorders>
              <w:top w:val="single" w:sz="6" w:space="0" w:color="808080" w:themeColor="background1" w:themeShade="80"/>
              <w:bottom w:val="single" w:sz="6" w:space="0" w:color="808080" w:themeColor="background1" w:themeShade="80"/>
            </w:tcBorders>
            <w:shd w:val="clear" w:color="auto" w:fill="auto"/>
            <w:noWrap/>
            <w:hideMark/>
          </w:tcPr>
          <w:p w14:paraId="07BB7FE8" w14:textId="77777777" w:rsidR="006E72C0" w:rsidRPr="00783571" w:rsidRDefault="006E72C0" w:rsidP="002B54F6">
            <w:pPr>
              <w:pStyle w:val="TableText"/>
              <w:spacing w:before="20" w:after="20"/>
            </w:pPr>
            <w:r w:rsidRPr="00783571">
              <w:t>CDC unpublished data based on 2008 NHBS MSM cycle 2</w:t>
            </w:r>
          </w:p>
        </w:tc>
      </w:tr>
      <w:tr w:rsidR="006E72C0" w:rsidRPr="00783571" w14:paraId="09E8660D" w14:textId="77777777" w:rsidTr="00863FC7">
        <w:trPr>
          <w:cantSplit/>
        </w:trPr>
        <w:tc>
          <w:tcPr>
            <w:tcW w:w="2846" w:type="dxa"/>
            <w:tcBorders>
              <w:top w:val="single" w:sz="6" w:space="0" w:color="808080" w:themeColor="background1" w:themeShade="80"/>
              <w:bottom w:val="single" w:sz="4" w:space="0" w:color="808080" w:themeColor="background1" w:themeShade="80"/>
            </w:tcBorders>
            <w:shd w:val="clear" w:color="auto" w:fill="auto"/>
            <w:noWrap/>
            <w:hideMark/>
          </w:tcPr>
          <w:p w14:paraId="487605DA" w14:textId="77777777" w:rsidR="006E72C0" w:rsidRPr="00783571" w:rsidRDefault="006E72C0" w:rsidP="002B54F6">
            <w:pPr>
              <w:pStyle w:val="TableText"/>
              <w:spacing w:before="20" w:after="20"/>
              <w:ind w:left="450"/>
            </w:pPr>
            <w:r w:rsidRPr="00783571">
              <w:t>Low</w:t>
            </w:r>
          </w:p>
        </w:tc>
        <w:tc>
          <w:tcPr>
            <w:tcW w:w="1135" w:type="dxa"/>
            <w:tcBorders>
              <w:top w:val="single" w:sz="6" w:space="0" w:color="808080" w:themeColor="background1" w:themeShade="80"/>
              <w:bottom w:val="single" w:sz="4" w:space="0" w:color="808080" w:themeColor="background1" w:themeShade="80"/>
            </w:tcBorders>
            <w:shd w:val="clear" w:color="auto" w:fill="auto"/>
            <w:noWrap/>
            <w:hideMark/>
          </w:tcPr>
          <w:p w14:paraId="72CB676A" w14:textId="27147DF6" w:rsidR="006E72C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4" w:space="0" w:color="808080" w:themeColor="background1" w:themeShade="80"/>
            </w:tcBorders>
            <w:shd w:val="clear" w:color="auto" w:fill="auto"/>
            <w:noWrap/>
            <w:hideMark/>
          </w:tcPr>
          <w:p w14:paraId="004B4AF1" w14:textId="4B8122CA" w:rsidR="006E72C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4" w:space="0" w:color="808080" w:themeColor="background1" w:themeShade="80"/>
            </w:tcBorders>
            <w:shd w:val="clear" w:color="auto" w:fill="auto"/>
            <w:noWrap/>
            <w:hideMark/>
          </w:tcPr>
          <w:p w14:paraId="6386B5B9" w14:textId="49EFCDD9" w:rsidR="006E72C0" w:rsidRPr="00783571" w:rsidRDefault="00A410B5" w:rsidP="002B54F6">
            <w:pPr>
              <w:pStyle w:val="TableTextDec"/>
              <w:tabs>
                <w:tab w:val="clear" w:pos="1015"/>
                <w:tab w:val="decimal" w:pos="341"/>
              </w:tabs>
              <w:spacing w:before="20" w:after="20"/>
              <w:jc w:val="center"/>
            </w:pPr>
            <w:r w:rsidRPr="00783571">
              <w:t>N/A</w:t>
            </w:r>
          </w:p>
        </w:tc>
        <w:tc>
          <w:tcPr>
            <w:tcW w:w="1136" w:type="dxa"/>
            <w:tcBorders>
              <w:top w:val="single" w:sz="6" w:space="0" w:color="808080" w:themeColor="background1" w:themeShade="80"/>
              <w:bottom w:val="single" w:sz="4" w:space="0" w:color="808080" w:themeColor="background1" w:themeShade="80"/>
            </w:tcBorders>
            <w:shd w:val="clear" w:color="auto" w:fill="auto"/>
            <w:noWrap/>
          </w:tcPr>
          <w:p w14:paraId="41F66090" w14:textId="77777777" w:rsidR="006E72C0" w:rsidRPr="00783571" w:rsidRDefault="008A29EB" w:rsidP="002B54F6">
            <w:pPr>
              <w:pStyle w:val="TableTextDec"/>
              <w:tabs>
                <w:tab w:val="clear" w:pos="1015"/>
                <w:tab w:val="decimal" w:pos="341"/>
              </w:tabs>
              <w:spacing w:before="20" w:after="20"/>
            </w:pPr>
            <w:r w:rsidRPr="00783571">
              <w:t>2.</w:t>
            </w:r>
            <w:r w:rsidR="00936F03" w:rsidRPr="00783571">
              <w:t>2</w:t>
            </w:r>
          </w:p>
        </w:tc>
        <w:tc>
          <w:tcPr>
            <w:tcW w:w="1136" w:type="dxa"/>
            <w:tcBorders>
              <w:top w:val="single" w:sz="6" w:space="0" w:color="808080" w:themeColor="background1" w:themeShade="80"/>
              <w:bottom w:val="single" w:sz="4" w:space="0" w:color="808080" w:themeColor="background1" w:themeShade="80"/>
            </w:tcBorders>
            <w:shd w:val="clear" w:color="auto" w:fill="auto"/>
            <w:noWrap/>
          </w:tcPr>
          <w:p w14:paraId="23E33AD2" w14:textId="77777777" w:rsidR="006E72C0" w:rsidRPr="00783571" w:rsidRDefault="008A29EB" w:rsidP="002B54F6">
            <w:pPr>
              <w:pStyle w:val="TableTextDec"/>
              <w:tabs>
                <w:tab w:val="clear" w:pos="1015"/>
                <w:tab w:val="decimal" w:pos="341"/>
              </w:tabs>
              <w:spacing w:before="20" w:after="20"/>
            </w:pPr>
            <w:r w:rsidRPr="00783571">
              <w:t>2.</w:t>
            </w:r>
            <w:r w:rsidR="00936F03" w:rsidRPr="00783571">
              <w:t>3</w:t>
            </w:r>
          </w:p>
        </w:tc>
        <w:tc>
          <w:tcPr>
            <w:tcW w:w="1147" w:type="dxa"/>
            <w:tcBorders>
              <w:top w:val="single" w:sz="6" w:space="0" w:color="808080" w:themeColor="background1" w:themeShade="80"/>
              <w:bottom w:val="single" w:sz="4" w:space="0" w:color="808080" w:themeColor="background1" w:themeShade="80"/>
            </w:tcBorders>
            <w:shd w:val="clear" w:color="auto" w:fill="auto"/>
            <w:noWrap/>
          </w:tcPr>
          <w:p w14:paraId="5F546134" w14:textId="77777777" w:rsidR="006E72C0" w:rsidRPr="00783571" w:rsidRDefault="008A29EB" w:rsidP="002B54F6">
            <w:pPr>
              <w:pStyle w:val="TableTextDec"/>
              <w:tabs>
                <w:tab w:val="clear" w:pos="1015"/>
                <w:tab w:val="decimal" w:pos="341"/>
              </w:tabs>
              <w:spacing w:before="20" w:after="20"/>
            </w:pPr>
            <w:r w:rsidRPr="00783571">
              <w:t>2.0</w:t>
            </w:r>
          </w:p>
        </w:tc>
        <w:tc>
          <w:tcPr>
            <w:tcW w:w="3409" w:type="dxa"/>
            <w:vMerge/>
            <w:tcBorders>
              <w:top w:val="single" w:sz="6" w:space="0" w:color="808080" w:themeColor="background1" w:themeShade="80"/>
              <w:bottom w:val="single" w:sz="4" w:space="0" w:color="808080" w:themeColor="background1" w:themeShade="80"/>
            </w:tcBorders>
            <w:shd w:val="clear" w:color="auto" w:fill="auto"/>
            <w:noWrap/>
            <w:hideMark/>
          </w:tcPr>
          <w:p w14:paraId="4321FCB4" w14:textId="77777777" w:rsidR="006E72C0" w:rsidRPr="00783571" w:rsidRDefault="006E72C0" w:rsidP="002B54F6">
            <w:pPr>
              <w:pStyle w:val="TableText"/>
              <w:spacing w:before="20" w:after="20"/>
            </w:pPr>
          </w:p>
        </w:tc>
      </w:tr>
      <w:tr w:rsidR="00B41A9A" w:rsidRPr="00783571" w14:paraId="3125A546" w14:textId="77777777" w:rsidTr="00863FC7">
        <w:trPr>
          <w:cantSplit/>
        </w:trPr>
        <w:tc>
          <w:tcPr>
            <w:tcW w:w="13081" w:type="dxa"/>
            <w:gridSpan w:val="8"/>
            <w:tcBorders>
              <w:top w:val="nil"/>
              <w:bottom w:val="single" w:sz="6" w:space="0" w:color="808080" w:themeColor="background1" w:themeShade="80"/>
            </w:tcBorders>
            <w:shd w:val="clear" w:color="auto" w:fill="auto"/>
            <w:noWrap/>
            <w:hideMark/>
          </w:tcPr>
          <w:p w14:paraId="6C270CDF" w14:textId="177C0AD4" w:rsidR="00B41A9A" w:rsidRPr="00783571" w:rsidRDefault="00B41A9A" w:rsidP="00695572">
            <w:pPr>
              <w:pStyle w:val="TableText"/>
              <w:keepNext/>
              <w:spacing w:before="20" w:after="20"/>
            </w:pPr>
            <w:r w:rsidRPr="00783571">
              <w:t xml:space="preserve">Annual number of </w:t>
            </w:r>
            <w:r w:rsidR="00782B9B" w:rsidRPr="00783571">
              <w:t>sex act</w:t>
            </w:r>
            <w:r w:rsidRPr="00783571">
              <w:t xml:space="preserve">s with all partners </w:t>
            </w:r>
            <w:r w:rsidR="00695572" w:rsidRPr="00783571">
              <w:t xml:space="preserve">per </w:t>
            </w:r>
            <w:r w:rsidRPr="00783571">
              <w:t xml:space="preserve">HIV-uninfected </w:t>
            </w:r>
            <w:r w:rsidR="00695572" w:rsidRPr="00783571">
              <w:t>person</w:t>
            </w:r>
          </w:p>
        </w:tc>
      </w:tr>
      <w:tr w:rsidR="008E1A6C" w:rsidRPr="00783571" w14:paraId="6044B47D"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tcPr>
          <w:p w14:paraId="531641E1" w14:textId="47482029" w:rsidR="008E1A6C" w:rsidRPr="00783571" w:rsidRDefault="008E1A6C" w:rsidP="002B54F6">
            <w:pPr>
              <w:pStyle w:val="TableText"/>
              <w:keepNext/>
              <w:spacing w:before="20" w:after="20"/>
              <w:ind w:left="270"/>
            </w:pPr>
            <w:r w:rsidRPr="00783571">
              <w:t>HET</w:t>
            </w:r>
          </w:p>
        </w:tc>
        <w:tc>
          <w:tcPr>
            <w:tcW w:w="6826" w:type="dxa"/>
            <w:gridSpan w:val="6"/>
            <w:tcBorders>
              <w:top w:val="single" w:sz="6" w:space="0" w:color="808080" w:themeColor="background1" w:themeShade="80"/>
              <w:bottom w:val="single" w:sz="6" w:space="0" w:color="808080" w:themeColor="background1" w:themeShade="80"/>
            </w:tcBorders>
            <w:shd w:val="clear" w:color="auto" w:fill="auto"/>
            <w:noWrap/>
          </w:tcPr>
          <w:p w14:paraId="17EA3B51" w14:textId="77777777" w:rsidR="008E1A6C" w:rsidRPr="00783571" w:rsidRDefault="008E1A6C" w:rsidP="002B54F6">
            <w:pPr>
              <w:pStyle w:val="TableText"/>
              <w:keepNext/>
              <w:spacing w:before="20" w:after="20"/>
            </w:pPr>
          </w:p>
        </w:tc>
        <w:tc>
          <w:tcPr>
            <w:tcW w:w="3409" w:type="dxa"/>
            <w:tcBorders>
              <w:top w:val="single" w:sz="6" w:space="0" w:color="808080" w:themeColor="background1" w:themeShade="80"/>
              <w:bottom w:val="single" w:sz="6" w:space="0" w:color="808080" w:themeColor="background1" w:themeShade="80"/>
            </w:tcBorders>
            <w:shd w:val="clear" w:color="auto" w:fill="auto"/>
            <w:noWrap/>
          </w:tcPr>
          <w:p w14:paraId="0FF25F75" w14:textId="77777777" w:rsidR="008E1A6C" w:rsidRPr="00783571" w:rsidRDefault="008E1A6C" w:rsidP="002B54F6">
            <w:pPr>
              <w:pStyle w:val="TableText"/>
              <w:keepNext/>
              <w:spacing w:before="20" w:after="20"/>
            </w:pPr>
          </w:p>
        </w:tc>
      </w:tr>
      <w:tr w:rsidR="0017479F" w:rsidRPr="00783571" w14:paraId="79BB2BF6"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tcPr>
          <w:p w14:paraId="3FF546D6" w14:textId="29CA8EB8" w:rsidR="0017479F" w:rsidRPr="00783571" w:rsidRDefault="0017479F" w:rsidP="00DF1AFE">
            <w:pPr>
              <w:pStyle w:val="TableText"/>
              <w:spacing w:before="20" w:after="20"/>
              <w:ind w:left="450"/>
            </w:pPr>
            <w:r w:rsidRPr="00783571">
              <w:t>High-risk</w:t>
            </w:r>
          </w:p>
        </w:tc>
        <w:tc>
          <w:tcPr>
            <w:tcW w:w="6826" w:type="dxa"/>
            <w:gridSpan w:val="6"/>
            <w:tcBorders>
              <w:top w:val="single" w:sz="6" w:space="0" w:color="808080" w:themeColor="background1" w:themeShade="80"/>
              <w:bottom w:val="single" w:sz="6" w:space="0" w:color="808080" w:themeColor="background1" w:themeShade="80"/>
            </w:tcBorders>
            <w:shd w:val="clear" w:color="auto" w:fill="auto"/>
            <w:noWrap/>
          </w:tcPr>
          <w:p w14:paraId="3FAB6738" w14:textId="2FFA0A2E" w:rsidR="0017479F" w:rsidRPr="00783571" w:rsidRDefault="0017479F" w:rsidP="002B54F6">
            <w:pPr>
              <w:pStyle w:val="TableText"/>
              <w:keepNext/>
              <w:spacing w:before="20" w:after="20"/>
            </w:pPr>
            <w:r w:rsidRPr="00783571">
              <w:t>-------------------------------------200---------------------------------------</w:t>
            </w:r>
          </w:p>
        </w:tc>
        <w:tc>
          <w:tcPr>
            <w:tcW w:w="3409" w:type="dxa"/>
            <w:vMerge w:val="restart"/>
            <w:tcBorders>
              <w:top w:val="single" w:sz="6" w:space="0" w:color="808080" w:themeColor="background1" w:themeShade="80"/>
            </w:tcBorders>
            <w:shd w:val="clear" w:color="auto" w:fill="auto"/>
            <w:noWrap/>
          </w:tcPr>
          <w:p w14:paraId="2DA3A344" w14:textId="5DE8FD85" w:rsidR="0017479F" w:rsidRPr="00783571" w:rsidRDefault="00BF50B1" w:rsidP="002B54F6">
            <w:pPr>
              <w:pStyle w:val="TableText"/>
              <w:keepNext/>
              <w:spacing w:before="20" w:after="20"/>
            </w:pPr>
            <w:r w:rsidRPr="00783571">
              <w:t>Estimated</w:t>
            </w:r>
            <w:r w:rsidR="0017479F" w:rsidRPr="00783571">
              <w:t xml:space="preserve"> so that</w:t>
            </w:r>
            <w:r w:rsidR="00DF635E" w:rsidRPr="00783571">
              <w:t xml:space="preserve"> </w:t>
            </w:r>
            <w:r w:rsidRPr="00783571">
              <w:t xml:space="preserve">HIV prevalence </w:t>
            </w:r>
            <w:r w:rsidR="00DF635E" w:rsidRPr="00783571">
              <w:t>in low-risk and high-risk HETs was stable over time</w:t>
            </w:r>
            <w:r w:rsidRPr="00783571">
              <w:t>.</w:t>
            </w:r>
            <w:r w:rsidR="00DF635E" w:rsidRPr="00783571">
              <w:rPr>
                <w:vertAlign w:val="superscript"/>
              </w:rPr>
              <w:t>d</w:t>
            </w:r>
          </w:p>
        </w:tc>
      </w:tr>
      <w:tr w:rsidR="0017479F" w:rsidRPr="00783571" w14:paraId="77E962CA"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tcPr>
          <w:p w14:paraId="1B905B3B" w14:textId="4EF3D340" w:rsidR="0017479F" w:rsidRPr="00783571" w:rsidRDefault="0017479F" w:rsidP="00DF1AFE">
            <w:pPr>
              <w:pStyle w:val="TableText"/>
              <w:spacing w:before="20" w:after="20"/>
              <w:ind w:left="450"/>
            </w:pPr>
            <w:r w:rsidRPr="00783571">
              <w:t>Low-risk</w:t>
            </w:r>
          </w:p>
        </w:tc>
        <w:tc>
          <w:tcPr>
            <w:tcW w:w="6826" w:type="dxa"/>
            <w:gridSpan w:val="6"/>
            <w:tcBorders>
              <w:top w:val="single" w:sz="6" w:space="0" w:color="808080" w:themeColor="background1" w:themeShade="80"/>
              <w:bottom w:val="single" w:sz="6" w:space="0" w:color="808080" w:themeColor="background1" w:themeShade="80"/>
            </w:tcBorders>
            <w:shd w:val="clear" w:color="auto" w:fill="auto"/>
            <w:noWrap/>
          </w:tcPr>
          <w:p w14:paraId="0C08A6F3" w14:textId="1786D1CE" w:rsidR="0017479F" w:rsidRPr="00783571" w:rsidRDefault="0017479F" w:rsidP="002B54F6">
            <w:pPr>
              <w:pStyle w:val="TableText"/>
              <w:keepNext/>
              <w:spacing w:before="20" w:after="20"/>
            </w:pPr>
            <w:r w:rsidRPr="00783571">
              <w:t>--------------------------------------30---------------------------------------</w:t>
            </w:r>
          </w:p>
        </w:tc>
        <w:tc>
          <w:tcPr>
            <w:tcW w:w="3409" w:type="dxa"/>
            <w:vMerge/>
            <w:tcBorders>
              <w:bottom w:val="single" w:sz="6" w:space="0" w:color="808080" w:themeColor="background1" w:themeShade="80"/>
            </w:tcBorders>
            <w:shd w:val="clear" w:color="auto" w:fill="auto"/>
            <w:noWrap/>
          </w:tcPr>
          <w:p w14:paraId="42F97AD0" w14:textId="77777777" w:rsidR="0017479F" w:rsidRPr="00783571" w:rsidRDefault="0017479F" w:rsidP="002B54F6">
            <w:pPr>
              <w:pStyle w:val="TableText"/>
              <w:keepNext/>
              <w:spacing w:before="20" w:after="20"/>
            </w:pPr>
          </w:p>
        </w:tc>
      </w:tr>
      <w:tr w:rsidR="00B41A9A" w:rsidRPr="00783571" w14:paraId="69AE99D9" w14:textId="77777777" w:rsidTr="00863FC7">
        <w:trPr>
          <w:cantSplit/>
        </w:trPr>
        <w:tc>
          <w:tcPr>
            <w:tcW w:w="2846" w:type="dxa"/>
            <w:tcBorders>
              <w:top w:val="single" w:sz="6" w:space="0" w:color="808080" w:themeColor="background1" w:themeShade="80"/>
              <w:bottom w:val="single" w:sz="6" w:space="0" w:color="808080" w:themeColor="background1" w:themeShade="80"/>
            </w:tcBorders>
            <w:shd w:val="clear" w:color="auto" w:fill="auto"/>
            <w:noWrap/>
            <w:hideMark/>
          </w:tcPr>
          <w:p w14:paraId="0C423564" w14:textId="3CBA1E93" w:rsidR="00B41A9A" w:rsidRPr="00783571" w:rsidRDefault="008E1A6C" w:rsidP="002B54F6">
            <w:pPr>
              <w:pStyle w:val="TableText"/>
              <w:spacing w:before="20" w:after="20"/>
              <w:ind w:left="274"/>
            </w:pPr>
            <w:r w:rsidRPr="00783571">
              <w:t>PWID and MSM</w:t>
            </w:r>
          </w:p>
        </w:tc>
        <w:tc>
          <w:tcPr>
            <w:tcW w:w="6826" w:type="dxa"/>
            <w:gridSpan w:val="6"/>
            <w:tcBorders>
              <w:top w:val="single" w:sz="6" w:space="0" w:color="808080" w:themeColor="background1" w:themeShade="80"/>
              <w:bottom w:val="single" w:sz="6" w:space="0" w:color="808080" w:themeColor="background1" w:themeShade="80"/>
            </w:tcBorders>
            <w:shd w:val="clear" w:color="auto" w:fill="auto"/>
            <w:noWrap/>
            <w:hideMark/>
          </w:tcPr>
          <w:p w14:paraId="6306F154" w14:textId="1192AD37" w:rsidR="00B41A9A" w:rsidRPr="00783571" w:rsidRDefault="00B41A9A" w:rsidP="002B54F6">
            <w:pPr>
              <w:pStyle w:val="TableText"/>
              <w:keepNext/>
              <w:spacing w:before="20" w:after="20"/>
            </w:pPr>
            <w:r w:rsidRPr="00783571">
              <w:t>---------------------------</w:t>
            </w:r>
            <w:r w:rsidR="00A00101" w:rsidRPr="00783571">
              <w:t>-</w:t>
            </w:r>
            <w:r w:rsidRPr="00783571">
              <w:t>----------68---------</w:t>
            </w:r>
            <w:r w:rsidR="00E9227D" w:rsidRPr="00783571">
              <w:t>------------------------------</w:t>
            </w:r>
          </w:p>
        </w:tc>
        <w:tc>
          <w:tcPr>
            <w:tcW w:w="3409" w:type="dxa"/>
            <w:tcBorders>
              <w:top w:val="single" w:sz="6" w:space="0" w:color="808080" w:themeColor="background1" w:themeShade="80"/>
              <w:bottom w:val="single" w:sz="6" w:space="0" w:color="808080" w:themeColor="background1" w:themeShade="80"/>
            </w:tcBorders>
            <w:shd w:val="clear" w:color="auto" w:fill="auto"/>
            <w:noWrap/>
            <w:hideMark/>
          </w:tcPr>
          <w:p w14:paraId="1C64FF9B" w14:textId="77777777" w:rsidR="00B41A9A" w:rsidRPr="00783571" w:rsidRDefault="002465F5" w:rsidP="002B54F6">
            <w:pPr>
              <w:pStyle w:val="TableText"/>
              <w:keepNext/>
              <w:spacing w:before="20" w:after="20"/>
            </w:pPr>
            <w:r w:rsidRPr="00783571">
              <w:t xml:space="preserve">Calculated from </w:t>
            </w:r>
            <w:r w:rsidR="00B41A9A" w:rsidRPr="00783571">
              <w:t>Reece et al. (2010a); Herbenick et al. (2010)</w:t>
            </w:r>
            <w:r w:rsidRPr="00783571">
              <w:t>. Further detail on the calculation is available from the corresponding author.</w:t>
            </w:r>
          </w:p>
        </w:tc>
      </w:tr>
    </w:tbl>
    <w:p w14:paraId="3598F379" w14:textId="77777777" w:rsidR="002B54F6" w:rsidRPr="00783571" w:rsidRDefault="002B54F6" w:rsidP="002B54F6">
      <w:pPr>
        <w:pStyle w:val="Tablecont"/>
      </w:pPr>
      <w:r w:rsidRPr="00783571">
        <w:t>(continued)</w:t>
      </w:r>
    </w:p>
    <w:p w14:paraId="47C12786" w14:textId="49DABC53" w:rsidR="002B54F6" w:rsidRPr="00783571" w:rsidRDefault="002B54F6" w:rsidP="00260D8A">
      <w:pPr>
        <w:pStyle w:val="TableTitlecont"/>
        <w:ind w:left="1530"/>
      </w:pPr>
      <w:r w:rsidRPr="00783571">
        <w:t>Table 6.9.</w:t>
      </w:r>
      <w:r w:rsidRPr="00783571">
        <w:tab/>
        <w:t xml:space="preserve">Sexual Partners and Sex </w:t>
      </w:r>
      <w:r w:rsidR="00782B9B" w:rsidRPr="00783571">
        <w:t>A</w:t>
      </w:r>
      <w:r w:rsidRPr="00783571">
        <w:t>cts (continued)</w:t>
      </w:r>
    </w:p>
    <w:tbl>
      <w:tblPr>
        <w:tblW w:w="5036"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2845"/>
        <w:gridCol w:w="1135"/>
        <w:gridCol w:w="1136"/>
        <w:gridCol w:w="1136"/>
        <w:gridCol w:w="1136"/>
        <w:gridCol w:w="1136"/>
        <w:gridCol w:w="1147"/>
        <w:gridCol w:w="3382"/>
      </w:tblGrid>
      <w:tr w:rsidR="002B54F6" w:rsidRPr="00783571" w14:paraId="799579EB" w14:textId="77777777" w:rsidTr="00863FC7">
        <w:trPr>
          <w:cantSplit/>
          <w:tblHeader/>
        </w:trPr>
        <w:tc>
          <w:tcPr>
            <w:tcW w:w="2898" w:type="dxa"/>
            <w:vMerge w:val="restart"/>
            <w:tcBorders>
              <w:top w:val="single" w:sz="12" w:space="0" w:color="000000"/>
              <w:bottom w:val="single" w:sz="6" w:space="0" w:color="auto"/>
            </w:tcBorders>
            <w:shd w:val="clear" w:color="auto" w:fill="auto"/>
            <w:noWrap/>
            <w:vAlign w:val="bottom"/>
            <w:hideMark/>
          </w:tcPr>
          <w:p w14:paraId="58160CDB" w14:textId="77777777" w:rsidR="002B54F6" w:rsidRPr="00783571" w:rsidRDefault="002B54F6" w:rsidP="00871E69">
            <w:pPr>
              <w:pStyle w:val="TableHeaders"/>
              <w:keepNext/>
              <w:spacing w:before="20" w:after="20"/>
            </w:pPr>
          </w:p>
        </w:tc>
        <w:tc>
          <w:tcPr>
            <w:tcW w:w="3463" w:type="dxa"/>
            <w:gridSpan w:val="3"/>
            <w:tcBorders>
              <w:top w:val="single" w:sz="12" w:space="0" w:color="000000"/>
              <w:bottom w:val="single" w:sz="6" w:space="0" w:color="auto"/>
            </w:tcBorders>
            <w:shd w:val="clear" w:color="auto" w:fill="auto"/>
            <w:noWrap/>
            <w:vAlign w:val="bottom"/>
            <w:hideMark/>
          </w:tcPr>
          <w:p w14:paraId="60F80AD8" w14:textId="77777777" w:rsidR="002B54F6" w:rsidRPr="00783571" w:rsidRDefault="002B54F6" w:rsidP="00871E69">
            <w:pPr>
              <w:pStyle w:val="TableHeaders"/>
              <w:keepNext/>
              <w:spacing w:before="20" w:after="20"/>
            </w:pPr>
            <w:r w:rsidRPr="00783571">
              <w:t>Female</w:t>
            </w:r>
          </w:p>
        </w:tc>
        <w:tc>
          <w:tcPr>
            <w:tcW w:w="3476" w:type="dxa"/>
            <w:gridSpan w:val="3"/>
            <w:tcBorders>
              <w:top w:val="single" w:sz="12" w:space="0" w:color="000000"/>
              <w:bottom w:val="single" w:sz="6" w:space="0" w:color="auto"/>
            </w:tcBorders>
            <w:shd w:val="clear" w:color="auto" w:fill="auto"/>
            <w:noWrap/>
            <w:vAlign w:val="bottom"/>
            <w:hideMark/>
          </w:tcPr>
          <w:p w14:paraId="26C4DFC8" w14:textId="77777777" w:rsidR="002B54F6" w:rsidRPr="00783571" w:rsidRDefault="002B54F6" w:rsidP="00871E69">
            <w:pPr>
              <w:pStyle w:val="TableHeaders"/>
              <w:keepNext/>
              <w:spacing w:before="20" w:after="20"/>
            </w:pPr>
            <w:r w:rsidRPr="00783571">
              <w:t>Male</w:t>
            </w:r>
          </w:p>
        </w:tc>
        <w:tc>
          <w:tcPr>
            <w:tcW w:w="3448" w:type="dxa"/>
            <w:vMerge w:val="restart"/>
            <w:tcBorders>
              <w:top w:val="single" w:sz="12" w:space="0" w:color="000000"/>
              <w:bottom w:val="single" w:sz="6" w:space="0" w:color="auto"/>
            </w:tcBorders>
            <w:shd w:val="clear" w:color="auto" w:fill="auto"/>
            <w:noWrap/>
            <w:vAlign w:val="bottom"/>
            <w:hideMark/>
          </w:tcPr>
          <w:p w14:paraId="69C9B0EE" w14:textId="77777777" w:rsidR="002B54F6" w:rsidRPr="00783571" w:rsidRDefault="002B54F6" w:rsidP="00871E69">
            <w:pPr>
              <w:pStyle w:val="TableHeaders"/>
              <w:keepNext/>
              <w:spacing w:before="20" w:after="20"/>
            </w:pPr>
            <w:r w:rsidRPr="00783571">
              <w:t>Source</w:t>
            </w:r>
          </w:p>
        </w:tc>
      </w:tr>
      <w:tr w:rsidR="002B54F6" w:rsidRPr="00783571" w14:paraId="6EBE2B01" w14:textId="77777777" w:rsidTr="00863FC7">
        <w:trPr>
          <w:cantSplit/>
          <w:tblHeader/>
        </w:trPr>
        <w:tc>
          <w:tcPr>
            <w:tcW w:w="2898" w:type="dxa"/>
            <w:vMerge/>
            <w:tcBorders>
              <w:top w:val="single" w:sz="6" w:space="0" w:color="000000"/>
              <w:bottom w:val="single" w:sz="6" w:space="0" w:color="auto"/>
            </w:tcBorders>
            <w:shd w:val="clear" w:color="auto" w:fill="auto"/>
            <w:noWrap/>
            <w:vAlign w:val="bottom"/>
            <w:hideMark/>
          </w:tcPr>
          <w:p w14:paraId="767315F1" w14:textId="77777777" w:rsidR="002B54F6" w:rsidRPr="00783571" w:rsidRDefault="002B54F6" w:rsidP="00871E69">
            <w:pPr>
              <w:pStyle w:val="TableHeaders"/>
              <w:keepNext/>
              <w:spacing w:before="20" w:after="20"/>
            </w:pPr>
          </w:p>
        </w:tc>
        <w:tc>
          <w:tcPr>
            <w:tcW w:w="1153" w:type="dxa"/>
            <w:tcBorders>
              <w:top w:val="single" w:sz="6" w:space="0" w:color="auto"/>
              <w:bottom w:val="single" w:sz="6" w:space="0" w:color="auto"/>
            </w:tcBorders>
            <w:shd w:val="clear" w:color="auto" w:fill="auto"/>
            <w:noWrap/>
            <w:vAlign w:val="bottom"/>
            <w:hideMark/>
          </w:tcPr>
          <w:p w14:paraId="381DBC35" w14:textId="77777777" w:rsidR="002B54F6" w:rsidRPr="00783571" w:rsidRDefault="002B54F6" w:rsidP="00871E69">
            <w:pPr>
              <w:pStyle w:val="TableHeaders"/>
              <w:keepNext/>
              <w:spacing w:before="20" w:after="20"/>
            </w:pPr>
            <w:r w:rsidRPr="00783571">
              <w:t>Black</w:t>
            </w:r>
          </w:p>
        </w:tc>
        <w:tc>
          <w:tcPr>
            <w:tcW w:w="1155" w:type="dxa"/>
            <w:tcBorders>
              <w:top w:val="single" w:sz="6" w:space="0" w:color="auto"/>
              <w:bottom w:val="single" w:sz="6" w:space="0" w:color="auto"/>
            </w:tcBorders>
            <w:shd w:val="clear" w:color="auto" w:fill="auto"/>
            <w:noWrap/>
            <w:vAlign w:val="bottom"/>
            <w:hideMark/>
          </w:tcPr>
          <w:p w14:paraId="67CA0841" w14:textId="77777777" w:rsidR="002B54F6" w:rsidRPr="00783571" w:rsidRDefault="002B54F6" w:rsidP="00871E69">
            <w:pPr>
              <w:pStyle w:val="TableHeaders"/>
              <w:keepNext/>
              <w:spacing w:before="20" w:after="20"/>
            </w:pPr>
            <w:r w:rsidRPr="00783571">
              <w:t>Hispanic</w:t>
            </w:r>
          </w:p>
        </w:tc>
        <w:tc>
          <w:tcPr>
            <w:tcW w:w="1155" w:type="dxa"/>
            <w:tcBorders>
              <w:top w:val="single" w:sz="6" w:space="0" w:color="auto"/>
              <w:bottom w:val="single" w:sz="6" w:space="0" w:color="auto"/>
            </w:tcBorders>
            <w:shd w:val="clear" w:color="auto" w:fill="auto"/>
            <w:noWrap/>
            <w:vAlign w:val="bottom"/>
            <w:hideMark/>
          </w:tcPr>
          <w:p w14:paraId="4CAB9EFF" w14:textId="77777777" w:rsidR="002B54F6" w:rsidRPr="00783571" w:rsidRDefault="002B54F6" w:rsidP="00871E69">
            <w:pPr>
              <w:pStyle w:val="TableHeaders"/>
              <w:keepNext/>
              <w:spacing w:before="20" w:after="20"/>
            </w:pPr>
            <w:r w:rsidRPr="00783571">
              <w:t>Other</w:t>
            </w:r>
          </w:p>
        </w:tc>
        <w:tc>
          <w:tcPr>
            <w:tcW w:w="1155" w:type="dxa"/>
            <w:tcBorders>
              <w:top w:val="single" w:sz="6" w:space="0" w:color="auto"/>
              <w:bottom w:val="single" w:sz="6" w:space="0" w:color="auto"/>
            </w:tcBorders>
            <w:shd w:val="clear" w:color="auto" w:fill="auto"/>
            <w:noWrap/>
            <w:vAlign w:val="bottom"/>
            <w:hideMark/>
          </w:tcPr>
          <w:p w14:paraId="6EFF805D" w14:textId="77777777" w:rsidR="002B54F6" w:rsidRPr="00783571" w:rsidRDefault="002B54F6" w:rsidP="00871E69">
            <w:pPr>
              <w:pStyle w:val="TableHeaders"/>
              <w:keepNext/>
              <w:spacing w:before="20" w:after="20"/>
            </w:pPr>
            <w:r w:rsidRPr="00783571">
              <w:t>Black</w:t>
            </w:r>
          </w:p>
        </w:tc>
        <w:tc>
          <w:tcPr>
            <w:tcW w:w="1155" w:type="dxa"/>
            <w:tcBorders>
              <w:top w:val="single" w:sz="6" w:space="0" w:color="auto"/>
              <w:bottom w:val="single" w:sz="6" w:space="0" w:color="auto"/>
            </w:tcBorders>
            <w:shd w:val="clear" w:color="auto" w:fill="auto"/>
            <w:noWrap/>
            <w:vAlign w:val="bottom"/>
            <w:hideMark/>
          </w:tcPr>
          <w:p w14:paraId="5AEC66EB" w14:textId="77777777" w:rsidR="002B54F6" w:rsidRPr="00783571" w:rsidRDefault="002B54F6" w:rsidP="00871E69">
            <w:pPr>
              <w:pStyle w:val="TableHeaders"/>
              <w:keepNext/>
              <w:spacing w:before="20" w:after="20"/>
            </w:pPr>
            <w:r w:rsidRPr="00783571">
              <w:t>Hispanic</w:t>
            </w:r>
          </w:p>
        </w:tc>
        <w:tc>
          <w:tcPr>
            <w:tcW w:w="1166" w:type="dxa"/>
            <w:tcBorders>
              <w:top w:val="single" w:sz="6" w:space="0" w:color="auto"/>
              <w:bottom w:val="single" w:sz="6" w:space="0" w:color="auto"/>
            </w:tcBorders>
            <w:shd w:val="clear" w:color="auto" w:fill="auto"/>
            <w:noWrap/>
            <w:vAlign w:val="bottom"/>
            <w:hideMark/>
          </w:tcPr>
          <w:p w14:paraId="3A353E3B" w14:textId="77777777" w:rsidR="002B54F6" w:rsidRPr="00783571" w:rsidRDefault="002B54F6" w:rsidP="00871E69">
            <w:pPr>
              <w:pStyle w:val="TableHeaders"/>
              <w:keepNext/>
              <w:spacing w:before="20" w:after="20"/>
            </w:pPr>
            <w:r w:rsidRPr="00783571">
              <w:t>Other</w:t>
            </w:r>
          </w:p>
        </w:tc>
        <w:tc>
          <w:tcPr>
            <w:tcW w:w="3448" w:type="dxa"/>
            <w:vMerge/>
            <w:tcBorders>
              <w:top w:val="single" w:sz="6" w:space="0" w:color="000000"/>
              <w:bottom w:val="single" w:sz="6" w:space="0" w:color="auto"/>
            </w:tcBorders>
            <w:shd w:val="clear" w:color="auto" w:fill="auto"/>
            <w:noWrap/>
            <w:vAlign w:val="bottom"/>
            <w:hideMark/>
          </w:tcPr>
          <w:p w14:paraId="27A136C0" w14:textId="77777777" w:rsidR="002B54F6" w:rsidRPr="00783571" w:rsidRDefault="002B54F6" w:rsidP="00871E69">
            <w:pPr>
              <w:pStyle w:val="TableHeaders"/>
              <w:keepNext/>
              <w:spacing w:before="20" w:after="20"/>
            </w:pPr>
          </w:p>
        </w:tc>
      </w:tr>
      <w:tr w:rsidR="00B41A9A" w:rsidRPr="00783571" w14:paraId="71990458" w14:textId="77777777" w:rsidTr="00863FC7">
        <w:trPr>
          <w:cantSplit/>
        </w:trPr>
        <w:tc>
          <w:tcPr>
            <w:tcW w:w="2898" w:type="dxa"/>
            <w:tcBorders>
              <w:top w:val="single" w:sz="6" w:space="0" w:color="808080" w:themeColor="background1" w:themeShade="80"/>
              <w:bottom w:val="single" w:sz="6" w:space="0" w:color="808080" w:themeColor="background1" w:themeShade="80"/>
            </w:tcBorders>
            <w:shd w:val="clear" w:color="auto" w:fill="auto"/>
            <w:noWrap/>
          </w:tcPr>
          <w:p w14:paraId="6A51110A" w14:textId="46C5C8BB" w:rsidR="00B41A9A" w:rsidRPr="00783571" w:rsidRDefault="00B41A9A" w:rsidP="002B54F6">
            <w:pPr>
              <w:pStyle w:val="TableText"/>
              <w:spacing w:before="20" w:after="20"/>
            </w:pPr>
            <w:r w:rsidRPr="00783571">
              <w:t xml:space="preserve">Percentage of </w:t>
            </w:r>
            <w:r w:rsidR="00FC4AA3" w:rsidRPr="00783571">
              <w:t xml:space="preserve">uninfected individuals’ </w:t>
            </w:r>
            <w:r w:rsidRPr="00783571">
              <w:t xml:space="preserve">vaginal </w:t>
            </w:r>
            <w:r w:rsidR="00782B9B" w:rsidRPr="00783571">
              <w:t>sex act</w:t>
            </w:r>
            <w:r w:rsidRPr="00783571">
              <w:t xml:space="preserve">s </w:t>
            </w:r>
            <w:r w:rsidR="00FC4AA3" w:rsidRPr="00783571">
              <w:t xml:space="preserve">with infected partners that are </w:t>
            </w:r>
            <w:r w:rsidRPr="00783571">
              <w:t xml:space="preserve">protected with a condom </w:t>
            </w:r>
            <w:r w:rsidR="00FC4AA3" w:rsidRPr="00783571">
              <w:t>when partners are</w:t>
            </w:r>
            <w:r w:rsidRPr="00783571">
              <w:t xml:space="preserve"> undiagnosed</w:t>
            </w:r>
          </w:p>
        </w:tc>
        <w:tc>
          <w:tcPr>
            <w:tcW w:w="1153" w:type="dxa"/>
            <w:tcBorders>
              <w:top w:val="single" w:sz="6" w:space="0" w:color="808080" w:themeColor="background1" w:themeShade="80"/>
              <w:bottom w:val="single" w:sz="6" w:space="0" w:color="808080" w:themeColor="background1" w:themeShade="80"/>
            </w:tcBorders>
            <w:shd w:val="clear" w:color="auto" w:fill="auto"/>
            <w:noWrap/>
            <w:hideMark/>
          </w:tcPr>
          <w:p w14:paraId="4307AC76" w14:textId="77777777" w:rsidR="00B41A9A" w:rsidRPr="00783571" w:rsidRDefault="00B41A9A" w:rsidP="002B54F6">
            <w:pPr>
              <w:pStyle w:val="TableTextDec"/>
              <w:tabs>
                <w:tab w:val="clear" w:pos="1015"/>
                <w:tab w:val="decimal" w:pos="341"/>
              </w:tabs>
              <w:spacing w:before="20" w:after="20"/>
            </w:pPr>
            <w:r w:rsidRPr="00783571">
              <w:t>30.9%</w:t>
            </w:r>
          </w:p>
        </w:tc>
        <w:tc>
          <w:tcPr>
            <w:tcW w:w="1155" w:type="dxa"/>
            <w:tcBorders>
              <w:top w:val="single" w:sz="6" w:space="0" w:color="808080" w:themeColor="background1" w:themeShade="80"/>
              <w:bottom w:val="single" w:sz="6" w:space="0" w:color="808080" w:themeColor="background1" w:themeShade="80"/>
            </w:tcBorders>
            <w:shd w:val="clear" w:color="auto" w:fill="auto"/>
            <w:noWrap/>
            <w:hideMark/>
          </w:tcPr>
          <w:p w14:paraId="18700010" w14:textId="77777777" w:rsidR="00B41A9A" w:rsidRPr="00783571" w:rsidRDefault="00B41A9A" w:rsidP="002B54F6">
            <w:pPr>
              <w:pStyle w:val="TableTextDec"/>
              <w:tabs>
                <w:tab w:val="clear" w:pos="1015"/>
                <w:tab w:val="decimal" w:pos="341"/>
              </w:tabs>
              <w:spacing w:before="20" w:after="20"/>
            </w:pPr>
            <w:r w:rsidRPr="00783571">
              <w:t>25.4%</w:t>
            </w:r>
          </w:p>
        </w:tc>
        <w:tc>
          <w:tcPr>
            <w:tcW w:w="1155" w:type="dxa"/>
            <w:tcBorders>
              <w:top w:val="single" w:sz="6" w:space="0" w:color="808080" w:themeColor="background1" w:themeShade="80"/>
              <w:bottom w:val="single" w:sz="6" w:space="0" w:color="808080" w:themeColor="background1" w:themeShade="80"/>
            </w:tcBorders>
            <w:shd w:val="clear" w:color="auto" w:fill="auto"/>
            <w:noWrap/>
            <w:hideMark/>
          </w:tcPr>
          <w:p w14:paraId="1BBF2D72" w14:textId="77777777" w:rsidR="00B41A9A" w:rsidRPr="00783571" w:rsidRDefault="0083389F" w:rsidP="002B54F6">
            <w:pPr>
              <w:pStyle w:val="TableTextDec"/>
              <w:tabs>
                <w:tab w:val="clear" w:pos="1015"/>
                <w:tab w:val="decimal" w:pos="341"/>
              </w:tabs>
              <w:spacing w:before="20" w:after="20"/>
            </w:pPr>
            <w:r w:rsidRPr="00783571">
              <w:t>17.1%</w:t>
            </w:r>
          </w:p>
        </w:tc>
        <w:tc>
          <w:tcPr>
            <w:tcW w:w="1155" w:type="dxa"/>
            <w:tcBorders>
              <w:top w:val="single" w:sz="6" w:space="0" w:color="808080" w:themeColor="background1" w:themeShade="80"/>
              <w:bottom w:val="single" w:sz="6" w:space="0" w:color="808080" w:themeColor="background1" w:themeShade="80"/>
            </w:tcBorders>
            <w:shd w:val="clear" w:color="auto" w:fill="auto"/>
            <w:noWrap/>
            <w:hideMark/>
          </w:tcPr>
          <w:p w14:paraId="103F3AC5" w14:textId="77777777" w:rsidR="00B41A9A" w:rsidRPr="00783571" w:rsidRDefault="00B41A9A" w:rsidP="002B54F6">
            <w:pPr>
              <w:pStyle w:val="TableTextDec"/>
              <w:tabs>
                <w:tab w:val="clear" w:pos="1015"/>
                <w:tab w:val="decimal" w:pos="341"/>
              </w:tabs>
              <w:spacing w:before="20" w:after="20"/>
            </w:pPr>
            <w:r w:rsidRPr="00783571">
              <w:t>30.9%</w:t>
            </w:r>
          </w:p>
        </w:tc>
        <w:tc>
          <w:tcPr>
            <w:tcW w:w="1155" w:type="dxa"/>
            <w:tcBorders>
              <w:top w:val="single" w:sz="6" w:space="0" w:color="808080" w:themeColor="background1" w:themeShade="80"/>
              <w:bottom w:val="single" w:sz="6" w:space="0" w:color="808080" w:themeColor="background1" w:themeShade="80"/>
            </w:tcBorders>
            <w:shd w:val="clear" w:color="auto" w:fill="auto"/>
            <w:noWrap/>
            <w:hideMark/>
          </w:tcPr>
          <w:p w14:paraId="64BE4E90" w14:textId="77777777" w:rsidR="00B41A9A" w:rsidRPr="00783571" w:rsidRDefault="00B41A9A" w:rsidP="002B54F6">
            <w:pPr>
              <w:pStyle w:val="TableTextDec"/>
              <w:tabs>
                <w:tab w:val="clear" w:pos="1015"/>
                <w:tab w:val="decimal" w:pos="341"/>
              </w:tabs>
              <w:spacing w:before="20" w:after="20"/>
            </w:pPr>
            <w:r w:rsidRPr="00783571">
              <w:t>25.4%</w:t>
            </w:r>
          </w:p>
        </w:tc>
        <w:tc>
          <w:tcPr>
            <w:tcW w:w="1166" w:type="dxa"/>
            <w:tcBorders>
              <w:top w:val="single" w:sz="6" w:space="0" w:color="808080" w:themeColor="background1" w:themeShade="80"/>
              <w:bottom w:val="single" w:sz="6" w:space="0" w:color="808080" w:themeColor="background1" w:themeShade="80"/>
            </w:tcBorders>
            <w:shd w:val="clear" w:color="auto" w:fill="auto"/>
            <w:noWrap/>
            <w:hideMark/>
          </w:tcPr>
          <w:p w14:paraId="73D8D096" w14:textId="77777777" w:rsidR="00B41A9A" w:rsidRPr="00783571" w:rsidRDefault="0083389F" w:rsidP="002B54F6">
            <w:pPr>
              <w:pStyle w:val="TableTextDec"/>
              <w:tabs>
                <w:tab w:val="clear" w:pos="1015"/>
                <w:tab w:val="decimal" w:pos="341"/>
              </w:tabs>
              <w:spacing w:before="20" w:after="20"/>
            </w:pPr>
            <w:r w:rsidRPr="00783571">
              <w:t>17.1%</w:t>
            </w:r>
          </w:p>
        </w:tc>
        <w:tc>
          <w:tcPr>
            <w:tcW w:w="3448" w:type="dxa"/>
            <w:tcBorders>
              <w:top w:val="single" w:sz="6" w:space="0" w:color="808080" w:themeColor="background1" w:themeShade="80"/>
              <w:bottom w:val="single" w:sz="6" w:space="0" w:color="808080" w:themeColor="background1" w:themeShade="80"/>
            </w:tcBorders>
            <w:shd w:val="clear" w:color="auto" w:fill="auto"/>
            <w:noWrap/>
            <w:hideMark/>
          </w:tcPr>
          <w:p w14:paraId="5FC7085F" w14:textId="77777777" w:rsidR="00B41A9A" w:rsidRPr="00783571" w:rsidRDefault="00B41A9A" w:rsidP="002B54F6">
            <w:pPr>
              <w:pStyle w:val="TableText"/>
              <w:spacing w:before="20" w:after="20"/>
            </w:pPr>
            <w:r w:rsidRPr="00783571">
              <w:t>Reece et al. (2010b)</w:t>
            </w:r>
          </w:p>
        </w:tc>
      </w:tr>
      <w:tr w:rsidR="00B41A9A" w:rsidRPr="00783571" w14:paraId="77E3CAF0" w14:textId="77777777" w:rsidTr="00863FC7">
        <w:trPr>
          <w:cantSplit/>
        </w:trPr>
        <w:tc>
          <w:tcPr>
            <w:tcW w:w="13285" w:type="dxa"/>
            <w:gridSpan w:val="8"/>
            <w:tcBorders>
              <w:top w:val="single" w:sz="6" w:space="0" w:color="808080" w:themeColor="background1" w:themeShade="80"/>
              <w:bottom w:val="single" w:sz="6" w:space="0" w:color="808080" w:themeColor="background1" w:themeShade="80"/>
            </w:tcBorders>
            <w:shd w:val="clear" w:color="auto" w:fill="auto"/>
            <w:noWrap/>
          </w:tcPr>
          <w:p w14:paraId="16488A06" w14:textId="1C32050B" w:rsidR="00B41A9A" w:rsidRPr="00783571" w:rsidRDefault="00B41A9A" w:rsidP="00D664FC">
            <w:pPr>
              <w:pStyle w:val="TableText"/>
              <w:spacing w:before="20" w:after="20"/>
            </w:pPr>
            <w:r w:rsidRPr="00783571">
              <w:t xml:space="preserve">Percentage of </w:t>
            </w:r>
            <w:r w:rsidR="00D664FC" w:rsidRPr="00783571">
              <w:t xml:space="preserve">uninfected individuals’ </w:t>
            </w:r>
            <w:r w:rsidRPr="00783571">
              <w:t xml:space="preserve">anal </w:t>
            </w:r>
            <w:r w:rsidR="00782B9B" w:rsidRPr="00783571">
              <w:t>sex act</w:t>
            </w:r>
            <w:r w:rsidRPr="00783571">
              <w:t xml:space="preserve">s </w:t>
            </w:r>
            <w:r w:rsidR="00D664FC" w:rsidRPr="00783571">
              <w:t xml:space="preserve">with infected partners are </w:t>
            </w:r>
            <w:r w:rsidRPr="00783571">
              <w:t xml:space="preserve">protected with a condom </w:t>
            </w:r>
            <w:r w:rsidR="00D664FC" w:rsidRPr="00783571">
              <w:t>when partners are</w:t>
            </w:r>
            <w:r w:rsidRPr="00783571">
              <w:t xml:space="preserve"> undiagnosed </w:t>
            </w:r>
          </w:p>
        </w:tc>
      </w:tr>
      <w:tr w:rsidR="00B41A9A" w:rsidRPr="00783571" w14:paraId="6CE7FA19" w14:textId="77777777" w:rsidTr="00863FC7">
        <w:trPr>
          <w:cantSplit/>
        </w:trPr>
        <w:tc>
          <w:tcPr>
            <w:tcW w:w="2898" w:type="dxa"/>
            <w:tcBorders>
              <w:top w:val="single" w:sz="6" w:space="0" w:color="808080" w:themeColor="background1" w:themeShade="80"/>
              <w:bottom w:val="single" w:sz="6" w:space="0" w:color="808080" w:themeColor="background1" w:themeShade="80"/>
            </w:tcBorders>
            <w:shd w:val="clear" w:color="auto" w:fill="auto"/>
            <w:noWrap/>
          </w:tcPr>
          <w:p w14:paraId="78ED5351" w14:textId="77777777" w:rsidR="00B41A9A" w:rsidRPr="00783571" w:rsidRDefault="00B41A9A" w:rsidP="002B54F6">
            <w:pPr>
              <w:pStyle w:val="TableText"/>
              <w:spacing w:before="20" w:after="20"/>
              <w:ind w:left="450"/>
            </w:pPr>
            <w:r w:rsidRPr="00783571">
              <w:t>With male partners</w:t>
            </w:r>
          </w:p>
        </w:tc>
        <w:tc>
          <w:tcPr>
            <w:tcW w:w="3463" w:type="dxa"/>
            <w:gridSpan w:val="3"/>
            <w:tcBorders>
              <w:top w:val="single" w:sz="6" w:space="0" w:color="808080" w:themeColor="background1" w:themeShade="80"/>
              <w:bottom w:val="single" w:sz="6" w:space="0" w:color="808080" w:themeColor="background1" w:themeShade="80"/>
            </w:tcBorders>
            <w:shd w:val="clear" w:color="auto" w:fill="auto"/>
            <w:noWrap/>
          </w:tcPr>
          <w:p w14:paraId="43A24DA0" w14:textId="057AA3F9" w:rsidR="00B41A9A" w:rsidRPr="00783571" w:rsidRDefault="00B41A9A" w:rsidP="002B54F6">
            <w:pPr>
              <w:pStyle w:val="TableText"/>
              <w:spacing w:before="20" w:after="20"/>
            </w:pPr>
            <w:r w:rsidRPr="00783571">
              <w:t>--------------13.2%-----------------</w:t>
            </w:r>
          </w:p>
        </w:tc>
        <w:tc>
          <w:tcPr>
            <w:tcW w:w="3476" w:type="dxa"/>
            <w:gridSpan w:val="3"/>
            <w:tcBorders>
              <w:top w:val="single" w:sz="6" w:space="0" w:color="808080" w:themeColor="background1" w:themeShade="80"/>
              <w:bottom w:val="single" w:sz="6" w:space="0" w:color="808080" w:themeColor="background1" w:themeShade="80"/>
            </w:tcBorders>
            <w:shd w:val="clear" w:color="auto" w:fill="auto"/>
            <w:noWrap/>
          </w:tcPr>
          <w:p w14:paraId="4488CF10" w14:textId="4CF129C6" w:rsidR="00B41A9A" w:rsidRPr="00783571" w:rsidRDefault="00B41A9A" w:rsidP="002B54F6">
            <w:pPr>
              <w:pStyle w:val="TableText"/>
              <w:spacing w:before="20" w:after="20"/>
            </w:pPr>
            <w:r w:rsidRPr="00783571">
              <w:t>---------------50.0%----------------</w:t>
            </w:r>
          </w:p>
        </w:tc>
        <w:tc>
          <w:tcPr>
            <w:tcW w:w="3448" w:type="dxa"/>
            <w:tcBorders>
              <w:top w:val="single" w:sz="6" w:space="0" w:color="808080" w:themeColor="background1" w:themeShade="80"/>
              <w:bottom w:val="single" w:sz="6" w:space="0" w:color="808080" w:themeColor="background1" w:themeShade="80"/>
            </w:tcBorders>
            <w:shd w:val="clear" w:color="auto" w:fill="auto"/>
            <w:noWrap/>
          </w:tcPr>
          <w:p w14:paraId="4F7C6DC8" w14:textId="77777777" w:rsidR="00B41A9A" w:rsidRPr="00783571" w:rsidRDefault="00B41A9A" w:rsidP="002B54F6">
            <w:pPr>
              <w:pStyle w:val="TableText"/>
              <w:spacing w:before="20" w:after="20"/>
            </w:pPr>
            <w:r w:rsidRPr="00783571">
              <w:t xml:space="preserve">Value for female-male partnerships from Reece </w:t>
            </w:r>
            <w:r w:rsidR="00D1426F" w:rsidRPr="00783571">
              <w:t>et al. (</w:t>
            </w:r>
            <w:r w:rsidRPr="00783571">
              <w:t>2010b</w:t>
            </w:r>
            <w:r w:rsidR="00D1426F" w:rsidRPr="00783571">
              <w:t>)</w:t>
            </w:r>
          </w:p>
          <w:p w14:paraId="738C6ABE" w14:textId="77777777" w:rsidR="00B41A9A" w:rsidRPr="00783571" w:rsidRDefault="00B41A9A" w:rsidP="002B54F6">
            <w:pPr>
              <w:pStyle w:val="TableText"/>
              <w:spacing w:before="20" w:after="20"/>
            </w:pPr>
            <w:r w:rsidRPr="00783571">
              <w:t xml:space="preserve">Value for male-male partnerships from Crepaz </w:t>
            </w:r>
            <w:r w:rsidR="00D1426F" w:rsidRPr="00783571">
              <w:t>et al. (</w:t>
            </w:r>
            <w:r w:rsidRPr="00783571">
              <w:t>2009</w:t>
            </w:r>
            <w:r w:rsidR="00D1426F" w:rsidRPr="00783571">
              <w:t>)</w:t>
            </w:r>
            <w:r w:rsidRPr="00783571">
              <w:t>; Marks</w:t>
            </w:r>
            <w:r w:rsidR="00D1426F" w:rsidRPr="00783571">
              <w:t xml:space="preserve"> et al.</w:t>
            </w:r>
            <w:r w:rsidRPr="00783571">
              <w:t xml:space="preserve"> (2001, 2005, 2006, 2009); Sorenson et al. (2012) </w:t>
            </w:r>
          </w:p>
        </w:tc>
      </w:tr>
      <w:tr w:rsidR="00B41A9A" w:rsidRPr="00783571" w14:paraId="28F9D03A" w14:textId="77777777" w:rsidTr="00863FC7">
        <w:trPr>
          <w:cantSplit/>
        </w:trPr>
        <w:tc>
          <w:tcPr>
            <w:tcW w:w="2898" w:type="dxa"/>
            <w:tcBorders>
              <w:top w:val="single" w:sz="6" w:space="0" w:color="808080" w:themeColor="background1" w:themeShade="80"/>
              <w:bottom w:val="single" w:sz="12" w:space="0" w:color="000000"/>
            </w:tcBorders>
            <w:shd w:val="clear" w:color="auto" w:fill="auto"/>
            <w:noWrap/>
          </w:tcPr>
          <w:p w14:paraId="1A7293AF" w14:textId="77777777" w:rsidR="00B41A9A" w:rsidRPr="00783571" w:rsidRDefault="00B41A9A" w:rsidP="002B54F6">
            <w:pPr>
              <w:pStyle w:val="TableText"/>
              <w:spacing w:before="20" w:after="20"/>
              <w:ind w:left="450"/>
            </w:pPr>
            <w:r w:rsidRPr="00783571">
              <w:t>With female partners</w:t>
            </w:r>
          </w:p>
        </w:tc>
        <w:tc>
          <w:tcPr>
            <w:tcW w:w="1153" w:type="dxa"/>
            <w:tcBorders>
              <w:top w:val="single" w:sz="6" w:space="0" w:color="808080" w:themeColor="background1" w:themeShade="80"/>
              <w:bottom w:val="single" w:sz="12" w:space="0" w:color="000000"/>
            </w:tcBorders>
            <w:shd w:val="clear" w:color="auto" w:fill="auto"/>
            <w:noWrap/>
          </w:tcPr>
          <w:p w14:paraId="38986B21" w14:textId="36B92352" w:rsidR="00B41A9A" w:rsidRPr="00783571" w:rsidRDefault="00A410B5" w:rsidP="002B54F6">
            <w:pPr>
              <w:pStyle w:val="TableText"/>
              <w:spacing w:before="20" w:after="20"/>
              <w:jc w:val="center"/>
            </w:pPr>
            <w:r w:rsidRPr="00783571">
              <w:t>N/A</w:t>
            </w:r>
          </w:p>
        </w:tc>
        <w:tc>
          <w:tcPr>
            <w:tcW w:w="1155" w:type="dxa"/>
            <w:tcBorders>
              <w:top w:val="single" w:sz="6" w:space="0" w:color="808080" w:themeColor="background1" w:themeShade="80"/>
              <w:bottom w:val="single" w:sz="12" w:space="0" w:color="000000"/>
            </w:tcBorders>
            <w:shd w:val="clear" w:color="auto" w:fill="auto"/>
            <w:noWrap/>
          </w:tcPr>
          <w:p w14:paraId="4A52A090" w14:textId="7081319B" w:rsidR="00B41A9A" w:rsidRPr="00783571" w:rsidRDefault="00A410B5" w:rsidP="002B54F6">
            <w:pPr>
              <w:pStyle w:val="TableText"/>
              <w:spacing w:before="20" w:after="20"/>
              <w:jc w:val="center"/>
            </w:pPr>
            <w:r w:rsidRPr="00783571">
              <w:t>N/A</w:t>
            </w:r>
          </w:p>
        </w:tc>
        <w:tc>
          <w:tcPr>
            <w:tcW w:w="1155" w:type="dxa"/>
            <w:tcBorders>
              <w:top w:val="single" w:sz="6" w:space="0" w:color="808080" w:themeColor="background1" w:themeShade="80"/>
              <w:bottom w:val="single" w:sz="12" w:space="0" w:color="000000"/>
            </w:tcBorders>
            <w:shd w:val="clear" w:color="auto" w:fill="auto"/>
            <w:noWrap/>
          </w:tcPr>
          <w:p w14:paraId="5EE68A67" w14:textId="1E73737A" w:rsidR="00B41A9A" w:rsidRPr="00783571" w:rsidRDefault="00A410B5" w:rsidP="002B54F6">
            <w:pPr>
              <w:pStyle w:val="TableText"/>
              <w:spacing w:before="20" w:after="20"/>
              <w:jc w:val="center"/>
            </w:pPr>
            <w:r w:rsidRPr="00783571">
              <w:t>N/A</w:t>
            </w:r>
          </w:p>
        </w:tc>
        <w:tc>
          <w:tcPr>
            <w:tcW w:w="3476" w:type="dxa"/>
            <w:gridSpan w:val="3"/>
            <w:tcBorders>
              <w:top w:val="single" w:sz="6" w:space="0" w:color="808080" w:themeColor="background1" w:themeShade="80"/>
              <w:bottom w:val="single" w:sz="12" w:space="0" w:color="000000"/>
            </w:tcBorders>
            <w:shd w:val="clear" w:color="auto" w:fill="auto"/>
            <w:noWrap/>
          </w:tcPr>
          <w:p w14:paraId="4D58864E" w14:textId="5ADC7D9D" w:rsidR="00B41A9A" w:rsidRPr="00783571" w:rsidRDefault="00B41A9A" w:rsidP="002B54F6">
            <w:pPr>
              <w:pStyle w:val="TableText"/>
              <w:spacing w:before="20" w:after="20"/>
            </w:pPr>
            <w:r w:rsidRPr="00783571">
              <w:t>---------------17.8%----------------</w:t>
            </w:r>
          </w:p>
        </w:tc>
        <w:tc>
          <w:tcPr>
            <w:tcW w:w="3448" w:type="dxa"/>
            <w:tcBorders>
              <w:top w:val="single" w:sz="6" w:space="0" w:color="808080" w:themeColor="background1" w:themeShade="80"/>
              <w:bottom w:val="single" w:sz="12" w:space="0" w:color="000000"/>
            </w:tcBorders>
            <w:shd w:val="clear" w:color="auto" w:fill="auto"/>
            <w:noWrap/>
          </w:tcPr>
          <w:p w14:paraId="582545F6" w14:textId="42766D91" w:rsidR="00B41A9A" w:rsidRPr="00783571" w:rsidRDefault="00196921" w:rsidP="002B54F6">
            <w:pPr>
              <w:pStyle w:val="TableText"/>
              <w:spacing w:before="20" w:after="20"/>
              <w:rPr>
                <w:vertAlign w:val="superscript"/>
              </w:rPr>
            </w:pPr>
            <w:r w:rsidRPr="00783571">
              <w:t>Calculated from Reece et al. (2010b)</w:t>
            </w:r>
            <w:r w:rsidR="00DF635E" w:rsidRPr="00783571">
              <w:rPr>
                <w:vertAlign w:val="superscript"/>
              </w:rPr>
              <w:t>e</w:t>
            </w:r>
          </w:p>
        </w:tc>
      </w:tr>
    </w:tbl>
    <w:p w14:paraId="12B5FD17" w14:textId="125AA82F" w:rsidR="00B41A9A" w:rsidRPr="00783571" w:rsidRDefault="005D471A" w:rsidP="00863FC7">
      <w:pPr>
        <w:pStyle w:val="Source2"/>
      </w:pPr>
      <w:r w:rsidRPr="00783571">
        <w:t xml:space="preserve">Note: </w:t>
      </w:r>
      <w:r w:rsidR="00B41A9A" w:rsidRPr="00783571">
        <w:t>HET</w:t>
      </w:r>
      <w:r w:rsidR="00E628BE" w:rsidRPr="00783571">
        <w:t> = </w:t>
      </w:r>
      <w:r w:rsidR="00B41A9A" w:rsidRPr="00783571">
        <w:t>heterosexual; HIV</w:t>
      </w:r>
      <w:r w:rsidR="00E628BE" w:rsidRPr="00783571">
        <w:t> = </w:t>
      </w:r>
      <w:r w:rsidR="00B41A9A" w:rsidRPr="00783571">
        <w:t>human immunodeficiency virus; IDU</w:t>
      </w:r>
      <w:r w:rsidR="00E628BE" w:rsidRPr="00783571">
        <w:t> = </w:t>
      </w:r>
      <w:r w:rsidR="00B41A9A" w:rsidRPr="00783571">
        <w:t>injection drug user; MSM</w:t>
      </w:r>
      <w:r w:rsidR="00E628BE" w:rsidRPr="00783571">
        <w:t> = </w:t>
      </w:r>
      <w:r w:rsidR="00B41A9A" w:rsidRPr="00783571">
        <w:t>men who have sex with men</w:t>
      </w:r>
      <w:r w:rsidR="006E72C0" w:rsidRPr="00783571">
        <w:t>; NHBS</w:t>
      </w:r>
      <w:r w:rsidR="00E628BE" w:rsidRPr="00783571">
        <w:t> = </w:t>
      </w:r>
      <w:r w:rsidR="006E72C0" w:rsidRPr="00783571">
        <w:t>National HIV Behavioral Surveillance</w:t>
      </w:r>
      <w:r w:rsidR="00F77D76" w:rsidRPr="00783571">
        <w:t>; PWID</w:t>
      </w:r>
      <w:r w:rsidR="00E628BE" w:rsidRPr="00783571">
        <w:t> = </w:t>
      </w:r>
      <w:r w:rsidR="00F77D76" w:rsidRPr="00783571">
        <w:t>people who inject drugs</w:t>
      </w:r>
    </w:p>
    <w:p w14:paraId="6ABB21C9" w14:textId="7D8E6834" w:rsidR="004A4830" w:rsidRPr="00783571" w:rsidRDefault="00B41A9A" w:rsidP="00863FC7">
      <w:pPr>
        <w:pStyle w:val="Source3"/>
      </w:pPr>
      <w:r w:rsidRPr="00783571">
        <w:rPr>
          <w:vertAlign w:val="superscript"/>
        </w:rPr>
        <w:t>a</w:t>
      </w:r>
      <w:r w:rsidR="00786610" w:rsidRPr="00783571">
        <w:rPr>
          <w:vertAlign w:val="superscript"/>
        </w:rPr>
        <w:t xml:space="preserve"> </w:t>
      </w:r>
      <w:r w:rsidR="004D0190" w:rsidRPr="00783571">
        <w:t>Annual number of sex acts per partner were c</w:t>
      </w:r>
      <w:r w:rsidRPr="00783571">
        <w:t xml:space="preserve">alculated as (annual number of </w:t>
      </w:r>
      <w:r w:rsidR="00782B9B" w:rsidRPr="00783571">
        <w:t>sex act</w:t>
      </w:r>
      <w:r w:rsidRPr="00783571">
        <w:t xml:space="preserve">s with all partners if HIV-uninfected or HIV-infected and undiagnosed) ÷ (annual number of sexual partners). </w:t>
      </w:r>
      <w:r w:rsidR="004D0190" w:rsidRPr="00783571">
        <w:t xml:space="preserve">Because the denominator (annual number of partners) was stratified by race and the numerator (annual number of sexual acts) was not, we used data from the same source as the denominator (Leichliter, </w:t>
      </w:r>
      <w:r w:rsidR="00377525" w:rsidRPr="00783571">
        <w:t>et al.,</w:t>
      </w:r>
      <w:r w:rsidR="004D0190" w:rsidRPr="00783571">
        <w:t xml:space="preserve"> 2010) to calculate overall non-race-specific estimates of annual number of partners. Those non-race-specific estimates were then used in the calculations.”</w:t>
      </w:r>
    </w:p>
    <w:p w14:paraId="280C1255" w14:textId="77777777" w:rsidR="002B6861" w:rsidRPr="00783571" w:rsidRDefault="00B41A9A" w:rsidP="00863FC7">
      <w:pPr>
        <w:pStyle w:val="Source3"/>
      </w:pPr>
      <w:r w:rsidRPr="00783571">
        <w:rPr>
          <w:vertAlign w:val="superscript"/>
        </w:rPr>
        <w:t>b</w:t>
      </w:r>
      <w:r w:rsidR="00786610" w:rsidRPr="00783571">
        <w:rPr>
          <w:vertAlign w:val="superscript"/>
        </w:rPr>
        <w:t xml:space="preserve"> </w:t>
      </w:r>
      <w:r w:rsidRPr="00783571">
        <w:t>CDC unpublished data reported 1.14 partners for all HET and 5.73 for high-risk HETs. Those were combined with race</w:t>
      </w:r>
      <w:r w:rsidR="000C5E51" w:rsidRPr="00783571">
        <w:t>-</w:t>
      </w:r>
      <w:r w:rsidRPr="00783571">
        <w:t xml:space="preserve"> and sex</w:t>
      </w:r>
      <w:r w:rsidR="000C5E51" w:rsidRPr="00783571">
        <w:t>-</w:t>
      </w:r>
      <w:r w:rsidRPr="00783571">
        <w:t>specific ratios from Leichliter et al. (2010) to back out race- and sex- specific estimates of number of partners for low-risk and high-risk HETs, respectively.</w:t>
      </w:r>
    </w:p>
    <w:p w14:paraId="72281972" w14:textId="2F04BEDD" w:rsidR="004A4830" w:rsidRPr="00783571" w:rsidRDefault="004A4830" w:rsidP="00863FC7">
      <w:pPr>
        <w:pStyle w:val="Source3"/>
      </w:pPr>
      <w:r w:rsidRPr="00783571">
        <w:rPr>
          <w:vertAlign w:val="superscript"/>
        </w:rPr>
        <w:t xml:space="preserve">c </w:t>
      </w:r>
      <w:r w:rsidRPr="00783571">
        <w:t xml:space="preserve">Calculated as (annual number of </w:t>
      </w:r>
      <w:r w:rsidR="00782B9B" w:rsidRPr="00783571">
        <w:t>sex act</w:t>
      </w:r>
      <w:r w:rsidRPr="00783571">
        <w:t>s with all partners if HIV-uninfected or HIV-infected and undiagnosed) ÷ (annual number of sexual partners).</w:t>
      </w:r>
    </w:p>
    <w:p w14:paraId="5E502C9F" w14:textId="7A238DF7" w:rsidR="00DF635E" w:rsidRPr="00783571" w:rsidRDefault="00196921" w:rsidP="00863FC7">
      <w:pPr>
        <w:pStyle w:val="Source3"/>
      </w:pPr>
      <w:r w:rsidRPr="00783571">
        <w:rPr>
          <w:vertAlign w:val="superscript"/>
        </w:rPr>
        <w:t xml:space="preserve">d </w:t>
      </w:r>
      <w:r w:rsidR="00DF635E" w:rsidRPr="00783571">
        <w:t xml:space="preserve">Applying the same number of </w:t>
      </w:r>
      <w:r w:rsidR="00DB6E5A" w:rsidRPr="00783571">
        <w:t>sex act</w:t>
      </w:r>
      <w:r w:rsidR="00DF635E" w:rsidRPr="00783571">
        <w:t>s for low-risk and high-risk HETs</w:t>
      </w:r>
      <w:r w:rsidR="0075367A" w:rsidRPr="00783571">
        <w:t xml:space="preserve"> (68 </w:t>
      </w:r>
      <w:r w:rsidR="00DB6E5A" w:rsidRPr="00783571">
        <w:t>sex act</w:t>
      </w:r>
      <w:r w:rsidR="0075367A" w:rsidRPr="00783571">
        <w:t>s, based on Reece et al. [2010a] and Herbenick et al. [2010])</w:t>
      </w:r>
      <w:r w:rsidR="00DF635E" w:rsidRPr="00783571">
        <w:t xml:space="preserve"> resulted in HIV prevalence that dropped to very low levels in high-risk and rose to very high levels in </w:t>
      </w:r>
      <w:r w:rsidR="0075367A" w:rsidRPr="00783571">
        <w:t>low-risk HETs over time.</w:t>
      </w:r>
      <w:r w:rsidR="00DF635E" w:rsidRPr="00783571">
        <w:t xml:space="preserve"> No sources were identified for risk-level specific </w:t>
      </w:r>
      <w:r w:rsidR="00DB6E5A" w:rsidRPr="00783571">
        <w:t>sex act</w:t>
      </w:r>
      <w:r w:rsidR="0075367A" w:rsidRPr="00783571">
        <w:t>s</w:t>
      </w:r>
      <w:r w:rsidR="00E9227D" w:rsidRPr="00783571">
        <w:t>;</w:t>
      </w:r>
      <w:r w:rsidR="0075367A" w:rsidRPr="00783571">
        <w:t xml:space="preserve"> therefore</w:t>
      </w:r>
      <w:r w:rsidR="00E9227D" w:rsidRPr="00783571">
        <w:t>,</w:t>
      </w:r>
      <w:r w:rsidR="0075367A" w:rsidRPr="00783571">
        <w:t xml:space="preserve"> we back-calculated the number of </w:t>
      </w:r>
      <w:r w:rsidR="00DB6E5A" w:rsidRPr="00783571">
        <w:t>sex act</w:t>
      </w:r>
      <w:r w:rsidR="0075367A" w:rsidRPr="00783571">
        <w:t>s that resulted in stable prevalence over time for both groups.</w:t>
      </w:r>
    </w:p>
    <w:p w14:paraId="5017F606" w14:textId="54F77FE6" w:rsidR="00B41A9A" w:rsidRPr="00783571" w:rsidRDefault="00DF635E" w:rsidP="00863FC7">
      <w:pPr>
        <w:pStyle w:val="Source3"/>
      </w:pPr>
      <w:r w:rsidRPr="00783571">
        <w:rPr>
          <w:vertAlign w:val="superscript"/>
        </w:rPr>
        <w:t xml:space="preserve">e </w:t>
      </w:r>
      <w:r w:rsidR="00196921" w:rsidRPr="00783571">
        <w:t>Reece et al</w:t>
      </w:r>
      <w:r w:rsidR="00C320F6" w:rsidRPr="00783571">
        <w:t>.</w:t>
      </w:r>
      <w:r w:rsidR="00196921" w:rsidRPr="00783571">
        <w:t xml:space="preserve"> (2010b) report the percent</w:t>
      </w:r>
      <w:r w:rsidR="00C320F6" w:rsidRPr="00783571">
        <w:t>age</w:t>
      </w:r>
      <w:r w:rsidR="00196921" w:rsidRPr="00783571">
        <w:t xml:space="preserve"> of condom use for all males and MSM. The HET male</w:t>
      </w:r>
      <w:r w:rsidR="00C320F6" w:rsidRPr="00783571">
        <w:t>-</w:t>
      </w:r>
      <w:r w:rsidR="00196921" w:rsidRPr="00783571">
        <w:t>specific percentages were derived by taking the all-male condom</w:t>
      </w:r>
      <w:r w:rsidR="00C320F6" w:rsidRPr="00783571">
        <w:t xml:space="preserve"> </w:t>
      </w:r>
      <w:r w:rsidR="00196921" w:rsidRPr="00783571">
        <w:t>use as a weighted average of HET and MSM condom</w:t>
      </w:r>
      <w:r w:rsidR="00C320F6" w:rsidRPr="00783571">
        <w:t xml:space="preserve"> </w:t>
      </w:r>
      <w:r w:rsidR="00196921" w:rsidRPr="00783571">
        <w:t>use.</w:t>
      </w:r>
    </w:p>
    <w:p w14:paraId="42461B65" w14:textId="77777777" w:rsidR="00F96705" w:rsidRPr="00783571" w:rsidRDefault="00F96705" w:rsidP="00726697">
      <w:pPr>
        <w:pStyle w:val="TableTitle"/>
        <w:sectPr w:rsidR="00F96705" w:rsidRPr="00783571" w:rsidSect="00BD0512">
          <w:headerReference w:type="even" r:id="rId56"/>
          <w:headerReference w:type="default" r:id="rId57"/>
          <w:footerReference w:type="even" r:id="rId58"/>
          <w:footerReference w:type="default" r:id="rId59"/>
          <w:endnotePr>
            <w:numFmt w:val="decimal"/>
          </w:endnotePr>
          <w:pgSz w:w="15840" w:h="12240" w:orient="landscape"/>
          <w:pgMar w:top="1440" w:right="1440" w:bottom="1440" w:left="1440" w:header="720" w:footer="720" w:gutter="0"/>
          <w:pgNumType w:chapStyle="1"/>
          <w:cols w:space="720"/>
          <w:docGrid w:linePitch="360"/>
        </w:sectPr>
      </w:pPr>
    </w:p>
    <w:p w14:paraId="1695DC04" w14:textId="42FF819C" w:rsidR="00B41A9A" w:rsidRPr="00783571" w:rsidRDefault="004F4E6D" w:rsidP="00CD74A5">
      <w:pPr>
        <w:pStyle w:val="TableTitle"/>
      </w:pPr>
      <w:bookmarkStart w:id="58" w:name="_Toc510104033"/>
      <w:r w:rsidRPr="00783571">
        <w:t>Table 6.</w:t>
      </w:r>
      <w:r w:rsidR="008F5D01" w:rsidRPr="00783571">
        <w:t>10</w:t>
      </w:r>
      <w:r w:rsidR="00F96705" w:rsidRPr="00783571">
        <w:t>.</w:t>
      </w:r>
      <w:r w:rsidR="00F96705" w:rsidRPr="00783571">
        <w:tab/>
      </w:r>
      <w:r w:rsidR="00B41A9A" w:rsidRPr="00783571">
        <w:t>Percent</w:t>
      </w:r>
      <w:r w:rsidR="005D471A" w:rsidRPr="00783571">
        <w:t>age</w:t>
      </w:r>
      <w:r w:rsidR="00B41A9A" w:rsidRPr="00783571">
        <w:t xml:space="preserve"> of </w:t>
      </w:r>
      <w:r w:rsidR="008F5D01" w:rsidRPr="00783571">
        <w:t xml:space="preserve">Sexual Acts </w:t>
      </w:r>
      <w:r w:rsidR="00697525" w:rsidRPr="00783571">
        <w:t>That A</w:t>
      </w:r>
      <w:r w:rsidR="00B41A9A" w:rsidRPr="00783571">
        <w:t xml:space="preserve">re </w:t>
      </w:r>
      <w:r w:rsidR="009F42E6" w:rsidRPr="00783571">
        <w:t xml:space="preserve">Anal </w:t>
      </w:r>
      <w:r w:rsidR="00B41A9A" w:rsidRPr="00783571">
        <w:t xml:space="preserve">(vs. </w:t>
      </w:r>
      <w:r w:rsidR="009F42E6" w:rsidRPr="00783571">
        <w:t>Vaginal</w:t>
      </w:r>
      <w:r w:rsidR="00B41A9A" w:rsidRPr="00783571">
        <w:t xml:space="preserve">) in </w:t>
      </w:r>
      <w:r w:rsidR="008F5D01" w:rsidRPr="00783571">
        <w:t>Male</w:t>
      </w:r>
      <w:r w:rsidR="00B41A9A" w:rsidRPr="00783571">
        <w:t>-</w:t>
      </w:r>
      <w:r w:rsidR="008F5D01" w:rsidRPr="00783571">
        <w:t xml:space="preserve">Female Partnerships </w:t>
      </w:r>
      <w:r w:rsidR="00B41A9A" w:rsidRPr="00783571">
        <w:t xml:space="preserve">with </w:t>
      </w:r>
      <w:r w:rsidR="008F5D01" w:rsidRPr="00783571">
        <w:t xml:space="preserve">Anal </w:t>
      </w:r>
      <w:r w:rsidR="005D471A" w:rsidRPr="00783571">
        <w:t xml:space="preserve">Intercourse </w:t>
      </w:r>
      <w:r w:rsidR="00B41A9A" w:rsidRPr="00783571">
        <w:t xml:space="preserve">by </w:t>
      </w:r>
      <w:r w:rsidR="008F5D01" w:rsidRPr="00783571">
        <w:t>S</w:t>
      </w:r>
      <w:r w:rsidR="00B41A9A" w:rsidRPr="00783571">
        <w:t xml:space="preserve">ex- and </w:t>
      </w:r>
      <w:r w:rsidR="008F5D01" w:rsidRPr="00783571">
        <w:t>Age</w:t>
      </w:r>
      <w:r w:rsidR="00B41A9A" w:rsidRPr="00783571">
        <w:t>-</w:t>
      </w:r>
      <w:r w:rsidR="008F5D01" w:rsidRPr="00783571">
        <w:t>Group</w:t>
      </w:r>
      <w:r w:rsidR="00B41A9A" w:rsidRPr="00783571">
        <w:t>-</w:t>
      </w:r>
      <w:r w:rsidR="008F5D01" w:rsidRPr="00783571">
        <w:t xml:space="preserve">Specific Population </w:t>
      </w:r>
      <w:r w:rsidR="00B41A9A" w:rsidRPr="00783571">
        <w:t xml:space="preserve">in </w:t>
      </w:r>
      <w:r w:rsidR="00CD74A5" w:rsidRPr="00783571">
        <w:t xml:space="preserve">2010 </w:t>
      </w:r>
      <w:r w:rsidR="00952170" w:rsidRPr="00783571">
        <w:t>and Beyond</w:t>
      </w:r>
      <w:bookmarkEnd w:id="58"/>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1155"/>
        <w:gridCol w:w="1035"/>
        <w:gridCol w:w="1035"/>
        <w:gridCol w:w="1035"/>
        <w:gridCol w:w="1035"/>
        <w:gridCol w:w="1034"/>
        <w:gridCol w:w="3031"/>
      </w:tblGrid>
      <w:tr w:rsidR="00B41A9A" w:rsidRPr="00783571" w14:paraId="0CA4D46A" w14:textId="77777777" w:rsidTr="00260D8A">
        <w:trPr>
          <w:cantSplit/>
          <w:tblHeader/>
        </w:trPr>
        <w:tc>
          <w:tcPr>
            <w:tcW w:w="1155" w:type="dxa"/>
            <w:tcBorders>
              <w:top w:val="single" w:sz="12" w:space="0" w:color="000000"/>
              <w:bottom w:val="single" w:sz="6" w:space="0" w:color="auto"/>
            </w:tcBorders>
            <w:shd w:val="clear" w:color="auto" w:fill="auto"/>
            <w:noWrap/>
            <w:vAlign w:val="bottom"/>
            <w:hideMark/>
          </w:tcPr>
          <w:p w14:paraId="0E2655A1" w14:textId="77777777" w:rsidR="00B41A9A" w:rsidRPr="00783571" w:rsidRDefault="005D471A" w:rsidP="00C277F4">
            <w:pPr>
              <w:pStyle w:val="TableHeaders"/>
              <w:keepNext/>
            </w:pPr>
            <w:r w:rsidRPr="00783571">
              <w:t>Sex</w:t>
            </w:r>
          </w:p>
        </w:tc>
        <w:tc>
          <w:tcPr>
            <w:tcW w:w="1035" w:type="dxa"/>
            <w:tcBorders>
              <w:top w:val="single" w:sz="12" w:space="0" w:color="000000"/>
              <w:bottom w:val="single" w:sz="6" w:space="0" w:color="auto"/>
            </w:tcBorders>
            <w:shd w:val="clear" w:color="auto" w:fill="auto"/>
            <w:noWrap/>
            <w:vAlign w:val="bottom"/>
            <w:hideMark/>
          </w:tcPr>
          <w:p w14:paraId="6FAFC299" w14:textId="77777777" w:rsidR="00B41A9A" w:rsidRPr="00783571" w:rsidRDefault="00B41A9A" w:rsidP="00C277F4">
            <w:pPr>
              <w:pStyle w:val="TableHeaders"/>
              <w:keepNext/>
            </w:pPr>
            <w:r w:rsidRPr="00783571">
              <w:t>13</w:t>
            </w:r>
            <w:r w:rsidR="008E0A3C" w:rsidRPr="00783571">
              <w:t>–</w:t>
            </w:r>
            <w:r w:rsidRPr="00783571">
              <w:t>17</w:t>
            </w:r>
          </w:p>
        </w:tc>
        <w:tc>
          <w:tcPr>
            <w:tcW w:w="1035" w:type="dxa"/>
            <w:tcBorders>
              <w:top w:val="single" w:sz="12" w:space="0" w:color="000000"/>
              <w:bottom w:val="single" w:sz="6" w:space="0" w:color="auto"/>
            </w:tcBorders>
            <w:shd w:val="clear" w:color="auto" w:fill="auto"/>
            <w:noWrap/>
            <w:vAlign w:val="bottom"/>
            <w:hideMark/>
          </w:tcPr>
          <w:p w14:paraId="44C961DD" w14:textId="77777777" w:rsidR="00B41A9A" w:rsidRPr="00783571" w:rsidRDefault="00B41A9A" w:rsidP="00C277F4">
            <w:pPr>
              <w:pStyle w:val="TableHeaders"/>
              <w:keepNext/>
            </w:pPr>
            <w:r w:rsidRPr="00783571">
              <w:t>18</w:t>
            </w:r>
            <w:r w:rsidR="008E0A3C" w:rsidRPr="00783571">
              <w:t>–</w:t>
            </w:r>
            <w:r w:rsidRPr="00783571">
              <w:t>24</w:t>
            </w:r>
          </w:p>
        </w:tc>
        <w:tc>
          <w:tcPr>
            <w:tcW w:w="1035" w:type="dxa"/>
            <w:tcBorders>
              <w:top w:val="single" w:sz="12" w:space="0" w:color="000000"/>
              <w:bottom w:val="single" w:sz="6" w:space="0" w:color="auto"/>
            </w:tcBorders>
            <w:shd w:val="clear" w:color="auto" w:fill="auto"/>
            <w:noWrap/>
            <w:vAlign w:val="bottom"/>
            <w:hideMark/>
          </w:tcPr>
          <w:p w14:paraId="7CBC45E8" w14:textId="77777777" w:rsidR="00B41A9A" w:rsidRPr="00783571" w:rsidRDefault="00B41A9A" w:rsidP="00C277F4">
            <w:pPr>
              <w:pStyle w:val="TableHeaders"/>
              <w:keepNext/>
            </w:pPr>
            <w:r w:rsidRPr="00783571">
              <w:t>25</w:t>
            </w:r>
            <w:r w:rsidR="008E0A3C" w:rsidRPr="00783571">
              <w:t>–</w:t>
            </w:r>
            <w:r w:rsidRPr="00783571">
              <w:t>34</w:t>
            </w:r>
          </w:p>
        </w:tc>
        <w:tc>
          <w:tcPr>
            <w:tcW w:w="1035" w:type="dxa"/>
            <w:tcBorders>
              <w:top w:val="single" w:sz="12" w:space="0" w:color="000000"/>
              <w:bottom w:val="single" w:sz="6" w:space="0" w:color="auto"/>
            </w:tcBorders>
            <w:shd w:val="clear" w:color="auto" w:fill="auto"/>
            <w:noWrap/>
            <w:vAlign w:val="bottom"/>
            <w:hideMark/>
          </w:tcPr>
          <w:p w14:paraId="5DD2C154" w14:textId="77777777" w:rsidR="00B41A9A" w:rsidRPr="00783571" w:rsidRDefault="00B41A9A" w:rsidP="00C277F4">
            <w:pPr>
              <w:pStyle w:val="TableHeaders"/>
              <w:keepNext/>
            </w:pPr>
            <w:r w:rsidRPr="00783571">
              <w:t>35</w:t>
            </w:r>
            <w:r w:rsidR="008E0A3C" w:rsidRPr="00783571">
              <w:t>–</w:t>
            </w:r>
            <w:r w:rsidRPr="00783571">
              <w:t>44</w:t>
            </w:r>
          </w:p>
        </w:tc>
        <w:tc>
          <w:tcPr>
            <w:tcW w:w="1034" w:type="dxa"/>
            <w:tcBorders>
              <w:top w:val="single" w:sz="12" w:space="0" w:color="000000"/>
              <w:bottom w:val="single" w:sz="6" w:space="0" w:color="auto"/>
            </w:tcBorders>
            <w:shd w:val="clear" w:color="auto" w:fill="auto"/>
            <w:noWrap/>
            <w:vAlign w:val="bottom"/>
            <w:hideMark/>
          </w:tcPr>
          <w:p w14:paraId="794F8AA7" w14:textId="77777777" w:rsidR="00B41A9A" w:rsidRPr="00783571" w:rsidRDefault="00B41A9A" w:rsidP="00C277F4">
            <w:pPr>
              <w:pStyle w:val="TableHeaders"/>
              <w:keepNext/>
            </w:pPr>
            <w:r w:rsidRPr="00783571">
              <w:t>45</w:t>
            </w:r>
            <w:r w:rsidR="008E0A3C" w:rsidRPr="00783571">
              <w:t>–</w:t>
            </w:r>
            <w:r w:rsidRPr="00783571">
              <w:t>64</w:t>
            </w:r>
          </w:p>
        </w:tc>
        <w:tc>
          <w:tcPr>
            <w:tcW w:w="3031" w:type="dxa"/>
            <w:tcBorders>
              <w:top w:val="single" w:sz="12" w:space="0" w:color="000000"/>
              <w:bottom w:val="single" w:sz="6" w:space="0" w:color="auto"/>
            </w:tcBorders>
            <w:shd w:val="clear" w:color="auto" w:fill="auto"/>
            <w:noWrap/>
            <w:vAlign w:val="bottom"/>
            <w:hideMark/>
          </w:tcPr>
          <w:p w14:paraId="7B873262" w14:textId="77777777" w:rsidR="00B41A9A" w:rsidRPr="00783571" w:rsidRDefault="00B41A9A" w:rsidP="00C277F4">
            <w:pPr>
              <w:pStyle w:val="TableHeaders"/>
              <w:keepNext/>
            </w:pPr>
            <w:r w:rsidRPr="00783571">
              <w:t>Source</w:t>
            </w:r>
          </w:p>
        </w:tc>
      </w:tr>
      <w:tr w:rsidR="0083389F" w:rsidRPr="00783571" w14:paraId="1BAB71D4" w14:textId="77777777" w:rsidTr="00260D8A">
        <w:trPr>
          <w:cantSplit/>
        </w:trPr>
        <w:tc>
          <w:tcPr>
            <w:tcW w:w="1155" w:type="dxa"/>
            <w:tcBorders>
              <w:top w:val="single" w:sz="6" w:space="0" w:color="auto"/>
              <w:bottom w:val="single" w:sz="6" w:space="0" w:color="808080" w:themeColor="background1" w:themeShade="80"/>
            </w:tcBorders>
            <w:shd w:val="clear" w:color="auto" w:fill="auto"/>
            <w:noWrap/>
          </w:tcPr>
          <w:p w14:paraId="2A758EE5" w14:textId="77777777" w:rsidR="0083389F" w:rsidRPr="00783571" w:rsidRDefault="0083389F" w:rsidP="00C277F4">
            <w:pPr>
              <w:pStyle w:val="TableText"/>
              <w:keepNext/>
            </w:pPr>
            <w:r w:rsidRPr="00783571">
              <w:t>Female</w:t>
            </w:r>
          </w:p>
        </w:tc>
        <w:tc>
          <w:tcPr>
            <w:tcW w:w="1035" w:type="dxa"/>
            <w:tcBorders>
              <w:top w:val="single" w:sz="6" w:space="0" w:color="auto"/>
              <w:bottom w:val="single" w:sz="6" w:space="0" w:color="808080" w:themeColor="background1" w:themeShade="80"/>
            </w:tcBorders>
            <w:shd w:val="clear" w:color="auto" w:fill="auto"/>
            <w:noWrap/>
          </w:tcPr>
          <w:p w14:paraId="7AF7BD5B" w14:textId="77777777" w:rsidR="0083389F" w:rsidRPr="00783571" w:rsidRDefault="0083389F" w:rsidP="00C277F4">
            <w:pPr>
              <w:pStyle w:val="TableTextDec"/>
              <w:keepNext/>
              <w:tabs>
                <w:tab w:val="clear" w:pos="1015"/>
              </w:tabs>
              <w:jc w:val="center"/>
            </w:pPr>
            <w:r w:rsidRPr="00783571">
              <w:t>14.3%</w:t>
            </w:r>
          </w:p>
        </w:tc>
        <w:tc>
          <w:tcPr>
            <w:tcW w:w="1035" w:type="dxa"/>
            <w:tcBorders>
              <w:top w:val="single" w:sz="6" w:space="0" w:color="auto"/>
              <w:bottom w:val="single" w:sz="6" w:space="0" w:color="808080" w:themeColor="background1" w:themeShade="80"/>
            </w:tcBorders>
            <w:shd w:val="clear" w:color="auto" w:fill="auto"/>
            <w:noWrap/>
          </w:tcPr>
          <w:p w14:paraId="0D2847EB" w14:textId="77777777" w:rsidR="0083389F" w:rsidRPr="00783571" w:rsidRDefault="0083389F" w:rsidP="00C277F4">
            <w:pPr>
              <w:pStyle w:val="TableTextDec"/>
              <w:keepNext/>
              <w:tabs>
                <w:tab w:val="clear" w:pos="1015"/>
              </w:tabs>
              <w:jc w:val="center"/>
            </w:pPr>
            <w:r w:rsidRPr="00783571">
              <w:t>19.0%</w:t>
            </w:r>
          </w:p>
        </w:tc>
        <w:tc>
          <w:tcPr>
            <w:tcW w:w="1035" w:type="dxa"/>
            <w:tcBorders>
              <w:top w:val="single" w:sz="6" w:space="0" w:color="auto"/>
              <w:bottom w:val="single" w:sz="6" w:space="0" w:color="808080" w:themeColor="background1" w:themeShade="80"/>
            </w:tcBorders>
            <w:shd w:val="clear" w:color="auto" w:fill="auto"/>
            <w:noWrap/>
          </w:tcPr>
          <w:p w14:paraId="5D5BBF96" w14:textId="77777777" w:rsidR="0083389F" w:rsidRPr="00783571" w:rsidRDefault="0083389F" w:rsidP="00C277F4">
            <w:pPr>
              <w:pStyle w:val="TableTextDec"/>
              <w:keepNext/>
              <w:tabs>
                <w:tab w:val="clear" w:pos="1015"/>
              </w:tabs>
              <w:jc w:val="center"/>
            </w:pPr>
            <w:r w:rsidRPr="00783571">
              <w:t>20.6%</w:t>
            </w:r>
          </w:p>
        </w:tc>
        <w:tc>
          <w:tcPr>
            <w:tcW w:w="1035" w:type="dxa"/>
            <w:tcBorders>
              <w:top w:val="single" w:sz="6" w:space="0" w:color="auto"/>
              <w:bottom w:val="single" w:sz="6" w:space="0" w:color="808080" w:themeColor="background1" w:themeShade="80"/>
            </w:tcBorders>
            <w:shd w:val="clear" w:color="auto" w:fill="auto"/>
            <w:noWrap/>
          </w:tcPr>
          <w:p w14:paraId="23D1C6B2" w14:textId="77777777" w:rsidR="0083389F" w:rsidRPr="00783571" w:rsidRDefault="0083389F" w:rsidP="00C277F4">
            <w:pPr>
              <w:pStyle w:val="TableTextDec"/>
              <w:keepNext/>
              <w:tabs>
                <w:tab w:val="clear" w:pos="1015"/>
              </w:tabs>
              <w:jc w:val="center"/>
            </w:pPr>
            <w:r w:rsidRPr="00783571">
              <w:t>16.6%</w:t>
            </w:r>
          </w:p>
        </w:tc>
        <w:tc>
          <w:tcPr>
            <w:tcW w:w="1034" w:type="dxa"/>
            <w:tcBorders>
              <w:top w:val="single" w:sz="6" w:space="0" w:color="auto"/>
              <w:bottom w:val="single" w:sz="6" w:space="0" w:color="808080" w:themeColor="background1" w:themeShade="80"/>
            </w:tcBorders>
            <w:shd w:val="clear" w:color="auto" w:fill="auto"/>
            <w:noWrap/>
          </w:tcPr>
          <w:p w14:paraId="41C04F0A" w14:textId="77777777" w:rsidR="0083389F" w:rsidRPr="00783571" w:rsidRDefault="0083389F" w:rsidP="00C277F4">
            <w:pPr>
              <w:pStyle w:val="TableTextDec"/>
              <w:keepNext/>
              <w:tabs>
                <w:tab w:val="clear" w:pos="1015"/>
              </w:tabs>
              <w:jc w:val="center"/>
            </w:pPr>
            <w:r w:rsidRPr="00783571">
              <w:t>17.3%</w:t>
            </w:r>
          </w:p>
        </w:tc>
        <w:tc>
          <w:tcPr>
            <w:tcW w:w="3031" w:type="dxa"/>
            <w:tcBorders>
              <w:top w:val="single" w:sz="6" w:space="0" w:color="auto"/>
              <w:bottom w:val="single" w:sz="6" w:space="0" w:color="808080" w:themeColor="background1" w:themeShade="80"/>
            </w:tcBorders>
            <w:shd w:val="clear" w:color="auto" w:fill="auto"/>
            <w:noWrap/>
          </w:tcPr>
          <w:p w14:paraId="09A50B34" w14:textId="7C75ACF7" w:rsidR="0083389F" w:rsidRPr="00783571" w:rsidRDefault="0083389F" w:rsidP="00C277F4">
            <w:pPr>
              <w:pStyle w:val="TableText"/>
              <w:keepNext/>
            </w:pPr>
            <w:r w:rsidRPr="00783571">
              <w:t>NSSHB data from Reece et al. (2010a)</w:t>
            </w:r>
          </w:p>
        </w:tc>
      </w:tr>
      <w:tr w:rsidR="0083389F" w:rsidRPr="00783571" w14:paraId="567A8F8C" w14:textId="77777777" w:rsidTr="00260D8A">
        <w:trPr>
          <w:cantSplit/>
        </w:trPr>
        <w:tc>
          <w:tcPr>
            <w:tcW w:w="1155" w:type="dxa"/>
            <w:tcBorders>
              <w:top w:val="single" w:sz="6" w:space="0" w:color="808080" w:themeColor="background1" w:themeShade="80"/>
              <w:bottom w:val="single" w:sz="12" w:space="0" w:color="000000"/>
            </w:tcBorders>
            <w:shd w:val="clear" w:color="auto" w:fill="auto"/>
            <w:noWrap/>
            <w:hideMark/>
          </w:tcPr>
          <w:p w14:paraId="1B3AA4BD" w14:textId="77777777" w:rsidR="0083389F" w:rsidRPr="00783571" w:rsidRDefault="0083389F" w:rsidP="00C277F4">
            <w:pPr>
              <w:pStyle w:val="TableText"/>
              <w:keepNext/>
            </w:pPr>
            <w:r w:rsidRPr="00783571">
              <w:t>Male</w:t>
            </w:r>
          </w:p>
        </w:tc>
        <w:tc>
          <w:tcPr>
            <w:tcW w:w="1035" w:type="dxa"/>
            <w:tcBorders>
              <w:top w:val="single" w:sz="6" w:space="0" w:color="808080" w:themeColor="background1" w:themeShade="80"/>
              <w:bottom w:val="single" w:sz="12" w:space="0" w:color="000000"/>
            </w:tcBorders>
            <w:shd w:val="clear" w:color="auto" w:fill="auto"/>
            <w:noWrap/>
          </w:tcPr>
          <w:p w14:paraId="33CEAE84" w14:textId="77777777" w:rsidR="0083389F" w:rsidRPr="00783571" w:rsidRDefault="0083389F" w:rsidP="00C277F4">
            <w:pPr>
              <w:pStyle w:val="TableTextDec"/>
              <w:keepNext/>
              <w:tabs>
                <w:tab w:val="clear" w:pos="1015"/>
              </w:tabs>
              <w:jc w:val="center"/>
            </w:pPr>
            <w:r w:rsidRPr="00783571">
              <w:t>31.6%</w:t>
            </w:r>
          </w:p>
        </w:tc>
        <w:tc>
          <w:tcPr>
            <w:tcW w:w="1035" w:type="dxa"/>
            <w:tcBorders>
              <w:top w:val="single" w:sz="6" w:space="0" w:color="808080" w:themeColor="background1" w:themeShade="80"/>
              <w:bottom w:val="single" w:sz="12" w:space="0" w:color="000000"/>
            </w:tcBorders>
            <w:shd w:val="clear" w:color="auto" w:fill="auto"/>
            <w:noWrap/>
          </w:tcPr>
          <w:p w14:paraId="1B09DF36" w14:textId="77777777" w:rsidR="0083389F" w:rsidRPr="00783571" w:rsidRDefault="0083389F" w:rsidP="00C277F4">
            <w:pPr>
              <w:pStyle w:val="TableTextDec"/>
              <w:keepNext/>
              <w:tabs>
                <w:tab w:val="clear" w:pos="1015"/>
              </w:tabs>
              <w:jc w:val="center"/>
            </w:pPr>
            <w:r w:rsidRPr="00783571">
              <w:t>24.6%</w:t>
            </w:r>
          </w:p>
        </w:tc>
        <w:tc>
          <w:tcPr>
            <w:tcW w:w="1035" w:type="dxa"/>
            <w:tcBorders>
              <w:top w:val="single" w:sz="6" w:space="0" w:color="808080" w:themeColor="background1" w:themeShade="80"/>
              <w:bottom w:val="single" w:sz="12" w:space="0" w:color="000000"/>
            </w:tcBorders>
            <w:shd w:val="clear" w:color="auto" w:fill="auto"/>
            <w:noWrap/>
          </w:tcPr>
          <w:p w14:paraId="64C4EB9D" w14:textId="77777777" w:rsidR="0083389F" w:rsidRPr="00783571" w:rsidRDefault="0083389F" w:rsidP="00C277F4">
            <w:pPr>
              <w:pStyle w:val="TableTextDec"/>
              <w:keepNext/>
              <w:tabs>
                <w:tab w:val="clear" w:pos="1015"/>
              </w:tabs>
              <w:jc w:val="center"/>
            </w:pPr>
            <w:r w:rsidRPr="00783571">
              <w:t>21.9%</w:t>
            </w:r>
          </w:p>
        </w:tc>
        <w:tc>
          <w:tcPr>
            <w:tcW w:w="1035" w:type="dxa"/>
            <w:tcBorders>
              <w:top w:val="single" w:sz="6" w:space="0" w:color="808080" w:themeColor="background1" w:themeShade="80"/>
              <w:bottom w:val="single" w:sz="12" w:space="0" w:color="000000"/>
            </w:tcBorders>
            <w:shd w:val="clear" w:color="auto" w:fill="auto"/>
            <w:noWrap/>
          </w:tcPr>
          <w:p w14:paraId="718FCD6F" w14:textId="77777777" w:rsidR="0083389F" w:rsidRPr="00783571" w:rsidRDefault="0083389F" w:rsidP="00C277F4">
            <w:pPr>
              <w:pStyle w:val="TableTextDec"/>
              <w:keepNext/>
              <w:tabs>
                <w:tab w:val="clear" w:pos="1015"/>
              </w:tabs>
              <w:jc w:val="center"/>
            </w:pPr>
            <w:r w:rsidRPr="00783571">
              <w:t>20.5%</w:t>
            </w:r>
          </w:p>
        </w:tc>
        <w:tc>
          <w:tcPr>
            <w:tcW w:w="1034" w:type="dxa"/>
            <w:tcBorders>
              <w:top w:val="single" w:sz="6" w:space="0" w:color="808080" w:themeColor="background1" w:themeShade="80"/>
              <w:bottom w:val="single" w:sz="12" w:space="0" w:color="000000"/>
            </w:tcBorders>
            <w:shd w:val="clear" w:color="auto" w:fill="auto"/>
            <w:noWrap/>
          </w:tcPr>
          <w:p w14:paraId="34C90EA4" w14:textId="77777777" w:rsidR="0083389F" w:rsidRPr="00783571" w:rsidRDefault="0083389F" w:rsidP="00C277F4">
            <w:pPr>
              <w:pStyle w:val="TableTextDec"/>
              <w:keepNext/>
              <w:tabs>
                <w:tab w:val="clear" w:pos="1015"/>
              </w:tabs>
              <w:jc w:val="center"/>
            </w:pPr>
            <w:r w:rsidRPr="00783571">
              <w:t>20.9%</w:t>
            </w:r>
          </w:p>
        </w:tc>
        <w:tc>
          <w:tcPr>
            <w:tcW w:w="3031" w:type="dxa"/>
            <w:tcBorders>
              <w:top w:val="single" w:sz="6" w:space="0" w:color="808080" w:themeColor="background1" w:themeShade="80"/>
              <w:bottom w:val="single" w:sz="12" w:space="0" w:color="000000"/>
            </w:tcBorders>
            <w:shd w:val="clear" w:color="auto" w:fill="auto"/>
            <w:noWrap/>
          </w:tcPr>
          <w:p w14:paraId="20437209" w14:textId="497976B7" w:rsidR="0083389F" w:rsidRPr="00783571" w:rsidRDefault="0083389F" w:rsidP="00C277F4">
            <w:pPr>
              <w:pStyle w:val="TableText"/>
              <w:keepNext/>
            </w:pPr>
            <w:r w:rsidRPr="00783571">
              <w:t>NSSHB data from Herbenick et al. (2010)</w:t>
            </w:r>
          </w:p>
        </w:tc>
      </w:tr>
    </w:tbl>
    <w:p w14:paraId="36E1C441" w14:textId="77777777" w:rsidR="00B41A9A" w:rsidRPr="00783571" w:rsidRDefault="000C5E51" w:rsidP="00F96705">
      <w:pPr>
        <w:pStyle w:val="Source1"/>
      </w:pPr>
      <w:r w:rsidRPr="00783571">
        <w:t xml:space="preserve">Note: </w:t>
      </w:r>
      <w:r w:rsidR="00B41A9A" w:rsidRPr="00783571">
        <w:t>NSSHB = National Survey of Sexual Health and Behavior</w:t>
      </w:r>
    </w:p>
    <w:p w14:paraId="0E32B5A7" w14:textId="55540985" w:rsidR="00B41A9A" w:rsidRPr="00783571" w:rsidRDefault="004F4E6D" w:rsidP="00CD74A5">
      <w:pPr>
        <w:pStyle w:val="TableTitle"/>
      </w:pPr>
      <w:bookmarkStart w:id="59" w:name="_Toc510104034"/>
      <w:r w:rsidRPr="00783571">
        <w:t>Table 6.</w:t>
      </w:r>
      <w:r w:rsidR="008F5D01" w:rsidRPr="00783571">
        <w:t>11</w:t>
      </w:r>
      <w:r w:rsidR="00EA6CA4" w:rsidRPr="00783571">
        <w:t>.</w:t>
      </w:r>
      <w:r w:rsidR="00EA6CA4" w:rsidRPr="00783571">
        <w:tab/>
      </w:r>
      <w:r w:rsidR="00B41A9A" w:rsidRPr="00783571">
        <w:t xml:space="preserve">Percentage of </w:t>
      </w:r>
      <w:r w:rsidR="008F5D01" w:rsidRPr="00783571">
        <w:t xml:space="preserve">People </w:t>
      </w:r>
      <w:r w:rsidR="00697525" w:rsidRPr="00783571">
        <w:t>Who H</w:t>
      </w:r>
      <w:r w:rsidR="00B41A9A" w:rsidRPr="00783571">
        <w:t xml:space="preserve">ave </w:t>
      </w:r>
      <w:r w:rsidR="008F5D01" w:rsidRPr="00783571">
        <w:t xml:space="preserve">Anal </w:t>
      </w:r>
      <w:r w:rsidR="005D471A" w:rsidRPr="00783571">
        <w:t xml:space="preserve">Intercourse </w:t>
      </w:r>
      <w:r w:rsidR="00B41A9A" w:rsidRPr="00783571">
        <w:t xml:space="preserve">in their </w:t>
      </w:r>
      <w:r w:rsidR="008F5D01" w:rsidRPr="00783571">
        <w:t>Male</w:t>
      </w:r>
      <w:r w:rsidR="00B41A9A" w:rsidRPr="00783571">
        <w:t>-</w:t>
      </w:r>
      <w:r w:rsidR="008F5D01" w:rsidRPr="00783571">
        <w:t xml:space="preserve">Female </w:t>
      </w:r>
      <w:r w:rsidR="007D66E6" w:rsidRPr="00783571">
        <w:t xml:space="preserve">Sexual </w:t>
      </w:r>
      <w:r w:rsidR="008F5D01" w:rsidRPr="00783571">
        <w:t xml:space="preserve">Partnerships </w:t>
      </w:r>
      <w:r w:rsidR="00B41A9A" w:rsidRPr="00783571">
        <w:t xml:space="preserve">by </w:t>
      </w:r>
      <w:r w:rsidR="008F5D01" w:rsidRPr="00783571">
        <w:t>Sex</w:t>
      </w:r>
      <w:r w:rsidR="00B41A9A" w:rsidRPr="00783571">
        <w:t xml:space="preserve">-, </w:t>
      </w:r>
      <w:r w:rsidR="008F5D01" w:rsidRPr="00783571">
        <w:t>Age Group</w:t>
      </w:r>
      <w:r w:rsidR="00B41A9A" w:rsidRPr="00783571">
        <w:t xml:space="preserve">-, and </w:t>
      </w:r>
      <w:r w:rsidR="008F5D01" w:rsidRPr="00783571">
        <w:t>Race</w:t>
      </w:r>
      <w:r w:rsidR="005C4A38" w:rsidRPr="00783571">
        <w:t>/Ethnicity</w:t>
      </w:r>
      <w:r w:rsidR="00B41A9A" w:rsidRPr="00783571">
        <w:t>-</w:t>
      </w:r>
      <w:r w:rsidR="008F5D01" w:rsidRPr="00783571">
        <w:t xml:space="preserve">Specific Population </w:t>
      </w:r>
      <w:r w:rsidR="00B41A9A" w:rsidRPr="00783571">
        <w:t xml:space="preserve">in </w:t>
      </w:r>
      <w:r w:rsidR="00CD74A5" w:rsidRPr="00783571">
        <w:t xml:space="preserve">2010 </w:t>
      </w:r>
      <w:r w:rsidR="00952170" w:rsidRPr="00783571">
        <w:t>and Beyond</w:t>
      </w:r>
      <w:bookmarkEnd w:id="59"/>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1731"/>
        <w:gridCol w:w="1731"/>
        <w:gridCol w:w="1870"/>
        <w:gridCol w:w="1591"/>
        <w:gridCol w:w="2437"/>
      </w:tblGrid>
      <w:tr w:rsidR="00B41A9A" w:rsidRPr="00783571" w14:paraId="0EC4B9A1" w14:textId="77777777" w:rsidTr="00260D8A">
        <w:trPr>
          <w:cantSplit/>
          <w:tblHeader/>
        </w:trPr>
        <w:tc>
          <w:tcPr>
            <w:tcW w:w="1731" w:type="dxa"/>
            <w:tcBorders>
              <w:top w:val="single" w:sz="12" w:space="0" w:color="000000"/>
              <w:bottom w:val="single" w:sz="6" w:space="0" w:color="auto"/>
            </w:tcBorders>
            <w:shd w:val="clear" w:color="auto" w:fill="auto"/>
            <w:noWrap/>
            <w:vAlign w:val="bottom"/>
            <w:hideMark/>
          </w:tcPr>
          <w:p w14:paraId="4A6F7872" w14:textId="77777777" w:rsidR="00B41A9A" w:rsidRPr="00783571" w:rsidRDefault="005D471A" w:rsidP="00EA6CA4">
            <w:pPr>
              <w:pStyle w:val="TableHeaders"/>
            </w:pPr>
            <w:r w:rsidRPr="00783571">
              <w:t>Sex and Age Group</w:t>
            </w:r>
          </w:p>
        </w:tc>
        <w:tc>
          <w:tcPr>
            <w:tcW w:w="1731" w:type="dxa"/>
            <w:tcBorders>
              <w:top w:val="single" w:sz="12" w:space="0" w:color="000000"/>
              <w:bottom w:val="single" w:sz="6" w:space="0" w:color="auto"/>
            </w:tcBorders>
            <w:shd w:val="clear" w:color="auto" w:fill="auto"/>
            <w:noWrap/>
            <w:vAlign w:val="bottom"/>
            <w:hideMark/>
          </w:tcPr>
          <w:p w14:paraId="316C90C5" w14:textId="77777777" w:rsidR="00B41A9A" w:rsidRPr="00783571" w:rsidRDefault="00B41A9A" w:rsidP="00EA6CA4">
            <w:pPr>
              <w:pStyle w:val="TableHeaders"/>
            </w:pPr>
            <w:r w:rsidRPr="00783571">
              <w:t>Black</w:t>
            </w:r>
          </w:p>
        </w:tc>
        <w:tc>
          <w:tcPr>
            <w:tcW w:w="1870" w:type="dxa"/>
            <w:tcBorders>
              <w:top w:val="single" w:sz="12" w:space="0" w:color="000000"/>
              <w:bottom w:val="single" w:sz="6" w:space="0" w:color="auto"/>
            </w:tcBorders>
            <w:shd w:val="clear" w:color="auto" w:fill="auto"/>
            <w:noWrap/>
            <w:vAlign w:val="bottom"/>
            <w:hideMark/>
          </w:tcPr>
          <w:p w14:paraId="2CFAA9DD" w14:textId="77777777" w:rsidR="00B41A9A" w:rsidRPr="00783571" w:rsidRDefault="00B41A9A" w:rsidP="00EA6CA4">
            <w:pPr>
              <w:pStyle w:val="TableHeaders"/>
            </w:pPr>
            <w:r w:rsidRPr="00783571">
              <w:t>Hispanic</w:t>
            </w:r>
            <w:r w:rsidR="007D66E6" w:rsidRPr="00783571">
              <w:t>/Latino</w:t>
            </w:r>
          </w:p>
        </w:tc>
        <w:tc>
          <w:tcPr>
            <w:tcW w:w="1591" w:type="dxa"/>
            <w:tcBorders>
              <w:top w:val="single" w:sz="12" w:space="0" w:color="000000"/>
              <w:bottom w:val="single" w:sz="6" w:space="0" w:color="auto"/>
            </w:tcBorders>
            <w:shd w:val="clear" w:color="auto" w:fill="auto"/>
            <w:noWrap/>
            <w:vAlign w:val="bottom"/>
            <w:hideMark/>
          </w:tcPr>
          <w:p w14:paraId="27534406" w14:textId="77777777" w:rsidR="00B41A9A" w:rsidRPr="00783571" w:rsidRDefault="00B41A9A" w:rsidP="00EA6CA4">
            <w:pPr>
              <w:pStyle w:val="TableHeaders"/>
            </w:pPr>
            <w:r w:rsidRPr="00783571">
              <w:t>Other</w:t>
            </w:r>
          </w:p>
        </w:tc>
        <w:tc>
          <w:tcPr>
            <w:tcW w:w="2437" w:type="dxa"/>
            <w:tcBorders>
              <w:top w:val="single" w:sz="12" w:space="0" w:color="000000"/>
              <w:bottom w:val="single" w:sz="6" w:space="0" w:color="auto"/>
            </w:tcBorders>
            <w:shd w:val="clear" w:color="auto" w:fill="auto"/>
            <w:noWrap/>
            <w:vAlign w:val="bottom"/>
            <w:hideMark/>
          </w:tcPr>
          <w:p w14:paraId="4065719F" w14:textId="77777777" w:rsidR="00B41A9A" w:rsidRPr="00783571" w:rsidRDefault="00B41A9A" w:rsidP="00EA6CA4">
            <w:pPr>
              <w:pStyle w:val="TableHeaders"/>
            </w:pPr>
            <w:r w:rsidRPr="00783571">
              <w:t>Source</w:t>
            </w:r>
          </w:p>
        </w:tc>
      </w:tr>
      <w:tr w:rsidR="00B41A9A" w:rsidRPr="00783571" w14:paraId="4D616135" w14:textId="77777777" w:rsidTr="00260D8A">
        <w:trPr>
          <w:cantSplit/>
        </w:trPr>
        <w:tc>
          <w:tcPr>
            <w:tcW w:w="9360" w:type="dxa"/>
            <w:gridSpan w:val="5"/>
            <w:tcBorders>
              <w:top w:val="single" w:sz="6" w:space="0" w:color="auto"/>
              <w:bottom w:val="single" w:sz="6" w:space="0" w:color="808080" w:themeColor="background1" w:themeShade="80"/>
            </w:tcBorders>
            <w:shd w:val="clear" w:color="auto" w:fill="auto"/>
            <w:noWrap/>
          </w:tcPr>
          <w:p w14:paraId="2C12194D" w14:textId="6410A299" w:rsidR="00B41A9A" w:rsidRPr="00783571" w:rsidRDefault="00B41A9A" w:rsidP="007D66E6">
            <w:pPr>
              <w:pStyle w:val="TableText"/>
              <w:rPr>
                <w:vertAlign w:val="superscript"/>
              </w:rPr>
            </w:pPr>
            <w:r w:rsidRPr="00783571">
              <w:t xml:space="preserve">Percentage of people who have anal </w:t>
            </w:r>
            <w:r w:rsidR="005D471A" w:rsidRPr="00783571">
              <w:t xml:space="preserve">intercourse </w:t>
            </w:r>
            <w:r w:rsidRPr="00783571">
              <w:t>in their male-female partnerships</w:t>
            </w:r>
            <w:r w:rsidR="007D66E6" w:rsidRPr="00783571">
              <w:rPr>
                <w:vertAlign w:val="superscript"/>
              </w:rPr>
              <w:t>a</w:t>
            </w:r>
          </w:p>
        </w:tc>
      </w:tr>
      <w:tr w:rsidR="00B41A9A" w:rsidRPr="00783571" w14:paraId="7E0863E7"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2BDB1DF9" w14:textId="77777777" w:rsidR="00B41A9A" w:rsidRPr="00783571" w:rsidRDefault="0083389F" w:rsidP="0083389F">
            <w:pPr>
              <w:pStyle w:val="TableText"/>
              <w:ind w:left="180"/>
            </w:pPr>
            <w:r w:rsidRPr="00783571">
              <w:t>Fem</w:t>
            </w:r>
            <w:r w:rsidR="00B41A9A" w:rsidRPr="00783571">
              <w:t>ale</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1019ACA1" w14:textId="77777777" w:rsidR="00B41A9A" w:rsidRPr="00783571" w:rsidRDefault="00B41A9A" w:rsidP="00EA6CA4">
            <w:pPr>
              <w:pStyle w:val="TableText"/>
            </w:pP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440067CB" w14:textId="77777777" w:rsidR="00B41A9A" w:rsidRPr="00783571" w:rsidRDefault="00B41A9A" w:rsidP="00EA6CA4">
            <w:pPr>
              <w:pStyle w:val="TableText"/>
            </w:pP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5E9A9F46" w14:textId="77777777" w:rsidR="00B41A9A" w:rsidRPr="00783571" w:rsidRDefault="00B41A9A" w:rsidP="00EA6CA4">
            <w:pPr>
              <w:pStyle w:val="TableText"/>
            </w:pPr>
          </w:p>
        </w:tc>
        <w:tc>
          <w:tcPr>
            <w:tcW w:w="2437" w:type="dxa"/>
            <w:tcBorders>
              <w:top w:val="single" w:sz="6" w:space="0" w:color="808080" w:themeColor="background1" w:themeShade="80"/>
              <w:bottom w:val="single" w:sz="6" w:space="0" w:color="808080" w:themeColor="background1" w:themeShade="80"/>
            </w:tcBorders>
            <w:shd w:val="clear" w:color="auto" w:fill="auto"/>
            <w:noWrap/>
          </w:tcPr>
          <w:p w14:paraId="6CDD3A09" w14:textId="77777777" w:rsidR="00B41A9A" w:rsidRPr="00783571" w:rsidRDefault="00B41A9A" w:rsidP="00EA6CA4">
            <w:pPr>
              <w:pStyle w:val="TableText"/>
            </w:pPr>
          </w:p>
        </w:tc>
      </w:tr>
      <w:tr w:rsidR="000B74D8" w:rsidRPr="00783571" w14:paraId="1C1264A5"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22ED7FD8" w14:textId="77777777" w:rsidR="000B74D8" w:rsidRPr="00783571" w:rsidRDefault="000B74D8" w:rsidP="00EA6CA4">
            <w:pPr>
              <w:pStyle w:val="TableText"/>
              <w:ind w:left="450"/>
            </w:pPr>
            <w:r w:rsidRPr="00783571">
              <w:t>13–17</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0C4E3CBE" w14:textId="08A1B1BD" w:rsidR="000B74D8" w:rsidRPr="00783571" w:rsidRDefault="000B74D8" w:rsidP="00EA6CA4">
            <w:pPr>
              <w:pStyle w:val="TableTextDec"/>
              <w:tabs>
                <w:tab w:val="clear" w:pos="1015"/>
                <w:tab w:val="decimal" w:pos="658"/>
              </w:tabs>
            </w:pPr>
            <w:r w:rsidRPr="00783571">
              <w:t>2.7%</w:t>
            </w: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307CEC23" w14:textId="3E2C4A4B" w:rsidR="000B74D8" w:rsidRPr="00783571" w:rsidRDefault="000B74D8" w:rsidP="00EA6CA4">
            <w:pPr>
              <w:pStyle w:val="TableTextDec"/>
              <w:tabs>
                <w:tab w:val="clear" w:pos="1015"/>
                <w:tab w:val="decimal" w:pos="658"/>
              </w:tabs>
            </w:pPr>
            <w:r w:rsidRPr="00783571">
              <w:t>5.6%</w:t>
            </w: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437BCD83" w14:textId="442B06A6" w:rsidR="000B74D8" w:rsidRPr="00783571" w:rsidRDefault="000B74D8" w:rsidP="00EA6CA4">
            <w:pPr>
              <w:pStyle w:val="TableTextDec"/>
              <w:tabs>
                <w:tab w:val="clear" w:pos="1015"/>
                <w:tab w:val="decimal" w:pos="658"/>
              </w:tabs>
            </w:pPr>
            <w:r w:rsidRPr="00783571">
              <w:t>3.7%</w:t>
            </w:r>
          </w:p>
        </w:tc>
        <w:tc>
          <w:tcPr>
            <w:tcW w:w="2437" w:type="dxa"/>
            <w:vMerge w:val="restart"/>
            <w:tcBorders>
              <w:top w:val="single" w:sz="6" w:space="0" w:color="808080" w:themeColor="background1" w:themeShade="80"/>
              <w:bottom w:val="single" w:sz="6" w:space="0" w:color="808080" w:themeColor="background1" w:themeShade="80"/>
            </w:tcBorders>
            <w:shd w:val="clear" w:color="auto" w:fill="auto"/>
            <w:noWrap/>
          </w:tcPr>
          <w:p w14:paraId="7F87E969" w14:textId="77777777" w:rsidR="000B74D8" w:rsidRPr="00783571" w:rsidRDefault="000B74D8" w:rsidP="00EA6CA4">
            <w:pPr>
              <w:pStyle w:val="TableText"/>
            </w:pPr>
            <w:r w:rsidRPr="00783571">
              <w:t>Calculated from Herbenick et al. (2010), Reece et al. (2010a), Dodge et al. (2010), and Finlayson et al. (2011)</w:t>
            </w:r>
          </w:p>
        </w:tc>
      </w:tr>
      <w:tr w:rsidR="000B74D8" w:rsidRPr="00783571" w14:paraId="47EB23A4"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08ABDF64" w14:textId="77777777" w:rsidR="000B74D8" w:rsidRPr="00783571" w:rsidRDefault="000B74D8" w:rsidP="00EA6CA4">
            <w:pPr>
              <w:pStyle w:val="TableText"/>
              <w:ind w:left="450"/>
            </w:pPr>
            <w:r w:rsidRPr="00783571">
              <w:t>18–24</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44A5C3D0" w14:textId="41AADB42" w:rsidR="000B74D8" w:rsidRPr="00783571" w:rsidRDefault="000B74D8" w:rsidP="00EA6CA4">
            <w:pPr>
              <w:pStyle w:val="TableTextDec"/>
              <w:tabs>
                <w:tab w:val="clear" w:pos="1015"/>
                <w:tab w:val="decimal" w:pos="658"/>
              </w:tabs>
            </w:pPr>
            <w:r w:rsidRPr="00783571">
              <w:t>14.3%</w:t>
            </w: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2655DD27" w14:textId="52AA3B5B" w:rsidR="000B74D8" w:rsidRPr="00783571" w:rsidRDefault="000B74D8" w:rsidP="00EA6CA4">
            <w:pPr>
              <w:pStyle w:val="TableTextDec"/>
              <w:tabs>
                <w:tab w:val="clear" w:pos="1015"/>
                <w:tab w:val="decimal" w:pos="658"/>
              </w:tabs>
            </w:pPr>
            <w:r w:rsidRPr="00783571">
              <w:t>29.5%</w:t>
            </w: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4711EBCC" w14:textId="67B3FDBA" w:rsidR="000B74D8" w:rsidRPr="00783571" w:rsidRDefault="000B74D8" w:rsidP="00EA6CA4">
            <w:pPr>
              <w:pStyle w:val="TableTextDec"/>
              <w:tabs>
                <w:tab w:val="clear" w:pos="1015"/>
                <w:tab w:val="decimal" w:pos="658"/>
              </w:tabs>
            </w:pPr>
            <w:r w:rsidRPr="00783571">
              <w:t>20.1%</w:t>
            </w:r>
          </w:p>
        </w:tc>
        <w:tc>
          <w:tcPr>
            <w:tcW w:w="2437" w:type="dxa"/>
            <w:vMerge/>
            <w:tcBorders>
              <w:top w:val="single" w:sz="6" w:space="0" w:color="808080" w:themeColor="background1" w:themeShade="80"/>
              <w:bottom w:val="single" w:sz="6" w:space="0" w:color="808080" w:themeColor="background1" w:themeShade="80"/>
            </w:tcBorders>
            <w:shd w:val="clear" w:color="auto" w:fill="auto"/>
            <w:noWrap/>
          </w:tcPr>
          <w:p w14:paraId="158FC7A8" w14:textId="77777777" w:rsidR="000B74D8" w:rsidRPr="00783571" w:rsidRDefault="000B74D8" w:rsidP="00B41A9A">
            <w:pPr>
              <w:pStyle w:val="Tabletext0"/>
            </w:pPr>
          </w:p>
        </w:tc>
      </w:tr>
      <w:tr w:rsidR="000B74D8" w:rsidRPr="00783571" w14:paraId="7C2B17B8"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22C3197B" w14:textId="77777777" w:rsidR="000B74D8" w:rsidRPr="00783571" w:rsidRDefault="000B74D8" w:rsidP="00EA6CA4">
            <w:pPr>
              <w:pStyle w:val="TableText"/>
              <w:ind w:left="450"/>
            </w:pPr>
            <w:r w:rsidRPr="00783571">
              <w:t>25–34</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31B5416D" w14:textId="7F19C972" w:rsidR="000B74D8" w:rsidRPr="00783571" w:rsidRDefault="000B74D8" w:rsidP="00B00882">
            <w:pPr>
              <w:pStyle w:val="TableTextDec"/>
              <w:tabs>
                <w:tab w:val="clear" w:pos="1015"/>
                <w:tab w:val="decimal" w:pos="658"/>
              </w:tabs>
            </w:pPr>
            <w:r w:rsidRPr="00783571">
              <w:t>14.4%</w:t>
            </w: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119BBFDA" w14:textId="1B520471" w:rsidR="000B74D8" w:rsidRPr="00783571" w:rsidRDefault="000B74D8" w:rsidP="00EA6CA4">
            <w:pPr>
              <w:pStyle w:val="TableTextDec"/>
              <w:tabs>
                <w:tab w:val="clear" w:pos="1015"/>
                <w:tab w:val="decimal" w:pos="658"/>
              </w:tabs>
            </w:pPr>
            <w:r w:rsidRPr="00783571">
              <w:t>28.8%</w:t>
            </w: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1F1BCC17" w14:textId="3481176D" w:rsidR="000B74D8" w:rsidRPr="00783571" w:rsidRDefault="000B74D8" w:rsidP="00EA6CA4">
            <w:pPr>
              <w:pStyle w:val="TableTextDec"/>
              <w:tabs>
                <w:tab w:val="clear" w:pos="1015"/>
                <w:tab w:val="decimal" w:pos="658"/>
              </w:tabs>
            </w:pPr>
            <w:r w:rsidRPr="00783571">
              <w:t>24.1%</w:t>
            </w:r>
          </w:p>
        </w:tc>
        <w:tc>
          <w:tcPr>
            <w:tcW w:w="2437" w:type="dxa"/>
            <w:vMerge/>
            <w:tcBorders>
              <w:top w:val="single" w:sz="6" w:space="0" w:color="808080" w:themeColor="background1" w:themeShade="80"/>
              <w:bottom w:val="single" w:sz="6" w:space="0" w:color="808080" w:themeColor="background1" w:themeShade="80"/>
            </w:tcBorders>
            <w:shd w:val="clear" w:color="auto" w:fill="auto"/>
            <w:noWrap/>
          </w:tcPr>
          <w:p w14:paraId="0871432F" w14:textId="77777777" w:rsidR="000B74D8" w:rsidRPr="00783571" w:rsidRDefault="000B74D8" w:rsidP="00B41A9A">
            <w:pPr>
              <w:pStyle w:val="Tabletext0"/>
            </w:pPr>
          </w:p>
        </w:tc>
      </w:tr>
      <w:tr w:rsidR="000B74D8" w:rsidRPr="00783571" w14:paraId="305322A5"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1C39F026" w14:textId="77777777" w:rsidR="000B74D8" w:rsidRPr="00783571" w:rsidRDefault="000B74D8" w:rsidP="00EA6CA4">
            <w:pPr>
              <w:pStyle w:val="TableText"/>
              <w:ind w:left="450"/>
            </w:pPr>
            <w:r w:rsidRPr="00783571">
              <w:t>35–44</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75BE907B" w14:textId="576C8929" w:rsidR="000B74D8" w:rsidRPr="00783571" w:rsidRDefault="000B74D8" w:rsidP="00EA6CA4">
            <w:pPr>
              <w:pStyle w:val="TableTextDec"/>
              <w:tabs>
                <w:tab w:val="clear" w:pos="1015"/>
                <w:tab w:val="decimal" w:pos="658"/>
              </w:tabs>
            </w:pPr>
            <w:r w:rsidRPr="00783571">
              <w:t>12.2%</w:t>
            </w: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2AB9C51B" w14:textId="79D6DE8E" w:rsidR="000B74D8" w:rsidRPr="00783571" w:rsidRDefault="000B74D8" w:rsidP="00EA6CA4">
            <w:pPr>
              <w:pStyle w:val="TableTextDec"/>
              <w:tabs>
                <w:tab w:val="clear" w:pos="1015"/>
                <w:tab w:val="decimal" w:pos="658"/>
              </w:tabs>
            </w:pPr>
            <w:r w:rsidRPr="00783571">
              <w:t>21.0%</w:t>
            </w: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33CB718E" w14:textId="4324E6AC" w:rsidR="000B74D8" w:rsidRPr="00783571" w:rsidRDefault="000B74D8" w:rsidP="00EA6CA4">
            <w:pPr>
              <w:pStyle w:val="TableTextDec"/>
              <w:tabs>
                <w:tab w:val="clear" w:pos="1015"/>
                <w:tab w:val="decimal" w:pos="658"/>
              </w:tabs>
            </w:pPr>
            <w:r w:rsidRPr="00783571">
              <w:t>18.2%</w:t>
            </w:r>
          </w:p>
        </w:tc>
        <w:tc>
          <w:tcPr>
            <w:tcW w:w="2437" w:type="dxa"/>
            <w:vMerge/>
            <w:tcBorders>
              <w:top w:val="single" w:sz="6" w:space="0" w:color="808080" w:themeColor="background1" w:themeShade="80"/>
              <w:bottom w:val="single" w:sz="6" w:space="0" w:color="808080" w:themeColor="background1" w:themeShade="80"/>
            </w:tcBorders>
            <w:shd w:val="clear" w:color="auto" w:fill="auto"/>
            <w:noWrap/>
          </w:tcPr>
          <w:p w14:paraId="1ED018C6" w14:textId="77777777" w:rsidR="000B74D8" w:rsidRPr="00783571" w:rsidRDefault="000B74D8" w:rsidP="00B41A9A">
            <w:pPr>
              <w:pStyle w:val="Tabletext0"/>
            </w:pPr>
          </w:p>
        </w:tc>
      </w:tr>
      <w:tr w:rsidR="000B74D8" w:rsidRPr="00783571" w14:paraId="42F4D394"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0064EF0F" w14:textId="77777777" w:rsidR="000B74D8" w:rsidRPr="00783571" w:rsidRDefault="000B74D8" w:rsidP="00EA6CA4">
            <w:pPr>
              <w:pStyle w:val="TableText"/>
              <w:ind w:left="450"/>
            </w:pPr>
            <w:r w:rsidRPr="00783571">
              <w:t>45–64</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3B33C121" w14:textId="79B21C56" w:rsidR="000B74D8" w:rsidRPr="00783571" w:rsidRDefault="000B74D8" w:rsidP="00EA6CA4">
            <w:pPr>
              <w:pStyle w:val="TableTextDec"/>
              <w:tabs>
                <w:tab w:val="clear" w:pos="1015"/>
                <w:tab w:val="decimal" w:pos="658"/>
              </w:tabs>
            </w:pPr>
            <w:r w:rsidRPr="00783571">
              <w:t>9.6%</w:t>
            </w: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4B84EF0C" w14:textId="40F616DD" w:rsidR="000B74D8" w:rsidRPr="00783571" w:rsidRDefault="000B74D8" w:rsidP="00EA6CA4">
            <w:pPr>
              <w:pStyle w:val="TableTextDec"/>
              <w:tabs>
                <w:tab w:val="clear" w:pos="1015"/>
                <w:tab w:val="decimal" w:pos="658"/>
              </w:tabs>
            </w:pPr>
            <w:r w:rsidRPr="00783571">
              <w:t>12.0%</w:t>
            </w: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45D38257" w14:textId="3BD7ED49" w:rsidR="000B74D8" w:rsidRPr="00783571" w:rsidRDefault="000B74D8" w:rsidP="00EA6CA4">
            <w:pPr>
              <w:pStyle w:val="TableTextDec"/>
              <w:tabs>
                <w:tab w:val="clear" w:pos="1015"/>
                <w:tab w:val="decimal" w:pos="658"/>
              </w:tabs>
            </w:pPr>
            <w:r w:rsidRPr="00783571">
              <w:t>7.0%</w:t>
            </w:r>
          </w:p>
        </w:tc>
        <w:tc>
          <w:tcPr>
            <w:tcW w:w="2437" w:type="dxa"/>
            <w:vMerge/>
            <w:tcBorders>
              <w:top w:val="single" w:sz="6" w:space="0" w:color="808080" w:themeColor="background1" w:themeShade="80"/>
              <w:bottom w:val="single" w:sz="6" w:space="0" w:color="808080" w:themeColor="background1" w:themeShade="80"/>
            </w:tcBorders>
            <w:shd w:val="clear" w:color="auto" w:fill="auto"/>
            <w:noWrap/>
          </w:tcPr>
          <w:p w14:paraId="5E3C1B6B" w14:textId="77777777" w:rsidR="000B74D8" w:rsidRPr="00783571" w:rsidRDefault="000B74D8" w:rsidP="00B41A9A">
            <w:pPr>
              <w:pStyle w:val="Tabletext0"/>
            </w:pPr>
          </w:p>
        </w:tc>
      </w:tr>
      <w:tr w:rsidR="000B74D8" w:rsidRPr="00783571" w14:paraId="324D88D6"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4565AA55" w14:textId="77777777" w:rsidR="000B74D8" w:rsidRPr="00783571" w:rsidRDefault="000B74D8" w:rsidP="00EA6CA4">
            <w:pPr>
              <w:pStyle w:val="TableText"/>
              <w:ind w:left="180"/>
            </w:pPr>
            <w:r w:rsidRPr="00783571">
              <w:t>Male</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6844695A" w14:textId="77777777" w:rsidR="000B74D8" w:rsidRPr="00783571" w:rsidRDefault="000B74D8" w:rsidP="00EA6CA4">
            <w:pPr>
              <w:pStyle w:val="TableTextDec"/>
              <w:tabs>
                <w:tab w:val="clear" w:pos="1015"/>
                <w:tab w:val="decimal" w:pos="658"/>
              </w:tabs>
            </w:pP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238A7FCF" w14:textId="77777777" w:rsidR="000B74D8" w:rsidRPr="00783571" w:rsidRDefault="000B74D8" w:rsidP="00EA6CA4">
            <w:pPr>
              <w:pStyle w:val="TableTextDec"/>
              <w:tabs>
                <w:tab w:val="clear" w:pos="1015"/>
                <w:tab w:val="decimal" w:pos="658"/>
              </w:tabs>
            </w:pP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1355E113" w14:textId="77777777" w:rsidR="000B74D8" w:rsidRPr="00783571" w:rsidRDefault="000B74D8" w:rsidP="00EA6CA4">
            <w:pPr>
              <w:pStyle w:val="TableTextDec"/>
              <w:tabs>
                <w:tab w:val="clear" w:pos="1015"/>
                <w:tab w:val="decimal" w:pos="658"/>
              </w:tabs>
            </w:pPr>
          </w:p>
        </w:tc>
        <w:tc>
          <w:tcPr>
            <w:tcW w:w="2437" w:type="dxa"/>
            <w:vMerge/>
            <w:tcBorders>
              <w:top w:val="single" w:sz="6" w:space="0" w:color="808080" w:themeColor="background1" w:themeShade="80"/>
              <w:bottom w:val="single" w:sz="6" w:space="0" w:color="808080" w:themeColor="background1" w:themeShade="80"/>
            </w:tcBorders>
            <w:shd w:val="clear" w:color="auto" w:fill="auto"/>
            <w:noWrap/>
          </w:tcPr>
          <w:p w14:paraId="60A84435" w14:textId="77777777" w:rsidR="000B74D8" w:rsidRPr="00783571" w:rsidRDefault="000B74D8" w:rsidP="00B41A9A">
            <w:pPr>
              <w:pStyle w:val="Tabletext0"/>
            </w:pPr>
          </w:p>
        </w:tc>
      </w:tr>
      <w:tr w:rsidR="000B74D8" w:rsidRPr="00783571" w14:paraId="34A985AB"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63873C94" w14:textId="77777777" w:rsidR="000B74D8" w:rsidRPr="00783571" w:rsidRDefault="000B74D8" w:rsidP="00EA6CA4">
            <w:pPr>
              <w:pStyle w:val="TableText"/>
              <w:ind w:left="450"/>
            </w:pPr>
            <w:r w:rsidRPr="00783571">
              <w:t>13–17</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562BD481" w14:textId="65B6CA8E" w:rsidR="000B74D8" w:rsidRPr="00783571" w:rsidRDefault="000B74D8" w:rsidP="00EA6CA4">
            <w:pPr>
              <w:pStyle w:val="TableTextDec"/>
              <w:tabs>
                <w:tab w:val="clear" w:pos="1015"/>
                <w:tab w:val="decimal" w:pos="658"/>
              </w:tabs>
            </w:pPr>
            <w:r w:rsidRPr="00783571">
              <w:t>3.0%</w:t>
            </w: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6A84316D" w14:textId="30859CE7" w:rsidR="000B74D8" w:rsidRPr="00783571" w:rsidRDefault="000B74D8" w:rsidP="00EA6CA4">
            <w:pPr>
              <w:pStyle w:val="TableTextDec"/>
              <w:tabs>
                <w:tab w:val="clear" w:pos="1015"/>
                <w:tab w:val="decimal" w:pos="658"/>
              </w:tabs>
            </w:pPr>
            <w:r w:rsidRPr="00783571">
              <w:t>5.3%</w:t>
            </w: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6C691742" w14:textId="10E1124D" w:rsidR="000B74D8" w:rsidRPr="00783571" w:rsidRDefault="000B74D8" w:rsidP="00EA6CA4">
            <w:pPr>
              <w:pStyle w:val="TableTextDec"/>
              <w:tabs>
                <w:tab w:val="clear" w:pos="1015"/>
                <w:tab w:val="decimal" w:pos="658"/>
              </w:tabs>
            </w:pPr>
            <w:r w:rsidRPr="00783571">
              <w:t>2.5%</w:t>
            </w:r>
          </w:p>
        </w:tc>
        <w:tc>
          <w:tcPr>
            <w:tcW w:w="2437" w:type="dxa"/>
            <w:vMerge/>
            <w:tcBorders>
              <w:top w:val="single" w:sz="6" w:space="0" w:color="808080" w:themeColor="background1" w:themeShade="80"/>
              <w:bottom w:val="single" w:sz="6" w:space="0" w:color="808080" w:themeColor="background1" w:themeShade="80"/>
            </w:tcBorders>
            <w:shd w:val="clear" w:color="auto" w:fill="auto"/>
            <w:noWrap/>
          </w:tcPr>
          <w:p w14:paraId="16AE3810" w14:textId="77777777" w:rsidR="000B74D8" w:rsidRPr="00783571" w:rsidRDefault="000B74D8" w:rsidP="00B41A9A">
            <w:pPr>
              <w:pStyle w:val="Tabletext0"/>
            </w:pPr>
          </w:p>
        </w:tc>
      </w:tr>
      <w:tr w:rsidR="000B74D8" w:rsidRPr="00783571" w14:paraId="15E9627D"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6679D260" w14:textId="77777777" w:rsidR="000B74D8" w:rsidRPr="00783571" w:rsidRDefault="000B74D8" w:rsidP="00EA6CA4">
            <w:pPr>
              <w:pStyle w:val="TableText"/>
              <w:ind w:left="450"/>
            </w:pPr>
            <w:r w:rsidRPr="00783571">
              <w:t>18–24</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6A88A43C" w14:textId="2587D949" w:rsidR="000B74D8" w:rsidRPr="00783571" w:rsidRDefault="000B74D8" w:rsidP="00EA6CA4">
            <w:pPr>
              <w:pStyle w:val="TableTextDec"/>
              <w:tabs>
                <w:tab w:val="clear" w:pos="1015"/>
                <w:tab w:val="decimal" w:pos="658"/>
              </w:tabs>
            </w:pPr>
            <w:r w:rsidRPr="00783571">
              <w:t>6.5%</w:t>
            </w: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17117933" w14:textId="67A779AB" w:rsidR="000B74D8" w:rsidRPr="00783571" w:rsidRDefault="000B74D8" w:rsidP="00EA6CA4">
            <w:pPr>
              <w:pStyle w:val="TableTextDec"/>
              <w:tabs>
                <w:tab w:val="clear" w:pos="1015"/>
                <w:tab w:val="decimal" w:pos="658"/>
              </w:tabs>
            </w:pPr>
            <w:r w:rsidRPr="00783571">
              <w:t>11.6%</w:t>
            </w: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1463667B" w14:textId="1EF37F26" w:rsidR="000B74D8" w:rsidRPr="00783571" w:rsidRDefault="000B74D8" w:rsidP="00EA6CA4">
            <w:pPr>
              <w:pStyle w:val="TableTextDec"/>
              <w:tabs>
                <w:tab w:val="clear" w:pos="1015"/>
                <w:tab w:val="decimal" w:pos="658"/>
              </w:tabs>
            </w:pPr>
            <w:r w:rsidRPr="00783571">
              <w:t>5.4%</w:t>
            </w:r>
          </w:p>
        </w:tc>
        <w:tc>
          <w:tcPr>
            <w:tcW w:w="2437" w:type="dxa"/>
            <w:vMerge/>
            <w:tcBorders>
              <w:top w:val="single" w:sz="6" w:space="0" w:color="808080" w:themeColor="background1" w:themeShade="80"/>
              <w:bottom w:val="single" w:sz="6" w:space="0" w:color="808080" w:themeColor="background1" w:themeShade="80"/>
            </w:tcBorders>
            <w:shd w:val="clear" w:color="auto" w:fill="auto"/>
            <w:noWrap/>
          </w:tcPr>
          <w:p w14:paraId="445F4510" w14:textId="77777777" w:rsidR="000B74D8" w:rsidRPr="00783571" w:rsidRDefault="000B74D8" w:rsidP="00B41A9A">
            <w:pPr>
              <w:pStyle w:val="Tabletext0"/>
            </w:pPr>
          </w:p>
        </w:tc>
      </w:tr>
      <w:tr w:rsidR="000B74D8" w:rsidRPr="00783571" w14:paraId="49313D51"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35740990" w14:textId="77777777" w:rsidR="000B74D8" w:rsidRPr="00783571" w:rsidRDefault="000B74D8" w:rsidP="00EA6CA4">
            <w:pPr>
              <w:pStyle w:val="TableText"/>
              <w:ind w:left="450"/>
            </w:pPr>
            <w:r w:rsidRPr="00783571">
              <w:t>25–34</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3F9F9CF9" w14:textId="7E61891A" w:rsidR="000B74D8" w:rsidRPr="00783571" w:rsidRDefault="000B74D8" w:rsidP="00EA6CA4">
            <w:pPr>
              <w:pStyle w:val="TableTextDec"/>
              <w:tabs>
                <w:tab w:val="clear" w:pos="1015"/>
                <w:tab w:val="decimal" w:pos="658"/>
              </w:tabs>
            </w:pPr>
            <w:r w:rsidRPr="00783571">
              <w:t>23.3%</w:t>
            </w: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6955D71E" w14:textId="7ED5A267" w:rsidR="000B74D8" w:rsidRPr="00783571" w:rsidRDefault="000B74D8" w:rsidP="00EA6CA4">
            <w:pPr>
              <w:pStyle w:val="TableTextDec"/>
              <w:tabs>
                <w:tab w:val="clear" w:pos="1015"/>
                <w:tab w:val="decimal" w:pos="658"/>
              </w:tabs>
            </w:pPr>
            <w:r w:rsidRPr="00783571">
              <w:t>28.6%</w:t>
            </w: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1D2A91DC" w14:textId="64C44246" w:rsidR="000B74D8" w:rsidRPr="00783571" w:rsidRDefault="000B74D8" w:rsidP="00EA6CA4">
            <w:pPr>
              <w:pStyle w:val="TableTextDec"/>
              <w:tabs>
                <w:tab w:val="clear" w:pos="1015"/>
                <w:tab w:val="decimal" w:pos="658"/>
              </w:tabs>
            </w:pPr>
            <w:r w:rsidRPr="00783571">
              <w:t>25.3%</w:t>
            </w:r>
          </w:p>
        </w:tc>
        <w:tc>
          <w:tcPr>
            <w:tcW w:w="2437" w:type="dxa"/>
            <w:vMerge/>
            <w:tcBorders>
              <w:top w:val="single" w:sz="6" w:space="0" w:color="808080" w:themeColor="background1" w:themeShade="80"/>
              <w:bottom w:val="single" w:sz="6" w:space="0" w:color="808080" w:themeColor="background1" w:themeShade="80"/>
            </w:tcBorders>
            <w:shd w:val="clear" w:color="auto" w:fill="auto"/>
            <w:noWrap/>
          </w:tcPr>
          <w:p w14:paraId="052A7759" w14:textId="77777777" w:rsidR="000B74D8" w:rsidRPr="00783571" w:rsidRDefault="000B74D8" w:rsidP="00B41A9A">
            <w:pPr>
              <w:pStyle w:val="Tabletext0"/>
            </w:pPr>
          </w:p>
        </w:tc>
      </w:tr>
      <w:tr w:rsidR="000B74D8" w:rsidRPr="00783571" w14:paraId="4F56942D" w14:textId="77777777" w:rsidTr="00260D8A">
        <w:trPr>
          <w:cantSplit/>
        </w:trPr>
        <w:tc>
          <w:tcPr>
            <w:tcW w:w="1731" w:type="dxa"/>
            <w:tcBorders>
              <w:top w:val="single" w:sz="6" w:space="0" w:color="808080" w:themeColor="background1" w:themeShade="80"/>
              <w:bottom w:val="single" w:sz="6" w:space="0" w:color="808080" w:themeColor="background1" w:themeShade="80"/>
            </w:tcBorders>
            <w:shd w:val="clear" w:color="auto" w:fill="auto"/>
            <w:noWrap/>
          </w:tcPr>
          <w:p w14:paraId="010A17CF" w14:textId="77777777" w:rsidR="000B74D8" w:rsidRPr="00783571" w:rsidRDefault="000B74D8" w:rsidP="00EA6CA4">
            <w:pPr>
              <w:pStyle w:val="TableText"/>
              <w:ind w:left="450"/>
            </w:pPr>
            <w:r w:rsidRPr="00783571">
              <w:t>35–44</w:t>
            </w:r>
          </w:p>
        </w:tc>
        <w:tc>
          <w:tcPr>
            <w:tcW w:w="1731" w:type="dxa"/>
            <w:tcBorders>
              <w:top w:val="single" w:sz="6" w:space="0" w:color="808080" w:themeColor="background1" w:themeShade="80"/>
              <w:bottom w:val="single" w:sz="6" w:space="0" w:color="808080" w:themeColor="background1" w:themeShade="80"/>
            </w:tcBorders>
            <w:shd w:val="clear" w:color="auto" w:fill="auto"/>
            <w:noWrap/>
          </w:tcPr>
          <w:p w14:paraId="7B400955" w14:textId="582F772E" w:rsidR="000B74D8" w:rsidRPr="00783571" w:rsidRDefault="000B74D8" w:rsidP="00EA6CA4">
            <w:pPr>
              <w:pStyle w:val="TableTextDec"/>
              <w:tabs>
                <w:tab w:val="clear" w:pos="1015"/>
                <w:tab w:val="decimal" w:pos="658"/>
              </w:tabs>
            </w:pPr>
            <w:r w:rsidRPr="00783571">
              <w:t>15.8%</w:t>
            </w:r>
          </w:p>
        </w:tc>
        <w:tc>
          <w:tcPr>
            <w:tcW w:w="1870" w:type="dxa"/>
            <w:tcBorders>
              <w:top w:val="single" w:sz="6" w:space="0" w:color="808080" w:themeColor="background1" w:themeShade="80"/>
              <w:bottom w:val="single" w:sz="6" w:space="0" w:color="808080" w:themeColor="background1" w:themeShade="80"/>
            </w:tcBorders>
            <w:shd w:val="clear" w:color="auto" w:fill="auto"/>
            <w:noWrap/>
          </w:tcPr>
          <w:p w14:paraId="62B2F75E" w14:textId="2FFC144D" w:rsidR="000B74D8" w:rsidRPr="00783571" w:rsidRDefault="000B74D8" w:rsidP="00EA6CA4">
            <w:pPr>
              <w:pStyle w:val="TableTextDec"/>
              <w:tabs>
                <w:tab w:val="clear" w:pos="1015"/>
                <w:tab w:val="decimal" w:pos="658"/>
              </w:tabs>
            </w:pPr>
            <w:r w:rsidRPr="00783571">
              <w:t>27.0%</w:t>
            </w:r>
          </w:p>
        </w:tc>
        <w:tc>
          <w:tcPr>
            <w:tcW w:w="1591" w:type="dxa"/>
            <w:tcBorders>
              <w:top w:val="single" w:sz="6" w:space="0" w:color="808080" w:themeColor="background1" w:themeShade="80"/>
              <w:bottom w:val="single" w:sz="6" w:space="0" w:color="808080" w:themeColor="background1" w:themeShade="80"/>
            </w:tcBorders>
            <w:shd w:val="clear" w:color="auto" w:fill="auto"/>
            <w:noWrap/>
          </w:tcPr>
          <w:p w14:paraId="06C8AF56" w14:textId="74A399B9" w:rsidR="000B74D8" w:rsidRPr="00783571" w:rsidRDefault="000B74D8" w:rsidP="00EA6CA4">
            <w:pPr>
              <w:pStyle w:val="TableTextDec"/>
              <w:tabs>
                <w:tab w:val="clear" w:pos="1015"/>
                <w:tab w:val="decimal" w:pos="658"/>
              </w:tabs>
            </w:pPr>
            <w:r w:rsidRPr="00783571">
              <w:t>22.8%</w:t>
            </w:r>
          </w:p>
        </w:tc>
        <w:tc>
          <w:tcPr>
            <w:tcW w:w="2437" w:type="dxa"/>
            <w:vMerge/>
            <w:tcBorders>
              <w:top w:val="single" w:sz="6" w:space="0" w:color="808080" w:themeColor="background1" w:themeShade="80"/>
              <w:bottom w:val="single" w:sz="6" w:space="0" w:color="808080" w:themeColor="background1" w:themeShade="80"/>
            </w:tcBorders>
            <w:shd w:val="clear" w:color="auto" w:fill="auto"/>
            <w:noWrap/>
          </w:tcPr>
          <w:p w14:paraId="5BFB3614" w14:textId="77777777" w:rsidR="000B74D8" w:rsidRPr="00783571" w:rsidRDefault="000B74D8" w:rsidP="00B41A9A">
            <w:pPr>
              <w:pStyle w:val="Tabletext0"/>
            </w:pPr>
          </w:p>
        </w:tc>
      </w:tr>
      <w:tr w:rsidR="000B74D8" w:rsidRPr="00783571" w14:paraId="1C84D5D0" w14:textId="77777777" w:rsidTr="00260D8A">
        <w:trPr>
          <w:cantSplit/>
        </w:trPr>
        <w:tc>
          <w:tcPr>
            <w:tcW w:w="1731" w:type="dxa"/>
            <w:tcBorders>
              <w:top w:val="single" w:sz="6" w:space="0" w:color="808080" w:themeColor="background1" w:themeShade="80"/>
              <w:bottom w:val="single" w:sz="12" w:space="0" w:color="000000"/>
            </w:tcBorders>
            <w:shd w:val="clear" w:color="auto" w:fill="auto"/>
            <w:noWrap/>
          </w:tcPr>
          <w:p w14:paraId="477F664D" w14:textId="77777777" w:rsidR="000B74D8" w:rsidRPr="00783571" w:rsidRDefault="000B74D8" w:rsidP="00EA6CA4">
            <w:pPr>
              <w:pStyle w:val="TableText"/>
              <w:ind w:left="450"/>
            </w:pPr>
            <w:r w:rsidRPr="00783571">
              <w:t>45–64</w:t>
            </w:r>
          </w:p>
        </w:tc>
        <w:tc>
          <w:tcPr>
            <w:tcW w:w="1731" w:type="dxa"/>
            <w:tcBorders>
              <w:top w:val="single" w:sz="6" w:space="0" w:color="808080" w:themeColor="background1" w:themeShade="80"/>
              <w:bottom w:val="single" w:sz="12" w:space="0" w:color="000000"/>
            </w:tcBorders>
            <w:shd w:val="clear" w:color="auto" w:fill="auto"/>
            <w:noWrap/>
          </w:tcPr>
          <w:p w14:paraId="7D847DA6" w14:textId="434D408C" w:rsidR="000B74D8" w:rsidRPr="00783571" w:rsidRDefault="000B74D8" w:rsidP="00EA6CA4">
            <w:pPr>
              <w:pStyle w:val="TableTextDec"/>
              <w:tabs>
                <w:tab w:val="clear" w:pos="1015"/>
                <w:tab w:val="decimal" w:pos="658"/>
              </w:tabs>
            </w:pPr>
            <w:r w:rsidRPr="00783571">
              <w:t>10.2%</w:t>
            </w:r>
          </w:p>
        </w:tc>
        <w:tc>
          <w:tcPr>
            <w:tcW w:w="1870" w:type="dxa"/>
            <w:tcBorders>
              <w:top w:val="single" w:sz="6" w:space="0" w:color="808080" w:themeColor="background1" w:themeShade="80"/>
              <w:bottom w:val="single" w:sz="12" w:space="0" w:color="000000"/>
            </w:tcBorders>
            <w:shd w:val="clear" w:color="auto" w:fill="auto"/>
            <w:noWrap/>
          </w:tcPr>
          <w:p w14:paraId="5ED535CD" w14:textId="05B21BBF" w:rsidR="000B74D8" w:rsidRPr="00783571" w:rsidRDefault="000B74D8" w:rsidP="00EA6CA4">
            <w:pPr>
              <w:pStyle w:val="TableTextDec"/>
              <w:tabs>
                <w:tab w:val="clear" w:pos="1015"/>
                <w:tab w:val="decimal" w:pos="658"/>
              </w:tabs>
            </w:pPr>
            <w:r w:rsidRPr="00783571">
              <w:t>18.2%</w:t>
            </w:r>
          </w:p>
        </w:tc>
        <w:tc>
          <w:tcPr>
            <w:tcW w:w="1591" w:type="dxa"/>
            <w:tcBorders>
              <w:top w:val="single" w:sz="6" w:space="0" w:color="808080" w:themeColor="background1" w:themeShade="80"/>
              <w:bottom w:val="single" w:sz="12" w:space="0" w:color="000000"/>
            </w:tcBorders>
            <w:shd w:val="clear" w:color="auto" w:fill="auto"/>
            <w:noWrap/>
          </w:tcPr>
          <w:p w14:paraId="347DD3EA" w14:textId="1CDF1C8C" w:rsidR="000B74D8" w:rsidRPr="00783571" w:rsidRDefault="000B74D8" w:rsidP="00EA6CA4">
            <w:pPr>
              <w:pStyle w:val="TableTextDec"/>
              <w:tabs>
                <w:tab w:val="clear" w:pos="1015"/>
                <w:tab w:val="decimal" w:pos="658"/>
              </w:tabs>
            </w:pPr>
            <w:r w:rsidRPr="00783571">
              <w:t>12.6%</w:t>
            </w:r>
          </w:p>
        </w:tc>
        <w:tc>
          <w:tcPr>
            <w:tcW w:w="2437" w:type="dxa"/>
            <w:vMerge/>
            <w:tcBorders>
              <w:top w:val="single" w:sz="6" w:space="0" w:color="808080" w:themeColor="background1" w:themeShade="80"/>
              <w:bottom w:val="single" w:sz="12" w:space="0" w:color="000000"/>
            </w:tcBorders>
            <w:shd w:val="clear" w:color="auto" w:fill="auto"/>
            <w:noWrap/>
          </w:tcPr>
          <w:p w14:paraId="5A3774B3" w14:textId="77777777" w:rsidR="000B74D8" w:rsidRPr="00783571" w:rsidRDefault="000B74D8" w:rsidP="00B41A9A">
            <w:pPr>
              <w:pStyle w:val="Tabletext0"/>
            </w:pPr>
          </w:p>
        </w:tc>
      </w:tr>
    </w:tbl>
    <w:p w14:paraId="1A3D9AA6" w14:textId="6E26F893" w:rsidR="00933EE2" w:rsidRPr="00783571" w:rsidRDefault="007D66E6" w:rsidP="00C277F4">
      <w:pPr>
        <w:pStyle w:val="Source1"/>
      </w:pPr>
      <w:r w:rsidRPr="00783571">
        <w:rPr>
          <w:vertAlign w:val="superscript"/>
        </w:rPr>
        <w:t>a</w:t>
      </w:r>
      <w:r w:rsidRPr="00783571">
        <w:t xml:space="preserve"> It is assumed that all male-female sexual partnerships include vaginal intercourse.</w:t>
      </w:r>
    </w:p>
    <w:p w14:paraId="446C96FE" w14:textId="77777777" w:rsidR="00F96705" w:rsidRPr="00783571" w:rsidRDefault="00F96705" w:rsidP="00C277F4">
      <w:pPr>
        <w:pStyle w:val="Source1"/>
      </w:pPr>
    </w:p>
    <w:p w14:paraId="10996D52" w14:textId="77777777" w:rsidR="00D444C0" w:rsidRPr="00783571" w:rsidRDefault="00D444C0" w:rsidP="00B41A9A">
      <w:pPr>
        <w:pStyle w:val="tabfigtitle"/>
        <w:pageBreakBefore/>
        <w:sectPr w:rsidR="00D444C0" w:rsidRPr="00783571" w:rsidSect="00BD0512">
          <w:headerReference w:type="even" r:id="rId60"/>
          <w:headerReference w:type="default" r:id="rId61"/>
          <w:footerReference w:type="even" r:id="rId62"/>
          <w:footerReference w:type="default" r:id="rId63"/>
          <w:endnotePr>
            <w:numFmt w:val="decimal"/>
          </w:endnotePr>
          <w:pgSz w:w="12240" w:h="15840"/>
          <w:pgMar w:top="1440" w:right="1440" w:bottom="1440" w:left="1440" w:header="720" w:footer="720" w:gutter="0"/>
          <w:pgNumType w:chapStyle="1"/>
          <w:cols w:space="720"/>
          <w:docGrid w:linePitch="360"/>
        </w:sectPr>
      </w:pPr>
    </w:p>
    <w:p w14:paraId="6903AC4B" w14:textId="1007350E" w:rsidR="00B41A9A" w:rsidRPr="00783571" w:rsidRDefault="004F4E6D" w:rsidP="00260D8A">
      <w:pPr>
        <w:pStyle w:val="TableTitle"/>
        <w:spacing w:before="120"/>
        <w:ind w:left="1530"/>
      </w:pPr>
      <w:bookmarkStart w:id="60" w:name="_Toc510104035"/>
      <w:r w:rsidRPr="00783571">
        <w:t>Table 6.</w:t>
      </w:r>
      <w:r w:rsidR="008F5D01" w:rsidRPr="00783571">
        <w:t>12</w:t>
      </w:r>
      <w:r w:rsidR="00EA6CA4" w:rsidRPr="00783571">
        <w:t>.</w:t>
      </w:r>
      <w:r w:rsidR="00EA6CA4" w:rsidRPr="00783571">
        <w:tab/>
      </w:r>
      <w:r w:rsidR="00B41A9A" w:rsidRPr="00783571">
        <w:t>Other Risk Behaviors</w:t>
      </w:r>
      <w:bookmarkEnd w:id="60"/>
    </w:p>
    <w:tbl>
      <w:tblPr>
        <w:tblW w:w="129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5063"/>
        <w:gridCol w:w="1684"/>
        <w:gridCol w:w="6213"/>
      </w:tblGrid>
      <w:tr w:rsidR="00B41A9A" w:rsidRPr="00783571" w14:paraId="34EEAEB3" w14:textId="77777777" w:rsidTr="00863FC7">
        <w:trPr>
          <w:cantSplit/>
          <w:tblHeader/>
        </w:trPr>
        <w:tc>
          <w:tcPr>
            <w:tcW w:w="5063" w:type="dxa"/>
            <w:tcBorders>
              <w:top w:val="single" w:sz="12" w:space="0" w:color="000000"/>
              <w:bottom w:val="single" w:sz="6" w:space="0" w:color="auto"/>
            </w:tcBorders>
            <w:shd w:val="clear" w:color="auto" w:fill="auto"/>
            <w:noWrap/>
            <w:vAlign w:val="bottom"/>
            <w:hideMark/>
          </w:tcPr>
          <w:p w14:paraId="4CF59A5A" w14:textId="77777777" w:rsidR="00B41A9A" w:rsidRPr="00783571" w:rsidRDefault="005D471A" w:rsidP="00EA6CA4">
            <w:pPr>
              <w:pStyle w:val="TableHeaders"/>
            </w:pPr>
            <w:r w:rsidRPr="00783571">
              <w:t>Risk Behavior</w:t>
            </w:r>
          </w:p>
        </w:tc>
        <w:tc>
          <w:tcPr>
            <w:tcW w:w="1684" w:type="dxa"/>
            <w:tcBorders>
              <w:top w:val="single" w:sz="12" w:space="0" w:color="000000"/>
              <w:bottom w:val="single" w:sz="6" w:space="0" w:color="auto"/>
            </w:tcBorders>
            <w:shd w:val="clear" w:color="auto" w:fill="auto"/>
            <w:noWrap/>
            <w:vAlign w:val="bottom"/>
            <w:hideMark/>
          </w:tcPr>
          <w:p w14:paraId="052F5820" w14:textId="77777777" w:rsidR="00B41A9A" w:rsidRPr="00783571" w:rsidRDefault="00B41A9A" w:rsidP="00EA6CA4">
            <w:pPr>
              <w:pStyle w:val="TableHeaders"/>
            </w:pPr>
            <w:r w:rsidRPr="00783571">
              <w:t>Value</w:t>
            </w:r>
          </w:p>
        </w:tc>
        <w:tc>
          <w:tcPr>
            <w:tcW w:w="6213" w:type="dxa"/>
            <w:tcBorders>
              <w:top w:val="single" w:sz="12" w:space="0" w:color="000000"/>
              <w:bottom w:val="single" w:sz="6" w:space="0" w:color="auto"/>
            </w:tcBorders>
            <w:shd w:val="clear" w:color="auto" w:fill="auto"/>
            <w:noWrap/>
            <w:vAlign w:val="bottom"/>
            <w:hideMark/>
          </w:tcPr>
          <w:p w14:paraId="0454668C" w14:textId="77777777" w:rsidR="00B41A9A" w:rsidRPr="00783571" w:rsidRDefault="00B41A9A" w:rsidP="00EA6CA4">
            <w:pPr>
              <w:pStyle w:val="TableHeaders"/>
            </w:pPr>
            <w:r w:rsidRPr="00783571">
              <w:t>Source</w:t>
            </w:r>
          </w:p>
        </w:tc>
      </w:tr>
      <w:tr w:rsidR="00B41A9A" w:rsidRPr="00783571" w14:paraId="74698DE6" w14:textId="77777777" w:rsidTr="00863FC7">
        <w:trPr>
          <w:cantSplit/>
        </w:trPr>
        <w:tc>
          <w:tcPr>
            <w:tcW w:w="5063" w:type="dxa"/>
            <w:tcBorders>
              <w:top w:val="single" w:sz="6" w:space="0" w:color="auto"/>
              <w:bottom w:val="single" w:sz="6" w:space="0" w:color="808080" w:themeColor="background1" w:themeShade="80"/>
            </w:tcBorders>
            <w:shd w:val="clear" w:color="auto" w:fill="auto"/>
            <w:noWrap/>
            <w:hideMark/>
          </w:tcPr>
          <w:p w14:paraId="43B0D874" w14:textId="77777777" w:rsidR="00B41A9A" w:rsidRPr="00783571" w:rsidRDefault="00B41A9A" w:rsidP="00EA6CA4">
            <w:pPr>
              <w:pStyle w:val="TableText"/>
            </w:pPr>
            <w:r w:rsidRPr="00783571">
              <w:t>Annual number of injections across all partners per year</w:t>
            </w:r>
          </w:p>
        </w:tc>
        <w:tc>
          <w:tcPr>
            <w:tcW w:w="1684" w:type="dxa"/>
            <w:tcBorders>
              <w:top w:val="single" w:sz="6" w:space="0" w:color="auto"/>
              <w:bottom w:val="single" w:sz="6" w:space="0" w:color="808080" w:themeColor="background1" w:themeShade="80"/>
            </w:tcBorders>
            <w:shd w:val="clear" w:color="auto" w:fill="auto"/>
            <w:noWrap/>
            <w:hideMark/>
          </w:tcPr>
          <w:p w14:paraId="726CA24B" w14:textId="77777777" w:rsidR="00B41A9A" w:rsidRPr="00783571" w:rsidRDefault="00385B72" w:rsidP="00385B72">
            <w:pPr>
              <w:pStyle w:val="TableTextDec"/>
              <w:tabs>
                <w:tab w:val="clear" w:pos="1015"/>
              </w:tabs>
              <w:jc w:val="center"/>
            </w:pPr>
            <w:r w:rsidRPr="00783571">
              <w:t>299.85</w:t>
            </w:r>
          </w:p>
        </w:tc>
        <w:tc>
          <w:tcPr>
            <w:tcW w:w="6213" w:type="dxa"/>
            <w:tcBorders>
              <w:top w:val="single" w:sz="6" w:space="0" w:color="auto"/>
              <w:bottom w:val="single" w:sz="6" w:space="0" w:color="808080" w:themeColor="background1" w:themeShade="80"/>
            </w:tcBorders>
            <w:shd w:val="clear" w:color="auto" w:fill="auto"/>
            <w:noWrap/>
            <w:hideMark/>
          </w:tcPr>
          <w:p w14:paraId="4C9B1460" w14:textId="77777777" w:rsidR="00B41A9A" w:rsidRPr="00783571" w:rsidRDefault="00765B12" w:rsidP="00EA6CA4">
            <w:pPr>
              <w:pStyle w:val="TableText"/>
            </w:pPr>
            <w:r w:rsidRPr="00783571">
              <w:t xml:space="preserve">Calculated from </w:t>
            </w:r>
            <w:r w:rsidR="00B41A9A" w:rsidRPr="00783571">
              <w:t xml:space="preserve">Jenness </w:t>
            </w:r>
            <w:r w:rsidR="00D877D7" w:rsidRPr="00783571">
              <w:t xml:space="preserve">et al. </w:t>
            </w:r>
            <w:r w:rsidR="00B41A9A" w:rsidRPr="00783571">
              <w:t>(2011)</w:t>
            </w:r>
            <w:r w:rsidR="000727D1" w:rsidRPr="00783571">
              <w:rPr>
                <w:vertAlign w:val="superscript"/>
              </w:rPr>
              <w:t>a</w:t>
            </w:r>
            <w:r w:rsidR="000727D1" w:rsidRPr="00783571">
              <w:t xml:space="preserve"> </w:t>
            </w:r>
          </w:p>
        </w:tc>
      </w:tr>
      <w:tr w:rsidR="00B41A9A" w:rsidRPr="00783571" w14:paraId="22C0E9D4" w14:textId="77777777" w:rsidTr="00863FC7">
        <w:trPr>
          <w:cantSplit/>
        </w:trPr>
        <w:tc>
          <w:tcPr>
            <w:tcW w:w="5063" w:type="dxa"/>
            <w:tcBorders>
              <w:top w:val="single" w:sz="6" w:space="0" w:color="808080" w:themeColor="background1" w:themeShade="80"/>
              <w:bottom w:val="single" w:sz="6" w:space="0" w:color="808080" w:themeColor="background1" w:themeShade="80"/>
            </w:tcBorders>
            <w:shd w:val="clear" w:color="auto" w:fill="auto"/>
            <w:noWrap/>
            <w:hideMark/>
          </w:tcPr>
          <w:p w14:paraId="1075A765" w14:textId="77777777" w:rsidR="00B41A9A" w:rsidRPr="00783571" w:rsidRDefault="00C432B3" w:rsidP="00EA6CA4">
            <w:pPr>
              <w:pStyle w:val="TableText"/>
            </w:pPr>
            <w:r w:rsidRPr="00783571">
              <w:t xml:space="preserve">Percentage </w:t>
            </w:r>
            <w:r w:rsidR="00B41A9A" w:rsidRPr="00783571">
              <w:t>of injections that are shared</w:t>
            </w:r>
          </w:p>
        </w:tc>
        <w:tc>
          <w:tcPr>
            <w:tcW w:w="1684" w:type="dxa"/>
            <w:tcBorders>
              <w:top w:val="single" w:sz="6" w:space="0" w:color="808080" w:themeColor="background1" w:themeShade="80"/>
              <w:bottom w:val="single" w:sz="6" w:space="0" w:color="808080" w:themeColor="background1" w:themeShade="80"/>
            </w:tcBorders>
            <w:shd w:val="clear" w:color="auto" w:fill="auto"/>
            <w:noWrap/>
            <w:hideMark/>
          </w:tcPr>
          <w:p w14:paraId="0CA38478" w14:textId="5351D45A" w:rsidR="00B41A9A" w:rsidRPr="00783571" w:rsidRDefault="00E14D15" w:rsidP="00385B72">
            <w:pPr>
              <w:pStyle w:val="TableTextDec"/>
              <w:tabs>
                <w:tab w:val="clear" w:pos="1015"/>
              </w:tabs>
              <w:jc w:val="center"/>
            </w:pPr>
            <w:r w:rsidRPr="00783571">
              <w:t>`12.63</w:t>
            </w:r>
            <w:r w:rsidR="00385B72" w:rsidRPr="00783571">
              <w:t>%</w:t>
            </w:r>
          </w:p>
        </w:tc>
        <w:tc>
          <w:tcPr>
            <w:tcW w:w="6213" w:type="dxa"/>
            <w:tcBorders>
              <w:top w:val="single" w:sz="6" w:space="0" w:color="808080" w:themeColor="background1" w:themeShade="80"/>
              <w:bottom w:val="single" w:sz="6" w:space="0" w:color="808080" w:themeColor="background1" w:themeShade="80"/>
            </w:tcBorders>
            <w:shd w:val="clear" w:color="auto" w:fill="auto"/>
            <w:noWrap/>
            <w:hideMark/>
          </w:tcPr>
          <w:p w14:paraId="781D9A99" w14:textId="77777777" w:rsidR="00B41A9A" w:rsidRPr="00783571" w:rsidRDefault="00765B12" w:rsidP="00EA6CA4">
            <w:pPr>
              <w:pStyle w:val="TableText"/>
            </w:pPr>
            <w:r w:rsidRPr="00783571">
              <w:t>Determined by calibration</w:t>
            </w:r>
          </w:p>
        </w:tc>
      </w:tr>
      <w:tr w:rsidR="00B41A9A" w:rsidRPr="00783571" w14:paraId="4AF1EC71" w14:textId="77777777" w:rsidTr="00863FC7">
        <w:trPr>
          <w:cantSplit/>
        </w:trPr>
        <w:tc>
          <w:tcPr>
            <w:tcW w:w="5063" w:type="dxa"/>
            <w:tcBorders>
              <w:top w:val="single" w:sz="6" w:space="0" w:color="808080" w:themeColor="background1" w:themeShade="80"/>
              <w:bottom w:val="single" w:sz="6" w:space="0" w:color="808080" w:themeColor="background1" w:themeShade="80"/>
            </w:tcBorders>
            <w:shd w:val="clear" w:color="auto" w:fill="auto"/>
            <w:noWrap/>
            <w:hideMark/>
          </w:tcPr>
          <w:p w14:paraId="5DD7226F" w14:textId="014CEE70" w:rsidR="00B41A9A" w:rsidRPr="00783571" w:rsidRDefault="00341EDC" w:rsidP="00341EDC">
            <w:pPr>
              <w:pStyle w:val="TableText"/>
            </w:pPr>
            <w:r w:rsidRPr="00783571">
              <w:t>Annual n</w:t>
            </w:r>
            <w:r w:rsidR="00B41A9A" w:rsidRPr="00783571">
              <w:t>umber of needles shared across all partners</w:t>
            </w:r>
          </w:p>
        </w:tc>
        <w:tc>
          <w:tcPr>
            <w:tcW w:w="1684" w:type="dxa"/>
            <w:tcBorders>
              <w:top w:val="single" w:sz="6" w:space="0" w:color="808080" w:themeColor="background1" w:themeShade="80"/>
              <w:bottom w:val="single" w:sz="6" w:space="0" w:color="808080" w:themeColor="background1" w:themeShade="80"/>
            </w:tcBorders>
            <w:shd w:val="clear" w:color="auto" w:fill="auto"/>
            <w:noWrap/>
            <w:hideMark/>
          </w:tcPr>
          <w:p w14:paraId="2150F3E9" w14:textId="507E6ACF" w:rsidR="00B41A9A" w:rsidRPr="00783571" w:rsidRDefault="001734FC" w:rsidP="00EA6CA4">
            <w:pPr>
              <w:pStyle w:val="TableTextDec"/>
              <w:tabs>
                <w:tab w:val="clear" w:pos="1015"/>
              </w:tabs>
              <w:jc w:val="center"/>
            </w:pPr>
            <w:r w:rsidRPr="00783571">
              <w:t>37.87</w:t>
            </w:r>
          </w:p>
        </w:tc>
        <w:tc>
          <w:tcPr>
            <w:tcW w:w="6213" w:type="dxa"/>
            <w:tcBorders>
              <w:top w:val="single" w:sz="6" w:space="0" w:color="808080" w:themeColor="background1" w:themeShade="80"/>
              <w:bottom w:val="single" w:sz="6" w:space="0" w:color="808080" w:themeColor="background1" w:themeShade="80"/>
            </w:tcBorders>
            <w:shd w:val="clear" w:color="auto" w:fill="auto"/>
            <w:noWrap/>
            <w:hideMark/>
          </w:tcPr>
          <w:p w14:paraId="39AA0797" w14:textId="77777777" w:rsidR="00B41A9A" w:rsidRPr="00783571" w:rsidRDefault="00B41A9A" w:rsidP="00CC37A8">
            <w:pPr>
              <w:pStyle w:val="TableText"/>
            </w:pPr>
            <w:r w:rsidRPr="00783571">
              <w:t>Calculated</w:t>
            </w:r>
            <w:r w:rsidR="000727D1" w:rsidRPr="00783571">
              <w:rPr>
                <w:vertAlign w:val="superscript"/>
              </w:rPr>
              <w:t>b</w:t>
            </w:r>
          </w:p>
        </w:tc>
      </w:tr>
      <w:tr w:rsidR="00B41A9A" w:rsidRPr="00783571" w14:paraId="35BA0FBE" w14:textId="77777777" w:rsidTr="00863FC7">
        <w:trPr>
          <w:cantSplit/>
        </w:trPr>
        <w:tc>
          <w:tcPr>
            <w:tcW w:w="5063" w:type="dxa"/>
            <w:tcBorders>
              <w:top w:val="single" w:sz="6" w:space="0" w:color="808080" w:themeColor="background1" w:themeShade="80"/>
              <w:bottom w:val="single" w:sz="6" w:space="0" w:color="808080" w:themeColor="background1" w:themeShade="80"/>
            </w:tcBorders>
            <w:shd w:val="clear" w:color="auto" w:fill="auto"/>
            <w:noWrap/>
            <w:hideMark/>
          </w:tcPr>
          <w:p w14:paraId="3E089AEB" w14:textId="0B25BDF5" w:rsidR="00B41A9A" w:rsidRPr="00783571" w:rsidRDefault="00B41A9A" w:rsidP="005C4A38">
            <w:pPr>
              <w:pStyle w:val="TableText"/>
            </w:pPr>
            <w:r w:rsidRPr="00783571">
              <w:t xml:space="preserve">Annual number of needle-sharing partners for </w:t>
            </w:r>
            <w:r w:rsidR="005C4A38" w:rsidRPr="00783571">
              <w:t>PWID</w:t>
            </w:r>
          </w:p>
        </w:tc>
        <w:tc>
          <w:tcPr>
            <w:tcW w:w="1684" w:type="dxa"/>
            <w:tcBorders>
              <w:top w:val="single" w:sz="6" w:space="0" w:color="808080" w:themeColor="background1" w:themeShade="80"/>
              <w:bottom w:val="single" w:sz="6" w:space="0" w:color="808080" w:themeColor="background1" w:themeShade="80"/>
            </w:tcBorders>
            <w:shd w:val="clear" w:color="auto" w:fill="auto"/>
            <w:noWrap/>
            <w:hideMark/>
          </w:tcPr>
          <w:p w14:paraId="6B2C0A7A" w14:textId="77777777" w:rsidR="00B41A9A" w:rsidRPr="00783571" w:rsidRDefault="00314E78" w:rsidP="00EA6CA4">
            <w:pPr>
              <w:pStyle w:val="TableTextDec"/>
              <w:tabs>
                <w:tab w:val="clear" w:pos="1015"/>
              </w:tabs>
              <w:jc w:val="center"/>
            </w:pPr>
            <w:r w:rsidRPr="00783571">
              <w:t>9.5</w:t>
            </w:r>
          </w:p>
        </w:tc>
        <w:tc>
          <w:tcPr>
            <w:tcW w:w="6213" w:type="dxa"/>
            <w:tcBorders>
              <w:top w:val="single" w:sz="6" w:space="0" w:color="808080" w:themeColor="background1" w:themeShade="80"/>
              <w:bottom w:val="single" w:sz="6" w:space="0" w:color="808080" w:themeColor="background1" w:themeShade="80"/>
            </w:tcBorders>
            <w:shd w:val="clear" w:color="auto" w:fill="auto"/>
            <w:noWrap/>
            <w:hideMark/>
          </w:tcPr>
          <w:p w14:paraId="139AD3BF" w14:textId="4415522E" w:rsidR="00B41A9A" w:rsidRPr="00783571" w:rsidRDefault="00B717E6" w:rsidP="00B717E6">
            <w:pPr>
              <w:pStyle w:val="TableText"/>
            </w:pPr>
            <w:r w:rsidRPr="00783571">
              <w:t>Assumption based on number of sexual partners from CDC unpublished data</w:t>
            </w:r>
            <w:r w:rsidR="009F0212" w:rsidRPr="00783571">
              <w:t xml:space="preserve"> based on 2009 NHBS IDU cycle 2</w:t>
            </w:r>
          </w:p>
        </w:tc>
      </w:tr>
      <w:tr w:rsidR="00B41A9A" w:rsidRPr="00783571" w14:paraId="4246DEDF" w14:textId="77777777" w:rsidTr="00863FC7">
        <w:trPr>
          <w:cantSplit/>
        </w:trPr>
        <w:tc>
          <w:tcPr>
            <w:tcW w:w="5063" w:type="dxa"/>
            <w:tcBorders>
              <w:top w:val="single" w:sz="6" w:space="0" w:color="808080" w:themeColor="background1" w:themeShade="80"/>
              <w:bottom w:val="single" w:sz="6" w:space="0" w:color="808080" w:themeColor="background1" w:themeShade="80"/>
            </w:tcBorders>
            <w:shd w:val="clear" w:color="auto" w:fill="auto"/>
            <w:noWrap/>
            <w:hideMark/>
          </w:tcPr>
          <w:p w14:paraId="3DFABF32" w14:textId="77777777" w:rsidR="00B41A9A" w:rsidRPr="00783571" w:rsidRDefault="00B41A9A" w:rsidP="00EA6CA4">
            <w:pPr>
              <w:pStyle w:val="TableText"/>
            </w:pPr>
            <w:r w:rsidRPr="00783571">
              <w:t>Number of needles shared per partner</w:t>
            </w:r>
          </w:p>
        </w:tc>
        <w:tc>
          <w:tcPr>
            <w:tcW w:w="1684" w:type="dxa"/>
            <w:tcBorders>
              <w:top w:val="single" w:sz="6" w:space="0" w:color="808080" w:themeColor="background1" w:themeShade="80"/>
              <w:bottom w:val="single" w:sz="6" w:space="0" w:color="808080" w:themeColor="background1" w:themeShade="80"/>
            </w:tcBorders>
            <w:shd w:val="clear" w:color="auto" w:fill="auto"/>
            <w:noWrap/>
            <w:hideMark/>
          </w:tcPr>
          <w:p w14:paraId="5785AC77" w14:textId="1CD47306" w:rsidR="00B41A9A" w:rsidRPr="00783571" w:rsidRDefault="001734FC" w:rsidP="00385B72">
            <w:pPr>
              <w:pStyle w:val="TableTextDec"/>
              <w:tabs>
                <w:tab w:val="clear" w:pos="1015"/>
              </w:tabs>
              <w:jc w:val="center"/>
            </w:pPr>
            <w:r w:rsidRPr="00783571">
              <w:t>3.99</w:t>
            </w:r>
          </w:p>
        </w:tc>
        <w:tc>
          <w:tcPr>
            <w:tcW w:w="6213" w:type="dxa"/>
            <w:tcBorders>
              <w:top w:val="single" w:sz="6" w:space="0" w:color="808080" w:themeColor="background1" w:themeShade="80"/>
              <w:bottom w:val="single" w:sz="6" w:space="0" w:color="808080" w:themeColor="background1" w:themeShade="80"/>
            </w:tcBorders>
            <w:shd w:val="clear" w:color="auto" w:fill="auto"/>
            <w:noWrap/>
            <w:hideMark/>
          </w:tcPr>
          <w:p w14:paraId="3E364020" w14:textId="77777777" w:rsidR="00B41A9A" w:rsidRPr="00783571" w:rsidRDefault="00B41A9A" w:rsidP="00EA6CA4">
            <w:pPr>
              <w:pStyle w:val="TableText"/>
            </w:pPr>
            <w:r w:rsidRPr="00783571">
              <w:t>Calculated</w:t>
            </w:r>
            <w:r w:rsidR="000727D1" w:rsidRPr="00783571">
              <w:rPr>
                <w:vertAlign w:val="superscript"/>
              </w:rPr>
              <w:t>c</w:t>
            </w:r>
          </w:p>
        </w:tc>
      </w:tr>
      <w:tr w:rsidR="00764051" w:rsidRPr="00783571" w14:paraId="76F9FDE8" w14:textId="77777777" w:rsidTr="00863FC7">
        <w:trPr>
          <w:cantSplit/>
        </w:trPr>
        <w:tc>
          <w:tcPr>
            <w:tcW w:w="5063" w:type="dxa"/>
            <w:tcBorders>
              <w:top w:val="single" w:sz="6" w:space="0" w:color="808080" w:themeColor="background1" w:themeShade="80"/>
              <w:bottom w:val="single" w:sz="6" w:space="0" w:color="808080" w:themeColor="background1" w:themeShade="80"/>
            </w:tcBorders>
            <w:shd w:val="clear" w:color="auto" w:fill="auto"/>
            <w:noWrap/>
          </w:tcPr>
          <w:p w14:paraId="04B2EFCC" w14:textId="04582D82" w:rsidR="00764051" w:rsidRPr="00783571" w:rsidRDefault="007B3390" w:rsidP="007B3390">
            <w:pPr>
              <w:pStyle w:val="TableText"/>
              <w:ind w:right="-80"/>
            </w:pPr>
            <w:r w:rsidRPr="00783571">
              <w:t xml:space="preserve">Percentage </w:t>
            </w:r>
            <w:r w:rsidR="00764051" w:rsidRPr="00783571">
              <w:t xml:space="preserve">of </w:t>
            </w:r>
            <w:r w:rsidRPr="00783571">
              <w:t xml:space="preserve">uninfected MSM’s </w:t>
            </w:r>
            <w:r w:rsidR="00764051" w:rsidRPr="00783571">
              <w:t>sex acts</w:t>
            </w:r>
            <w:r w:rsidRPr="00783571">
              <w:t xml:space="preserve"> with other MSM</w:t>
            </w:r>
            <w:r w:rsidR="00764051" w:rsidRPr="00783571">
              <w:t xml:space="preserve"> that are </w:t>
            </w:r>
            <w:r w:rsidRPr="00783571">
              <w:t>insertive</w:t>
            </w:r>
            <w:r w:rsidR="00764051" w:rsidRPr="00783571">
              <w:t xml:space="preserve"> (vs. </w:t>
            </w:r>
            <w:r w:rsidRPr="00783571">
              <w:t>receptive</w:t>
            </w:r>
            <w:r w:rsidR="00764051" w:rsidRPr="00783571">
              <w:t xml:space="preserve">) </w:t>
            </w:r>
          </w:p>
        </w:tc>
        <w:tc>
          <w:tcPr>
            <w:tcW w:w="1684" w:type="dxa"/>
            <w:tcBorders>
              <w:top w:val="single" w:sz="6" w:space="0" w:color="808080" w:themeColor="background1" w:themeShade="80"/>
              <w:bottom w:val="single" w:sz="6" w:space="0" w:color="808080" w:themeColor="background1" w:themeShade="80"/>
            </w:tcBorders>
            <w:shd w:val="clear" w:color="auto" w:fill="auto"/>
            <w:noWrap/>
          </w:tcPr>
          <w:p w14:paraId="5FA610DE" w14:textId="1B5FC4BE" w:rsidR="00764051" w:rsidRPr="00783571" w:rsidRDefault="00764051" w:rsidP="000B74D8">
            <w:pPr>
              <w:pStyle w:val="TableTextDec"/>
              <w:tabs>
                <w:tab w:val="clear" w:pos="1015"/>
              </w:tabs>
              <w:jc w:val="center"/>
            </w:pPr>
            <w:r w:rsidRPr="00783571">
              <w:t>50%</w:t>
            </w:r>
          </w:p>
        </w:tc>
        <w:tc>
          <w:tcPr>
            <w:tcW w:w="6213" w:type="dxa"/>
            <w:tcBorders>
              <w:top w:val="single" w:sz="6" w:space="0" w:color="808080" w:themeColor="background1" w:themeShade="80"/>
              <w:bottom w:val="single" w:sz="6" w:space="0" w:color="808080" w:themeColor="background1" w:themeShade="80"/>
            </w:tcBorders>
            <w:shd w:val="clear" w:color="auto" w:fill="auto"/>
            <w:noWrap/>
          </w:tcPr>
          <w:p w14:paraId="00E1F17D" w14:textId="75A9AC7F" w:rsidR="00764051" w:rsidRPr="00783571" w:rsidRDefault="007B3390" w:rsidP="009F0212">
            <w:pPr>
              <w:pStyle w:val="TableText"/>
            </w:pPr>
            <w:r w:rsidRPr="00783571">
              <w:t>Sorensen et al. (2012)</w:t>
            </w:r>
          </w:p>
        </w:tc>
      </w:tr>
      <w:tr w:rsidR="00B41A9A" w:rsidRPr="00783571" w14:paraId="0D9E7D62" w14:textId="77777777" w:rsidTr="00863FC7">
        <w:trPr>
          <w:cantSplit/>
        </w:trPr>
        <w:tc>
          <w:tcPr>
            <w:tcW w:w="5063" w:type="dxa"/>
            <w:tcBorders>
              <w:top w:val="single" w:sz="6" w:space="0" w:color="808080" w:themeColor="background1" w:themeShade="80"/>
              <w:bottom w:val="single" w:sz="6" w:space="0" w:color="808080" w:themeColor="background1" w:themeShade="80"/>
            </w:tcBorders>
            <w:shd w:val="clear" w:color="auto" w:fill="auto"/>
            <w:noWrap/>
          </w:tcPr>
          <w:p w14:paraId="33E0E349" w14:textId="52549092" w:rsidR="00B41A9A" w:rsidRPr="00783571" w:rsidRDefault="00B41A9A" w:rsidP="0014376C">
            <w:pPr>
              <w:pStyle w:val="TableText"/>
              <w:ind w:right="-80"/>
            </w:pPr>
            <w:r w:rsidRPr="00783571">
              <w:t>Among people who have AI, percentage of</w:t>
            </w:r>
            <w:r w:rsidR="000B74D8" w:rsidRPr="00783571">
              <w:t xml:space="preserve"> their</w:t>
            </w:r>
            <w:r w:rsidRPr="00783571">
              <w:t xml:space="preserve"> </w:t>
            </w:r>
            <w:r w:rsidR="000B74D8" w:rsidRPr="00783571">
              <w:t>male-female</w:t>
            </w:r>
            <w:r w:rsidRPr="00783571">
              <w:t xml:space="preserve"> partnerships with AI and VI</w:t>
            </w:r>
            <w:r w:rsidR="00385B72" w:rsidRPr="00783571">
              <w:t xml:space="preserve"> </w:t>
            </w:r>
            <w:r w:rsidR="000B74D8" w:rsidRPr="00783571">
              <w:t>in</w:t>
            </w:r>
            <w:r w:rsidR="0014376C" w:rsidRPr="00783571">
              <w:t xml:space="preserve"> second and third</w:t>
            </w:r>
            <w:r w:rsidR="000B74D8" w:rsidRPr="00783571">
              <w:t xml:space="preserve"> </w:t>
            </w:r>
            <w:r w:rsidR="0014376C" w:rsidRPr="00783571">
              <w:t>time periods</w:t>
            </w:r>
          </w:p>
        </w:tc>
        <w:tc>
          <w:tcPr>
            <w:tcW w:w="1684" w:type="dxa"/>
            <w:tcBorders>
              <w:top w:val="single" w:sz="6" w:space="0" w:color="808080" w:themeColor="background1" w:themeShade="80"/>
              <w:bottom w:val="single" w:sz="6" w:space="0" w:color="808080" w:themeColor="background1" w:themeShade="80"/>
            </w:tcBorders>
            <w:shd w:val="clear" w:color="auto" w:fill="auto"/>
            <w:noWrap/>
          </w:tcPr>
          <w:p w14:paraId="557C2BEE" w14:textId="77B064D9" w:rsidR="00B41A9A" w:rsidRPr="00783571" w:rsidRDefault="00BB7569" w:rsidP="000B74D8">
            <w:pPr>
              <w:pStyle w:val="TableTextDec"/>
              <w:tabs>
                <w:tab w:val="clear" w:pos="1015"/>
              </w:tabs>
              <w:jc w:val="center"/>
            </w:pPr>
            <w:r w:rsidRPr="00783571">
              <w:t>80.</w:t>
            </w:r>
            <w:r w:rsidR="00516CDB" w:rsidRPr="00783571">
              <w:t>0</w:t>
            </w:r>
            <w:r w:rsidR="00E14D15" w:rsidRPr="00783571">
              <w:t>7</w:t>
            </w:r>
            <w:r w:rsidR="00385B72" w:rsidRPr="00783571">
              <w:t>%</w:t>
            </w:r>
          </w:p>
        </w:tc>
        <w:tc>
          <w:tcPr>
            <w:tcW w:w="6213" w:type="dxa"/>
            <w:tcBorders>
              <w:top w:val="single" w:sz="6" w:space="0" w:color="808080" w:themeColor="background1" w:themeShade="80"/>
              <w:bottom w:val="single" w:sz="6" w:space="0" w:color="808080" w:themeColor="background1" w:themeShade="80"/>
            </w:tcBorders>
            <w:shd w:val="clear" w:color="auto" w:fill="auto"/>
            <w:noWrap/>
          </w:tcPr>
          <w:p w14:paraId="17AE1D15" w14:textId="77777777" w:rsidR="00B41A9A" w:rsidRPr="00783571" w:rsidRDefault="00B41A9A" w:rsidP="00EA6CA4">
            <w:pPr>
              <w:pStyle w:val="TableText"/>
            </w:pPr>
            <w:r w:rsidRPr="00783571">
              <w:t>Determined by calibration</w:t>
            </w:r>
          </w:p>
        </w:tc>
      </w:tr>
      <w:tr w:rsidR="00BB7569" w:rsidRPr="00783571" w14:paraId="343361C3" w14:textId="77777777" w:rsidTr="00863FC7">
        <w:trPr>
          <w:cantSplit/>
        </w:trPr>
        <w:tc>
          <w:tcPr>
            <w:tcW w:w="5063" w:type="dxa"/>
            <w:tcBorders>
              <w:top w:val="single" w:sz="6" w:space="0" w:color="808080" w:themeColor="background1" w:themeShade="80"/>
              <w:bottom w:val="single" w:sz="6" w:space="0" w:color="808080" w:themeColor="background1" w:themeShade="80"/>
            </w:tcBorders>
            <w:shd w:val="clear" w:color="auto" w:fill="auto"/>
            <w:noWrap/>
          </w:tcPr>
          <w:p w14:paraId="241B71C9" w14:textId="0B64CC27" w:rsidR="00BB7569" w:rsidRPr="00783571" w:rsidRDefault="00BB7569" w:rsidP="00695572">
            <w:pPr>
              <w:pStyle w:val="TableText"/>
            </w:pPr>
            <w:r w:rsidRPr="00783571">
              <w:t xml:space="preserve">Increase in percentage of </w:t>
            </w:r>
            <w:r w:rsidR="00FC4AA3" w:rsidRPr="00783571">
              <w:t xml:space="preserve">uninfected individuals' </w:t>
            </w:r>
            <w:r w:rsidR="00782B9B" w:rsidRPr="00783571">
              <w:t>sex act</w:t>
            </w:r>
            <w:r w:rsidRPr="00783571">
              <w:t>s</w:t>
            </w:r>
            <w:r w:rsidR="00695572" w:rsidRPr="00783571">
              <w:t xml:space="preserve"> with HIV-infected partners that are</w:t>
            </w:r>
            <w:r w:rsidRPr="00783571">
              <w:t xml:space="preserve"> protected with a condom </w:t>
            </w:r>
            <w:r w:rsidR="00695572" w:rsidRPr="00783571">
              <w:t xml:space="preserve">when partner is </w:t>
            </w:r>
            <w:r w:rsidRPr="00783571">
              <w:t>diagnosed vs. undiagnosed</w:t>
            </w:r>
            <w:r w:rsidR="00FC4AA3" w:rsidRPr="00783571">
              <w:t xml:space="preserve"> </w:t>
            </w:r>
          </w:p>
        </w:tc>
        <w:tc>
          <w:tcPr>
            <w:tcW w:w="1684" w:type="dxa"/>
            <w:tcBorders>
              <w:top w:val="single" w:sz="6" w:space="0" w:color="808080" w:themeColor="background1" w:themeShade="80"/>
              <w:bottom w:val="single" w:sz="6" w:space="0" w:color="808080" w:themeColor="background1" w:themeShade="80"/>
            </w:tcBorders>
            <w:shd w:val="clear" w:color="auto" w:fill="auto"/>
            <w:noWrap/>
          </w:tcPr>
          <w:p w14:paraId="4BE8FE37" w14:textId="0383F541" w:rsidR="00BB7569" w:rsidRPr="00783571" w:rsidRDefault="00BB7569" w:rsidP="00EA6CA4">
            <w:pPr>
              <w:pStyle w:val="TableTextDec"/>
              <w:tabs>
                <w:tab w:val="clear" w:pos="1015"/>
              </w:tabs>
              <w:jc w:val="center"/>
            </w:pPr>
            <w:r w:rsidRPr="00783571">
              <w:t>53%</w:t>
            </w:r>
          </w:p>
        </w:tc>
        <w:tc>
          <w:tcPr>
            <w:tcW w:w="6213" w:type="dxa"/>
            <w:tcBorders>
              <w:top w:val="single" w:sz="6" w:space="0" w:color="808080" w:themeColor="background1" w:themeShade="80"/>
              <w:bottom w:val="single" w:sz="6" w:space="0" w:color="808080" w:themeColor="background1" w:themeShade="80"/>
            </w:tcBorders>
            <w:shd w:val="clear" w:color="auto" w:fill="auto"/>
            <w:noWrap/>
          </w:tcPr>
          <w:p w14:paraId="446D67C9" w14:textId="1D7680EF" w:rsidR="00BB7569" w:rsidRPr="00783571" w:rsidRDefault="00BB7569" w:rsidP="000727D1">
            <w:pPr>
              <w:pStyle w:val="TableText"/>
            </w:pPr>
            <w:r w:rsidRPr="00783571">
              <w:t>Marks et al. (2005) (assumed same for both time periods)</w:t>
            </w:r>
          </w:p>
        </w:tc>
      </w:tr>
      <w:tr w:rsidR="00BB7569" w:rsidRPr="00783571" w14:paraId="2D88C51B" w14:textId="77777777" w:rsidTr="00863FC7">
        <w:trPr>
          <w:cantSplit/>
        </w:trPr>
        <w:tc>
          <w:tcPr>
            <w:tcW w:w="12960" w:type="dxa"/>
            <w:gridSpan w:val="3"/>
            <w:tcBorders>
              <w:top w:val="single" w:sz="6" w:space="0" w:color="808080" w:themeColor="background1" w:themeShade="80"/>
              <w:bottom w:val="single" w:sz="6" w:space="0" w:color="808080" w:themeColor="background1" w:themeShade="80"/>
            </w:tcBorders>
            <w:shd w:val="clear" w:color="auto" w:fill="auto"/>
            <w:noWrap/>
            <w:hideMark/>
          </w:tcPr>
          <w:p w14:paraId="43C9BDF2" w14:textId="76B2E4EA" w:rsidR="00BB7569" w:rsidRPr="00783571" w:rsidRDefault="00BB7569" w:rsidP="00EA6CA4">
            <w:pPr>
              <w:pStyle w:val="TableText"/>
            </w:pPr>
            <w:r w:rsidRPr="00783571">
              <w:t xml:space="preserve">Percentage of </w:t>
            </w:r>
            <w:r w:rsidR="00DB6E5A" w:rsidRPr="00783571">
              <w:t>sex act</w:t>
            </w:r>
            <w:r w:rsidRPr="00783571">
              <w:t>s in which condom provides effective protection</w:t>
            </w:r>
          </w:p>
        </w:tc>
      </w:tr>
      <w:tr w:rsidR="00BB7569" w:rsidRPr="00783571" w14:paraId="13C69705" w14:textId="77777777" w:rsidTr="00863FC7">
        <w:trPr>
          <w:cantSplit/>
        </w:trPr>
        <w:tc>
          <w:tcPr>
            <w:tcW w:w="5063" w:type="dxa"/>
            <w:tcBorders>
              <w:top w:val="single" w:sz="6" w:space="0" w:color="808080" w:themeColor="background1" w:themeShade="80"/>
              <w:bottom w:val="single" w:sz="6" w:space="0" w:color="808080" w:themeColor="background1" w:themeShade="80"/>
            </w:tcBorders>
            <w:shd w:val="clear" w:color="auto" w:fill="auto"/>
            <w:noWrap/>
          </w:tcPr>
          <w:p w14:paraId="72FE6EA1" w14:textId="77777777" w:rsidR="00BB7569" w:rsidRPr="00783571" w:rsidRDefault="00BB7569" w:rsidP="00BC594C">
            <w:pPr>
              <w:pStyle w:val="TableText"/>
              <w:ind w:left="364"/>
            </w:pPr>
            <w:r w:rsidRPr="00783571">
              <w:t>VI</w:t>
            </w:r>
          </w:p>
        </w:tc>
        <w:tc>
          <w:tcPr>
            <w:tcW w:w="1684" w:type="dxa"/>
            <w:tcBorders>
              <w:top w:val="single" w:sz="6" w:space="0" w:color="808080" w:themeColor="background1" w:themeShade="80"/>
              <w:bottom w:val="single" w:sz="6" w:space="0" w:color="808080" w:themeColor="background1" w:themeShade="80"/>
            </w:tcBorders>
            <w:shd w:val="clear" w:color="auto" w:fill="auto"/>
            <w:noWrap/>
          </w:tcPr>
          <w:p w14:paraId="25E6FDD1" w14:textId="77777777" w:rsidR="00BB7569" w:rsidRPr="00783571" w:rsidRDefault="00BB7569" w:rsidP="00EA6CA4">
            <w:pPr>
              <w:pStyle w:val="TableTextDec"/>
              <w:tabs>
                <w:tab w:val="clear" w:pos="1015"/>
              </w:tabs>
              <w:jc w:val="center"/>
            </w:pPr>
            <w:r w:rsidRPr="00783571">
              <w:t>80.2%</w:t>
            </w:r>
          </w:p>
        </w:tc>
        <w:tc>
          <w:tcPr>
            <w:tcW w:w="6213" w:type="dxa"/>
            <w:tcBorders>
              <w:top w:val="single" w:sz="6" w:space="0" w:color="808080" w:themeColor="background1" w:themeShade="80"/>
              <w:bottom w:val="single" w:sz="6" w:space="0" w:color="808080" w:themeColor="background1" w:themeShade="80"/>
            </w:tcBorders>
            <w:shd w:val="clear" w:color="auto" w:fill="auto"/>
            <w:noWrap/>
          </w:tcPr>
          <w:p w14:paraId="29A400FC" w14:textId="77777777" w:rsidR="00BB7569" w:rsidRPr="00783571" w:rsidRDefault="00BB7569" w:rsidP="00EA6CA4">
            <w:pPr>
              <w:pStyle w:val="TableText"/>
            </w:pPr>
            <w:r w:rsidRPr="00783571">
              <w:t>Weller and Davis (2002)</w:t>
            </w:r>
          </w:p>
        </w:tc>
      </w:tr>
      <w:tr w:rsidR="00BB7569" w:rsidRPr="00783571" w14:paraId="21461F29" w14:textId="77777777" w:rsidTr="00863FC7">
        <w:trPr>
          <w:cantSplit/>
        </w:trPr>
        <w:tc>
          <w:tcPr>
            <w:tcW w:w="5063" w:type="dxa"/>
            <w:tcBorders>
              <w:top w:val="single" w:sz="6" w:space="0" w:color="808080" w:themeColor="background1" w:themeShade="80"/>
              <w:bottom w:val="single" w:sz="6" w:space="0" w:color="808080" w:themeColor="background1" w:themeShade="80"/>
            </w:tcBorders>
            <w:shd w:val="clear" w:color="auto" w:fill="auto"/>
            <w:noWrap/>
          </w:tcPr>
          <w:p w14:paraId="449C5BA1" w14:textId="77777777" w:rsidR="00BB7569" w:rsidRPr="00783571" w:rsidRDefault="00BB7569" w:rsidP="00BC594C">
            <w:pPr>
              <w:pStyle w:val="TableText"/>
              <w:ind w:left="364"/>
            </w:pPr>
            <w:r w:rsidRPr="00783571">
              <w:t>AI</w:t>
            </w:r>
          </w:p>
        </w:tc>
        <w:tc>
          <w:tcPr>
            <w:tcW w:w="1684" w:type="dxa"/>
            <w:tcBorders>
              <w:top w:val="single" w:sz="6" w:space="0" w:color="808080" w:themeColor="background1" w:themeShade="80"/>
              <w:bottom w:val="single" w:sz="6" w:space="0" w:color="808080" w:themeColor="background1" w:themeShade="80"/>
            </w:tcBorders>
            <w:shd w:val="clear" w:color="auto" w:fill="auto"/>
            <w:noWrap/>
          </w:tcPr>
          <w:p w14:paraId="3D740DE6" w14:textId="77777777" w:rsidR="00BB7569" w:rsidRPr="00783571" w:rsidRDefault="00BB7569" w:rsidP="00EA6CA4">
            <w:pPr>
              <w:pStyle w:val="TableTextDec"/>
              <w:tabs>
                <w:tab w:val="clear" w:pos="1015"/>
              </w:tabs>
              <w:jc w:val="center"/>
            </w:pPr>
            <w:r w:rsidRPr="00783571">
              <w:t>70%</w:t>
            </w:r>
          </w:p>
        </w:tc>
        <w:tc>
          <w:tcPr>
            <w:tcW w:w="6213" w:type="dxa"/>
            <w:tcBorders>
              <w:top w:val="single" w:sz="6" w:space="0" w:color="808080" w:themeColor="background1" w:themeShade="80"/>
              <w:bottom w:val="single" w:sz="6" w:space="0" w:color="808080" w:themeColor="background1" w:themeShade="80"/>
            </w:tcBorders>
            <w:shd w:val="clear" w:color="auto" w:fill="auto"/>
            <w:noWrap/>
          </w:tcPr>
          <w:p w14:paraId="2846054D" w14:textId="77777777" w:rsidR="00BB7569" w:rsidRPr="00783571" w:rsidRDefault="00BB7569" w:rsidP="00385B72">
            <w:pPr>
              <w:pStyle w:val="TableText"/>
            </w:pPr>
            <w:r w:rsidRPr="00783571">
              <w:t>Smith et al. (2015)</w:t>
            </w:r>
          </w:p>
        </w:tc>
      </w:tr>
      <w:tr w:rsidR="00BB7569" w:rsidRPr="00783571" w14:paraId="19DDC1DC" w14:textId="77777777" w:rsidTr="00863FC7">
        <w:trPr>
          <w:cantSplit/>
        </w:trPr>
        <w:tc>
          <w:tcPr>
            <w:tcW w:w="5063" w:type="dxa"/>
            <w:tcBorders>
              <w:top w:val="single" w:sz="6" w:space="0" w:color="808080" w:themeColor="background1" w:themeShade="80"/>
              <w:bottom w:val="single" w:sz="12" w:space="0" w:color="000000"/>
            </w:tcBorders>
            <w:shd w:val="clear" w:color="auto" w:fill="auto"/>
            <w:noWrap/>
          </w:tcPr>
          <w:p w14:paraId="56076A9D" w14:textId="79F18270" w:rsidR="00BB7569" w:rsidRPr="00783571" w:rsidRDefault="00BB7569" w:rsidP="00695572">
            <w:pPr>
              <w:pStyle w:val="TableText"/>
            </w:pPr>
            <w:r w:rsidRPr="00783571">
              <w:t xml:space="preserve">Reduction in number of needles shared </w:t>
            </w:r>
            <w:r w:rsidR="00695572" w:rsidRPr="00783571">
              <w:t xml:space="preserve">with HIV-infected partners who are </w:t>
            </w:r>
            <w:r w:rsidRPr="00783571">
              <w:t>diagnosed versus undiagnosed</w:t>
            </w:r>
            <w:r w:rsidR="00695572" w:rsidRPr="00783571">
              <w:t xml:space="preserve"> or </w:t>
            </w:r>
            <w:r w:rsidR="005F5C70" w:rsidRPr="00783571">
              <w:t>HIV-uninfected</w:t>
            </w:r>
            <w:r w:rsidRPr="00783571">
              <w:t xml:space="preserve"> </w:t>
            </w:r>
          </w:p>
        </w:tc>
        <w:tc>
          <w:tcPr>
            <w:tcW w:w="1684" w:type="dxa"/>
            <w:tcBorders>
              <w:top w:val="single" w:sz="6" w:space="0" w:color="808080" w:themeColor="background1" w:themeShade="80"/>
              <w:bottom w:val="single" w:sz="12" w:space="0" w:color="000000"/>
            </w:tcBorders>
            <w:shd w:val="clear" w:color="auto" w:fill="auto"/>
            <w:noWrap/>
          </w:tcPr>
          <w:p w14:paraId="7591FEE5" w14:textId="3B88C227" w:rsidR="00BB7569" w:rsidRPr="00783571" w:rsidRDefault="00BB7569" w:rsidP="00EA6CA4">
            <w:pPr>
              <w:pStyle w:val="TableTextDec"/>
              <w:tabs>
                <w:tab w:val="clear" w:pos="1015"/>
              </w:tabs>
              <w:jc w:val="center"/>
            </w:pPr>
            <w:r w:rsidRPr="00783571">
              <w:t>27%</w:t>
            </w:r>
          </w:p>
        </w:tc>
        <w:tc>
          <w:tcPr>
            <w:tcW w:w="6213" w:type="dxa"/>
            <w:tcBorders>
              <w:top w:val="single" w:sz="6" w:space="0" w:color="808080" w:themeColor="background1" w:themeShade="80"/>
              <w:bottom w:val="single" w:sz="12" w:space="0" w:color="000000"/>
            </w:tcBorders>
            <w:shd w:val="clear" w:color="auto" w:fill="auto"/>
            <w:noWrap/>
          </w:tcPr>
          <w:p w14:paraId="7CEC8CAD" w14:textId="088D2890" w:rsidR="00BB7569" w:rsidRPr="00783571" w:rsidRDefault="00BB7569" w:rsidP="00EA6CA4">
            <w:pPr>
              <w:pStyle w:val="TableText"/>
            </w:pPr>
            <w:r w:rsidRPr="00783571">
              <w:t>Assumption based on approximately half of condom use effect from diagnosis on needle-sharing behaviors</w:t>
            </w:r>
          </w:p>
        </w:tc>
      </w:tr>
    </w:tbl>
    <w:p w14:paraId="3412119B" w14:textId="2D176F6F" w:rsidR="00B41A9A" w:rsidRPr="00783571" w:rsidRDefault="00D63BB9" w:rsidP="00181BDA">
      <w:pPr>
        <w:pStyle w:val="Source2"/>
      </w:pPr>
      <w:r w:rsidRPr="00783571">
        <w:t>Note: AI</w:t>
      </w:r>
      <w:r w:rsidR="00E628BE" w:rsidRPr="00783571">
        <w:t> = </w:t>
      </w:r>
      <w:r w:rsidRPr="00783571">
        <w:t xml:space="preserve">anal intercourse; </w:t>
      </w:r>
      <w:r w:rsidR="00B717E6" w:rsidRPr="00783571">
        <w:t xml:space="preserve">NHBS = National HIV Behavioral Surveillance; </w:t>
      </w:r>
      <w:r w:rsidR="00F77D76" w:rsidRPr="00783571">
        <w:t>PWID</w:t>
      </w:r>
      <w:r w:rsidR="00E628BE" w:rsidRPr="00783571">
        <w:t> = </w:t>
      </w:r>
      <w:r w:rsidR="00F77D76" w:rsidRPr="00783571">
        <w:t xml:space="preserve">people who inject drugs; </w:t>
      </w:r>
      <w:r w:rsidRPr="00783571">
        <w:t>VI</w:t>
      </w:r>
      <w:r w:rsidR="00E628BE" w:rsidRPr="00783571">
        <w:t> = </w:t>
      </w:r>
      <w:r w:rsidRPr="00783571">
        <w:t>vaginal intercourse</w:t>
      </w:r>
    </w:p>
    <w:p w14:paraId="343A43EC" w14:textId="0D5A5779" w:rsidR="000727D1" w:rsidRPr="00783571" w:rsidRDefault="00B41A9A" w:rsidP="00863FC7">
      <w:pPr>
        <w:pStyle w:val="Source3"/>
      </w:pPr>
      <w:r w:rsidRPr="00783571">
        <w:rPr>
          <w:vertAlign w:val="superscript"/>
        </w:rPr>
        <w:t>a</w:t>
      </w:r>
      <w:r w:rsidR="00786610" w:rsidRPr="00783571">
        <w:rPr>
          <w:vertAlign w:val="superscript"/>
        </w:rPr>
        <w:t xml:space="preserve"> </w:t>
      </w:r>
      <w:r w:rsidR="000727D1" w:rsidRPr="00783571">
        <w:t>Calculated as (</w:t>
      </w:r>
      <w:r w:rsidR="008551E2" w:rsidRPr="00783571">
        <w:t>365</w:t>
      </w:r>
      <w:r w:rsidR="000727D1" w:rsidRPr="00783571">
        <w:t xml:space="preserve"> days in a year) x (</w:t>
      </w:r>
      <w:r w:rsidR="008551E2" w:rsidRPr="00783571">
        <w:t>P</w:t>
      </w:r>
      <w:r w:rsidR="000727D1" w:rsidRPr="00783571">
        <w:t xml:space="preserve">ercentage of </w:t>
      </w:r>
      <w:r w:rsidR="005C4A38" w:rsidRPr="00783571">
        <w:t xml:space="preserve">PWID </w:t>
      </w:r>
      <w:r w:rsidR="000727D1" w:rsidRPr="00783571">
        <w:t>who reported injecting at least one time a day)</w:t>
      </w:r>
      <w:r w:rsidR="004F4E6D" w:rsidRPr="00783571">
        <w:t xml:space="preserve"> </w:t>
      </w:r>
      <w:r w:rsidR="000727D1" w:rsidRPr="00783571">
        <w:t>x (1 injection per day) + (</w:t>
      </w:r>
      <w:r w:rsidR="008551E2" w:rsidRPr="00783571">
        <w:t>P</w:t>
      </w:r>
      <w:r w:rsidR="000727D1" w:rsidRPr="00783571">
        <w:t xml:space="preserve">ercentage of </w:t>
      </w:r>
      <w:r w:rsidR="005C4A38" w:rsidRPr="00783571">
        <w:t xml:space="preserve">PWID </w:t>
      </w:r>
      <w:r w:rsidR="000727D1" w:rsidRPr="00783571">
        <w:t>who reported injecting</w:t>
      </w:r>
      <w:r w:rsidR="004F4E6D" w:rsidRPr="00783571">
        <w:t xml:space="preserve"> </w:t>
      </w:r>
      <w:r w:rsidR="000727D1" w:rsidRPr="00783571">
        <w:t>less than one time per day) x (</w:t>
      </w:r>
      <w:r w:rsidR="008551E2" w:rsidRPr="00783571">
        <w:t>0.5</w:t>
      </w:r>
      <w:r w:rsidR="000727D1" w:rsidRPr="00783571">
        <w:t xml:space="preserve"> injections per day)</w:t>
      </w:r>
      <w:r w:rsidR="008551E2" w:rsidRPr="00783571">
        <w:t xml:space="preserve"> </w:t>
      </w:r>
      <w:r w:rsidR="00697525" w:rsidRPr="00783571">
        <w:t>= 365 x [</w:t>
      </w:r>
      <w:r w:rsidR="000727D1" w:rsidRPr="00783571">
        <w:t>(0.643 x 1) + (0.357 x 0.5)</w:t>
      </w:r>
      <w:r w:rsidR="00697525" w:rsidRPr="00783571">
        <w:t>]</w:t>
      </w:r>
      <w:r w:rsidR="008551E2" w:rsidRPr="00783571">
        <w:t xml:space="preserve"> = 299.85</w:t>
      </w:r>
      <w:r w:rsidR="000727D1" w:rsidRPr="00783571">
        <w:t>.</w:t>
      </w:r>
    </w:p>
    <w:p w14:paraId="3A4C7BB1" w14:textId="3EB2657C" w:rsidR="00B41A9A" w:rsidRPr="00783571" w:rsidRDefault="000727D1" w:rsidP="00863FC7">
      <w:pPr>
        <w:pStyle w:val="Source3"/>
      </w:pPr>
      <w:r w:rsidRPr="00783571">
        <w:rPr>
          <w:vertAlign w:val="superscript"/>
        </w:rPr>
        <w:t>b</w:t>
      </w:r>
      <w:r w:rsidRPr="00783571">
        <w:t xml:space="preserve"> </w:t>
      </w:r>
      <w:r w:rsidR="00B41A9A" w:rsidRPr="00783571">
        <w:t>Calculated as (</w:t>
      </w:r>
      <w:r w:rsidR="008551E2" w:rsidRPr="00783571">
        <w:t xml:space="preserve">Annual </w:t>
      </w:r>
      <w:r w:rsidR="00B41A9A" w:rsidRPr="00783571">
        <w:t xml:space="preserve">number of injections across all partners per year) </w:t>
      </w:r>
      <w:r w:rsidR="003E572D" w:rsidRPr="00783571">
        <w:t>x</w:t>
      </w:r>
      <w:r w:rsidR="00B41A9A" w:rsidRPr="00783571">
        <w:t xml:space="preserve"> (</w:t>
      </w:r>
      <w:r w:rsidR="008551E2" w:rsidRPr="00783571">
        <w:t>P</w:t>
      </w:r>
      <w:r w:rsidRPr="00783571">
        <w:t>ercentage</w:t>
      </w:r>
      <w:r w:rsidR="00B41A9A" w:rsidRPr="00783571">
        <w:t xml:space="preserve"> of injections that are shared) = </w:t>
      </w:r>
      <w:r w:rsidR="00385B72" w:rsidRPr="00783571">
        <w:t>299.85</w:t>
      </w:r>
      <w:r w:rsidR="00B41A9A" w:rsidRPr="00783571">
        <w:t xml:space="preserve"> </w:t>
      </w:r>
      <w:r w:rsidR="003E572D" w:rsidRPr="00783571">
        <w:t>x</w:t>
      </w:r>
      <w:r w:rsidR="00B41A9A" w:rsidRPr="00783571">
        <w:t xml:space="preserve"> </w:t>
      </w:r>
      <w:r w:rsidR="001734FC" w:rsidRPr="00783571">
        <w:t>12.63</w:t>
      </w:r>
      <w:r w:rsidR="00B41A9A" w:rsidRPr="00783571">
        <w:t>% = </w:t>
      </w:r>
      <w:r w:rsidR="001734FC" w:rsidRPr="00783571">
        <w:t>37.87</w:t>
      </w:r>
      <w:r w:rsidR="00B41A9A" w:rsidRPr="00783571">
        <w:t>.</w:t>
      </w:r>
    </w:p>
    <w:p w14:paraId="4D974F7D" w14:textId="69CC766B" w:rsidR="00315F8D" w:rsidRPr="00783571" w:rsidRDefault="000727D1" w:rsidP="00863FC7">
      <w:pPr>
        <w:pStyle w:val="Source3"/>
      </w:pPr>
      <w:r w:rsidRPr="00783571">
        <w:rPr>
          <w:vertAlign w:val="superscript"/>
        </w:rPr>
        <w:t xml:space="preserve">c </w:t>
      </w:r>
      <w:r w:rsidR="00B41A9A" w:rsidRPr="00783571">
        <w:t>Calculated as (</w:t>
      </w:r>
      <w:r w:rsidR="008551E2" w:rsidRPr="00783571">
        <w:t xml:space="preserve">Number </w:t>
      </w:r>
      <w:r w:rsidR="00B41A9A" w:rsidRPr="00783571">
        <w:t>of needles shared across all partners) ÷ (</w:t>
      </w:r>
      <w:r w:rsidR="008551E2" w:rsidRPr="00783571">
        <w:t xml:space="preserve">Annual </w:t>
      </w:r>
      <w:r w:rsidR="00B41A9A" w:rsidRPr="00783571">
        <w:t xml:space="preserve">number of needle-sharing partners for </w:t>
      </w:r>
      <w:r w:rsidR="005C4A38" w:rsidRPr="00783571">
        <w:t>PWID</w:t>
      </w:r>
      <w:r w:rsidR="00B41A9A" w:rsidRPr="00783571">
        <w:t>) = </w:t>
      </w:r>
      <w:r w:rsidR="001734FC" w:rsidRPr="00783571">
        <w:t>37.87</w:t>
      </w:r>
      <w:r w:rsidR="00385B72" w:rsidRPr="00783571">
        <w:t xml:space="preserve"> </w:t>
      </w:r>
      <w:r w:rsidR="00B41A9A" w:rsidRPr="00783571">
        <w:t xml:space="preserve">÷ </w:t>
      </w:r>
      <w:r w:rsidR="00385B72" w:rsidRPr="00783571">
        <w:t>9.5</w:t>
      </w:r>
      <w:r w:rsidR="00B41A9A" w:rsidRPr="00783571">
        <w:t> = </w:t>
      </w:r>
      <w:r w:rsidR="001734FC" w:rsidRPr="00783571">
        <w:t>3.99</w:t>
      </w:r>
      <w:r w:rsidR="00B41A9A" w:rsidRPr="00783571">
        <w:t>.</w:t>
      </w:r>
      <w:bookmarkStart w:id="61" w:name="_Toc398293122"/>
      <w:bookmarkStart w:id="62" w:name="_Toc398293123"/>
    </w:p>
    <w:p w14:paraId="719CD50F" w14:textId="77777777" w:rsidR="00315F8D" w:rsidRPr="00783571" w:rsidRDefault="00315F8D" w:rsidP="00467D83">
      <w:pPr>
        <w:pStyle w:val="BodyText"/>
        <w:sectPr w:rsidR="00315F8D" w:rsidRPr="00783571" w:rsidSect="006A4DEA">
          <w:headerReference w:type="even" r:id="rId64"/>
          <w:headerReference w:type="default" r:id="rId65"/>
          <w:footerReference w:type="even" r:id="rId66"/>
          <w:footerReference w:type="default" r:id="rId67"/>
          <w:headerReference w:type="first" r:id="rId68"/>
          <w:footerReference w:type="first" r:id="rId69"/>
          <w:pgSz w:w="15840" w:h="12240" w:orient="landscape" w:code="1"/>
          <w:pgMar w:top="1440" w:right="1440" w:bottom="1440" w:left="1440" w:header="720" w:footer="720" w:gutter="0"/>
          <w:pgNumType w:chapStyle="1"/>
          <w:cols w:space="720"/>
          <w:docGrid w:linePitch="360"/>
        </w:sectPr>
      </w:pPr>
    </w:p>
    <w:p w14:paraId="3121480B" w14:textId="5B12A5A5" w:rsidR="00315F8D" w:rsidRPr="00783571" w:rsidRDefault="00315F8D" w:rsidP="00315F8D">
      <w:pPr>
        <w:pStyle w:val="Heading3"/>
      </w:pPr>
      <w:bookmarkStart w:id="63" w:name="_Toc398293121"/>
      <w:bookmarkStart w:id="64" w:name="_Toc510104457"/>
      <w:r w:rsidRPr="00783571">
        <w:t>Per-</w:t>
      </w:r>
      <w:r w:rsidR="00DB6E5A" w:rsidRPr="00783571">
        <w:t>Sex-</w:t>
      </w:r>
      <w:r w:rsidR="00C16CB0" w:rsidRPr="00783571">
        <w:t>A</w:t>
      </w:r>
      <w:r w:rsidR="00DB6E5A" w:rsidRPr="00783571">
        <w:t>ct</w:t>
      </w:r>
      <w:r w:rsidRPr="00783571">
        <w:t xml:space="preserve"> Sexual and Needle Transmission Probabilities</w:t>
      </w:r>
      <w:bookmarkEnd w:id="63"/>
      <w:bookmarkEnd w:id="64"/>
    </w:p>
    <w:p w14:paraId="64D597F3" w14:textId="4A6BEFF4" w:rsidR="00315F8D" w:rsidRPr="00783571" w:rsidRDefault="00315F8D" w:rsidP="00315F8D">
      <w:pPr>
        <w:pStyle w:val="BodyText"/>
      </w:pPr>
      <w:r w:rsidRPr="00783571">
        <w:t xml:space="preserve">The probability of an </w:t>
      </w:r>
      <w:r w:rsidR="005F5C70" w:rsidRPr="00783571">
        <w:t>HIV-uninfected</w:t>
      </w:r>
      <w:r w:rsidRPr="00783571">
        <w:t xml:space="preserve"> person acquiring HIV from a </w:t>
      </w:r>
      <w:r w:rsidR="00782B9B" w:rsidRPr="00783571">
        <w:t>sex act</w:t>
      </w:r>
      <w:r w:rsidRPr="00783571">
        <w:t xml:space="preserve"> with an HIV-infected partner varies by the disease stage and continuum-of-care status of the HIV-infected partner; circumcision status of the </w:t>
      </w:r>
      <w:r w:rsidR="005F5C70" w:rsidRPr="00783571">
        <w:t>HIV-uninfected</w:t>
      </w:r>
      <w:r w:rsidRPr="00783571">
        <w:t xml:space="preserve"> person; condom usage; transmission group; and type of sex act (i.e., vaginal vs. anal and insertive vs. receptive) (Boily et al., 2009; Leynaert et al., 1998; Osmond et al., 1988; Porco et al., 2004). The probabilities</w:t>
      </w:r>
      <w:r w:rsidR="0030355F" w:rsidRPr="00783571">
        <w:t xml:space="preserve"> </w:t>
      </w:r>
      <w:r w:rsidRPr="00783571">
        <w:t xml:space="preserve">were each calculated as the product of a base probability for an HIV-infected person having unprotected </w:t>
      </w:r>
      <w:r w:rsidR="00DB6E5A" w:rsidRPr="00783571">
        <w:t>sex act</w:t>
      </w:r>
      <w:r w:rsidRPr="00783571">
        <w:t xml:space="preserve"> with an uncircumcised (if male) </w:t>
      </w:r>
      <w:r w:rsidR="005F5C70" w:rsidRPr="00783571">
        <w:t>HIV-uninfected</w:t>
      </w:r>
      <w:r w:rsidRPr="00783571">
        <w:t xml:space="preserve"> partner and the relative risk of transmission by disease stage</w:t>
      </w:r>
      <w:r w:rsidR="0030355F" w:rsidRPr="00783571">
        <w:t xml:space="preserve"> (base probabilities and relative risks listed in </w:t>
      </w:r>
      <w:r w:rsidR="00814158" w:rsidRPr="00783571">
        <w:t>Table </w:t>
      </w:r>
      <w:r w:rsidR="00871E69" w:rsidRPr="00783571">
        <w:t>6.</w:t>
      </w:r>
      <w:r w:rsidR="0030355F" w:rsidRPr="00783571">
        <w:t>8)</w:t>
      </w:r>
      <w:r w:rsidRPr="00783571">
        <w:t xml:space="preserve">. Multiplicative reductions were then applied to those probabilities for </w:t>
      </w:r>
      <w:r w:rsidR="00DB6E5A" w:rsidRPr="00783571">
        <w:t>sex act</w:t>
      </w:r>
      <w:r w:rsidRPr="00783571">
        <w:t xml:space="preserve">s involving circumcised </w:t>
      </w:r>
      <w:r w:rsidR="005F5C70" w:rsidRPr="00783571">
        <w:t>HIV-uninfected</w:t>
      </w:r>
      <w:r w:rsidRPr="00783571">
        <w:t xml:space="preserve"> partners, protected </w:t>
      </w:r>
      <w:r w:rsidR="00D10FEF" w:rsidRPr="00783571">
        <w:t>sex act</w:t>
      </w:r>
      <w:r w:rsidRPr="00783571">
        <w:t xml:space="preserve">s, and </w:t>
      </w:r>
      <w:r w:rsidR="00D10FEF" w:rsidRPr="00783571">
        <w:t>sex act</w:t>
      </w:r>
      <w:r w:rsidRPr="00783571">
        <w:t xml:space="preserve">s with </w:t>
      </w:r>
      <w:r w:rsidR="005F5C70" w:rsidRPr="00783571">
        <w:t>HIV-infected</w:t>
      </w:r>
      <w:r w:rsidRPr="00783571">
        <w:t xml:space="preserve"> partners who are VLS.</w:t>
      </w:r>
    </w:p>
    <w:p w14:paraId="63BDD8B9" w14:textId="155698D3" w:rsidR="000F420A" w:rsidRPr="00783571" w:rsidRDefault="00467D83" w:rsidP="00CD74A5">
      <w:pPr>
        <w:pStyle w:val="BodyText"/>
      </w:pPr>
      <w:r w:rsidRPr="00783571">
        <w:t xml:space="preserve">The base probabilities of transmission per unprotected </w:t>
      </w:r>
      <w:r w:rsidR="00782B9B" w:rsidRPr="00783571">
        <w:t>sex act</w:t>
      </w:r>
      <w:r w:rsidRPr="00783571">
        <w:t xml:space="preserve"> (given, if male, uncircumcised HIV-uninfected partners) were calibrated. We applied the same sources and methods as were applied in Sorensen et al. (2012) to estimate the relative risk of transmission by disease stage. Sorensen and colleagues used clinical trial data, citing Wawer et al. (2005), on transmission risk from heterosexual partnerships by disease stage of the HIV-infected partner and overall per-act sexual risk to calculate transmission risk by disease stage.</w:t>
      </w:r>
    </w:p>
    <w:p w14:paraId="05300AC0" w14:textId="4559E734" w:rsidR="00467D83" w:rsidRPr="00783571" w:rsidRDefault="00467D83" w:rsidP="008551E2">
      <w:pPr>
        <w:pStyle w:val="BodyText"/>
      </w:pPr>
      <w:r w:rsidRPr="00783571">
        <w:t>The probability of transmission from a shared needle was calibrated within the confidence intervals reported by Long et al. (2010) and was assumed</w:t>
      </w:r>
      <w:r w:rsidR="008551E2" w:rsidRPr="00783571">
        <w:t xml:space="preserve"> in the </w:t>
      </w:r>
      <w:r w:rsidR="00C96D72" w:rsidRPr="00783571">
        <w:t>base case</w:t>
      </w:r>
      <w:r w:rsidRPr="00783571">
        <w:t xml:space="preserve"> </w:t>
      </w:r>
      <w:r w:rsidR="008551E2" w:rsidRPr="00783571">
        <w:t xml:space="preserve">not </w:t>
      </w:r>
      <w:r w:rsidRPr="00783571">
        <w:t xml:space="preserve">to vary by disease stage in the HIV-infected partner. For </w:t>
      </w:r>
      <w:r w:rsidR="00D10FEF" w:rsidRPr="00783571">
        <w:t xml:space="preserve">needles shared </w:t>
      </w:r>
      <w:r w:rsidRPr="00783571">
        <w:t>with an HIV-infected partner</w:t>
      </w:r>
      <w:r w:rsidR="006B5942" w:rsidRPr="00783571">
        <w:t xml:space="preserve"> with VLS</w:t>
      </w:r>
      <w:r w:rsidRPr="00783571">
        <w:t>, a multiplicative reduction to that probability was applied.</w:t>
      </w:r>
    </w:p>
    <w:p w14:paraId="1F191D8D" w14:textId="74DF5C37" w:rsidR="00410DE1" w:rsidRPr="00783571" w:rsidRDefault="00410DE1" w:rsidP="00410DE1">
      <w:pPr>
        <w:pStyle w:val="Heading3"/>
      </w:pPr>
      <w:bookmarkStart w:id="65" w:name="_Toc510104458"/>
      <w:r w:rsidRPr="00783571">
        <w:t xml:space="preserve">Number of </w:t>
      </w:r>
      <w:r w:rsidR="00D10FEF" w:rsidRPr="00783571">
        <w:t xml:space="preserve">Sex Acts and Needles Shared </w:t>
      </w:r>
      <w:r w:rsidRPr="00783571">
        <w:t>per Partner</w:t>
      </w:r>
      <w:bookmarkEnd w:id="61"/>
      <w:bookmarkEnd w:id="65"/>
    </w:p>
    <w:p w14:paraId="218F6DBC" w14:textId="2837A596" w:rsidR="00410DE1" w:rsidRPr="00783571" w:rsidRDefault="00410DE1" w:rsidP="00BC594C">
      <w:pPr>
        <w:pStyle w:val="BodyText"/>
      </w:pPr>
      <w:r w:rsidRPr="00783571">
        <w:t xml:space="preserve">The number of </w:t>
      </w:r>
      <w:r w:rsidR="00782B9B" w:rsidRPr="00783571">
        <w:t>sex act</w:t>
      </w:r>
      <w:r w:rsidRPr="00783571">
        <w:t xml:space="preserve">s per partner was calculated as the annual number of </w:t>
      </w:r>
      <w:r w:rsidR="00782B9B" w:rsidRPr="00783571">
        <w:t>sex act</w:t>
      </w:r>
      <w:r w:rsidRPr="00783571">
        <w:t xml:space="preserve">s with all partners divided by the annual number of sexual partners. We assumed </w:t>
      </w:r>
      <w:r w:rsidR="006B5942" w:rsidRPr="00783571">
        <w:t>no</w:t>
      </w:r>
      <w:r w:rsidRPr="00783571">
        <w:t xml:space="preserve"> reduction in the number of </w:t>
      </w:r>
      <w:r w:rsidR="00782B9B" w:rsidRPr="00783571">
        <w:t>sex act</w:t>
      </w:r>
      <w:r w:rsidRPr="00783571">
        <w:t xml:space="preserve">s across all partners for HIV-infected, diagnosed individuals versus </w:t>
      </w:r>
      <w:r w:rsidR="005F5C70" w:rsidRPr="00783571">
        <w:t>HIV-uninfected</w:t>
      </w:r>
      <w:r w:rsidRPr="00783571">
        <w:t xml:space="preserve"> individuals and HIV-infected, undiagnosed individuals. The number of sexual partners varied by transmission group, sex, risk level, and race/ethnicity (see </w:t>
      </w:r>
      <w:r w:rsidR="00814158" w:rsidRPr="00783571">
        <w:t>Table </w:t>
      </w:r>
      <w:r w:rsidR="00871E69" w:rsidRPr="00783571">
        <w:t>6.</w:t>
      </w:r>
      <w:r w:rsidRPr="00783571">
        <w:t>9).</w:t>
      </w:r>
    </w:p>
    <w:p w14:paraId="16719207" w14:textId="436188D4" w:rsidR="00410DE1" w:rsidRPr="00783571" w:rsidRDefault="00410DE1" w:rsidP="00410DE1">
      <w:pPr>
        <w:pStyle w:val="BodyText"/>
      </w:pPr>
      <w:r w:rsidRPr="00783571">
        <w:t>The number of needle</w:t>
      </w:r>
      <w:r w:rsidR="00D10FEF" w:rsidRPr="00783571">
        <w:t xml:space="preserve">s shared </w:t>
      </w:r>
      <w:r w:rsidRPr="00783571">
        <w:t xml:space="preserve">per partner was calculated as the annual number of injections across all partners per year multiplied by the </w:t>
      </w:r>
      <w:r w:rsidR="000B270A" w:rsidRPr="00783571">
        <w:t>percentage</w:t>
      </w:r>
      <w:r w:rsidRPr="00783571">
        <w:t xml:space="preserve"> of injections that are shared divided by the annual number of needle-sharing partners.</w:t>
      </w:r>
    </w:p>
    <w:p w14:paraId="1DFBCA05" w14:textId="504496B6" w:rsidR="00B41A9A" w:rsidRPr="00783571" w:rsidRDefault="00B41A9A" w:rsidP="00B41A9A">
      <w:pPr>
        <w:pStyle w:val="Heading3"/>
      </w:pPr>
      <w:bookmarkStart w:id="66" w:name="_Toc510104459"/>
      <w:r w:rsidRPr="00783571">
        <w:t>C</w:t>
      </w:r>
      <w:r w:rsidR="008B7BBC" w:rsidRPr="00783571">
        <w:t>alculation of P</w:t>
      </w:r>
      <w:r w:rsidRPr="00783571">
        <w:t>er-Partnership Transmission Risk</w:t>
      </w:r>
      <w:bookmarkEnd w:id="62"/>
      <w:bookmarkEnd w:id="66"/>
    </w:p>
    <w:p w14:paraId="5F81F37D" w14:textId="77777777" w:rsidR="00B41A9A" w:rsidRPr="00783571" w:rsidRDefault="00B41A9A" w:rsidP="00EA31E9">
      <w:pPr>
        <w:pStyle w:val="BodyText"/>
      </w:pPr>
      <w:r w:rsidRPr="00783571">
        <w:t>Per-partnership transmission risk is represented by</w:t>
      </w:r>
      <w:r w:rsidR="00D3094D" w:rsidRPr="00783571">
        <w:t xml:space="preserve"> </w:t>
      </w:r>
      <w:r w:rsidR="008946DD" w:rsidRPr="00783571">
        <w:rPr>
          <w:position w:val="-14"/>
        </w:rPr>
        <w:object w:dxaOrig="600" w:dyaOrig="400" w14:anchorId="223AEB76">
          <v:shape id="_x0000_i1026" type="#_x0000_t75" style="width:28.5pt;height:21.75pt" o:ole="">
            <v:imagedata r:id="rId70" o:title=""/>
          </v:shape>
          <o:OLEObject Type="Embed" ProgID="Equation.3" ShapeID="_x0000_i1026" DrawAspect="Content" ObjectID="_1584261690" r:id="rId71"/>
        </w:object>
      </w:r>
      <w:r w:rsidR="001B58D4" w:rsidRPr="00783571">
        <w:t xml:space="preserve"> (beta)</w:t>
      </w:r>
      <w:r w:rsidRPr="00783571">
        <w:t xml:space="preserve">, which is the probability of transmission for an HIV-uninfected individual in subpopulation </w:t>
      </w:r>
      <w:r w:rsidRPr="00783571">
        <w:rPr>
          <w:i/>
          <w:iCs/>
        </w:rPr>
        <w:t xml:space="preserve">p1 </w:t>
      </w:r>
      <w:r w:rsidRPr="00783571">
        <w:t xml:space="preserve">per sexual or needle-sharing partnership from </w:t>
      </w:r>
      <w:r w:rsidR="001B58D4" w:rsidRPr="00783571">
        <w:t xml:space="preserve">transmission </w:t>
      </w:r>
      <w:r w:rsidRPr="00783571">
        <w:t xml:space="preserve">risk type </w:t>
      </w:r>
      <w:r w:rsidRPr="00783571">
        <w:rPr>
          <w:i/>
          <w:iCs/>
        </w:rPr>
        <w:t>z</w:t>
      </w:r>
      <w:r w:rsidR="00440551" w:rsidRPr="00783571">
        <w:rPr>
          <w:i/>
          <w:iCs/>
        </w:rPr>
        <w:t xml:space="preserve"> </w:t>
      </w:r>
      <w:r w:rsidR="00440551" w:rsidRPr="00783571">
        <w:rPr>
          <w:iCs/>
        </w:rPr>
        <w:t>(</w:t>
      </w:r>
      <w:r w:rsidR="00440551" w:rsidRPr="00783571">
        <w:t>vaginal, anal, or needle)</w:t>
      </w:r>
      <w:r w:rsidRPr="00783571">
        <w:t xml:space="preserve"> in a partnership type </w:t>
      </w:r>
      <w:r w:rsidRPr="00783571">
        <w:rPr>
          <w:i/>
          <w:iCs/>
        </w:rPr>
        <w:t>y</w:t>
      </w:r>
      <w:r w:rsidRPr="00783571">
        <w:t xml:space="preserve"> (</w:t>
      </w:r>
      <w:r w:rsidR="009362B8" w:rsidRPr="00783571">
        <w:t xml:space="preserve">male-female partnership with </w:t>
      </w:r>
      <w:r w:rsidRPr="00783571">
        <w:t xml:space="preserve">vaginal intercourse only, </w:t>
      </w:r>
      <w:r w:rsidR="009362B8" w:rsidRPr="00783571">
        <w:t xml:space="preserve">male-male partnership with </w:t>
      </w:r>
      <w:r w:rsidRPr="00783571">
        <w:t xml:space="preserve">anal intercourse only, </w:t>
      </w:r>
      <w:r w:rsidR="009362B8" w:rsidRPr="00783571">
        <w:t xml:space="preserve">male-female partnership that includes </w:t>
      </w:r>
      <w:r w:rsidR="001B58D4" w:rsidRPr="00783571">
        <w:t xml:space="preserve">both vaginal and </w:t>
      </w:r>
      <w:r w:rsidRPr="00783571">
        <w:t xml:space="preserve">anal intercourse, or needle-sharing) with a partner who is in subpopulation </w:t>
      </w:r>
      <w:r w:rsidRPr="00783571">
        <w:rPr>
          <w:i/>
          <w:iCs/>
        </w:rPr>
        <w:t>p2</w:t>
      </w:r>
      <w:r w:rsidRPr="00783571">
        <w:t xml:space="preserve"> and compartment </w:t>
      </w:r>
      <w:r w:rsidRPr="00783571">
        <w:rPr>
          <w:i/>
          <w:iCs/>
        </w:rPr>
        <w:t>c</w:t>
      </w:r>
      <w:r w:rsidRPr="00783571">
        <w:t xml:space="preserve">. If the partner is uninfected, the risk is zero. The </w:t>
      </w:r>
      <w:r w:rsidR="001B58D4" w:rsidRPr="00783571">
        <w:t xml:space="preserve">values of the </w:t>
      </w:r>
      <w:r w:rsidRPr="00783571">
        <w:t>beta</w:t>
      </w:r>
      <w:r w:rsidR="00EA31E9" w:rsidRPr="00783571">
        <w:t>s</w:t>
      </w:r>
      <w:r w:rsidR="00617B5A" w:rsidRPr="00783571">
        <w:t xml:space="preserve"> for sexual </w:t>
      </w:r>
      <w:r w:rsidR="00EA31E9" w:rsidRPr="00783571">
        <w:t xml:space="preserve">and needle-sharing </w:t>
      </w:r>
      <w:r w:rsidR="00617B5A" w:rsidRPr="00783571">
        <w:t xml:space="preserve">partnerships </w:t>
      </w:r>
      <w:r w:rsidR="00EA31E9" w:rsidRPr="00783571">
        <w:t>are</w:t>
      </w:r>
      <w:r w:rsidRPr="00783571">
        <w:t xml:space="preserve"> calculated by using Equation</w:t>
      </w:r>
      <w:r w:rsidR="008A3FA7" w:rsidRPr="00783571">
        <w:t>s</w:t>
      </w:r>
      <w:r w:rsidRPr="00783571">
        <w:t xml:space="preserve"> </w:t>
      </w:r>
      <w:r w:rsidR="008B30F8" w:rsidRPr="00783571">
        <w:t>(</w:t>
      </w:r>
      <w:r w:rsidR="00617B5A" w:rsidRPr="00783571">
        <w:t>6</w:t>
      </w:r>
      <w:r w:rsidR="00C277F4" w:rsidRPr="00783571">
        <w:t>.</w:t>
      </w:r>
      <w:r w:rsidRPr="00783571">
        <w:t>1</w:t>
      </w:r>
      <w:r w:rsidR="008B30F8" w:rsidRPr="00783571">
        <w:t>)</w:t>
      </w:r>
      <w:r w:rsidR="008A3FA7" w:rsidRPr="00783571">
        <w:t xml:space="preserve"> and </w:t>
      </w:r>
      <w:r w:rsidR="008B30F8" w:rsidRPr="00783571">
        <w:t>(</w:t>
      </w:r>
      <w:r w:rsidR="00617B5A" w:rsidRPr="00783571">
        <w:t>6</w:t>
      </w:r>
      <w:r w:rsidR="00C277F4" w:rsidRPr="00783571">
        <w:t>.</w:t>
      </w:r>
      <w:r w:rsidR="008A3FA7" w:rsidRPr="00783571">
        <w:t>2</w:t>
      </w:r>
      <w:r w:rsidR="008B30F8" w:rsidRPr="00783571">
        <w:t>)</w:t>
      </w:r>
      <w:r w:rsidR="00EA31E9" w:rsidRPr="00783571">
        <w:t>, respectively</w:t>
      </w:r>
      <w:r w:rsidRPr="00783571">
        <w:t>.</w:t>
      </w:r>
    </w:p>
    <w:p w14:paraId="1766DBCD" w14:textId="77777777" w:rsidR="000F420A" w:rsidRPr="00783571" w:rsidRDefault="00EA31E9" w:rsidP="00EE7C4C">
      <w:pPr>
        <w:pStyle w:val="BodyText"/>
      </w:pPr>
      <w:r w:rsidRPr="00783571">
        <w:t xml:space="preserve">Equation </w:t>
      </w:r>
      <w:r w:rsidR="008B30F8" w:rsidRPr="00783571">
        <w:t>(</w:t>
      </w:r>
      <w:r w:rsidRPr="00783571">
        <w:t>6</w:t>
      </w:r>
      <w:r w:rsidR="00C277F4" w:rsidRPr="00783571">
        <w:t>.</w:t>
      </w:r>
      <w:r w:rsidRPr="00783571">
        <w:t>1</w:t>
      </w:r>
      <w:r w:rsidR="008B30F8" w:rsidRPr="00783571">
        <w:t>)</w:t>
      </w:r>
      <w:r w:rsidRPr="00783571">
        <w:t xml:space="preserve"> is complex but has a simple structure:</w:t>
      </w:r>
    </w:p>
    <w:p w14:paraId="1E5C21B0" w14:textId="7D36D4FD" w:rsidR="006468F9" w:rsidRPr="00783571" w:rsidRDefault="00EA31E9" w:rsidP="002B54F6">
      <w:pPr>
        <w:pStyle w:val="equation"/>
        <w:spacing w:line="320" w:lineRule="atLeast"/>
        <w:ind w:left="720"/>
        <w:rPr>
          <w:lang w:val="en-US"/>
        </w:rPr>
      </w:pPr>
      <w:r w:rsidRPr="00783571">
        <w:rPr>
          <w:lang w:val="en-US"/>
        </w:rPr>
        <w:t xml:space="preserve">1 </w:t>
      </w:r>
      <w:r w:rsidR="001F5372" w:rsidRPr="00783571">
        <w:rPr>
          <w:lang w:val="en-US"/>
        </w:rPr>
        <w:t>−</w:t>
      </w:r>
      <w:r w:rsidRPr="00783571">
        <w:rPr>
          <w:lang w:val="en-US"/>
        </w:rPr>
        <w:t xml:space="preserve"> [(Probability of not getting infected by unprotected receptive </w:t>
      </w:r>
      <w:r w:rsidR="00782B9B" w:rsidRPr="00783571">
        <w:rPr>
          <w:lang w:val="en-US"/>
        </w:rPr>
        <w:t>sex act</w:t>
      </w:r>
      <w:r w:rsidRPr="00783571">
        <w:rPr>
          <w:lang w:val="en-US"/>
        </w:rPr>
        <w:t>s)*</w:t>
      </w:r>
      <w:r w:rsidRPr="00783571">
        <w:rPr>
          <w:lang w:val="en-US"/>
        </w:rPr>
        <w:br/>
        <w:t xml:space="preserve">(Probability of not getting infected by protected receptive </w:t>
      </w:r>
      <w:r w:rsidR="00782B9B" w:rsidRPr="00783571">
        <w:rPr>
          <w:lang w:val="en-US"/>
        </w:rPr>
        <w:t>sex act</w:t>
      </w:r>
      <w:r w:rsidRPr="00783571">
        <w:rPr>
          <w:lang w:val="en-US"/>
        </w:rPr>
        <w:t>s)*</w:t>
      </w:r>
      <w:r w:rsidRPr="00783571">
        <w:rPr>
          <w:lang w:val="en-US"/>
        </w:rPr>
        <w:br/>
        <w:t xml:space="preserve">(Probability of not getting infected by unprotected insertive </w:t>
      </w:r>
      <w:r w:rsidR="00782B9B" w:rsidRPr="00783571">
        <w:rPr>
          <w:lang w:val="en-US"/>
        </w:rPr>
        <w:t>sex act</w:t>
      </w:r>
      <w:r w:rsidRPr="00783571">
        <w:rPr>
          <w:lang w:val="en-US"/>
        </w:rPr>
        <w:t>s)*</w:t>
      </w:r>
      <w:r w:rsidRPr="00783571">
        <w:rPr>
          <w:lang w:val="en-US"/>
        </w:rPr>
        <w:br/>
        <w:t xml:space="preserve">(Probability of not getting infected by protected insertive </w:t>
      </w:r>
      <w:r w:rsidR="00782B9B" w:rsidRPr="00783571">
        <w:rPr>
          <w:lang w:val="en-US"/>
        </w:rPr>
        <w:t>sex act</w:t>
      </w:r>
      <w:r w:rsidRPr="00783571">
        <w:rPr>
          <w:lang w:val="en-US"/>
        </w:rPr>
        <w:t>s)].</w:t>
      </w:r>
    </w:p>
    <w:p w14:paraId="2E2C6EDB" w14:textId="77777777" w:rsidR="0016571A" w:rsidRPr="00783571" w:rsidRDefault="006468F9" w:rsidP="006472DC">
      <w:pPr>
        <w:pStyle w:val="equation"/>
        <w:tabs>
          <w:tab w:val="clear" w:pos="4680"/>
        </w:tabs>
        <w:jc w:val="center"/>
        <w:rPr>
          <w:lang w:val="en-US"/>
        </w:rPr>
      </w:pPr>
      <w:r w:rsidRPr="00783571">
        <w:rPr>
          <w:position w:val="-14"/>
          <w:lang w:val="en-US"/>
        </w:rPr>
        <w:object w:dxaOrig="600" w:dyaOrig="400" w14:anchorId="2DB54671">
          <v:shape id="_x0000_i1027" type="#_x0000_t75" style="width:28.5pt;height:21.75pt" o:ole="">
            <v:imagedata r:id="rId72" o:title=""/>
          </v:shape>
          <o:OLEObject Type="Embed" ProgID="Equation.3" ShapeID="_x0000_i1027" DrawAspect="Content" ObjectID="_1584261691" r:id="rId73"/>
        </w:object>
      </w:r>
      <w:r w:rsidRPr="00783571">
        <w:rPr>
          <w:lang w:val="en-US"/>
        </w:rPr>
        <w:t> =</w:t>
      </w:r>
      <m:oMath>
        <m:m>
          <m:mPr>
            <m:mcs>
              <m:mc>
                <m:mcPr>
                  <m:count m:val="1"/>
                  <m:mcJc m:val="center"/>
                </m:mcPr>
              </m:mc>
            </m:mcs>
            <m:ctrlPr>
              <w:rPr>
                <w:rFonts w:ascii="Cambria Math" w:hAnsi="Cambria Math"/>
                <w:i/>
                <w:lang w:val="en-US"/>
              </w:rPr>
            </m:ctrlPr>
          </m:mPr>
          <m:mr>
            <m:e>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m:rPr>
                                  <m:sty m:val="p"/>
                                </m:rPr>
                                <w:rPr>
                                  <w:rFonts w:ascii="Cambria Math" w:hAnsi="Cambria Math"/>
                                  <w:lang w:val="en-US"/>
                                </w:rPr>
                                <m:t>Δ</m:t>
                              </m:r>
                            </m:e>
                            <m:sub>
                              <m:r>
                                <w:rPr>
                                  <w:rFonts w:ascii="Cambria Math" w:hAnsi="Cambria Math"/>
                                  <w:lang w:val="en-US"/>
                                </w:rPr>
                                <m:t>c,z</m:t>
                              </m:r>
                            </m:sub>
                          </m:sSub>
                        </m:e>
                      </m:d>
                      <m:d>
                        <m:dPr>
                          <m:begChr m:val="["/>
                          <m:endChr m:val="]"/>
                          <m:ctrlPr>
                            <w:rPr>
                              <w:rFonts w:ascii="Cambria Math" w:hAnsi="Cambria Math"/>
                              <w:i/>
                              <w:lang w:val="en-US"/>
                            </w:rPr>
                          </m:ctrlPr>
                        </m:dPr>
                        <m:e>
                          <m:sSub>
                            <m:sSubPr>
                              <m:ctrlPr>
                                <w:rPr>
                                  <w:rFonts w:ascii="Cambria Math" w:hAnsi="Cambria Math"/>
                                  <w:i/>
                                  <w:lang w:val="en-US"/>
                                </w:rPr>
                              </m:ctrlPr>
                            </m:sSubPr>
                            <m:e>
                              <m:r>
                                <m:rPr>
                                  <m:sty m:val="p"/>
                                </m:rPr>
                                <w:rPr>
                                  <w:rFonts w:ascii="Cambria Math" w:hAnsi="Cambria Math"/>
                                  <w:lang w:val="en-US"/>
                                </w:rPr>
                                <m:t>Φ</m:t>
                              </m:r>
                            </m:e>
                            <m:sub>
                              <m:r>
                                <w:rPr>
                                  <w:rFonts w:ascii="Cambria Math" w:hAnsi="Cambria Math"/>
                                  <w:lang w:val="en-US"/>
                                </w:rPr>
                                <m:t>c,z</m:t>
                              </m:r>
                            </m:sub>
                          </m:sSub>
                        </m:e>
                      </m:d>
                    </m:e>
                  </m:d>
                </m:e>
                <m:sup>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p1</m:t>
                          </m:r>
                        </m:sub>
                      </m:sSub>
                    </m:e>
                  </m:d>
                  <m:d>
                    <m:dPr>
                      <m:begChr m:val="["/>
                      <m:endChr m:val="]"/>
                      <m:ctrlPr>
                        <w:rPr>
                          <w:rFonts w:ascii="Cambria Math" w:hAnsi="Cambria Math"/>
                          <w:i/>
                          <w:iCs/>
                          <w:vertAlign w:val="subscript"/>
                          <w:lang w:val="en-US"/>
                        </w:rPr>
                      </m:ctrlPr>
                    </m:dPr>
                    <m:e>
                      <m:r>
                        <w:rPr>
                          <w:rFonts w:ascii="Cambria Math" w:hAnsi="Cambria Math"/>
                          <w:vertAlign w:val="subscript"/>
                          <w:lang w:val="en-US"/>
                        </w:rPr>
                        <m:t>1-</m:t>
                      </m:r>
                      <m:sSub>
                        <m:sSubPr>
                          <m:ctrlPr>
                            <w:rPr>
                              <w:rFonts w:ascii="Cambria Math" w:hAnsi="Cambria Math"/>
                              <w:i/>
                              <w:vertAlign w:val="subscript"/>
                              <w:lang w:val="en-US"/>
                            </w:rPr>
                          </m:ctrlPr>
                        </m:sSubPr>
                        <m:e>
                          <m:r>
                            <w:rPr>
                              <w:rFonts w:ascii="Cambria Math" w:hAnsi="Cambria Math"/>
                              <w:vertAlign w:val="subscript"/>
                              <w:lang w:val="en-US"/>
                            </w:rPr>
                            <m:t>G</m:t>
                          </m:r>
                        </m:e>
                        <m:sub>
                          <m:r>
                            <w:rPr>
                              <w:rFonts w:ascii="Cambria Math" w:hAnsi="Cambria Math"/>
                              <w:vertAlign w:val="subscript"/>
                              <w:lang w:val="en-US"/>
                            </w:rPr>
                            <m:t>z,p1,c</m:t>
                          </m:r>
                        </m:sub>
                      </m:sSub>
                    </m:e>
                  </m:d>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V</m:t>
                          </m:r>
                        </m:e>
                        <m:sub>
                          <m:r>
                            <w:rPr>
                              <w:rFonts w:ascii="Cambria Math" w:hAnsi="Cambria Math"/>
                              <w:lang w:val="en-US"/>
                            </w:rPr>
                            <m:t>p1,p2</m:t>
                          </m:r>
                        </m:sub>
                      </m:sSub>
                    </m:e>
                  </m:d>
                  <m:d>
                    <m:dPr>
                      <m:begChr m:val="["/>
                      <m:endChr m:val="]"/>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Ω</m:t>
                          </m:r>
                        </m:e>
                        <m:sub>
                          <m:r>
                            <w:rPr>
                              <w:rFonts w:ascii="Cambria Math" w:hAnsi="Cambria Math"/>
                              <w:lang w:val="en-US"/>
                            </w:rPr>
                            <m:t>p1,p2,z,y</m:t>
                          </m:r>
                        </m:sub>
                      </m:sSub>
                    </m:e>
                  </m:d>
                </m:sup>
              </m:sSup>
            </m:e>
          </m:mr>
          <m:mr>
            <m:e>
              <m:sSup>
                <m:sSupPr>
                  <m:ctrlPr>
                    <w:rPr>
                      <w:rFonts w:ascii="Cambria Math" w:hAnsi="Cambria Math"/>
                      <w:i/>
                      <w:lang w:val="en-US"/>
                    </w:rPr>
                  </m:ctrlPr>
                </m:sSupPr>
                <m:e>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1-</m:t>
                      </m:r>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z</m:t>
                              </m:r>
                            </m:sub>
                          </m:sSub>
                        </m:e>
                      </m:d>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m:rPr>
                                  <m:sty m:val="p"/>
                                </m:rPr>
                                <w:rPr>
                                  <w:rFonts w:ascii="Cambria Math" w:hAnsi="Cambria Math"/>
                                  <w:lang w:val="en-US"/>
                                </w:rPr>
                                <m:t>Δ</m:t>
                              </m:r>
                            </m:e>
                            <m:sub>
                              <m:r>
                                <w:rPr>
                                  <w:rFonts w:ascii="Cambria Math" w:hAnsi="Cambria Math"/>
                                  <w:lang w:val="en-US"/>
                                </w:rPr>
                                <m:t>c,z</m:t>
                              </m:r>
                            </m:sub>
                          </m:sSub>
                        </m:e>
                      </m:d>
                      <m:d>
                        <m:dPr>
                          <m:begChr m:val="["/>
                          <m:endChr m:val="]"/>
                          <m:ctrlPr>
                            <w:rPr>
                              <w:rFonts w:ascii="Cambria Math" w:hAnsi="Cambria Math"/>
                              <w:i/>
                              <w:lang w:val="en-US"/>
                            </w:rPr>
                          </m:ctrlPr>
                        </m:dPr>
                        <m:e>
                          <m:sSub>
                            <m:sSubPr>
                              <m:ctrlPr>
                                <w:rPr>
                                  <w:rFonts w:ascii="Cambria Math" w:hAnsi="Cambria Math"/>
                                  <w:i/>
                                  <w:lang w:val="en-US"/>
                                </w:rPr>
                              </m:ctrlPr>
                            </m:sSubPr>
                            <m:e>
                              <m:r>
                                <m:rPr>
                                  <m:sty m:val="p"/>
                                </m:rPr>
                                <w:rPr>
                                  <w:rFonts w:ascii="Cambria Math" w:hAnsi="Cambria Math"/>
                                  <w:lang w:val="en-US"/>
                                </w:rPr>
                                <m:t>Φ</m:t>
                              </m:r>
                            </m:e>
                            <m:sub>
                              <m:r>
                                <w:rPr>
                                  <w:rFonts w:ascii="Cambria Math" w:hAnsi="Cambria Math"/>
                                  <w:lang w:val="en-US"/>
                                </w:rPr>
                                <m:t>c, z</m:t>
                              </m:r>
                            </m:sub>
                          </m:sSub>
                        </m:e>
                      </m:d>
                    </m:e>
                  </m:d>
                </m:e>
                <m:sup>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p1</m:t>
                          </m:r>
                        </m:sub>
                      </m:sSub>
                    </m:e>
                  </m:d>
                  <m:d>
                    <m:dPr>
                      <m:begChr m:val="["/>
                      <m:endChr m:val="]"/>
                      <m:ctrlPr>
                        <w:rPr>
                          <w:rFonts w:ascii="Cambria Math" w:hAnsi="Cambria Math"/>
                          <w:i/>
                          <w:iCs/>
                          <w:vertAlign w:val="subscript"/>
                          <w:lang w:val="en-US"/>
                        </w:rPr>
                      </m:ctrlPr>
                    </m:dPr>
                    <m:e>
                      <m:sSub>
                        <m:sSubPr>
                          <m:ctrlPr>
                            <w:rPr>
                              <w:rFonts w:ascii="Cambria Math" w:hAnsi="Cambria Math"/>
                              <w:i/>
                              <w:vertAlign w:val="subscript"/>
                              <w:lang w:val="en-US"/>
                            </w:rPr>
                          </m:ctrlPr>
                        </m:sSubPr>
                        <m:e>
                          <m:r>
                            <w:rPr>
                              <w:rFonts w:ascii="Cambria Math" w:hAnsi="Cambria Math"/>
                              <w:vertAlign w:val="subscript"/>
                              <w:lang w:val="en-US"/>
                            </w:rPr>
                            <m:t>G</m:t>
                          </m:r>
                        </m:e>
                        <m:sub>
                          <m:r>
                            <w:rPr>
                              <w:rFonts w:ascii="Cambria Math" w:hAnsi="Cambria Math"/>
                              <w:vertAlign w:val="subscript"/>
                              <w:lang w:val="en-US"/>
                            </w:rPr>
                            <m:t>z,p1,c</m:t>
                          </m:r>
                        </m:sub>
                      </m:sSub>
                    </m:e>
                  </m:d>
                  <m:d>
                    <m:dPr>
                      <m:begChr m:val="["/>
                      <m:endChr m:val="]"/>
                      <m:ctrlPr>
                        <w:rPr>
                          <w:rFonts w:ascii="Cambria Math" w:hAnsi="Cambria Math"/>
                          <w:lang w:val="en-US"/>
                        </w:rPr>
                      </m:ctrlPr>
                    </m:dPr>
                    <m:e>
                      <m:sSub>
                        <m:sSubPr>
                          <m:ctrlPr>
                            <w:rPr>
                              <w:rFonts w:ascii="Cambria Math" w:hAnsi="Cambria Math"/>
                              <w:lang w:val="en-US"/>
                            </w:rPr>
                          </m:ctrlPr>
                        </m:sSubPr>
                        <m:e>
                          <m:r>
                            <m:rPr>
                              <m:sty m:val="p"/>
                            </m:rPr>
                            <w:rPr>
                              <w:rFonts w:ascii="Cambria Math" w:hAnsi="Cambria Math"/>
                              <w:lang w:val="en-US"/>
                            </w:rPr>
                            <m:t>V</m:t>
                          </m:r>
                        </m:e>
                        <m:sub>
                          <m:r>
                            <w:rPr>
                              <w:rFonts w:ascii="Cambria Math" w:hAnsi="Cambria Math"/>
                              <w:lang w:val="en-US"/>
                            </w:rPr>
                            <m:t>p1,p2</m:t>
                          </m:r>
                        </m:sub>
                      </m:sSub>
                    </m:e>
                  </m:d>
                  <m:d>
                    <m:dPr>
                      <m:begChr m:val="["/>
                      <m:endChr m:val="]"/>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Ω</m:t>
                          </m:r>
                        </m:e>
                        <m:sub>
                          <m:r>
                            <w:rPr>
                              <w:rFonts w:ascii="Cambria Math" w:hAnsi="Cambria Math"/>
                              <w:lang w:val="en-US"/>
                            </w:rPr>
                            <m:t>p1,p2,z,y</m:t>
                          </m:r>
                        </m:sub>
                      </m:sSub>
                    </m:e>
                  </m:d>
                </m:sup>
              </m:sSup>
            </m:e>
          </m:mr>
          <m:mr>
            <m:e>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p1,p2,z</m:t>
                              </m:r>
                            </m:sub>
                          </m:sSub>
                        </m:e>
                      </m:d>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m:rPr>
                                  <m:sty m:val="p"/>
                                </m:rPr>
                                <w:rPr>
                                  <w:rFonts w:ascii="Cambria Math" w:hAnsi="Cambria Math"/>
                                  <w:lang w:val="en-US"/>
                                </w:rPr>
                                <m:t>Δ</m:t>
                              </m:r>
                            </m:e>
                            <m:sub>
                              <m:r>
                                <w:rPr>
                                  <w:rFonts w:ascii="Cambria Math" w:hAnsi="Cambria Math"/>
                                  <w:lang w:val="en-US"/>
                                </w:rPr>
                                <m:t>c,z</m:t>
                              </m:r>
                            </m:sub>
                          </m:sSub>
                        </m:e>
                      </m:d>
                      <m:d>
                        <m:dPr>
                          <m:begChr m:val="["/>
                          <m:endChr m:val="]"/>
                          <m:ctrlPr>
                            <w:rPr>
                              <w:rFonts w:ascii="Cambria Math" w:hAnsi="Cambria Math"/>
                              <w:i/>
                              <w:lang w:val="en-US"/>
                            </w:rPr>
                          </m:ctrlPr>
                        </m:dPr>
                        <m:e>
                          <m:sSub>
                            <m:sSubPr>
                              <m:ctrlPr>
                                <w:rPr>
                                  <w:rFonts w:ascii="Cambria Math" w:hAnsi="Cambria Math"/>
                                  <w:i/>
                                  <w:lang w:val="en-US"/>
                                </w:rPr>
                              </m:ctrlPr>
                            </m:sSubPr>
                            <m:e>
                              <m:r>
                                <m:rPr>
                                  <m:sty m:val="p"/>
                                </m:rPr>
                                <w:rPr>
                                  <w:rFonts w:ascii="Cambria Math" w:hAnsi="Cambria Math"/>
                                  <w:lang w:val="en-US"/>
                                </w:rPr>
                                <m:t>Γ</m:t>
                              </m:r>
                            </m:e>
                            <m:sub>
                              <m:r>
                                <w:rPr>
                                  <w:rFonts w:ascii="Cambria Math" w:hAnsi="Cambria Math"/>
                                  <w:lang w:val="en-US"/>
                                </w:rPr>
                                <m:t>c,z</m:t>
                              </m:r>
                            </m:sub>
                          </m:sSub>
                        </m:e>
                      </m:d>
                    </m:e>
                  </m:d>
                </m:e>
                <m:sup>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p1</m:t>
                          </m:r>
                        </m:sub>
                      </m:sSub>
                    </m:e>
                  </m:d>
                  <m:d>
                    <m:dPr>
                      <m:begChr m:val="["/>
                      <m:endChr m:val="]"/>
                      <m:ctrlPr>
                        <w:rPr>
                          <w:rFonts w:ascii="Cambria Math" w:hAnsi="Cambria Math"/>
                          <w:i/>
                          <w:iCs/>
                          <w:vertAlign w:val="subscript"/>
                          <w:lang w:val="en-US"/>
                        </w:rPr>
                      </m:ctrlPr>
                    </m:dPr>
                    <m:e>
                      <m:r>
                        <w:rPr>
                          <w:rFonts w:ascii="Cambria Math" w:hAnsi="Cambria Math"/>
                          <w:vertAlign w:val="subscript"/>
                          <w:lang w:val="en-US"/>
                        </w:rPr>
                        <m:t>1-</m:t>
                      </m:r>
                      <m:sSub>
                        <m:sSubPr>
                          <m:ctrlPr>
                            <w:rPr>
                              <w:rFonts w:ascii="Cambria Math" w:hAnsi="Cambria Math"/>
                              <w:i/>
                              <w:vertAlign w:val="subscript"/>
                              <w:lang w:val="en-US"/>
                            </w:rPr>
                          </m:ctrlPr>
                        </m:sSubPr>
                        <m:e>
                          <m:r>
                            <w:rPr>
                              <w:rFonts w:ascii="Cambria Math" w:hAnsi="Cambria Math"/>
                              <w:vertAlign w:val="subscript"/>
                              <w:lang w:val="en-US"/>
                            </w:rPr>
                            <m:t>G</m:t>
                          </m:r>
                        </m:e>
                        <m:sub>
                          <m:r>
                            <w:rPr>
                              <w:rFonts w:ascii="Cambria Math" w:hAnsi="Cambria Math"/>
                              <w:vertAlign w:val="subscript"/>
                              <w:lang w:val="en-US"/>
                            </w:rPr>
                            <m:t>z,p1,c</m:t>
                          </m:r>
                        </m:sub>
                      </m:sSub>
                    </m:e>
                  </m:d>
                  <m:d>
                    <m:dPr>
                      <m:begChr m:val="["/>
                      <m:endChr m:val="]"/>
                      <m:ctrlPr>
                        <w:rPr>
                          <w:rFonts w:ascii="Cambria Math" w:hAnsi="Cambria Math"/>
                          <w:lang w:val="en-US"/>
                        </w:rPr>
                      </m:ctrlPr>
                    </m:dPr>
                    <m:e>
                      <m:r>
                        <m:rPr>
                          <m:sty m:val="p"/>
                        </m:rPr>
                        <w:rPr>
                          <w:rFonts w:ascii="Cambria Math" w:hAnsi="Cambria Math"/>
                          <w:lang w:val="en-US"/>
                        </w:rPr>
                        <m:t>1-</m:t>
                      </m:r>
                      <m:sSub>
                        <m:sSubPr>
                          <m:ctrlPr>
                            <w:rPr>
                              <w:rFonts w:ascii="Cambria Math" w:hAnsi="Cambria Math"/>
                              <w:lang w:val="en-US"/>
                            </w:rPr>
                          </m:ctrlPr>
                        </m:sSubPr>
                        <m:e>
                          <m:r>
                            <m:rPr>
                              <m:sty m:val="p"/>
                            </m:rPr>
                            <w:rPr>
                              <w:rFonts w:ascii="Cambria Math" w:hAnsi="Cambria Math"/>
                              <w:lang w:val="en-US"/>
                            </w:rPr>
                            <m:t>V</m:t>
                          </m:r>
                        </m:e>
                        <m:sub>
                          <m:r>
                            <w:rPr>
                              <w:rFonts w:ascii="Cambria Math" w:hAnsi="Cambria Math"/>
                              <w:lang w:val="en-US"/>
                            </w:rPr>
                            <m:t>p1,p2</m:t>
                          </m:r>
                        </m:sub>
                      </m:sSub>
                    </m:e>
                  </m:d>
                  <m:d>
                    <m:dPr>
                      <m:begChr m:val="["/>
                      <m:endChr m:val="]"/>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Ω</m:t>
                          </m:r>
                        </m:e>
                        <m:sub>
                          <m:r>
                            <w:rPr>
                              <w:rFonts w:ascii="Cambria Math" w:hAnsi="Cambria Math"/>
                              <w:lang w:val="en-US"/>
                            </w:rPr>
                            <m:t>p1,p2,z,y</m:t>
                          </m:r>
                        </m:sub>
                      </m:sSub>
                    </m:e>
                  </m:d>
                </m:sup>
              </m:sSup>
              <m:ctrlPr>
                <w:rPr>
                  <w:rFonts w:ascii="Cambria Math" w:eastAsia="Cambria Math" w:hAnsi="Cambria Math" w:cs="Cambria Math"/>
                  <w:i/>
                  <w:lang w:val="en-US"/>
                </w:rPr>
              </m:ctrlPr>
            </m:e>
          </m:mr>
          <m:mr>
            <m:e>
              <m:sSup>
                <m:sSupPr>
                  <m:ctrlPr>
                    <w:rPr>
                      <w:rFonts w:ascii="Cambria Math" w:hAnsi="Cambria Math"/>
                      <w:i/>
                      <w:lang w:val="en-US"/>
                    </w:rPr>
                  </m:ctrlPr>
                </m:sSupPr>
                <m:e>
                  <m:r>
                    <w:rPr>
                      <w:rFonts w:ascii="Cambria Math" w:hAnsi="Cambria Math"/>
                      <w:lang w:val="en-US"/>
                    </w:rPr>
                    <m:t xml:space="preserve"> </m:t>
                  </m:r>
                  <m:d>
                    <m:dPr>
                      <m:ctrlPr>
                        <w:rPr>
                          <w:rFonts w:ascii="Cambria Math" w:hAnsi="Cambria Math"/>
                          <w:i/>
                          <w:lang w:val="en-US"/>
                        </w:rPr>
                      </m:ctrlPr>
                    </m:dPr>
                    <m:e>
                      <m:r>
                        <w:rPr>
                          <w:rFonts w:ascii="Cambria Math" w:hAnsi="Cambria Math"/>
                          <w:lang w:val="en-US"/>
                        </w:rPr>
                        <m:t>1-</m:t>
                      </m:r>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z</m:t>
                              </m:r>
                            </m:sub>
                          </m:sSub>
                        </m:e>
                      </m:d>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p1,p2,z</m:t>
                              </m:r>
                            </m:sub>
                          </m:sSub>
                        </m:e>
                      </m:d>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m:rPr>
                                  <m:sty m:val="p"/>
                                </m:rPr>
                                <w:rPr>
                                  <w:rFonts w:ascii="Cambria Math" w:hAnsi="Cambria Math"/>
                                  <w:lang w:val="en-US"/>
                                </w:rPr>
                                <m:t>Δ</m:t>
                              </m:r>
                            </m:e>
                            <m:sub>
                              <m:r>
                                <w:rPr>
                                  <w:rFonts w:ascii="Cambria Math" w:hAnsi="Cambria Math"/>
                                  <w:lang w:val="en-US"/>
                                </w:rPr>
                                <m:t>c,z</m:t>
                              </m:r>
                            </m:sub>
                          </m:sSub>
                        </m:e>
                      </m:d>
                      <m:d>
                        <m:dPr>
                          <m:begChr m:val="["/>
                          <m:endChr m:val="]"/>
                          <m:ctrlPr>
                            <w:rPr>
                              <w:rFonts w:ascii="Cambria Math" w:hAnsi="Cambria Math"/>
                              <w:i/>
                              <w:lang w:val="en-US"/>
                            </w:rPr>
                          </m:ctrlPr>
                        </m:dPr>
                        <m:e>
                          <m:sSub>
                            <m:sSubPr>
                              <m:ctrlPr>
                                <w:rPr>
                                  <w:rFonts w:ascii="Cambria Math" w:hAnsi="Cambria Math"/>
                                  <w:i/>
                                  <w:lang w:val="en-US"/>
                                </w:rPr>
                              </m:ctrlPr>
                            </m:sSubPr>
                            <m:e>
                              <m:r>
                                <m:rPr>
                                  <m:sty m:val="p"/>
                                </m:rPr>
                                <w:rPr>
                                  <w:rFonts w:ascii="Cambria Math" w:hAnsi="Cambria Math"/>
                                  <w:lang w:val="en-US"/>
                                </w:rPr>
                                <m:t>Γ</m:t>
                              </m:r>
                            </m:e>
                            <m:sub>
                              <m:r>
                                <w:rPr>
                                  <w:rFonts w:ascii="Cambria Math" w:hAnsi="Cambria Math"/>
                                  <w:lang w:val="en-US"/>
                                </w:rPr>
                                <m:t>c,z</m:t>
                              </m:r>
                            </m:sub>
                          </m:sSub>
                        </m:e>
                      </m:d>
                    </m:e>
                  </m:d>
                </m:e>
                <m:sup>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p1</m:t>
                          </m:r>
                        </m:sub>
                      </m:sSub>
                    </m:e>
                  </m:d>
                  <m:d>
                    <m:dPr>
                      <m:begChr m:val="["/>
                      <m:endChr m:val="]"/>
                      <m:ctrlPr>
                        <w:rPr>
                          <w:rFonts w:ascii="Cambria Math" w:hAnsi="Cambria Math"/>
                          <w:i/>
                          <w:iCs/>
                          <w:vertAlign w:val="subscript"/>
                          <w:lang w:val="en-US"/>
                        </w:rPr>
                      </m:ctrlPr>
                    </m:dPr>
                    <m:e>
                      <m:sSub>
                        <m:sSubPr>
                          <m:ctrlPr>
                            <w:rPr>
                              <w:rFonts w:ascii="Cambria Math" w:hAnsi="Cambria Math"/>
                              <w:i/>
                              <w:vertAlign w:val="subscript"/>
                              <w:lang w:val="en-US"/>
                            </w:rPr>
                          </m:ctrlPr>
                        </m:sSubPr>
                        <m:e>
                          <m:r>
                            <w:rPr>
                              <w:rFonts w:ascii="Cambria Math" w:hAnsi="Cambria Math"/>
                              <w:vertAlign w:val="subscript"/>
                              <w:lang w:val="en-US"/>
                            </w:rPr>
                            <m:t>G</m:t>
                          </m:r>
                        </m:e>
                        <m:sub>
                          <m:r>
                            <w:rPr>
                              <w:rFonts w:ascii="Cambria Math" w:hAnsi="Cambria Math"/>
                              <w:vertAlign w:val="subscript"/>
                              <w:lang w:val="en-US"/>
                            </w:rPr>
                            <m:t>z,p1,c</m:t>
                          </m:r>
                        </m:sub>
                      </m:sSub>
                    </m:e>
                  </m:d>
                  <m:d>
                    <m:dPr>
                      <m:begChr m:val="["/>
                      <m:endChr m:val="]"/>
                      <m:ctrlPr>
                        <w:rPr>
                          <w:rFonts w:ascii="Cambria Math" w:hAnsi="Cambria Math"/>
                          <w:lang w:val="en-US"/>
                        </w:rPr>
                      </m:ctrlPr>
                    </m:dPr>
                    <m:e>
                      <m:r>
                        <m:rPr>
                          <m:sty m:val="p"/>
                        </m:rPr>
                        <w:rPr>
                          <w:rFonts w:ascii="Cambria Math" w:hAnsi="Cambria Math"/>
                          <w:lang w:val="en-US"/>
                        </w:rPr>
                        <m:t>1-</m:t>
                      </m:r>
                      <m:sSub>
                        <m:sSubPr>
                          <m:ctrlPr>
                            <w:rPr>
                              <w:rFonts w:ascii="Cambria Math" w:hAnsi="Cambria Math"/>
                              <w:lang w:val="en-US"/>
                            </w:rPr>
                          </m:ctrlPr>
                        </m:sSubPr>
                        <m:e>
                          <m:r>
                            <m:rPr>
                              <m:sty m:val="p"/>
                            </m:rPr>
                            <w:rPr>
                              <w:rFonts w:ascii="Cambria Math" w:hAnsi="Cambria Math"/>
                              <w:lang w:val="en-US"/>
                            </w:rPr>
                            <m:t>V</m:t>
                          </m:r>
                        </m:e>
                        <m:sub>
                          <m:r>
                            <w:rPr>
                              <w:rFonts w:ascii="Cambria Math" w:hAnsi="Cambria Math"/>
                              <w:lang w:val="en-US"/>
                            </w:rPr>
                            <m:t>p1,p2</m:t>
                          </m:r>
                        </m:sub>
                      </m:sSub>
                    </m:e>
                  </m:d>
                  <m:d>
                    <m:dPr>
                      <m:begChr m:val="["/>
                      <m:endChr m:val="]"/>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Ω</m:t>
                          </m:r>
                        </m:e>
                        <m:sub>
                          <m:r>
                            <w:rPr>
                              <w:rFonts w:ascii="Cambria Math" w:hAnsi="Cambria Math"/>
                              <w:lang w:val="en-US"/>
                            </w:rPr>
                            <m:t>p1,p2,z,y</m:t>
                          </m:r>
                        </m:sub>
                      </m:sSub>
                    </m:e>
                  </m:d>
                </m:sup>
              </m:sSup>
            </m:e>
          </m:mr>
        </m:m>
      </m:oMath>
    </w:p>
    <w:p w14:paraId="1C37A7A3" w14:textId="4A5B5DDB" w:rsidR="00B41A9A" w:rsidRPr="00783571" w:rsidRDefault="00B41A9A" w:rsidP="002B54F6">
      <w:pPr>
        <w:pStyle w:val="equation"/>
        <w:tabs>
          <w:tab w:val="clear" w:pos="4680"/>
        </w:tabs>
        <w:spacing w:after="240" w:line="320" w:lineRule="atLeast"/>
        <w:ind w:left="1440" w:hanging="720"/>
        <w:rPr>
          <w:lang w:val="en-US"/>
        </w:rPr>
      </w:pPr>
      <w:r w:rsidRPr="00783571">
        <w:rPr>
          <w:lang w:val="en-US"/>
        </w:rPr>
        <w:t xml:space="preserve">for z = {vaginal intercourse and anal intercourse}, </w:t>
      </w:r>
      <w:r w:rsidRPr="00783571">
        <w:rPr>
          <w:i/>
          <w:iCs/>
          <w:lang w:val="en-US"/>
        </w:rPr>
        <w:t>y</w:t>
      </w:r>
      <w:r w:rsidRPr="00783571">
        <w:rPr>
          <w:lang w:val="en-US"/>
        </w:rPr>
        <w:t xml:space="preserve"> = {</w:t>
      </w:r>
      <w:r w:rsidR="009362B8" w:rsidRPr="00783571">
        <w:rPr>
          <w:lang w:val="en-US"/>
        </w:rPr>
        <w:t xml:space="preserve">male-female partnerships with </w:t>
      </w:r>
      <w:r w:rsidRPr="00783571">
        <w:rPr>
          <w:lang w:val="en-US"/>
        </w:rPr>
        <w:t xml:space="preserve">vaginal intercourse only, </w:t>
      </w:r>
      <w:r w:rsidR="009362B8" w:rsidRPr="00783571">
        <w:rPr>
          <w:lang w:val="en-US"/>
        </w:rPr>
        <w:t xml:space="preserve">male-male partnership with </w:t>
      </w:r>
      <w:r w:rsidRPr="00783571">
        <w:rPr>
          <w:lang w:val="en-US"/>
        </w:rPr>
        <w:t xml:space="preserve">anal intercourse only, </w:t>
      </w:r>
      <w:r w:rsidR="009362B8" w:rsidRPr="00783571">
        <w:rPr>
          <w:lang w:val="en-US"/>
        </w:rPr>
        <w:t xml:space="preserve">male-female partnership with </w:t>
      </w:r>
      <w:r w:rsidRPr="00783571">
        <w:rPr>
          <w:lang w:val="en-US"/>
        </w:rPr>
        <w:t>both vaginal and anal intercourse}, and p1 and p2</w:t>
      </w:r>
      <w:r w:rsidR="008735E8" w:rsidRPr="00783571">
        <w:rPr>
          <w:lang w:val="en-US"/>
        </w:rPr>
        <w:t> </w:t>
      </w:r>
      <w:r w:rsidRPr="00783571">
        <w:rPr>
          <w:lang w:val="en-US"/>
        </w:rPr>
        <w:t>=</w:t>
      </w:r>
      <w:r w:rsidR="008735E8" w:rsidRPr="00783571">
        <w:rPr>
          <w:lang w:val="en-US"/>
        </w:rPr>
        <w:t> </w:t>
      </w:r>
      <w:r w:rsidRPr="00783571">
        <w:rPr>
          <w:lang w:val="en-US"/>
        </w:rPr>
        <w:t>{all subpopulations}</w:t>
      </w:r>
      <w:r w:rsidR="008A3FA7" w:rsidRPr="00783571">
        <w:rPr>
          <w:lang w:val="en-US"/>
        </w:rPr>
        <w:tab/>
        <w:t>(</w:t>
      </w:r>
      <w:r w:rsidR="00FF381E" w:rsidRPr="00783571">
        <w:rPr>
          <w:lang w:val="en-US"/>
        </w:rPr>
        <w:t>6</w:t>
      </w:r>
      <w:r w:rsidR="00C277F4" w:rsidRPr="00783571">
        <w:rPr>
          <w:lang w:val="en-US"/>
        </w:rPr>
        <w:t>.</w:t>
      </w:r>
      <w:r w:rsidR="00FF381E" w:rsidRPr="00783571">
        <w:rPr>
          <w:lang w:val="en-US"/>
        </w:rPr>
        <w:t>1</w:t>
      </w:r>
      <w:r w:rsidR="008A3FA7" w:rsidRPr="00783571">
        <w:rPr>
          <w:lang w:val="en-US"/>
        </w:rPr>
        <w:t>)</w:t>
      </w:r>
    </w:p>
    <w:p w14:paraId="526F4AD1" w14:textId="30B65E43" w:rsidR="00B41A9A" w:rsidRPr="00783571" w:rsidRDefault="008F2136" w:rsidP="00315F8D">
      <w:pPr>
        <w:pStyle w:val="equation"/>
        <w:spacing w:before="120"/>
        <w:rPr>
          <w:lang w:val="en-US"/>
        </w:rPr>
      </w:pPr>
      <w:r w:rsidRPr="00783571">
        <w:rPr>
          <w:lang w:val="en-US"/>
        </w:rPr>
        <w:tab/>
      </w:r>
      <w:r w:rsidR="00974941" w:rsidRPr="00783571">
        <w:rPr>
          <w:position w:val="-14"/>
          <w:lang w:val="en-US"/>
        </w:rPr>
        <w:object w:dxaOrig="600" w:dyaOrig="400" w14:anchorId="2D42F534">
          <v:shape id="_x0000_i1028" type="#_x0000_t75" style="width:28.5pt;height:21.75pt" o:ole="">
            <v:imagedata r:id="rId74" o:title=""/>
          </v:shape>
          <o:OLEObject Type="Embed" ProgID="Equation.3" ShapeID="_x0000_i1028" DrawAspect="Content" ObjectID="_1584261692" r:id="rId75"/>
        </w:object>
      </w:r>
      <w:r w:rsidR="00B41A9A" w:rsidRPr="00783571">
        <w:rPr>
          <w:lang w:val="en-US"/>
        </w:rPr>
        <w:t> = </w:t>
      </w:r>
      <m:oMath>
        <m:r>
          <w:rPr>
            <w:rFonts w:ascii="Cambria Math" w:hAnsi="Cambria Math"/>
            <w:lang w:val="en-US"/>
          </w:rPr>
          <m:t>1-</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m:t>
                </m:r>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m:rPr>
                            <m:sty m:val="p"/>
                          </m:rPr>
                          <w:rPr>
                            <w:rFonts w:ascii="Cambria Math" w:hAnsi="Cambria Math"/>
                            <w:lang w:val="en-US"/>
                          </w:rPr>
                          <m:t>Δ</m:t>
                        </m:r>
                      </m:e>
                      <m:sub>
                        <m:r>
                          <w:rPr>
                            <w:rFonts w:ascii="Cambria Math" w:hAnsi="Cambria Math"/>
                            <w:lang w:val="en-US"/>
                          </w:rPr>
                          <m:t>c,z</m:t>
                        </m:r>
                      </m:sub>
                    </m:sSub>
                  </m:e>
                </m:d>
                <m:d>
                  <m:dPr>
                    <m:begChr m:val="["/>
                    <m:endChr m:val="]"/>
                    <m:ctrlPr>
                      <w:rPr>
                        <w:rFonts w:ascii="Cambria Math" w:hAnsi="Cambria Math"/>
                        <w:i/>
                        <w:lang w:val="en-US"/>
                      </w:rPr>
                    </m:ctrlPr>
                  </m:dPr>
                  <m:e>
                    <m:sSub>
                      <m:sSubPr>
                        <m:ctrlPr>
                          <w:rPr>
                            <w:rFonts w:ascii="Cambria Math" w:hAnsi="Cambria Math"/>
                            <w:i/>
                            <w:lang w:val="en-US"/>
                          </w:rPr>
                        </m:ctrlPr>
                      </m:sSubPr>
                      <m:e>
                        <m:r>
                          <m:rPr>
                            <m:sty m:val="p"/>
                          </m:rPr>
                          <w:rPr>
                            <w:rFonts w:ascii="Cambria Math" w:hAnsi="Cambria Math"/>
                            <w:lang w:val="en-US"/>
                          </w:rPr>
                          <m:t>Θ</m:t>
                        </m:r>
                      </m:e>
                      <m:sub>
                        <m:r>
                          <w:rPr>
                            <w:rFonts w:ascii="Cambria Math" w:hAnsi="Cambria Math"/>
                            <w:lang w:val="en-US"/>
                          </w:rPr>
                          <m:t>c</m:t>
                        </m:r>
                      </m:sub>
                    </m:sSub>
                  </m:e>
                </m:d>
              </m:e>
            </m:d>
          </m:e>
          <m:sup>
            <m:r>
              <w:rPr>
                <w:rFonts w:ascii="Cambria Math" w:hAnsi="Cambria Math"/>
                <w:lang w:val="en-US"/>
              </w:rPr>
              <m:t>(E)</m:t>
            </m:r>
            <m:sSub>
              <m:sSubPr>
                <m:ctrlPr>
                  <w:rPr>
                    <w:rFonts w:ascii="Cambria Math" w:hAnsi="Cambria Math"/>
                    <w:i/>
                    <w:lang w:val="en-US"/>
                  </w:rPr>
                </m:ctrlPr>
              </m:sSubPr>
              <m:e>
                <m:r>
                  <m:rPr>
                    <m:sty m:val="p"/>
                  </m:rPr>
                  <w:rPr>
                    <w:rFonts w:ascii="Cambria Math" w:hAnsi="Cambria Math"/>
                    <w:lang w:val="en-US"/>
                  </w:rPr>
                  <m:t>(1-Τ</m:t>
                </m:r>
              </m:e>
              <m:sub>
                <m:r>
                  <w:rPr>
                    <w:rFonts w:ascii="Cambria Math" w:hAnsi="Cambria Math"/>
                    <w:lang w:val="en-US"/>
                  </w:rPr>
                  <m:t>p1,p2,c</m:t>
                </m:r>
              </m:sub>
            </m:sSub>
            <m:r>
              <w:rPr>
                <w:rFonts w:ascii="Cambria Math" w:hAnsi="Cambria Math"/>
                <w:lang w:val="en-US"/>
              </w:rPr>
              <m:t>)</m:t>
            </m:r>
          </m:sup>
        </m:sSup>
      </m:oMath>
      <w:r w:rsidR="004F4E6D" w:rsidRPr="00783571">
        <w:rPr>
          <w:lang w:val="en-US"/>
        </w:rPr>
        <w:tab/>
      </w:r>
    </w:p>
    <w:p w14:paraId="12960992" w14:textId="1A434BDF" w:rsidR="00B41A9A" w:rsidRPr="00783571" w:rsidRDefault="008A3FA7" w:rsidP="00EE7C4C">
      <w:pPr>
        <w:pStyle w:val="equation"/>
        <w:tabs>
          <w:tab w:val="clear" w:pos="4680"/>
        </w:tabs>
        <w:ind w:left="1260" w:hanging="540"/>
        <w:rPr>
          <w:lang w:val="en-US"/>
        </w:rPr>
      </w:pPr>
      <w:r w:rsidRPr="00783571">
        <w:rPr>
          <w:lang w:val="en-US"/>
        </w:rPr>
        <w:t>for</w:t>
      </w:r>
      <w:r w:rsidR="008735E8" w:rsidRPr="00783571">
        <w:rPr>
          <w:lang w:val="en-US"/>
        </w:rPr>
        <w:tab/>
      </w:r>
      <w:r w:rsidR="00B41A9A" w:rsidRPr="00783571">
        <w:rPr>
          <w:i/>
          <w:iCs/>
          <w:lang w:val="en-US"/>
        </w:rPr>
        <w:t>z</w:t>
      </w:r>
      <w:r w:rsidR="00B41A9A" w:rsidRPr="00783571">
        <w:rPr>
          <w:lang w:val="en-US"/>
        </w:rPr>
        <w:t xml:space="preserve"> = {needle-sharing}, </w:t>
      </w:r>
      <w:r w:rsidR="00B41A9A" w:rsidRPr="00783571">
        <w:rPr>
          <w:i/>
          <w:iCs/>
          <w:lang w:val="en-US"/>
        </w:rPr>
        <w:t>y</w:t>
      </w:r>
      <w:r w:rsidR="00B41A9A" w:rsidRPr="00783571">
        <w:rPr>
          <w:lang w:val="en-US"/>
        </w:rPr>
        <w:t xml:space="preserve"> = {needle-sharing}, and </w:t>
      </w:r>
      <w:r w:rsidR="00B41A9A" w:rsidRPr="00783571">
        <w:rPr>
          <w:i/>
          <w:iCs/>
          <w:lang w:val="en-US"/>
        </w:rPr>
        <w:t>p1</w:t>
      </w:r>
      <w:r w:rsidR="00B41A9A" w:rsidRPr="00783571">
        <w:rPr>
          <w:lang w:val="en-US"/>
        </w:rPr>
        <w:t xml:space="preserve"> and </w:t>
      </w:r>
      <w:r w:rsidR="008735E8" w:rsidRPr="00783571">
        <w:rPr>
          <w:lang w:val="en-US"/>
        </w:rPr>
        <w:br/>
      </w:r>
      <w:r w:rsidR="00B41A9A" w:rsidRPr="00783571">
        <w:rPr>
          <w:i/>
          <w:iCs/>
          <w:lang w:val="en-US"/>
        </w:rPr>
        <w:t>p2</w:t>
      </w:r>
      <w:r w:rsidR="00A97030" w:rsidRPr="00783571">
        <w:rPr>
          <w:lang w:val="en-US"/>
        </w:rPr>
        <w:t xml:space="preserve"> = {</w:t>
      </w:r>
      <w:r w:rsidR="005C4A38" w:rsidRPr="00783571">
        <w:rPr>
          <w:lang w:val="en-US"/>
        </w:rPr>
        <w:t>PWID</w:t>
      </w:r>
      <w:r w:rsidR="00A97030" w:rsidRPr="00783571">
        <w:rPr>
          <w:lang w:val="en-US"/>
        </w:rPr>
        <w:t xml:space="preserve"> subpopulations</w:t>
      </w:r>
      <w:r w:rsidRPr="00783571">
        <w:rPr>
          <w:lang w:val="en-US"/>
        </w:rPr>
        <w:t>}</w:t>
      </w:r>
      <w:r w:rsidR="00A97030" w:rsidRPr="00783571">
        <w:rPr>
          <w:lang w:val="en-US"/>
        </w:rPr>
        <w:tab/>
        <w:t>(</w:t>
      </w:r>
      <w:r w:rsidR="00FF381E" w:rsidRPr="00783571">
        <w:rPr>
          <w:lang w:val="en-US"/>
        </w:rPr>
        <w:t>6</w:t>
      </w:r>
      <w:r w:rsidR="00C277F4" w:rsidRPr="00783571">
        <w:rPr>
          <w:lang w:val="en-US"/>
        </w:rPr>
        <w:t>.</w:t>
      </w:r>
      <w:r w:rsidR="00A97030" w:rsidRPr="00783571">
        <w:rPr>
          <w:lang w:val="en-US"/>
        </w:rPr>
        <w:t>2)</w:t>
      </w:r>
    </w:p>
    <w:p w14:paraId="20F9F11F" w14:textId="77777777" w:rsidR="00B41A9A" w:rsidRPr="00783571" w:rsidRDefault="00B41A9A" w:rsidP="00315F8D">
      <w:pPr>
        <w:pStyle w:val="BodyText"/>
        <w:keepNext/>
      </w:pPr>
      <w:r w:rsidRPr="00783571">
        <w:t>where</w:t>
      </w:r>
    </w:p>
    <w:p w14:paraId="2FA3E5E3" w14:textId="3433B3E5" w:rsidR="0014169A" w:rsidRPr="00783571" w:rsidRDefault="00AA4A52" w:rsidP="00E47989">
      <w:pPr>
        <w:pStyle w:val="bullets"/>
        <w:spacing w:after="160"/>
      </w:pPr>
      <w:r w:rsidRPr="00783571">
        <w:t>S</w:t>
      </w:r>
      <w:r w:rsidRPr="00783571">
        <w:rPr>
          <w:iCs/>
          <w:vertAlign w:val="subscript"/>
        </w:rPr>
        <w:t>p</w:t>
      </w:r>
      <w:r w:rsidR="0014169A" w:rsidRPr="00783571">
        <w:t xml:space="preserve"> = number of annual </w:t>
      </w:r>
      <w:r w:rsidR="00782B9B" w:rsidRPr="00783571">
        <w:t>sex act</w:t>
      </w:r>
      <w:r w:rsidR="0014169A" w:rsidRPr="00783571">
        <w:t xml:space="preserve">s for an HIV-uninfected individual per partner, </w:t>
      </w:r>
      <w:r w:rsidR="005F5C70" w:rsidRPr="00783571">
        <w:t>HIV-uninfected</w:t>
      </w:r>
      <w:r w:rsidR="0014169A" w:rsidRPr="00783571">
        <w:t xml:space="preserve"> or undiagnosed</w:t>
      </w:r>
      <w:r w:rsidR="00E71244" w:rsidRPr="00783571">
        <w:t xml:space="preserve">, by subpopulation </w:t>
      </w:r>
      <w:r w:rsidR="00E71244" w:rsidRPr="00783571">
        <w:rPr>
          <w:i/>
          <w:iCs/>
        </w:rPr>
        <w:t>p</w:t>
      </w:r>
      <w:r w:rsidR="00B67E34" w:rsidRPr="00783571">
        <w:t>;</w:t>
      </w:r>
    </w:p>
    <w:p w14:paraId="3DB71513" w14:textId="471C8D3C" w:rsidR="0014169A" w:rsidRPr="00783571" w:rsidRDefault="0014169A" w:rsidP="003B083D">
      <w:pPr>
        <w:pStyle w:val="bullets"/>
        <w:spacing w:after="160"/>
      </w:pPr>
      <w:r w:rsidRPr="00783571">
        <w:t>G</w:t>
      </w:r>
      <w:r w:rsidR="00BE454E" w:rsidRPr="00783571">
        <w:rPr>
          <w:iCs/>
          <w:vertAlign w:val="subscript"/>
        </w:rPr>
        <w:t>z,p</w:t>
      </w:r>
      <w:r w:rsidR="00AA4A52" w:rsidRPr="00783571">
        <w:rPr>
          <w:iCs/>
          <w:vertAlign w:val="subscript"/>
        </w:rPr>
        <w:t>,c</w:t>
      </w:r>
      <w:r w:rsidRPr="00783571">
        <w:t xml:space="preserve"> = </w:t>
      </w:r>
      <w:r w:rsidR="00AA4A52" w:rsidRPr="00783571">
        <w:t xml:space="preserve">percentage of </w:t>
      </w:r>
      <w:r w:rsidR="00782B9B" w:rsidRPr="00783571">
        <w:t>sex act</w:t>
      </w:r>
      <w:r w:rsidR="00AA4A52" w:rsidRPr="00783571">
        <w:t xml:space="preserve">s of risk type z </w:t>
      </w:r>
      <w:r w:rsidR="003B083D" w:rsidRPr="00783571">
        <w:t xml:space="preserve">protected with a condom, given </w:t>
      </w:r>
      <w:r w:rsidR="00BE454E" w:rsidRPr="00783571">
        <w:t xml:space="preserve">partner in compartment </w:t>
      </w:r>
      <w:r w:rsidR="00BE454E" w:rsidRPr="00783571">
        <w:rPr>
          <w:i/>
          <w:iCs/>
        </w:rPr>
        <w:t>c</w:t>
      </w:r>
      <w:r w:rsidR="003B083D" w:rsidRPr="00783571">
        <w:t xml:space="preserve">, by </w:t>
      </w:r>
      <w:r w:rsidR="00BE454E" w:rsidRPr="00783571">
        <w:t xml:space="preserve">subpopulation </w:t>
      </w:r>
      <w:r w:rsidR="00BE454E" w:rsidRPr="00783571">
        <w:rPr>
          <w:i/>
          <w:iCs/>
        </w:rPr>
        <w:t>p</w:t>
      </w:r>
      <w:r w:rsidR="00B67E34" w:rsidRPr="00783571">
        <w:rPr>
          <w:iCs/>
        </w:rPr>
        <w:t>;</w:t>
      </w:r>
    </w:p>
    <w:p w14:paraId="33B04B0D" w14:textId="33871786" w:rsidR="00D51793" w:rsidRPr="00783571" w:rsidRDefault="000F17E7" w:rsidP="00E47989">
      <w:pPr>
        <w:pStyle w:val="bullets"/>
        <w:spacing w:after="160"/>
      </w:pP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c,z</m:t>
            </m:r>
          </m:sub>
        </m:sSub>
      </m:oMath>
      <w:r w:rsidR="00D51793" w:rsidRPr="00783571">
        <w:t xml:space="preserve">= </w:t>
      </w:r>
      <w:r w:rsidR="00B67E34" w:rsidRPr="00783571">
        <w:t>p</w:t>
      </w:r>
      <w:r w:rsidR="00D51793" w:rsidRPr="00783571">
        <w:t xml:space="preserve">ercentage reduction in per-act transmission probability due to </w:t>
      </w:r>
      <w:r w:rsidR="00974941" w:rsidRPr="00783571">
        <w:t>VLS</w:t>
      </w:r>
      <w:r w:rsidR="00D51793" w:rsidRPr="00783571">
        <w:t xml:space="preserve">, by </w:t>
      </w:r>
      <w:r w:rsidR="00974941" w:rsidRPr="00783571">
        <w:rPr>
          <w:iCs/>
        </w:rPr>
        <w:t>compartment c</w:t>
      </w:r>
      <w:r w:rsidR="00D51793" w:rsidRPr="00783571">
        <w:t xml:space="preserve"> and transmission risk type </w:t>
      </w:r>
      <w:r w:rsidR="00D51793" w:rsidRPr="00783571">
        <w:rPr>
          <w:iCs/>
        </w:rPr>
        <w:t>z</w:t>
      </w:r>
      <w:r w:rsidR="00B67E34" w:rsidRPr="00783571">
        <w:t>;</w:t>
      </w:r>
    </w:p>
    <w:p w14:paraId="0D3C00B3" w14:textId="5FD1E759" w:rsidR="00B41A9A" w:rsidRPr="00783571" w:rsidRDefault="00D3094D" w:rsidP="00933A43">
      <w:pPr>
        <w:pStyle w:val="bullets"/>
        <w:spacing w:after="160"/>
      </w:pPr>
      <w:r w:rsidRPr="00783571">
        <w:rPr>
          <w:position w:val="-14"/>
        </w:rPr>
        <w:object w:dxaOrig="499" w:dyaOrig="380" w14:anchorId="7CC584FC">
          <v:shape id="_x0000_i1029" type="#_x0000_t75" style="width:21.75pt;height:21.75pt" o:ole="">
            <v:imagedata r:id="rId76" o:title=""/>
          </v:shape>
          <o:OLEObject Type="Embed" ProgID="Equation.3" ShapeID="_x0000_i1029" DrawAspect="Content" ObjectID="_1584261693" r:id="rId77"/>
        </w:object>
      </w:r>
      <w:r w:rsidR="00B41A9A" w:rsidRPr="00783571">
        <w:t xml:space="preserve"> and </w:t>
      </w:r>
      <w:r w:rsidRPr="00783571">
        <w:rPr>
          <w:position w:val="-14"/>
        </w:rPr>
        <w:object w:dxaOrig="420" w:dyaOrig="380" w14:anchorId="408BA11F">
          <v:shape id="_x0000_i1030" type="#_x0000_t75" style="width:21.75pt;height:21.75pt" o:ole="">
            <v:imagedata r:id="rId78" o:title=""/>
          </v:shape>
          <o:OLEObject Type="Embed" ProgID="Equation.3" ShapeID="_x0000_i1030" DrawAspect="Content" ObjectID="_1584261694" r:id="rId79"/>
        </w:object>
      </w:r>
      <w:r w:rsidR="00B41A9A" w:rsidRPr="00783571">
        <w:t>= </w:t>
      </w:r>
      <w:r w:rsidR="00697525" w:rsidRPr="00783571">
        <w:t>p</w:t>
      </w:r>
      <w:r w:rsidR="00BD1351" w:rsidRPr="00783571">
        <w:t>er-sex-act transmission probability for unprotected</w:t>
      </w:r>
      <w:r w:rsidR="00E71244" w:rsidRPr="00783571">
        <w:t xml:space="preserve"> receptive and insertive acts, respectively,</w:t>
      </w:r>
      <w:r w:rsidR="00BD1351" w:rsidRPr="00783571">
        <w:t xml:space="preserve"> of type z (vaginal or anal intercourse) with infected partner in compartment </w:t>
      </w:r>
      <w:r w:rsidR="00BD1351" w:rsidRPr="00783571">
        <w:rPr>
          <w:i/>
        </w:rPr>
        <w:t>c</w:t>
      </w:r>
      <w:r w:rsidR="00215251" w:rsidRPr="00783571">
        <w:rPr>
          <w:iCs/>
        </w:rPr>
        <w:t xml:space="preserve">; calculated as a product of </w:t>
      </w:r>
      <w:r w:rsidR="00933A43" w:rsidRPr="00783571">
        <w:rPr>
          <w:i/>
        </w:rPr>
        <w:t xml:space="preserve">base </w:t>
      </w:r>
      <w:r w:rsidR="00215251" w:rsidRPr="00783571">
        <w:rPr>
          <w:i/>
        </w:rPr>
        <w:t xml:space="preserve">probability of transmission per unprotected </w:t>
      </w:r>
      <w:r w:rsidR="00782B9B" w:rsidRPr="00783571">
        <w:rPr>
          <w:i/>
        </w:rPr>
        <w:t>sex act</w:t>
      </w:r>
      <w:r w:rsidR="00215251" w:rsidRPr="00783571">
        <w:rPr>
          <w:iCs/>
        </w:rPr>
        <w:t xml:space="preserve"> and </w:t>
      </w:r>
      <w:r w:rsidR="00933A43" w:rsidRPr="00783571">
        <w:rPr>
          <w:i/>
        </w:rPr>
        <w:t>r</w:t>
      </w:r>
      <w:r w:rsidR="00215251" w:rsidRPr="00783571">
        <w:rPr>
          <w:i/>
        </w:rPr>
        <w:t xml:space="preserve">elative risk of transmission per </w:t>
      </w:r>
      <w:r w:rsidR="00782B9B" w:rsidRPr="00783571">
        <w:rPr>
          <w:i/>
        </w:rPr>
        <w:t>sex act</w:t>
      </w:r>
      <w:r w:rsidR="00215251" w:rsidRPr="00783571">
        <w:rPr>
          <w:i/>
        </w:rPr>
        <w:t xml:space="preserve"> by disease stage</w:t>
      </w:r>
      <w:r w:rsidR="00215251" w:rsidRPr="00783571">
        <w:rPr>
          <w:iCs/>
        </w:rPr>
        <w:t xml:space="preserve">, the latter of which varies by </w:t>
      </w:r>
      <w:r w:rsidR="00215251" w:rsidRPr="00783571">
        <w:rPr>
          <w:i/>
        </w:rPr>
        <w:t>c</w:t>
      </w:r>
      <w:r w:rsidR="000C5E51" w:rsidRPr="00783571">
        <w:t>;</w:t>
      </w:r>
    </w:p>
    <w:p w14:paraId="51F397BC" w14:textId="4A4EF3A5" w:rsidR="00B41A9A" w:rsidRPr="00783571" w:rsidRDefault="00B41A9A" w:rsidP="00E47989">
      <w:pPr>
        <w:pStyle w:val="bullets"/>
        <w:spacing w:after="160"/>
      </w:pPr>
      <w:r w:rsidRPr="00783571">
        <w:rPr>
          <w:iCs/>
        </w:rPr>
        <w:t>d</w:t>
      </w:r>
      <w:r w:rsidRPr="00783571">
        <w:rPr>
          <w:iCs/>
          <w:vertAlign w:val="subscript"/>
        </w:rPr>
        <w:t>z</w:t>
      </w:r>
      <w:r w:rsidRPr="00783571">
        <w:rPr>
          <w:iCs/>
        </w:rPr>
        <w:t> = </w:t>
      </w:r>
      <w:r w:rsidR="000C5E51" w:rsidRPr="00783571">
        <w:t>p</w:t>
      </w:r>
      <w:r w:rsidRPr="00783571">
        <w:t>ercentage reduction in per-</w:t>
      </w:r>
      <w:r w:rsidR="00D10FEF" w:rsidRPr="00783571">
        <w:t>sex-</w:t>
      </w:r>
      <w:r w:rsidRPr="00783571">
        <w:t xml:space="preserve">act transmission probability from an act of type </w:t>
      </w:r>
      <w:r w:rsidRPr="00783571">
        <w:rPr>
          <w:iCs/>
        </w:rPr>
        <w:t>z</w:t>
      </w:r>
      <w:r w:rsidRPr="00783571">
        <w:t xml:space="preserve"> due to condom use</w:t>
      </w:r>
      <w:r w:rsidR="000C5E51" w:rsidRPr="00783571">
        <w:t>;</w:t>
      </w:r>
    </w:p>
    <w:p w14:paraId="0910F6CB" w14:textId="430F9880" w:rsidR="00B41A9A" w:rsidRPr="00783571" w:rsidRDefault="00B41A9A" w:rsidP="00260498">
      <w:pPr>
        <w:pStyle w:val="bullets"/>
        <w:spacing w:after="160"/>
      </w:pPr>
      <w:r w:rsidRPr="00783571">
        <w:rPr>
          <w:iCs/>
        </w:rPr>
        <w:t>b</w:t>
      </w:r>
      <w:r w:rsidR="00260498" w:rsidRPr="00783571">
        <w:rPr>
          <w:iCs/>
          <w:vertAlign w:val="subscript"/>
        </w:rPr>
        <w:t>p1,p2</w:t>
      </w:r>
      <w:r w:rsidRPr="00783571">
        <w:rPr>
          <w:iCs/>
          <w:vertAlign w:val="subscript"/>
        </w:rPr>
        <w:t>,z</w:t>
      </w:r>
      <w:r w:rsidRPr="00783571">
        <w:t xml:space="preserve"> = percentage reduction in per-</w:t>
      </w:r>
      <w:r w:rsidR="00B94A8D" w:rsidRPr="00783571">
        <w:t xml:space="preserve">insertive </w:t>
      </w:r>
      <w:r w:rsidR="00D10FEF" w:rsidRPr="00783571">
        <w:t>sex act</w:t>
      </w:r>
      <w:r w:rsidRPr="00783571">
        <w:t xml:space="preserve"> transmission probability </w:t>
      </w:r>
      <w:r w:rsidR="00260498" w:rsidRPr="00783571">
        <w:t xml:space="preserve">from an act of type </w:t>
      </w:r>
      <w:r w:rsidR="00260498" w:rsidRPr="00783571">
        <w:rPr>
          <w:iCs/>
        </w:rPr>
        <w:t>z</w:t>
      </w:r>
      <w:r w:rsidR="00260498" w:rsidRPr="00783571">
        <w:t xml:space="preserve"> </w:t>
      </w:r>
      <w:r w:rsidRPr="00783571">
        <w:t xml:space="preserve">due to circumcision for an HIV-uninfected individual in </w:t>
      </w:r>
      <w:r w:rsidR="00260498" w:rsidRPr="00783571">
        <w:t>subpopulation</w:t>
      </w:r>
      <w:r w:rsidRPr="00783571">
        <w:t xml:space="preserve"> </w:t>
      </w:r>
      <w:r w:rsidR="00260498" w:rsidRPr="00783571">
        <w:rPr>
          <w:i/>
        </w:rPr>
        <w:t>p1</w:t>
      </w:r>
      <w:r w:rsidR="00260498" w:rsidRPr="00783571">
        <w:t xml:space="preserve"> with an HIV-infected partner in subpopulation </w:t>
      </w:r>
      <w:r w:rsidR="00260498" w:rsidRPr="00783571">
        <w:rPr>
          <w:i/>
        </w:rPr>
        <w:t>p2</w:t>
      </w:r>
      <w:r w:rsidR="00260498" w:rsidRPr="00783571">
        <w:rPr>
          <w:iCs/>
        </w:rPr>
        <w:t xml:space="preserve"> (0 if subpopulation </w:t>
      </w:r>
      <w:r w:rsidR="00260498" w:rsidRPr="00783571">
        <w:rPr>
          <w:i/>
        </w:rPr>
        <w:t>p1</w:t>
      </w:r>
      <w:r w:rsidR="00260498" w:rsidRPr="00783571">
        <w:rPr>
          <w:iCs/>
        </w:rPr>
        <w:t xml:space="preserve"> is uncircumcised male or female)</w:t>
      </w:r>
      <w:r w:rsidR="000C5E51" w:rsidRPr="00783571">
        <w:t>;</w:t>
      </w:r>
    </w:p>
    <w:p w14:paraId="6AD88802" w14:textId="608C3A7B" w:rsidR="00B41A9A" w:rsidRPr="00783571" w:rsidRDefault="002E2A71" w:rsidP="00B16BE4">
      <w:pPr>
        <w:pStyle w:val="bullets"/>
        <w:spacing w:after="160"/>
      </w:pPr>
      <w:r w:rsidRPr="00783571">
        <w:rPr>
          <w:rFonts w:ascii="Times New Roman" w:hAnsi="Times New Roman"/>
        </w:rPr>
        <w:t>V</w:t>
      </w:r>
      <w:r w:rsidRPr="00783571">
        <w:rPr>
          <w:rFonts w:ascii="Times New Roman" w:hAnsi="Times New Roman"/>
          <w:vertAlign w:val="subscript"/>
        </w:rPr>
        <w:t>p1</w:t>
      </w:r>
      <w:r w:rsidR="00B41A9A" w:rsidRPr="00783571">
        <w:rPr>
          <w:rFonts w:ascii="Times New Roman" w:hAnsi="Times New Roman"/>
          <w:vertAlign w:val="subscript"/>
        </w:rPr>
        <w:t xml:space="preserve">,p2 </w:t>
      </w:r>
      <w:r w:rsidR="00B41A9A" w:rsidRPr="00783571">
        <w:rPr>
          <w:rFonts w:ascii="Times New Roman" w:hAnsi="Times New Roman"/>
        </w:rPr>
        <w:t>=</w:t>
      </w:r>
      <w:r w:rsidR="00B41A9A" w:rsidRPr="00783571">
        <w:t> </w:t>
      </w:r>
      <w:r w:rsidR="000C5E51" w:rsidRPr="00783571">
        <w:t>p</w:t>
      </w:r>
      <w:r w:rsidR="00B41A9A" w:rsidRPr="00783571">
        <w:t xml:space="preserve">roportion of </w:t>
      </w:r>
      <w:r w:rsidR="00B16BE4" w:rsidRPr="00783571">
        <w:t>male-male sex</w:t>
      </w:r>
      <w:r w:rsidR="00B41A9A" w:rsidRPr="00783571">
        <w:t xml:space="preserve"> acts by individuals in subpopulation </w:t>
      </w:r>
      <w:r w:rsidR="00B41A9A" w:rsidRPr="00783571">
        <w:rPr>
          <w:i/>
        </w:rPr>
        <w:t>p1</w:t>
      </w:r>
      <w:r w:rsidR="000F420A" w:rsidRPr="00783571">
        <w:t xml:space="preserve"> </w:t>
      </w:r>
      <w:r w:rsidR="00B41A9A" w:rsidRPr="00783571">
        <w:t xml:space="preserve">with individuals in subpopulation </w:t>
      </w:r>
      <w:r w:rsidR="00B41A9A" w:rsidRPr="00783571">
        <w:rPr>
          <w:i/>
        </w:rPr>
        <w:t>p2</w:t>
      </w:r>
      <w:r w:rsidR="000F420A" w:rsidRPr="00783571">
        <w:t xml:space="preserve"> </w:t>
      </w:r>
      <w:r w:rsidR="00B41A9A" w:rsidRPr="00783571">
        <w:t>that are receptive</w:t>
      </w:r>
      <w:r w:rsidR="00B16BE4" w:rsidRPr="00783571">
        <w:t xml:space="preserve"> (0 if subpopulation </w:t>
      </w:r>
      <w:r w:rsidR="00B16BE4" w:rsidRPr="00783571">
        <w:rPr>
          <w:i/>
          <w:iCs/>
        </w:rPr>
        <w:t>p1</w:t>
      </w:r>
      <w:r w:rsidR="00B16BE4" w:rsidRPr="00783571">
        <w:t xml:space="preserve"> or </w:t>
      </w:r>
      <w:r w:rsidR="00B16BE4" w:rsidRPr="00783571">
        <w:rPr>
          <w:i/>
          <w:iCs/>
        </w:rPr>
        <w:t>p2</w:t>
      </w:r>
      <w:r w:rsidR="00B16BE4" w:rsidRPr="00783571">
        <w:t xml:space="preserve"> is not MSM)</w:t>
      </w:r>
      <w:r w:rsidR="000C5E51" w:rsidRPr="00783571">
        <w:t>;</w:t>
      </w:r>
    </w:p>
    <w:p w14:paraId="0FE6B2C2" w14:textId="77777777" w:rsidR="00B41A9A" w:rsidRPr="00783571" w:rsidRDefault="00B41A9A" w:rsidP="00E47989">
      <w:pPr>
        <w:pStyle w:val="bullets"/>
        <w:spacing w:after="160"/>
      </w:pPr>
      <w:r w:rsidRPr="00783571">
        <w:t>Ω</w:t>
      </w:r>
      <w:r w:rsidRPr="00783571">
        <w:rPr>
          <w:vertAlign w:val="subscript"/>
        </w:rPr>
        <w:t>p1,p2,z,y</w:t>
      </w:r>
      <w:r w:rsidRPr="00783571">
        <w:t xml:space="preserve">= </w:t>
      </w:r>
      <w:r w:rsidR="000C5E51" w:rsidRPr="00783571">
        <w:t>p</w:t>
      </w:r>
      <w:r w:rsidRPr="00783571">
        <w:t xml:space="preserve">roportion of sexual acts by individuals in subpopulation </w:t>
      </w:r>
      <w:r w:rsidRPr="00783571">
        <w:rPr>
          <w:i/>
        </w:rPr>
        <w:t>p1</w:t>
      </w:r>
      <w:r w:rsidR="000F420A" w:rsidRPr="00783571">
        <w:t xml:space="preserve"> </w:t>
      </w:r>
      <w:r w:rsidRPr="00783571">
        <w:t xml:space="preserve">in partnerships of type </w:t>
      </w:r>
      <w:r w:rsidRPr="00783571">
        <w:rPr>
          <w:i/>
        </w:rPr>
        <w:t>y</w:t>
      </w:r>
      <w:r w:rsidRPr="00783571">
        <w:t xml:space="preserve"> with individuals in subpopulation </w:t>
      </w:r>
      <w:r w:rsidRPr="00783571">
        <w:rPr>
          <w:i/>
        </w:rPr>
        <w:t>p2</w:t>
      </w:r>
      <w:r w:rsidR="000F420A" w:rsidRPr="00783571">
        <w:t xml:space="preserve"> </w:t>
      </w:r>
      <w:r w:rsidRPr="00783571">
        <w:t xml:space="preserve">that are risk type </w:t>
      </w:r>
      <w:r w:rsidRPr="00783571">
        <w:rPr>
          <w:i/>
        </w:rPr>
        <w:t>z</w:t>
      </w:r>
      <w:r w:rsidRPr="00783571">
        <w:t xml:space="preserve"> (where </w:t>
      </w:r>
      <w:r w:rsidRPr="00783571">
        <w:rPr>
          <w:i/>
        </w:rPr>
        <w:t>z</w:t>
      </w:r>
      <w:r w:rsidRPr="00783571">
        <w:t xml:space="preserve"> = vaginal or anal)</w:t>
      </w:r>
      <w:r w:rsidR="000C5E51" w:rsidRPr="00783571">
        <w:t>;</w:t>
      </w:r>
    </w:p>
    <w:p w14:paraId="20648409" w14:textId="2A6DFA33" w:rsidR="000F420A" w:rsidRPr="00783571" w:rsidRDefault="00B41A9A" w:rsidP="005C4A38">
      <w:pPr>
        <w:pStyle w:val="bullets"/>
        <w:spacing w:after="160"/>
      </w:pPr>
      <w:r w:rsidRPr="00783571">
        <w:rPr>
          <w:iCs/>
        </w:rPr>
        <w:t>E</w:t>
      </w:r>
      <w:r w:rsidRPr="00783571">
        <w:t> = </w:t>
      </w:r>
      <w:r w:rsidR="000C5E51" w:rsidRPr="00783571">
        <w:t>n</w:t>
      </w:r>
      <w:r w:rsidRPr="00783571">
        <w:t xml:space="preserve">umber of needles shared annually per needle-sharing partner by </w:t>
      </w:r>
      <w:r w:rsidR="005C4A38" w:rsidRPr="00783571">
        <w:t xml:space="preserve">PWID </w:t>
      </w:r>
      <w:r w:rsidRPr="00783571">
        <w:t>who has never been diagnosed with HIV</w:t>
      </w:r>
      <w:r w:rsidR="000C5E51" w:rsidRPr="00783571">
        <w:t>;</w:t>
      </w:r>
    </w:p>
    <w:p w14:paraId="4B2A12A7" w14:textId="4BEF0769" w:rsidR="00B41A9A" w:rsidRPr="00783571" w:rsidRDefault="00B41A9A" w:rsidP="005C4A38">
      <w:pPr>
        <w:pStyle w:val="bullets"/>
        <w:spacing w:after="160"/>
      </w:pPr>
      <w:r w:rsidRPr="00783571">
        <w:rPr>
          <w:iCs/>
        </w:rPr>
        <w:t>Τ</w:t>
      </w:r>
      <w:r w:rsidR="00416BD2" w:rsidRPr="00783571">
        <w:rPr>
          <w:iCs/>
          <w:vertAlign w:val="subscript"/>
        </w:rPr>
        <w:t>p1,p2,</w:t>
      </w:r>
      <w:r w:rsidRPr="00783571">
        <w:rPr>
          <w:iCs/>
          <w:vertAlign w:val="subscript"/>
        </w:rPr>
        <w:t>c</w:t>
      </w:r>
      <w:r w:rsidRPr="00783571">
        <w:t xml:space="preserve"> = </w:t>
      </w:r>
      <w:r w:rsidR="000C5E51" w:rsidRPr="00783571">
        <w:t>r</w:t>
      </w:r>
      <w:r w:rsidRPr="00783571">
        <w:t xml:space="preserve">eduction in number of needles shared </w:t>
      </w:r>
      <w:r w:rsidR="00427FAB" w:rsidRPr="00783571">
        <w:t xml:space="preserve">between PWID populations </w:t>
      </w:r>
      <w:r w:rsidR="00427FAB" w:rsidRPr="00783571">
        <w:rPr>
          <w:i/>
        </w:rPr>
        <w:t xml:space="preserve">p1 </w:t>
      </w:r>
      <w:r w:rsidR="00427FAB" w:rsidRPr="00783571">
        <w:t xml:space="preserve">and </w:t>
      </w:r>
      <w:r w:rsidR="00427FAB" w:rsidRPr="00783571">
        <w:rPr>
          <w:i/>
        </w:rPr>
        <w:t>p2</w:t>
      </w:r>
      <w:r w:rsidR="00427FAB" w:rsidRPr="00783571">
        <w:t xml:space="preserve"> </w:t>
      </w:r>
      <w:r w:rsidRPr="00783571">
        <w:t xml:space="preserve">for diagnosed versus undiagnosed or uninfected (0 if compartment </w:t>
      </w:r>
      <w:r w:rsidRPr="00783571">
        <w:rPr>
          <w:i/>
        </w:rPr>
        <w:t>c</w:t>
      </w:r>
      <w:r w:rsidRPr="00783571">
        <w:t xml:space="preserve"> is for undiagnosed or uninfected compartments)</w:t>
      </w:r>
      <w:r w:rsidR="000C5E51" w:rsidRPr="00783571">
        <w:t>; and</w:t>
      </w:r>
    </w:p>
    <w:p w14:paraId="281A7227" w14:textId="5E5E6A97" w:rsidR="00B41A9A" w:rsidRPr="00783571" w:rsidRDefault="00B41A9A" w:rsidP="00933A43">
      <w:pPr>
        <w:pStyle w:val="bullets"/>
        <w:spacing w:after="160"/>
      </w:pPr>
      <w:r w:rsidRPr="00783571">
        <w:t>Θ</w:t>
      </w:r>
      <w:r w:rsidRPr="00783571">
        <w:rPr>
          <w:iCs/>
          <w:vertAlign w:val="subscript"/>
        </w:rPr>
        <w:t>c</w:t>
      </w:r>
      <w:r w:rsidRPr="00783571">
        <w:t xml:space="preserve"> = </w:t>
      </w:r>
      <w:r w:rsidR="000C5E51" w:rsidRPr="00783571">
        <w:t>p</w:t>
      </w:r>
      <w:r w:rsidRPr="00783571">
        <w:t xml:space="preserve">robability of HIV transmission per needle shared with an HIV-infected partner in compartment </w:t>
      </w:r>
      <w:r w:rsidRPr="00783571">
        <w:rPr>
          <w:i/>
        </w:rPr>
        <w:t>c</w:t>
      </w:r>
      <w:r w:rsidR="00215251" w:rsidRPr="00783571">
        <w:rPr>
          <w:iCs/>
        </w:rPr>
        <w:t xml:space="preserve">; calculated as a product of </w:t>
      </w:r>
      <w:r w:rsidR="00933A43" w:rsidRPr="00783571">
        <w:rPr>
          <w:i/>
        </w:rPr>
        <w:t>b</w:t>
      </w:r>
      <w:r w:rsidR="00215251" w:rsidRPr="00783571">
        <w:rPr>
          <w:i/>
        </w:rPr>
        <w:t>ase probability of transmission per shared needle</w:t>
      </w:r>
      <w:r w:rsidR="00215251" w:rsidRPr="00783571">
        <w:rPr>
          <w:iCs/>
        </w:rPr>
        <w:t xml:space="preserve"> and </w:t>
      </w:r>
      <w:r w:rsidR="00933A43" w:rsidRPr="00783571">
        <w:rPr>
          <w:i/>
        </w:rPr>
        <w:t>r</w:t>
      </w:r>
      <w:r w:rsidR="00215251" w:rsidRPr="00783571">
        <w:rPr>
          <w:i/>
        </w:rPr>
        <w:t xml:space="preserve">elative risk of transmission per </w:t>
      </w:r>
      <w:r w:rsidR="00782B9B" w:rsidRPr="00783571">
        <w:rPr>
          <w:i/>
        </w:rPr>
        <w:t>sex act</w:t>
      </w:r>
      <w:r w:rsidR="00215251" w:rsidRPr="00783571">
        <w:rPr>
          <w:i/>
        </w:rPr>
        <w:t xml:space="preserve"> by disease stage</w:t>
      </w:r>
      <w:r w:rsidR="00215251" w:rsidRPr="00783571">
        <w:rPr>
          <w:iCs/>
        </w:rPr>
        <w:t xml:space="preserve">, the latter of which varies by </w:t>
      </w:r>
      <w:r w:rsidR="00215251" w:rsidRPr="00783571">
        <w:rPr>
          <w:i/>
        </w:rPr>
        <w:t>c</w:t>
      </w:r>
      <w:r w:rsidR="000C5E51" w:rsidRPr="00783571">
        <w:t>.</w:t>
      </w:r>
    </w:p>
    <w:p w14:paraId="199A01B6" w14:textId="77777777" w:rsidR="00B41A9A" w:rsidRPr="00783571" w:rsidRDefault="00B41A9A" w:rsidP="00B41A9A">
      <w:pPr>
        <w:pStyle w:val="Heading2"/>
      </w:pPr>
      <w:bookmarkStart w:id="67" w:name="_Toc398293124"/>
      <w:bookmarkStart w:id="68" w:name="_Toc510104460"/>
      <w:r w:rsidRPr="00783571">
        <w:t>Calculation of Force of Infection</w:t>
      </w:r>
      <w:bookmarkEnd w:id="67"/>
      <w:bookmarkEnd w:id="68"/>
    </w:p>
    <w:p w14:paraId="444057CB" w14:textId="1C73C821" w:rsidR="00B41A9A" w:rsidRPr="00783571" w:rsidRDefault="000300BF" w:rsidP="003303A2">
      <w:pPr>
        <w:pStyle w:val="BodyText"/>
      </w:pPr>
      <w:r w:rsidRPr="00783571">
        <w:t>The force of infection</w:t>
      </w:r>
      <w:r w:rsidR="003303A2" w:rsidRPr="00783571">
        <w:t xml:space="preserve"> </w:t>
      </w:r>
      <w:r w:rsidR="003303A2" w:rsidRPr="00783571">
        <w:rPr>
          <w:rFonts w:ascii="Calibri" w:hAnsi="Calibri"/>
        </w:rPr>
        <w:t>λ</w:t>
      </w:r>
      <w:r w:rsidRPr="00783571">
        <w:t xml:space="preserve"> is defined as the rate of infection per uninfected person across all sources. </w:t>
      </w:r>
      <w:r w:rsidR="00B41A9A" w:rsidRPr="00783571">
        <w:t xml:space="preserve">The method that we applied to calculate force of infection is based on the method applied in Long et al. (2010) but adapted </w:t>
      </w:r>
      <w:r w:rsidR="000C5E51" w:rsidRPr="00783571">
        <w:t>to</w:t>
      </w:r>
      <w:r w:rsidR="00B41A9A" w:rsidRPr="00783571">
        <w:t xml:space="preserve"> include multiple transmission groups</w:t>
      </w:r>
      <w:r w:rsidR="000C5E51" w:rsidRPr="00783571">
        <w:t>,</w:t>
      </w:r>
      <w:r w:rsidR="00B41A9A" w:rsidRPr="00783571">
        <w:t xml:space="preserve"> and mixing is determined explicitly by inputs defining percent</w:t>
      </w:r>
      <w:r w:rsidR="000C5E51" w:rsidRPr="00783571">
        <w:t>age</w:t>
      </w:r>
      <w:r w:rsidR="00B41A9A" w:rsidRPr="00783571">
        <w:t xml:space="preserve"> of partners by race/ethnicity, transmission groups, </w:t>
      </w:r>
      <w:r w:rsidR="000B270A" w:rsidRPr="00783571">
        <w:t xml:space="preserve">risk levels, </w:t>
      </w:r>
      <w:r w:rsidR="00B41A9A" w:rsidRPr="00783571">
        <w:t>and age groups. Long et al. was based on the heterosexual population only and assumed proportional mixing, in which “persons with many sexual partners are more likely to select a partner who similarly has many partners</w:t>
      </w:r>
      <w:r w:rsidR="000C5E51" w:rsidRPr="00783571">
        <w:t xml:space="preserve">” (p. </w:t>
      </w:r>
      <w:r w:rsidR="005160E8" w:rsidRPr="00783571">
        <w:t>779</w:t>
      </w:r>
      <w:r w:rsidR="000C5E51" w:rsidRPr="00783571">
        <w:t>).</w:t>
      </w:r>
    </w:p>
    <w:p w14:paraId="7374D4D2" w14:textId="50A1D454" w:rsidR="00B41A9A" w:rsidRPr="00783571" w:rsidRDefault="00B41A9A" w:rsidP="00F05222">
      <w:pPr>
        <w:pStyle w:val="BodyText"/>
      </w:pPr>
      <w:r w:rsidRPr="00783571">
        <w:t xml:space="preserve">The force of HIV infection is a function of the number of </w:t>
      </w:r>
      <w:r w:rsidR="00A64DC0" w:rsidRPr="00783571">
        <w:t xml:space="preserve">vaginal </w:t>
      </w:r>
      <w:r w:rsidR="00C1656C" w:rsidRPr="00783571">
        <w:t>intercourse</w:t>
      </w:r>
      <w:r w:rsidR="00A64DC0" w:rsidRPr="00783571">
        <w:t xml:space="preserve">, anal </w:t>
      </w:r>
      <w:r w:rsidR="00C1656C" w:rsidRPr="00783571">
        <w:t>intercourse</w:t>
      </w:r>
      <w:r w:rsidR="00A64DC0" w:rsidRPr="00783571">
        <w:t xml:space="preserve">, </w:t>
      </w:r>
      <w:r w:rsidRPr="00783571">
        <w:t>and needle-sharing partners</w:t>
      </w:r>
      <w:r w:rsidR="00F05222" w:rsidRPr="00783571">
        <w:t xml:space="preserve">, </w:t>
      </w:r>
      <w:r w:rsidR="00EB3223" w:rsidRPr="00783571">
        <w:t>per-partnership transmission risk</w:t>
      </w:r>
      <w:r w:rsidR="00F05222" w:rsidRPr="00783571">
        <w:t xml:space="preserve"> (described in </w:t>
      </w:r>
      <w:r w:rsidR="00CA2896" w:rsidRPr="00783571">
        <w:t>Section </w:t>
      </w:r>
      <w:r w:rsidR="00B27092" w:rsidRPr="00783571">
        <w:t>6.2</w:t>
      </w:r>
      <w:r w:rsidR="00F05222" w:rsidRPr="00783571">
        <w:t xml:space="preserve">), prevalence of HIV among partners, and the distribution of </w:t>
      </w:r>
      <w:r w:rsidRPr="00783571">
        <w:t xml:space="preserve">HIV-infected partners </w:t>
      </w:r>
      <w:r w:rsidR="00F305F7" w:rsidRPr="00783571">
        <w:t xml:space="preserve">among </w:t>
      </w:r>
      <w:r w:rsidRPr="00783571">
        <w:t xml:space="preserve">the different disease </w:t>
      </w:r>
      <w:r w:rsidR="008946DD" w:rsidRPr="00783571">
        <w:t xml:space="preserve">and </w:t>
      </w:r>
      <w:r w:rsidR="003F2DC6" w:rsidRPr="00783571">
        <w:t>care continuum</w:t>
      </w:r>
      <w:r w:rsidR="008946DD" w:rsidRPr="00783571">
        <w:t xml:space="preserve"> </w:t>
      </w:r>
      <w:r w:rsidRPr="00783571">
        <w:t>stages.</w:t>
      </w:r>
    </w:p>
    <w:p w14:paraId="64156077" w14:textId="39C0B9AD" w:rsidR="00B41A9A" w:rsidRPr="00783571" w:rsidRDefault="00B41A9A" w:rsidP="008A3FA7">
      <w:pPr>
        <w:pStyle w:val="BodyText"/>
      </w:pPr>
      <w:r w:rsidRPr="00783571">
        <w:t xml:space="preserve">The force of </w:t>
      </w:r>
      <w:r w:rsidR="00604E85" w:rsidRPr="00783571">
        <w:t xml:space="preserve">HIV </w:t>
      </w:r>
      <w:r w:rsidRPr="00783571">
        <w:t xml:space="preserve">infection for non-HIV infected individuals of any given subpopulation </w:t>
      </w:r>
      <w:r w:rsidRPr="00783571">
        <w:rPr>
          <w:i/>
          <w:iCs/>
        </w:rPr>
        <w:t>p</w:t>
      </w:r>
      <w:r w:rsidRPr="00783571">
        <w:t xml:space="preserve"> is calculated as the sum of the contact rates from five different sources of infection</w:t>
      </w:r>
      <w:r w:rsidR="00021B86" w:rsidRPr="00783571">
        <w:t>,</w:t>
      </w:r>
      <w:r w:rsidRPr="00783571">
        <w:t xml:space="preserve"> </w:t>
      </w:r>
      <w:r w:rsidR="00021B86" w:rsidRPr="00783571">
        <w:t xml:space="preserve">four sexual contact rates and one needle-sharing contact rate </w:t>
      </w:r>
      <w:r w:rsidRPr="00783571">
        <w:t>(listed</w:t>
      </w:r>
      <w:r w:rsidR="007F43FF" w:rsidRPr="00783571">
        <w:t xml:space="preserve"> and further described</w:t>
      </w:r>
      <w:r w:rsidRPr="00783571">
        <w:t xml:space="preserve"> in </w:t>
      </w:r>
      <w:r w:rsidR="00814158" w:rsidRPr="00783571">
        <w:t>Table </w:t>
      </w:r>
      <w:r w:rsidR="00871E69" w:rsidRPr="00783571">
        <w:t>6.</w:t>
      </w:r>
      <w:r w:rsidR="00A64DC0" w:rsidRPr="00783571">
        <w:t>13</w:t>
      </w:r>
      <w:r w:rsidRPr="00783571">
        <w:t xml:space="preserve">), as stated in </w:t>
      </w:r>
      <w:r w:rsidR="000C5E51" w:rsidRPr="00783571">
        <w:t>E</w:t>
      </w:r>
      <w:r w:rsidRPr="00783571">
        <w:t xml:space="preserve">quation </w:t>
      </w:r>
      <w:r w:rsidR="008B30F8" w:rsidRPr="00783571">
        <w:t>(</w:t>
      </w:r>
      <w:r w:rsidR="00FF381E" w:rsidRPr="00783571">
        <w:t>6</w:t>
      </w:r>
      <w:r w:rsidR="008735E8" w:rsidRPr="00783571">
        <w:t>.</w:t>
      </w:r>
      <w:r w:rsidR="008A3FA7" w:rsidRPr="00783571">
        <w:t>3</w:t>
      </w:r>
      <w:r w:rsidR="008B30F8" w:rsidRPr="00783571">
        <w:t>)</w:t>
      </w:r>
      <w:r w:rsidRPr="00783571">
        <w:t>:</w:t>
      </w:r>
    </w:p>
    <w:p w14:paraId="2322AFE4" w14:textId="0DBA0E94" w:rsidR="00B41A9A" w:rsidRPr="00783571" w:rsidRDefault="008F2136" w:rsidP="00021B86">
      <w:pPr>
        <w:pStyle w:val="equation"/>
        <w:tabs>
          <w:tab w:val="clear" w:pos="4680"/>
          <w:tab w:val="center" w:pos="5040"/>
        </w:tabs>
        <w:rPr>
          <w:lang w:val="en-US"/>
        </w:rPr>
      </w:pPr>
      <w:r w:rsidRPr="00783571">
        <w:rPr>
          <w:lang w:val="en-US"/>
        </w:rPr>
        <w:tab/>
      </w:r>
      <m:oMath>
        <m:sSubSup>
          <m:sSubSupPr>
            <m:ctrlPr>
              <w:rPr>
                <w:rFonts w:ascii="Cambria Math" w:hAnsi="Cambria Math"/>
                <w:i/>
                <w:lang w:val="en-US"/>
              </w:rPr>
            </m:ctrlPr>
          </m:sSubSup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=λ</m:t>
            </m:r>
          </m:e>
          <m:sub>
            <m:r>
              <w:rPr>
                <w:rFonts w:ascii="Cambria Math" w:hAnsi="Cambria Math"/>
                <w:lang w:val="en-US"/>
              </w:rPr>
              <m:t>p</m:t>
            </m:r>
          </m:sub>
          <m:sup>
            <m:r>
              <w:rPr>
                <w:rFonts w:ascii="Cambria Math" w:hAnsi="Cambria Math"/>
                <w:lang w:val="en-US"/>
              </w:rPr>
              <m:t>z=1,x=1</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λ</m:t>
            </m:r>
          </m:e>
          <m:sub>
            <m:r>
              <w:rPr>
                <w:rFonts w:ascii="Cambria Math" w:hAnsi="Cambria Math"/>
                <w:lang w:val="en-US"/>
              </w:rPr>
              <m:t>p</m:t>
            </m:r>
          </m:sub>
          <m:sup>
            <m:r>
              <w:rPr>
                <w:rFonts w:ascii="Cambria Math" w:hAnsi="Cambria Math"/>
                <w:lang w:val="en-US"/>
              </w:rPr>
              <m:t>z=2,x=2</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λ</m:t>
            </m:r>
          </m:e>
          <m:sub>
            <m:r>
              <w:rPr>
                <w:rFonts w:ascii="Cambria Math" w:hAnsi="Cambria Math"/>
                <w:lang w:val="en-US"/>
              </w:rPr>
              <m:t>p</m:t>
            </m:r>
          </m:sub>
          <m:sup>
            <m:r>
              <w:rPr>
                <w:rFonts w:ascii="Cambria Math" w:hAnsi="Cambria Math"/>
                <w:lang w:val="en-US"/>
              </w:rPr>
              <m:t>z=1,x=3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λ</m:t>
            </m:r>
          </m:e>
          <m:sub>
            <m:r>
              <w:rPr>
                <w:rFonts w:ascii="Cambria Math" w:hAnsi="Cambria Math"/>
                <w:lang w:val="en-US"/>
              </w:rPr>
              <m:t>p</m:t>
            </m:r>
          </m:sub>
          <m:sup>
            <m:r>
              <w:rPr>
                <w:rFonts w:ascii="Cambria Math" w:hAnsi="Cambria Math"/>
                <w:lang w:val="en-US"/>
              </w:rPr>
              <m:t>z=2,x=3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λ</m:t>
            </m:r>
          </m:e>
          <m:sub>
            <m:r>
              <w:rPr>
                <w:rFonts w:ascii="Cambria Math" w:hAnsi="Cambria Math"/>
                <w:lang w:val="en-US"/>
              </w:rPr>
              <m:t>p</m:t>
            </m:r>
          </m:sub>
          <m:sup>
            <m:r>
              <w:rPr>
                <w:rFonts w:ascii="Cambria Math" w:hAnsi="Cambria Math"/>
                <w:lang w:val="en-US"/>
              </w:rPr>
              <m:t>z=3</m:t>
            </m:r>
          </m:sup>
        </m:sSubSup>
        <m:r>
          <w:rPr>
            <w:rFonts w:ascii="Cambria Math" w:hAnsi="Cambria Math"/>
            <w:lang w:val="en-US"/>
          </w:rPr>
          <m:t>(t)</m:t>
        </m:r>
      </m:oMath>
      <w:r w:rsidR="00E122FD" w:rsidRPr="00783571">
        <w:rPr>
          <w:lang w:val="en-US"/>
        </w:rPr>
        <w:tab/>
      </w:r>
      <w:r w:rsidR="00B41A9A" w:rsidRPr="00783571">
        <w:rPr>
          <w:lang w:val="en-US"/>
        </w:rPr>
        <w:t>(</w:t>
      </w:r>
      <w:r w:rsidR="00FF381E" w:rsidRPr="00783571">
        <w:rPr>
          <w:lang w:val="en-US"/>
        </w:rPr>
        <w:t>6</w:t>
      </w:r>
      <w:r w:rsidR="008735E8" w:rsidRPr="00783571">
        <w:rPr>
          <w:lang w:val="en-US"/>
        </w:rPr>
        <w:t>.</w:t>
      </w:r>
      <w:r w:rsidR="008A3FA7" w:rsidRPr="00783571">
        <w:rPr>
          <w:lang w:val="en-US"/>
        </w:rPr>
        <w:t>3</w:t>
      </w:r>
      <w:r w:rsidR="00B41A9A" w:rsidRPr="00783571">
        <w:rPr>
          <w:lang w:val="en-US"/>
        </w:rPr>
        <w:t>)</w:t>
      </w:r>
    </w:p>
    <w:p w14:paraId="01C8ADAF" w14:textId="7DB4E897" w:rsidR="00315F8D" w:rsidRPr="00783571" w:rsidRDefault="00315F8D" w:rsidP="00315F8D">
      <w:pPr>
        <w:pStyle w:val="TableTitle"/>
      </w:pPr>
      <w:bookmarkStart w:id="69" w:name="_Toc510104036"/>
      <w:r w:rsidRPr="00783571">
        <w:t>Table</w:t>
      </w:r>
      <w:r w:rsidR="00740DFC" w:rsidRPr="00783571">
        <w:t xml:space="preserve"> 6.</w:t>
      </w:r>
      <w:r w:rsidRPr="00783571">
        <w:t>13.</w:t>
      </w:r>
      <w:r w:rsidRPr="00783571">
        <w:tab/>
        <w:t>Five Sources of Infection that Contribute to Overall Force of Infection for Each Subpopulation</w:t>
      </w:r>
      <w:bookmarkEnd w:id="69"/>
      <w:r w:rsidRPr="00783571">
        <w:t xml:space="preserve"> </w:t>
      </w:r>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2360"/>
        <w:gridCol w:w="3069"/>
        <w:gridCol w:w="1209"/>
        <w:gridCol w:w="2722"/>
      </w:tblGrid>
      <w:tr w:rsidR="00315F8D" w:rsidRPr="00783571" w14:paraId="428860DC" w14:textId="77777777" w:rsidTr="00260D8A">
        <w:trPr>
          <w:cantSplit/>
          <w:tblHeader/>
        </w:trPr>
        <w:tc>
          <w:tcPr>
            <w:tcW w:w="2360" w:type="dxa"/>
            <w:tcBorders>
              <w:top w:val="single" w:sz="12" w:space="0" w:color="000000"/>
              <w:bottom w:val="single" w:sz="6" w:space="0" w:color="auto"/>
            </w:tcBorders>
            <w:shd w:val="clear" w:color="auto" w:fill="auto"/>
            <w:vAlign w:val="bottom"/>
          </w:tcPr>
          <w:p w14:paraId="0ABBB39F" w14:textId="77777777" w:rsidR="00315F8D" w:rsidRPr="00783571" w:rsidRDefault="00315F8D" w:rsidP="00315F8D">
            <w:pPr>
              <w:pStyle w:val="TableHeaders"/>
              <w:spacing w:before="60" w:after="60"/>
            </w:pPr>
            <w:r w:rsidRPr="00783571">
              <w:t>Source of Infection</w:t>
            </w:r>
          </w:p>
        </w:tc>
        <w:tc>
          <w:tcPr>
            <w:tcW w:w="3069" w:type="dxa"/>
            <w:tcBorders>
              <w:top w:val="single" w:sz="12" w:space="0" w:color="000000"/>
              <w:bottom w:val="single" w:sz="6" w:space="0" w:color="auto"/>
            </w:tcBorders>
            <w:shd w:val="clear" w:color="auto" w:fill="auto"/>
            <w:vAlign w:val="bottom"/>
          </w:tcPr>
          <w:p w14:paraId="5DE69236" w14:textId="77777777" w:rsidR="00315F8D" w:rsidRPr="00783571" w:rsidRDefault="00315F8D" w:rsidP="00315F8D">
            <w:pPr>
              <w:pStyle w:val="TableHeaders"/>
              <w:spacing w:before="60" w:after="60"/>
            </w:pPr>
            <w:r w:rsidRPr="00783571">
              <w:t>Relevant Subpopulations (</w:t>
            </w:r>
            <w:r w:rsidRPr="00783571">
              <w:rPr>
                <w:i/>
              </w:rPr>
              <w:t>p</w:t>
            </w:r>
            <w:r w:rsidRPr="00783571">
              <w:t>) and Sexual Transmission Participation Type (</w:t>
            </w:r>
            <w:r w:rsidRPr="00783571">
              <w:rPr>
                <w:i/>
              </w:rPr>
              <w:t>x</w:t>
            </w:r>
            <w:r w:rsidRPr="00783571">
              <w:t>)</w:t>
            </w:r>
          </w:p>
        </w:tc>
        <w:tc>
          <w:tcPr>
            <w:tcW w:w="1209" w:type="dxa"/>
            <w:tcBorders>
              <w:top w:val="single" w:sz="12" w:space="0" w:color="000000"/>
              <w:bottom w:val="single" w:sz="6" w:space="0" w:color="auto"/>
            </w:tcBorders>
            <w:shd w:val="clear" w:color="auto" w:fill="auto"/>
            <w:noWrap/>
            <w:vAlign w:val="bottom"/>
            <w:hideMark/>
          </w:tcPr>
          <w:p w14:paraId="7183FBF8" w14:textId="77777777" w:rsidR="00315F8D" w:rsidRPr="00783571" w:rsidRDefault="00315F8D" w:rsidP="00315F8D">
            <w:pPr>
              <w:pStyle w:val="TableHeaders"/>
              <w:spacing w:before="60" w:after="60"/>
            </w:pPr>
            <w:r w:rsidRPr="00783571">
              <w:t>Risk Type (</w:t>
            </w:r>
            <w:r w:rsidRPr="00783571">
              <w:rPr>
                <w:i/>
              </w:rPr>
              <w:t>z</w:t>
            </w:r>
            <w:r w:rsidRPr="00783571">
              <w:t>)</w:t>
            </w:r>
          </w:p>
        </w:tc>
        <w:tc>
          <w:tcPr>
            <w:tcW w:w="2722" w:type="dxa"/>
            <w:tcBorders>
              <w:top w:val="single" w:sz="12" w:space="0" w:color="000000"/>
              <w:bottom w:val="single" w:sz="6" w:space="0" w:color="auto"/>
            </w:tcBorders>
            <w:shd w:val="clear" w:color="auto" w:fill="auto"/>
            <w:vAlign w:val="bottom"/>
          </w:tcPr>
          <w:p w14:paraId="6F664C42" w14:textId="77777777" w:rsidR="00315F8D" w:rsidRPr="00783571" w:rsidRDefault="00315F8D" w:rsidP="00315F8D">
            <w:pPr>
              <w:pStyle w:val="TableHeaders"/>
              <w:spacing w:before="60" w:after="60"/>
            </w:pPr>
            <w:r w:rsidRPr="00783571">
              <w:t>Betas (</w:t>
            </w:r>
            <w:r w:rsidRPr="00783571">
              <w:rPr>
                <w:position w:val="-14"/>
              </w:rPr>
              <w:object w:dxaOrig="560" w:dyaOrig="400" w14:anchorId="0B2767E0">
                <v:shape id="_x0000_i1031" type="#_x0000_t75" style="width:28.5pt;height:21.75pt" o:ole="">
                  <v:imagedata r:id="rId80" o:title=""/>
                </v:shape>
                <o:OLEObject Type="Embed" ProgID="Equation.3" ShapeID="_x0000_i1031" DrawAspect="Content" ObjectID="_1584261695" r:id="rId81"/>
              </w:object>
            </w:r>
            <w:r w:rsidRPr="00783571">
              <w:t>) Used in Calculation of Lambda</w:t>
            </w:r>
          </w:p>
        </w:tc>
      </w:tr>
      <w:tr w:rsidR="00315F8D" w:rsidRPr="00783571" w14:paraId="50C80011" w14:textId="77777777" w:rsidTr="00260D8A">
        <w:trPr>
          <w:cantSplit/>
        </w:trPr>
        <w:tc>
          <w:tcPr>
            <w:tcW w:w="2360" w:type="dxa"/>
            <w:tcBorders>
              <w:top w:val="single" w:sz="6" w:space="0" w:color="auto"/>
              <w:bottom w:val="single" w:sz="4" w:space="0" w:color="808080" w:themeColor="background1" w:themeShade="80"/>
            </w:tcBorders>
          </w:tcPr>
          <w:p w14:paraId="04F8AC85" w14:textId="77777777" w:rsidR="00315F8D" w:rsidRPr="00783571" w:rsidRDefault="00315F8D" w:rsidP="00315F8D">
            <w:pPr>
              <w:pStyle w:val="TableText"/>
            </w:pPr>
            <w:r w:rsidRPr="00783571">
              <w:t>VI in people who only participate in VI in their male-female partnerships</w:t>
            </w:r>
          </w:p>
        </w:tc>
        <w:tc>
          <w:tcPr>
            <w:tcW w:w="3069" w:type="dxa"/>
            <w:tcBorders>
              <w:top w:val="single" w:sz="6" w:space="0" w:color="auto"/>
              <w:bottom w:val="single" w:sz="4" w:space="0" w:color="808080" w:themeColor="background1" w:themeShade="80"/>
            </w:tcBorders>
          </w:tcPr>
          <w:p w14:paraId="52FF2090" w14:textId="77777777" w:rsidR="00315F8D" w:rsidRPr="00783571" w:rsidRDefault="00315F8D" w:rsidP="00315F8D">
            <w:pPr>
              <w:pStyle w:val="TableText"/>
            </w:pPr>
            <w:r w:rsidRPr="00783571">
              <w:t>p = {All}, x = VI only in male-female partnerships (1)</w:t>
            </w:r>
          </w:p>
        </w:tc>
        <w:tc>
          <w:tcPr>
            <w:tcW w:w="1209" w:type="dxa"/>
            <w:tcBorders>
              <w:top w:val="single" w:sz="6" w:space="0" w:color="auto"/>
              <w:bottom w:val="single" w:sz="4" w:space="0" w:color="808080" w:themeColor="background1" w:themeShade="80"/>
            </w:tcBorders>
            <w:shd w:val="clear" w:color="auto" w:fill="auto"/>
            <w:noWrap/>
          </w:tcPr>
          <w:p w14:paraId="209121A3" w14:textId="77777777" w:rsidR="00315F8D" w:rsidRPr="00783571" w:rsidRDefault="00315F8D" w:rsidP="00315F8D">
            <w:pPr>
              <w:pStyle w:val="TableText"/>
            </w:pPr>
            <w:r w:rsidRPr="00783571">
              <w:t>VI (z=1)</w:t>
            </w:r>
          </w:p>
        </w:tc>
        <w:tc>
          <w:tcPr>
            <w:tcW w:w="2722" w:type="dxa"/>
            <w:tcBorders>
              <w:top w:val="single" w:sz="6" w:space="0" w:color="auto"/>
              <w:bottom w:val="single" w:sz="4" w:space="0" w:color="808080" w:themeColor="background1" w:themeShade="80"/>
            </w:tcBorders>
          </w:tcPr>
          <w:p w14:paraId="7AC41E36" w14:textId="77777777" w:rsidR="00315F8D" w:rsidRPr="00783571" w:rsidRDefault="00315F8D" w:rsidP="00315F8D">
            <w:pPr>
              <w:pStyle w:val="TableText"/>
            </w:pPr>
            <w:r w:rsidRPr="00783571">
              <w:t>Beta for z = VI, y = male-female partnership that only includes VI</w:t>
            </w:r>
          </w:p>
        </w:tc>
      </w:tr>
      <w:tr w:rsidR="00315F8D" w:rsidRPr="00783571" w14:paraId="5E40D6FB" w14:textId="77777777" w:rsidTr="00260D8A">
        <w:trPr>
          <w:cantSplit/>
        </w:trPr>
        <w:tc>
          <w:tcPr>
            <w:tcW w:w="2360" w:type="dxa"/>
            <w:tcBorders>
              <w:top w:val="single" w:sz="4" w:space="0" w:color="808080" w:themeColor="background1" w:themeShade="80"/>
              <w:bottom w:val="single" w:sz="4" w:space="0" w:color="808080" w:themeColor="background1" w:themeShade="80"/>
            </w:tcBorders>
          </w:tcPr>
          <w:p w14:paraId="23B76F28" w14:textId="77777777" w:rsidR="00315F8D" w:rsidRPr="00783571" w:rsidRDefault="00315F8D" w:rsidP="00315F8D">
            <w:pPr>
              <w:pStyle w:val="TableText"/>
            </w:pPr>
            <w:r w:rsidRPr="00783571">
              <w:t>AI from male-male partnerships</w:t>
            </w:r>
          </w:p>
        </w:tc>
        <w:tc>
          <w:tcPr>
            <w:tcW w:w="3069" w:type="dxa"/>
            <w:tcBorders>
              <w:top w:val="single" w:sz="4" w:space="0" w:color="808080" w:themeColor="background1" w:themeShade="80"/>
              <w:bottom w:val="single" w:sz="4" w:space="0" w:color="808080" w:themeColor="background1" w:themeShade="80"/>
            </w:tcBorders>
          </w:tcPr>
          <w:p w14:paraId="4F302959" w14:textId="77777777" w:rsidR="00315F8D" w:rsidRPr="00783571" w:rsidRDefault="00315F8D" w:rsidP="00315F8D">
            <w:pPr>
              <w:pStyle w:val="TableText"/>
            </w:pPr>
            <w:r w:rsidRPr="00783571">
              <w:t>p = {MSM}, x = AI only in male-male partnerships (2)</w:t>
            </w:r>
          </w:p>
        </w:tc>
        <w:tc>
          <w:tcPr>
            <w:tcW w:w="1209" w:type="dxa"/>
            <w:tcBorders>
              <w:top w:val="single" w:sz="4" w:space="0" w:color="808080" w:themeColor="background1" w:themeShade="80"/>
              <w:bottom w:val="single" w:sz="4" w:space="0" w:color="808080" w:themeColor="background1" w:themeShade="80"/>
            </w:tcBorders>
            <w:shd w:val="clear" w:color="auto" w:fill="auto"/>
            <w:noWrap/>
          </w:tcPr>
          <w:p w14:paraId="05AF10AE" w14:textId="77777777" w:rsidR="00315F8D" w:rsidRPr="00783571" w:rsidRDefault="00315F8D" w:rsidP="00315F8D">
            <w:pPr>
              <w:pStyle w:val="TableText"/>
            </w:pPr>
            <w:r w:rsidRPr="00783571">
              <w:t>AI (z=2)</w:t>
            </w:r>
          </w:p>
        </w:tc>
        <w:tc>
          <w:tcPr>
            <w:tcW w:w="2722" w:type="dxa"/>
            <w:tcBorders>
              <w:top w:val="single" w:sz="4" w:space="0" w:color="808080" w:themeColor="background1" w:themeShade="80"/>
              <w:bottom w:val="single" w:sz="4" w:space="0" w:color="808080" w:themeColor="background1" w:themeShade="80"/>
            </w:tcBorders>
          </w:tcPr>
          <w:p w14:paraId="281F926B" w14:textId="77777777" w:rsidR="00315F8D" w:rsidRPr="00783571" w:rsidRDefault="00315F8D" w:rsidP="00315F8D">
            <w:pPr>
              <w:pStyle w:val="TableText"/>
            </w:pPr>
            <w:r w:rsidRPr="00783571">
              <w:t>Beta for z = AI, y = male-male partnership that only includes AI</w:t>
            </w:r>
          </w:p>
        </w:tc>
      </w:tr>
      <w:tr w:rsidR="00315F8D" w:rsidRPr="00783571" w14:paraId="38D6A96E" w14:textId="77777777" w:rsidTr="00260D8A">
        <w:trPr>
          <w:cantSplit/>
        </w:trPr>
        <w:tc>
          <w:tcPr>
            <w:tcW w:w="2360" w:type="dxa"/>
            <w:tcBorders>
              <w:top w:val="single" w:sz="4" w:space="0" w:color="808080" w:themeColor="background1" w:themeShade="80"/>
              <w:bottom w:val="single" w:sz="4" w:space="0" w:color="808080" w:themeColor="background1" w:themeShade="80"/>
            </w:tcBorders>
          </w:tcPr>
          <w:p w14:paraId="7884394A" w14:textId="77777777" w:rsidR="00315F8D" w:rsidRPr="00783571" w:rsidRDefault="00315F8D" w:rsidP="00315F8D">
            <w:pPr>
              <w:pStyle w:val="TableText"/>
            </w:pPr>
            <w:r w:rsidRPr="00783571">
              <w:t>VI in people who participate in AI in their male-female partnerships</w:t>
            </w:r>
          </w:p>
        </w:tc>
        <w:tc>
          <w:tcPr>
            <w:tcW w:w="3069" w:type="dxa"/>
            <w:tcBorders>
              <w:top w:val="single" w:sz="4" w:space="0" w:color="808080" w:themeColor="background1" w:themeShade="80"/>
              <w:bottom w:val="single" w:sz="4" w:space="0" w:color="808080" w:themeColor="background1" w:themeShade="80"/>
            </w:tcBorders>
          </w:tcPr>
          <w:p w14:paraId="0396D17C" w14:textId="77777777" w:rsidR="00315F8D" w:rsidRPr="00783571" w:rsidRDefault="00315F8D" w:rsidP="00315F8D">
            <w:pPr>
              <w:pStyle w:val="TableText"/>
            </w:pPr>
            <w:r w:rsidRPr="00783571">
              <w:t>p = {All}, x = AI and VI in male-female partnerships (3)</w:t>
            </w:r>
          </w:p>
        </w:tc>
        <w:tc>
          <w:tcPr>
            <w:tcW w:w="1209" w:type="dxa"/>
            <w:tcBorders>
              <w:top w:val="single" w:sz="4" w:space="0" w:color="808080" w:themeColor="background1" w:themeShade="80"/>
              <w:bottom w:val="single" w:sz="4" w:space="0" w:color="808080" w:themeColor="background1" w:themeShade="80"/>
            </w:tcBorders>
            <w:shd w:val="clear" w:color="auto" w:fill="auto"/>
            <w:noWrap/>
          </w:tcPr>
          <w:p w14:paraId="4BEF306D" w14:textId="77777777" w:rsidR="00315F8D" w:rsidRPr="00783571" w:rsidRDefault="00315F8D" w:rsidP="00315F8D">
            <w:pPr>
              <w:pStyle w:val="TableText"/>
            </w:pPr>
            <w:r w:rsidRPr="00783571">
              <w:t>VI (z=1)</w:t>
            </w:r>
          </w:p>
        </w:tc>
        <w:tc>
          <w:tcPr>
            <w:tcW w:w="2722" w:type="dxa"/>
            <w:tcBorders>
              <w:top w:val="single" w:sz="4" w:space="0" w:color="808080" w:themeColor="background1" w:themeShade="80"/>
              <w:bottom w:val="single" w:sz="4" w:space="0" w:color="808080" w:themeColor="background1" w:themeShade="80"/>
            </w:tcBorders>
          </w:tcPr>
          <w:p w14:paraId="3221B026" w14:textId="77777777" w:rsidR="00315F8D" w:rsidRPr="00783571" w:rsidRDefault="00315F8D" w:rsidP="00315F8D">
            <w:pPr>
              <w:pStyle w:val="TableText"/>
            </w:pPr>
            <w:r w:rsidRPr="00783571">
              <w:t>Beta for z = VI, y = male-female partnership that includes AI;</w:t>
            </w:r>
          </w:p>
          <w:p w14:paraId="516F6085" w14:textId="77777777" w:rsidR="00315F8D" w:rsidRPr="00783571" w:rsidRDefault="00315F8D" w:rsidP="00315F8D">
            <w:pPr>
              <w:pStyle w:val="TableText"/>
            </w:pPr>
            <w:r w:rsidRPr="00783571">
              <w:t>Beta for z = VI, y = male-female partnership that only includes VI</w:t>
            </w:r>
          </w:p>
        </w:tc>
      </w:tr>
      <w:tr w:rsidR="00315F8D" w:rsidRPr="00783571" w14:paraId="618D7EE8" w14:textId="77777777" w:rsidTr="00260D8A">
        <w:trPr>
          <w:cantSplit/>
        </w:trPr>
        <w:tc>
          <w:tcPr>
            <w:tcW w:w="2360" w:type="dxa"/>
            <w:tcBorders>
              <w:top w:val="single" w:sz="4" w:space="0" w:color="808080" w:themeColor="background1" w:themeShade="80"/>
              <w:bottom w:val="single" w:sz="4" w:space="0" w:color="808080" w:themeColor="background1" w:themeShade="80"/>
            </w:tcBorders>
          </w:tcPr>
          <w:p w14:paraId="1E2EB602" w14:textId="77777777" w:rsidR="00315F8D" w:rsidRPr="00783571" w:rsidRDefault="00315F8D" w:rsidP="00315F8D">
            <w:pPr>
              <w:pStyle w:val="TableText"/>
            </w:pPr>
            <w:r w:rsidRPr="00783571">
              <w:t>AI in people who participate in AI in their male-female partnerships</w:t>
            </w:r>
          </w:p>
        </w:tc>
        <w:tc>
          <w:tcPr>
            <w:tcW w:w="3069" w:type="dxa"/>
            <w:tcBorders>
              <w:top w:val="single" w:sz="4" w:space="0" w:color="808080" w:themeColor="background1" w:themeShade="80"/>
              <w:bottom w:val="single" w:sz="4" w:space="0" w:color="808080" w:themeColor="background1" w:themeShade="80"/>
            </w:tcBorders>
          </w:tcPr>
          <w:p w14:paraId="0109246D" w14:textId="77777777" w:rsidR="00315F8D" w:rsidRPr="00783571" w:rsidRDefault="00315F8D" w:rsidP="00315F8D">
            <w:pPr>
              <w:pStyle w:val="TableText"/>
            </w:pPr>
            <w:r w:rsidRPr="00783571">
              <w:t>p = {All}, x = AI and VI in male-female partnerships (3)</w:t>
            </w:r>
          </w:p>
        </w:tc>
        <w:tc>
          <w:tcPr>
            <w:tcW w:w="1209" w:type="dxa"/>
            <w:tcBorders>
              <w:top w:val="single" w:sz="4" w:space="0" w:color="808080" w:themeColor="background1" w:themeShade="80"/>
              <w:bottom w:val="single" w:sz="4" w:space="0" w:color="808080" w:themeColor="background1" w:themeShade="80"/>
            </w:tcBorders>
            <w:shd w:val="clear" w:color="auto" w:fill="auto"/>
            <w:noWrap/>
          </w:tcPr>
          <w:p w14:paraId="56C717D4" w14:textId="77777777" w:rsidR="00315F8D" w:rsidRPr="00783571" w:rsidRDefault="00315F8D" w:rsidP="00315F8D">
            <w:pPr>
              <w:pStyle w:val="TableText"/>
            </w:pPr>
            <w:r w:rsidRPr="00783571">
              <w:t>AI (z=2)</w:t>
            </w:r>
          </w:p>
        </w:tc>
        <w:tc>
          <w:tcPr>
            <w:tcW w:w="2722" w:type="dxa"/>
            <w:tcBorders>
              <w:top w:val="single" w:sz="4" w:space="0" w:color="808080" w:themeColor="background1" w:themeShade="80"/>
              <w:bottom w:val="single" w:sz="4" w:space="0" w:color="808080" w:themeColor="background1" w:themeShade="80"/>
            </w:tcBorders>
          </w:tcPr>
          <w:p w14:paraId="2EE9FCA1" w14:textId="77777777" w:rsidR="00315F8D" w:rsidRPr="00783571" w:rsidRDefault="00315F8D" w:rsidP="00315F8D">
            <w:pPr>
              <w:pStyle w:val="TableText"/>
            </w:pPr>
            <w:r w:rsidRPr="00783571">
              <w:t>Beta for z = AI, y = male-female partnership that includes AI</w:t>
            </w:r>
          </w:p>
        </w:tc>
      </w:tr>
      <w:tr w:rsidR="00315F8D" w:rsidRPr="00783571" w14:paraId="3D932108" w14:textId="77777777" w:rsidTr="00260D8A">
        <w:trPr>
          <w:cantSplit/>
        </w:trPr>
        <w:tc>
          <w:tcPr>
            <w:tcW w:w="2360" w:type="dxa"/>
            <w:tcBorders>
              <w:top w:val="single" w:sz="4" w:space="0" w:color="808080" w:themeColor="background1" w:themeShade="80"/>
              <w:bottom w:val="single" w:sz="12" w:space="0" w:color="000000"/>
            </w:tcBorders>
          </w:tcPr>
          <w:p w14:paraId="0C4A82FF" w14:textId="77777777" w:rsidR="00315F8D" w:rsidRPr="00783571" w:rsidRDefault="00315F8D" w:rsidP="00315F8D">
            <w:pPr>
              <w:pStyle w:val="TableText"/>
            </w:pPr>
            <w:r w:rsidRPr="00783571">
              <w:t>Needle-sharing</w:t>
            </w:r>
          </w:p>
        </w:tc>
        <w:tc>
          <w:tcPr>
            <w:tcW w:w="3069" w:type="dxa"/>
            <w:tcBorders>
              <w:top w:val="single" w:sz="4" w:space="0" w:color="808080" w:themeColor="background1" w:themeShade="80"/>
              <w:bottom w:val="single" w:sz="12" w:space="0" w:color="000000"/>
            </w:tcBorders>
          </w:tcPr>
          <w:p w14:paraId="219015A7" w14:textId="77777777" w:rsidR="00315F8D" w:rsidRPr="00783571" w:rsidRDefault="00315F8D" w:rsidP="00315F8D">
            <w:pPr>
              <w:pStyle w:val="TableText"/>
            </w:pPr>
            <w:r w:rsidRPr="00783571">
              <w:t>p ={PWID}, x = N/A</w:t>
            </w:r>
          </w:p>
        </w:tc>
        <w:tc>
          <w:tcPr>
            <w:tcW w:w="1209" w:type="dxa"/>
            <w:tcBorders>
              <w:top w:val="single" w:sz="4" w:space="0" w:color="808080" w:themeColor="background1" w:themeShade="80"/>
              <w:bottom w:val="single" w:sz="12" w:space="0" w:color="000000"/>
            </w:tcBorders>
            <w:shd w:val="clear" w:color="auto" w:fill="auto"/>
            <w:noWrap/>
          </w:tcPr>
          <w:p w14:paraId="2F9B772B" w14:textId="77777777" w:rsidR="00315F8D" w:rsidRPr="00783571" w:rsidRDefault="00315F8D" w:rsidP="00315F8D">
            <w:pPr>
              <w:pStyle w:val="TableText"/>
            </w:pPr>
            <w:r w:rsidRPr="00783571">
              <w:t>Needle-sharing (z=3)</w:t>
            </w:r>
          </w:p>
        </w:tc>
        <w:tc>
          <w:tcPr>
            <w:tcW w:w="2722" w:type="dxa"/>
            <w:tcBorders>
              <w:top w:val="single" w:sz="4" w:space="0" w:color="808080" w:themeColor="background1" w:themeShade="80"/>
              <w:bottom w:val="single" w:sz="12" w:space="0" w:color="000000"/>
            </w:tcBorders>
          </w:tcPr>
          <w:p w14:paraId="7A377BBE" w14:textId="77777777" w:rsidR="00315F8D" w:rsidRPr="00783571" w:rsidRDefault="00315F8D" w:rsidP="00315F8D">
            <w:pPr>
              <w:pStyle w:val="TableText"/>
            </w:pPr>
            <w:r w:rsidRPr="00783571">
              <w:t>Beta for z = needle-sharing, y = needle-sharing</w:t>
            </w:r>
          </w:p>
        </w:tc>
      </w:tr>
    </w:tbl>
    <w:p w14:paraId="5067173B" w14:textId="77777777" w:rsidR="00315F8D" w:rsidRPr="00783571" w:rsidRDefault="00315F8D" w:rsidP="00181BDA">
      <w:pPr>
        <w:pStyle w:val="Source1"/>
      </w:pPr>
      <w:r w:rsidRPr="00783571">
        <w:t>Note: AI = anal intercourse; HET = heterosexual; MSM = men who have sex with men; PWID = people who inject drugs; VI = vaginal intercourse</w:t>
      </w:r>
    </w:p>
    <w:p w14:paraId="04C27E92" w14:textId="603546CF" w:rsidR="000F420A" w:rsidRPr="00783571" w:rsidRDefault="00B41A9A" w:rsidP="007F43FF">
      <w:pPr>
        <w:pStyle w:val="BodyText"/>
      </w:pPr>
      <w:r w:rsidRPr="00783571">
        <w:t xml:space="preserve">Equation </w:t>
      </w:r>
      <w:r w:rsidR="00E47989" w:rsidRPr="00783571">
        <w:t>(6.4)</w:t>
      </w:r>
      <w:r w:rsidRPr="00783571">
        <w:t xml:space="preserve"> then describes the calculation of the </w:t>
      </w:r>
      <w:r w:rsidR="007F43FF" w:rsidRPr="00783571">
        <w:t xml:space="preserve">force of infection from risk type </w:t>
      </w:r>
      <w:r w:rsidR="007F43FF" w:rsidRPr="00783571">
        <w:rPr>
          <w:i/>
          <w:iCs/>
        </w:rPr>
        <w:t>z</w:t>
      </w:r>
      <w:r w:rsidR="007F43FF" w:rsidRPr="00783571">
        <w:t xml:space="preserve"> for uninfected individuals in subpopulation </w:t>
      </w:r>
      <w:r w:rsidR="007F43FF" w:rsidRPr="00783571">
        <w:rPr>
          <w:i/>
          <w:iCs/>
        </w:rPr>
        <w:t>p</w:t>
      </w:r>
      <w:r w:rsidR="007F43FF" w:rsidRPr="00783571">
        <w:t xml:space="preserve"> who participate in sexual transmission risk behaviors of each type x, at time </w:t>
      </w:r>
      <w:r w:rsidR="007F43FF" w:rsidRPr="00783571">
        <w:rPr>
          <w:i/>
          <w:iCs/>
        </w:rPr>
        <w:t>t</w:t>
      </w:r>
      <w:r w:rsidRPr="00783571">
        <w:t>.</w:t>
      </w:r>
      <w:r w:rsidR="00021B86" w:rsidRPr="00783571">
        <w:t xml:space="preserve"> </w:t>
      </w:r>
      <w:r w:rsidR="00814158" w:rsidRPr="00783571">
        <w:t>Table </w:t>
      </w:r>
      <w:r w:rsidR="00871E69" w:rsidRPr="00783571">
        <w:t>6.</w:t>
      </w:r>
      <w:r w:rsidR="008F5D01" w:rsidRPr="00783571">
        <w:t>1</w:t>
      </w:r>
      <w:r w:rsidR="00986D60" w:rsidRPr="00783571">
        <w:t>3</w:t>
      </w:r>
      <w:r w:rsidRPr="00783571">
        <w:t xml:space="preserve"> describes the relevant z, x, p, and y values applied in </w:t>
      </w:r>
      <w:r w:rsidR="000C5E51" w:rsidRPr="00783571">
        <w:t>E</w:t>
      </w:r>
      <w:r w:rsidRPr="00783571">
        <w:t>quation</w:t>
      </w:r>
      <w:r w:rsidR="000C5E51" w:rsidRPr="00783571">
        <w:t xml:space="preserve"> </w:t>
      </w:r>
      <w:r w:rsidR="008B30F8" w:rsidRPr="00783571">
        <w:t>(</w:t>
      </w:r>
      <w:r w:rsidR="00FF381E" w:rsidRPr="00783571">
        <w:t>6</w:t>
      </w:r>
      <w:r w:rsidR="00E47989" w:rsidRPr="00783571">
        <w:t>.</w:t>
      </w:r>
      <w:r w:rsidR="008A3FA7" w:rsidRPr="00783571">
        <w:t>4</w:t>
      </w:r>
      <w:r w:rsidR="008B30F8" w:rsidRPr="00783571">
        <w:t>)</w:t>
      </w:r>
      <w:r w:rsidRPr="00783571">
        <w:t>.</w:t>
      </w:r>
    </w:p>
    <w:p w14:paraId="347E581E" w14:textId="015D7750" w:rsidR="00B41A9A" w:rsidRPr="00783571" w:rsidRDefault="008F2136" w:rsidP="008A3FA7">
      <w:pPr>
        <w:pStyle w:val="equation"/>
        <w:tabs>
          <w:tab w:val="clear" w:pos="4680"/>
          <w:tab w:val="decimal" w:pos="7200"/>
        </w:tabs>
        <w:rPr>
          <w:lang w:val="en-US"/>
        </w:rPr>
      </w:pPr>
      <w:r w:rsidRPr="00783571">
        <w:rPr>
          <w:lang w:val="en-US"/>
        </w:rPr>
        <w:tab/>
      </w:r>
      <m:oMath>
        <m:sSubSup>
          <m:sSubSupPr>
            <m:ctrlPr>
              <w:rPr>
                <w:rFonts w:ascii="Cambria Math" w:hAnsi="Cambria Math"/>
                <w:i/>
                <w:lang w:val="en-US"/>
              </w:rPr>
            </m:ctrlPr>
          </m:sSubSupPr>
          <m:e>
            <m:r>
              <w:rPr>
                <w:rFonts w:ascii="Cambria Math" w:hAnsi="Cambria Math"/>
                <w:lang w:val="en-US"/>
              </w:rPr>
              <m:t>λ</m:t>
            </m:r>
          </m:e>
          <m:sub>
            <m:r>
              <w:rPr>
                <w:rFonts w:ascii="Cambria Math" w:hAnsi="Cambria Math"/>
                <w:lang w:val="en-US"/>
              </w:rPr>
              <m:t>p</m:t>
            </m:r>
          </m:sub>
          <m:sup>
            <m:r>
              <w:rPr>
                <w:rFonts w:ascii="Cambria Math" w:hAnsi="Cambria Math"/>
                <w:lang w:val="en-US"/>
              </w:rPr>
              <m:t>z,x</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func>
          <m:funcPr>
            <m:ctrlPr>
              <w:rPr>
                <w:rFonts w:ascii="Cambria Math" w:hAnsi="Cambria Math"/>
                <w:i/>
                <w:lang w:val="en-US"/>
              </w:rPr>
            </m:ctrlPr>
          </m:funcPr>
          <m:fName>
            <m:r>
              <m:rPr>
                <m:sty m:val="p"/>
              </m:rPr>
              <w:rPr>
                <w:rFonts w:ascii="Cambria Math" w:hAnsi="Cambria Math"/>
                <w:lang w:val="en-US"/>
              </w:rPr>
              <m:t>ln</m:t>
            </m:r>
          </m:fName>
          <m:e>
            <m:d>
              <m:dPr>
                <m:ctrlPr>
                  <w:rPr>
                    <w:rFonts w:ascii="Cambria Math" w:hAnsi="Cambria Math"/>
                    <w:i/>
                    <w:lang w:val="en-US"/>
                  </w:rPr>
                </m:ctrlPr>
              </m:dPr>
              <m:e>
                <m:r>
                  <w:rPr>
                    <w:rFonts w:ascii="Cambria Math" w:hAnsi="Cambria Math"/>
                    <w:lang w:val="en-US"/>
                  </w:rPr>
                  <m:t>1-</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ϱ</m:t>
                        </m:r>
                      </m:e>
                      <m:sub>
                        <m:r>
                          <w:rPr>
                            <w:rFonts w:ascii="Cambria Math" w:hAnsi="Cambria Math"/>
                            <w:lang w:val="en-US"/>
                          </w:rPr>
                          <m:t>p,x</m:t>
                        </m:r>
                      </m:sub>
                    </m:sSub>
                  </m:e>
                </m:d>
                <m:nary>
                  <m:naryPr>
                    <m:chr m:val="∑"/>
                    <m:limLoc m:val="undOvr"/>
                    <m:supHide m:val="1"/>
                    <m:ctrlPr>
                      <w:rPr>
                        <w:rFonts w:ascii="Cambria Math" w:hAnsi="Cambria Math"/>
                        <w:i/>
                        <w:lang w:val="en-US"/>
                      </w:rPr>
                    </m:ctrlPr>
                  </m:naryPr>
                  <m:sub>
                    <m:r>
                      <w:rPr>
                        <w:rFonts w:ascii="Cambria Math" w:hAnsi="Cambria Math"/>
                        <w:lang w:val="en-US"/>
                      </w:rPr>
                      <m:t>y</m:t>
                    </m:r>
                  </m:sub>
                  <m:sup/>
                  <m:e>
                    <m:d>
                      <m:dPr>
                        <m:ctrlPr>
                          <w:rPr>
                            <w:rFonts w:ascii="Cambria Math" w:hAnsi="Cambria Math"/>
                            <w:i/>
                            <w:lang w:val="en-US"/>
                          </w:rPr>
                        </m:ctrlPr>
                      </m:dPr>
                      <m:e>
                        <m:r>
                          <w:rPr>
                            <w:rFonts w:ascii="Cambria Math" w:hAnsi="Cambria Math"/>
                            <w:lang w:val="en-US"/>
                          </w:rPr>
                          <m:t>1-</m:t>
                        </m:r>
                        <m:nary>
                          <m:naryPr>
                            <m:chr m:val="∏"/>
                            <m:limLoc m:val="undOvr"/>
                            <m:supHide m:val="1"/>
                            <m:ctrlPr>
                              <w:rPr>
                                <w:rFonts w:ascii="Cambria Math" w:hAnsi="Cambria Math"/>
                                <w:i/>
                                <w:lang w:val="en-US"/>
                              </w:rPr>
                            </m:ctrlPr>
                          </m:naryPr>
                          <m:sub>
                            <m:r>
                              <w:rPr>
                                <w:rFonts w:ascii="Cambria Math" w:hAnsi="Cambria Math"/>
                                <w:lang w:val="en-US"/>
                              </w:rPr>
                              <m:t>p2</m:t>
                            </m:r>
                          </m:sub>
                          <m:sup/>
                          <m:e>
                            <m:d>
                              <m:dPr>
                                <m:begChr m:val="["/>
                                <m:endChr m:val="]"/>
                                <m:ctrlPr>
                                  <w:rPr>
                                    <w:rFonts w:ascii="Cambria Math" w:hAnsi="Cambria Math"/>
                                    <w:i/>
                                    <w:lang w:val="en-US"/>
                                  </w:rPr>
                                </m:ctrlPr>
                              </m:dPr>
                              <m:e>
                                <m:nary>
                                  <m:naryPr>
                                    <m:chr m:val="∏"/>
                                    <m:limLoc m:val="undOvr"/>
                                    <m:supHide m:val="1"/>
                                    <m:ctrlPr>
                                      <w:rPr>
                                        <w:rFonts w:ascii="Cambria Math" w:hAnsi="Cambria Math"/>
                                        <w:i/>
                                        <w:lang w:val="en-US"/>
                                      </w:rPr>
                                    </m:ctrlPr>
                                  </m:naryPr>
                                  <m:sub>
                                    <m:r>
                                      <w:rPr>
                                        <w:rFonts w:ascii="Cambria Math" w:hAnsi="Cambria Math"/>
                                        <w:lang w:val="en-US"/>
                                      </w:rPr>
                                      <m:t>c</m:t>
                                    </m:r>
                                  </m:sub>
                                  <m:sup/>
                                  <m:e>
                                    <m:d>
                                      <m:dPr>
                                        <m:begChr m:val="["/>
                                        <m:endChr m:val="]"/>
                                        <m:ctrlPr>
                                          <w:rPr>
                                            <w:rFonts w:ascii="Cambria Math" w:hAnsi="Cambria Math"/>
                                            <w:i/>
                                            <w:lang w:val="en-US"/>
                                          </w:rPr>
                                        </m:ctrlPr>
                                      </m:dPr>
                                      <m:e>
                                        <m:sSup>
                                          <m:sSupPr>
                                            <m:ctrlPr>
                                              <w:rPr>
                                                <w:rFonts w:ascii="Cambria Math" w:hAnsi="Cambria Math"/>
                                                <w:i/>
                                                <w:lang w:val="en-US"/>
                                              </w:rPr>
                                            </m:ctrlPr>
                                          </m:sSupPr>
                                          <m:e>
                                            <m:d>
                                              <m:dPr>
                                                <m:begChr m:val="["/>
                                                <m:endChr m:val="]"/>
                                                <m:ctrlPr>
                                                  <w:rPr>
                                                    <w:rFonts w:ascii="Cambria Math" w:hAnsi="Cambria Math"/>
                                                    <w:i/>
                                                    <w:lang w:val="en-US"/>
                                                  </w:rPr>
                                                </m:ctrlPr>
                                              </m:dPr>
                                              <m:e>
                                                <m:r>
                                                  <w:rPr>
                                                    <w:rFonts w:ascii="Cambria Math" w:hAnsi="Cambria Math"/>
                                                    <w:lang w:val="en-US"/>
                                                  </w:rPr>
                                                  <m:t>1-</m:t>
                                                </m:r>
                                                <m:r>
                                                  <m:rPr>
                                                    <m:sty m:val="p"/>
                                                  </m:rPr>
                                                  <w:rPr>
                                                    <w:rFonts w:ascii="Cambria Math" w:hAnsi="Cambria Math"/>
                                                    <w:position w:val="-14"/>
                                                    <w:lang w:val="en-US"/>
                                                  </w:rPr>
                                                  <w:object w:dxaOrig="560" w:dyaOrig="400" w14:anchorId="1A321123">
                                                    <v:shape id="_x0000_i1042" type="#_x0000_t75" style="width:28.5pt;height:21.75pt" o:ole="">
                                                      <v:imagedata r:id="rId82" o:title=""/>
                                                    </v:shape>
                                                    <o:OLEObject Type="Embed" ProgID="Equation.3" ShapeID="_x0000_i1042" DrawAspect="Content" ObjectID="_1584261696" r:id="rId83"/>
                                                  </w:object>
                                                </m:r>
                                              </m:e>
                                            </m:d>
                                          </m:e>
                                          <m:sup>
                                            <m:sSub>
                                              <m:sSubPr>
                                                <m:ctrlPr>
                                                  <w:rPr>
                                                    <w:rFonts w:ascii="Cambria Math" w:hAnsi="Cambria Math"/>
                                                    <w:lang w:val="en-US"/>
                                                  </w:rPr>
                                                </m:ctrlPr>
                                              </m:sSubPr>
                                              <m:e>
                                                <m:r>
                                                  <m:rPr>
                                                    <m:sty m:val="p"/>
                                                  </m:rPr>
                                                  <w:rPr>
                                                    <w:rFonts w:ascii="Cambria Math" w:hAnsi="Cambria Math"/>
                                                    <w:lang w:val="en-US"/>
                                                  </w:rPr>
                                                  <m:t>ξ</m:t>
                                                </m:r>
                                              </m:e>
                                              <m:sub>
                                                <m:r>
                                                  <m:rPr>
                                                    <m:sty m:val="p"/>
                                                  </m:rPr>
                                                  <w:rPr>
                                                    <w:rFonts w:ascii="Cambria Math" w:hAnsi="Cambria Math"/>
                                                    <w:lang w:val="en-US"/>
                                                  </w:rPr>
                                                  <m:t>z,</m:t>
                                                </m:r>
                                                <m:r>
                                                  <m:rPr>
                                                    <m:sty m:val="p"/>
                                                  </m:rPr>
                                                  <w:rPr>
                                                    <w:rFonts w:ascii="Cambria Math" w:hAnsi="Cambria Math"/>
                                                    <w:vertAlign w:val="subscript"/>
                                                    <w:lang w:val="en-US"/>
                                                  </w:rPr>
                                                  <m:t>y</m:t>
                                                </m:r>
                                                <m:r>
                                                  <m:rPr>
                                                    <m:sty m:val="p"/>
                                                  </m:rPr>
                                                  <w:rPr>
                                                    <w:rFonts w:ascii="Cambria Math" w:hAnsi="Cambria Math"/>
                                                    <w:lang w:val="en-US"/>
                                                  </w:rPr>
                                                  <m:t>,</m:t>
                                                </m:r>
                                                <m:r>
                                                  <m:rPr>
                                                    <m:sty m:val="p"/>
                                                  </m:rPr>
                                                  <w:rPr>
                                                    <w:rFonts w:ascii="Cambria Math" w:hAnsi="Cambria Math"/>
                                                    <w:vertAlign w:val="subscript"/>
                                                    <w:lang w:val="en-US"/>
                                                  </w:rPr>
                                                  <m:t>p,p2,c</m:t>
                                                </m:r>
                                              </m:sub>
                                            </m:sSub>
                                            <m:r>
                                              <m:rPr>
                                                <m:sty m:val="p"/>
                                              </m:rPr>
                                              <w:rPr>
                                                <w:rFonts w:ascii="Cambria Math" w:hAnsi="Cambria Math"/>
                                                <w:lang w:val="en-US"/>
                                              </w:rPr>
                                              <m:t xml:space="preserve"> </m:t>
                                            </m:r>
                                            <m:r>
                                              <m:rPr>
                                                <m:sty m:val="p"/>
                                              </m:rPr>
                                              <w:rPr>
                                                <w:rFonts w:ascii="Cambria Math" w:hAnsi="Cambria Math"/>
                                                <w:vertAlign w:val="subscript"/>
                                                <w:lang w:val="en-US"/>
                                              </w:rPr>
                                              <m:t>(t)</m:t>
                                            </m:r>
                                          </m:sup>
                                        </m:sSup>
                                      </m:e>
                                    </m:d>
                                  </m:e>
                                </m:nary>
                              </m:e>
                            </m:d>
                          </m:e>
                        </m:nary>
                      </m:e>
                    </m:d>
                  </m:e>
                </m:nary>
              </m:e>
            </m:d>
          </m:e>
        </m:func>
        <m:r>
          <w:rPr>
            <w:rFonts w:ascii="Cambria Math" w:hAnsi="Cambria Math"/>
            <w:lang w:val="en-US"/>
          </w:rPr>
          <m:t xml:space="preserve"> </m:t>
        </m:r>
      </m:oMath>
      <w:r w:rsidR="000C5E51" w:rsidRPr="00783571">
        <w:rPr>
          <w:lang w:val="en-US"/>
        </w:rPr>
        <w:t>,</w:t>
      </w:r>
      <w:r w:rsidR="004F4E6D" w:rsidRPr="00783571">
        <w:rPr>
          <w:lang w:val="en-US"/>
        </w:rPr>
        <w:tab/>
      </w:r>
      <w:r w:rsidR="00B41A9A" w:rsidRPr="00783571">
        <w:rPr>
          <w:lang w:val="en-US"/>
        </w:rPr>
        <w:t>(</w:t>
      </w:r>
      <w:r w:rsidR="00FF381E" w:rsidRPr="00783571">
        <w:rPr>
          <w:lang w:val="en-US"/>
        </w:rPr>
        <w:t>6</w:t>
      </w:r>
      <w:r w:rsidR="00E47989" w:rsidRPr="00783571">
        <w:rPr>
          <w:lang w:val="en-US"/>
        </w:rPr>
        <w:t>.</w:t>
      </w:r>
      <w:r w:rsidR="008A3FA7" w:rsidRPr="00783571">
        <w:rPr>
          <w:lang w:val="en-US"/>
        </w:rPr>
        <w:t>4</w:t>
      </w:r>
      <w:r w:rsidR="00B41A9A" w:rsidRPr="00783571">
        <w:rPr>
          <w:lang w:val="en-US"/>
        </w:rPr>
        <w:t>)</w:t>
      </w:r>
    </w:p>
    <w:p w14:paraId="6E074FC3" w14:textId="77777777" w:rsidR="00B41A9A" w:rsidRPr="00783571" w:rsidRDefault="000C5E51" w:rsidP="00E47989">
      <w:pPr>
        <w:pStyle w:val="BodyText"/>
        <w:keepNext/>
      </w:pPr>
      <w:r w:rsidRPr="00783571">
        <w:t>w</w:t>
      </w:r>
      <w:r w:rsidR="00B41A9A" w:rsidRPr="00783571">
        <w:t>here</w:t>
      </w:r>
    </w:p>
    <w:p w14:paraId="298BD604" w14:textId="79B6EC5C" w:rsidR="00251497" w:rsidRPr="00783571" w:rsidRDefault="000F17E7" w:rsidP="00CC1207">
      <w:pPr>
        <w:pStyle w:val="bullets"/>
        <w:keepNext/>
      </w:pPr>
      <m:oMath>
        <m:sSub>
          <m:sSubPr>
            <m:ctrlPr>
              <w:rPr>
                <w:rFonts w:ascii="Cambria Math" w:hAnsi="Cambria Math"/>
              </w:rPr>
            </m:ctrlPr>
          </m:sSubPr>
          <m:e>
            <m:r>
              <m:rPr>
                <m:sty m:val="p"/>
              </m:rPr>
              <w:rPr>
                <w:rFonts w:ascii="Cambria Math" w:hAnsi="Cambria Math"/>
              </w:rPr>
              <m:t>ϱ</m:t>
            </m:r>
          </m:e>
          <m:sub>
            <m:r>
              <m:rPr>
                <m:sty m:val="p"/>
              </m:rPr>
              <w:rPr>
                <w:rFonts w:ascii="Cambria Math" w:hAnsi="Cambria Math"/>
              </w:rPr>
              <m:t>p,x</m:t>
            </m:r>
          </m:sub>
        </m:sSub>
      </m:oMath>
      <w:r w:rsidR="00B41A9A" w:rsidRPr="00783571">
        <w:fldChar w:fldCharType="begin"/>
      </w:r>
      <w:r w:rsidR="00B41A9A" w:rsidRPr="00783571">
        <w:instrText xml:space="preserve"> QUOTE </w:instrText>
      </w:r>
      <m:oMath>
        <m:sSub>
          <m:sSubPr>
            <m:ctrlPr>
              <w:rPr>
                <w:rFonts w:ascii="Cambria Math" w:hAnsi="Cambria Math"/>
              </w:rPr>
            </m:ctrlPr>
          </m:sSubPr>
          <m:e>
            <m:r>
              <m:rPr>
                <m:sty m:val="p"/>
              </m:rPr>
              <w:rPr>
                <w:rFonts w:ascii="Cambria Math" w:hAnsi="Cambria Math"/>
              </w:rPr>
              <m:t>ϱ</m:t>
            </m:r>
          </m:e>
          <m:sub>
            <m:r>
              <m:rPr>
                <m:sty m:val="p"/>
              </m:rPr>
              <w:rPr>
                <w:rFonts w:ascii="Cambria Math" w:hAnsi="Cambria Math"/>
              </w:rPr>
              <m:t>x</m:t>
            </m:r>
          </m:sub>
        </m:sSub>
      </m:oMath>
      <w:r w:rsidR="00B41A9A" w:rsidRPr="00783571">
        <w:instrText xml:space="preserve"> </w:instrText>
      </w:r>
      <w:r w:rsidR="00B41A9A" w:rsidRPr="00783571">
        <w:fldChar w:fldCharType="end"/>
      </w:r>
      <w:r w:rsidR="00E122FD" w:rsidRPr="00783571">
        <w:t xml:space="preserve"> </w:t>
      </w:r>
      <w:r w:rsidR="00B41A9A" w:rsidRPr="00783571">
        <w:t xml:space="preserve">= Proportion of </w:t>
      </w:r>
      <w:r w:rsidR="00BA0665" w:rsidRPr="00783571">
        <w:t xml:space="preserve">subpopulation p </w:t>
      </w:r>
      <w:r w:rsidR="00CC1207" w:rsidRPr="00783571">
        <w:t>who participate in</w:t>
      </w:r>
      <w:r w:rsidR="00B41A9A" w:rsidRPr="00783571">
        <w:t xml:space="preserve"> transmission risk participation type </w:t>
      </w:r>
      <w:r w:rsidR="00B41A9A" w:rsidRPr="00783571">
        <w:rPr>
          <w:i/>
        </w:rPr>
        <w:t>x</w:t>
      </w:r>
      <w:r w:rsidR="007D66E6" w:rsidRPr="00783571">
        <w:rPr>
          <w:iCs/>
        </w:rPr>
        <w:t xml:space="preserve">, which </w:t>
      </w:r>
      <w:r w:rsidR="00707FF1" w:rsidRPr="00783571">
        <w:rPr>
          <w:iCs/>
        </w:rPr>
        <w:t xml:space="preserve">is </w:t>
      </w:r>
      <w:r w:rsidR="00577C1F" w:rsidRPr="00783571">
        <w:rPr>
          <w:iCs/>
        </w:rPr>
        <w:t>calculated based on</w:t>
      </w:r>
      <w:r w:rsidR="007D66E6" w:rsidRPr="00783571">
        <w:rPr>
          <w:iCs/>
        </w:rPr>
        <w:t xml:space="preserve"> </w:t>
      </w:r>
      <w:r w:rsidR="00251497" w:rsidRPr="00783571">
        <w:rPr>
          <w:iCs/>
        </w:rPr>
        <w:t>the following:</w:t>
      </w:r>
    </w:p>
    <w:p w14:paraId="749E19C3" w14:textId="27996A6F" w:rsidR="00251497" w:rsidRPr="00783571" w:rsidRDefault="00707FF1" w:rsidP="006A1314">
      <w:pPr>
        <w:pStyle w:val="bullets-2ndlevel"/>
      </w:pPr>
      <w:r w:rsidRPr="00783571">
        <w:rPr>
          <w:iCs/>
        </w:rPr>
        <w:t xml:space="preserve">the </w:t>
      </w:r>
      <w:r w:rsidR="00251497" w:rsidRPr="00783571">
        <w:rPr>
          <w:iCs/>
        </w:rPr>
        <w:t xml:space="preserve">input </w:t>
      </w:r>
      <w:r w:rsidR="00251497" w:rsidRPr="00783571">
        <w:rPr>
          <w:i/>
        </w:rPr>
        <w:t>P</w:t>
      </w:r>
      <w:r w:rsidR="007D66E6" w:rsidRPr="00783571">
        <w:rPr>
          <w:i/>
        </w:rPr>
        <w:t xml:space="preserve">ercentage of people who have </w:t>
      </w:r>
      <w:r w:rsidRPr="00783571">
        <w:rPr>
          <w:i/>
        </w:rPr>
        <w:t xml:space="preserve">anal intercourse (AI) </w:t>
      </w:r>
      <w:r w:rsidR="007D66E6" w:rsidRPr="00783571">
        <w:rPr>
          <w:i/>
        </w:rPr>
        <w:t>in their male-female partnerships</w:t>
      </w:r>
    </w:p>
    <w:p w14:paraId="2B4CEF2A" w14:textId="77777777" w:rsidR="004F4E6D" w:rsidRPr="00783571" w:rsidRDefault="00707FF1" w:rsidP="00251497">
      <w:pPr>
        <w:pStyle w:val="bullets-2ndlevel"/>
      </w:pPr>
      <w:r w:rsidRPr="00783571">
        <w:t xml:space="preserve">the assumption that 100% of MSM have AI in their </w:t>
      </w:r>
      <w:r w:rsidR="007D66E6" w:rsidRPr="00783571">
        <w:t>male-male partnerships</w:t>
      </w:r>
      <w:r w:rsidR="00251497" w:rsidRPr="00783571">
        <w:t>,</w:t>
      </w:r>
      <w:r w:rsidR="005058A2" w:rsidRPr="00783571">
        <w:t xml:space="preserve"> and</w:t>
      </w:r>
    </w:p>
    <w:p w14:paraId="62302D5A" w14:textId="77777777" w:rsidR="004F4E6D" w:rsidRPr="00783571" w:rsidRDefault="00251497" w:rsidP="00251497">
      <w:pPr>
        <w:pStyle w:val="bullets-2ndlevel"/>
      </w:pPr>
      <w:r w:rsidRPr="00783571">
        <w:t xml:space="preserve">the assumption that </w:t>
      </w:r>
      <w:r w:rsidR="005058A2" w:rsidRPr="00783571">
        <w:t>100% of all transmission groups have vaginal intercourse (VI) in their male-female partnerships</w:t>
      </w:r>
      <w:r w:rsidR="00707FF1" w:rsidRPr="00783571">
        <w:t>.</w:t>
      </w:r>
    </w:p>
    <w:p w14:paraId="4CFD6A79" w14:textId="3DF26F17" w:rsidR="000F420A" w:rsidRPr="00783571" w:rsidRDefault="00B41A9A" w:rsidP="003B42C2">
      <w:pPr>
        <w:pStyle w:val="bullets"/>
      </w:pPr>
      <w:r w:rsidRPr="00783571">
        <w:t xml:space="preserve">ξ </w:t>
      </w:r>
      <w:r w:rsidRPr="00783571">
        <w:rPr>
          <w:vertAlign w:val="subscript"/>
        </w:rPr>
        <w:t>z</w:t>
      </w:r>
      <w:r w:rsidR="00297A23" w:rsidRPr="00783571">
        <w:rPr>
          <w:vertAlign w:val="subscript"/>
        </w:rPr>
        <w:t>,</w:t>
      </w:r>
      <w:r w:rsidR="00054F41" w:rsidRPr="00783571">
        <w:rPr>
          <w:vertAlign w:val="subscript"/>
        </w:rPr>
        <w:t>y</w:t>
      </w:r>
      <w:r w:rsidRPr="00783571">
        <w:t>,</w:t>
      </w:r>
      <w:r w:rsidRPr="00783571">
        <w:rPr>
          <w:vertAlign w:val="subscript"/>
        </w:rPr>
        <w:t>p,p2,c</w:t>
      </w:r>
      <w:r w:rsidRPr="00783571">
        <w:t xml:space="preserve"> </w:t>
      </w:r>
      <w:r w:rsidR="000E24DE" w:rsidRPr="00783571">
        <w:t xml:space="preserve">(t) </w:t>
      </w:r>
      <w:r w:rsidRPr="00783571">
        <w:t xml:space="preserve">= Number of partnerships </w:t>
      </w:r>
      <w:r w:rsidR="00A54398" w:rsidRPr="00783571">
        <w:t>of type y</w:t>
      </w:r>
      <w:r w:rsidR="00297A23" w:rsidRPr="00783571">
        <w:t xml:space="preserve"> </w:t>
      </w:r>
      <w:r w:rsidRPr="00783571">
        <w:t xml:space="preserve">involving risk type </w:t>
      </w:r>
      <w:r w:rsidRPr="00783571">
        <w:rPr>
          <w:iCs/>
        </w:rPr>
        <w:t>z</w:t>
      </w:r>
      <w:r w:rsidRPr="00783571">
        <w:t xml:space="preserve"> per uninfected individual in subpopulation </w:t>
      </w:r>
      <w:r w:rsidRPr="00783571">
        <w:rPr>
          <w:iCs/>
        </w:rPr>
        <w:t>p</w:t>
      </w:r>
      <w:r w:rsidRPr="00783571">
        <w:t xml:space="preserve"> with infected</w:t>
      </w:r>
      <w:r w:rsidR="000300BF" w:rsidRPr="00783571">
        <w:t xml:space="preserve"> partners</w:t>
      </w:r>
      <w:r w:rsidRPr="00783571">
        <w:t xml:space="preserve"> in subpopulation</w:t>
      </w:r>
      <w:r w:rsidRPr="00783571">
        <w:rPr>
          <w:iCs/>
        </w:rPr>
        <w:t xml:space="preserve"> p2</w:t>
      </w:r>
      <w:r w:rsidRPr="00783571">
        <w:t xml:space="preserve"> in compartment </w:t>
      </w:r>
      <w:r w:rsidRPr="00783571">
        <w:rPr>
          <w:iCs/>
        </w:rPr>
        <w:t>c</w:t>
      </w:r>
      <w:r w:rsidR="000E24DE" w:rsidRPr="00783571">
        <w:rPr>
          <w:iCs/>
        </w:rPr>
        <w:t xml:space="preserve"> at time t</w:t>
      </w:r>
      <w:r w:rsidRPr="00783571">
        <w:t xml:space="preserve">, which is calculated using the method outlined in Equation </w:t>
      </w:r>
      <w:r w:rsidR="008B30F8" w:rsidRPr="00783571">
        <w:t>(</w:t>
      </w:r>
      <w:r w:rsidRPr="00783571">
        <w:t>6</w:t>
      </w:r>
      <w:r w:rsidR="00E47989" w:rsidRPr="00783571">
        <w:t>.</w:t>
      </w:r>
      <w:r w:rsidR="00FF381E" w:rsidRPr="00783571">
        <w:t>5</w:t>
      </w:r>
      <w:r w:rsidR="008B30F8" w:rsidRPr="00783571">
        <w:t>)</w:t>
      </w:r>
      <w:r w:rsidRPr="00783571">
        <w:t>:</w:t>
      </w:r>
    </w:p>
    <w:p w14:paraId="30EA6FF0" w14:textId="7B16B5A3" w:rsidR="00B41A9A" w:rsidRPr="00783571" w:rsidRDefault="000F17E7" w:rsidP="000E24DE">
      <w:pPr>
        <w:pStyle w:val="equation"/>
        <w:rPr>
          <w:lang w:val="en-US"/>
        </w:rPr>
      </w:pPr>
      <m:oMathPara>
        <m:oMath>
          <m:sSub>
            <m:sSubPr>
              <m:ctrlPr>
                <w:rPr>
                  <w:rFonts w:ascii="Cambria Math" w:hAnsi="Cambria Math"/>
                  <w:i/>
                  <w:lang w:val="en-US"/>
                </w:rPr>
              </m:ctrlPr>
            </m:sSubPr>
            <m:e>
              <m:r>
                <w:rPr>
                  <w:rFonts w:ascii="Cambria Math" w:hAnsi="Cambria Math"/>
                  <w:lang w:val="en-US"/>
                </w:rPr>
                <m:t>ξ</m:t>
              </m:r>
            </m:e>
            <m:sub>
              <m:r>
                <w:rPr>
                  <w:rFonts w:ascii="Cambria Math" w:hAnsi="Cambria Math"/>
                  <w:lang w:val="en-US"/>
                </w:rPr>
                <m:t>z,y,p,p2,c</m:t>
              </m:r>
            </m:sub>
          </m:sSub>
          <m:r>
            <w:rPr>
              <w:rFonts w:ascii="Cambria Math" w:hAnsi="Cambria Math"/>
              <w:lang w:val="en-US"/>
            </w:rPr>
            <m:t>(t)=</m:t>
          </m:r>
          <m:d>
            <m:dPr>
              <m:ctrlPr>
                <w:rPr>
                  <w:rFonts w:ascii="Cambria Math" w:hAnsi="Cambria Math"/>
                  <w:i/>
                  <w:lang w:val="en-US"/>
                </w:rPr>
              </m:ctrlPr>
            </m:dPr>
            <m:e>
              <m:r>
                <m:rPr>
                  <m:sty m:val="p"/>
                </m:rPr>
                <w:rPr>
                  <w:rFonts w:ascii="Cambria Math" w:hAnsi="Cambria Math"/>
                  <w:lang w:val="en-US"/>
                </w:rPr>
                <m:t>Number of partnership type y partners in p</m:t>
              </m:r>
              <m:r>
                <m:rPr>
                  <m:sty m:val="p"/>
                </m:rPr>
                <w:rPr>
                  <w:rFonts w:ascii="Cambria Math" w:hAnsi="Cambria Math"/>
                  <w:vertAlign w:val="subscript"/>
                  <w:lang w:val="en-US"/>
                </w:rPr>
                <m:t>2</m:t>
              </m:r>
              <m:r>
                <m:rPr>
                  <m:sty m:val="p"/>
                </m:rPr>
                <w:rPr>
                  <w:rFonts w:ascii="Cambria Math" w:hAnsi="Cambria Math"/>
                  <w:lang w:val="en-US"/>
                </w:rPr>
                <m:t xml:space="preserve"> per person in p</m:t>
              </m:r>
              <m:ctrlPr>
                <w:rPr>
                  <w:rFonts w:ascii="Cambria Math" w:hAnsi="Cambria Math"/>
                  <w:iCs/>
                  <w:lang w:val="en-US"/>
                </w:rPr>
              </m:ctrlPr>
            </m:e>
          </m:d>
          <m:r>
            <w:rPr>
              <w:rFonts w:ascii="Cambria Math" w:hAnsi="Cambria Math"/>
              <w:lang w:val="en-US"/>
            </w:rPr>
            <m:t>*</m:t>
          </m:r>
          <m:d>
            <m:dPr>
              <m:ctrlPr>
                <w:rPr>
                  <w:rFonts w:ascii="Cambria Math" w:hAnsi="Cambria Math"/>
                  <w:iCs/>
                  <w:lang w:val="en-US"/>
                </w:rPr>
              </m:ctrlPr>
            </m:dPr>
            <m:e>
              <m:r>
                <m:rPr>
                  <m:sty m:val="p"/>
                </m:rPr>
                <w:rPr>
                  <w:rFonts w:ascii="Cambria Math" w:hAnsi="Cambria Math"/>
                  <w:lang w:val="en-US"/>
                </w:rPr>
                <m:t>Percentage of individuals in p2 that are in infected and in c at time t</m:t>
              </m:r>
            </m:e>
          </m:d>
        </m:oMath>
      </m:oMathPara>
    </w:p>
    <w:p w14:paraId="2CD504B5" w14:textId="4CFD78BC" w:rsidR="00E95C1D" w:rsidRPr="00783571" w:rsidRDefault="00E95C1D" w:rsidP="002B180E">
      <w:pPr>
        <w:pStyle w:val="equation"/>
        <w:ind w:left="2160"/>
        <w:rPr>
          <w:lang w:val="en-US"/>
        </w:rPr>
      </w:pPr>
      <m:oMath>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M</m:t>
            </m:r>
          </m:e>
          <m:sub>
            <m:r>
              <w:rPr>
                <w:rFonts w:ascii="Cambria Math" w:hAnsi="Cambria Math"/>
                <w:lang w:val="en-US"/>
              </w:rPr>
              <m:t>p</m:t>
            </m:r>
          </m:sub>
          <m:sup>
            <m:r>
              <w:rPr>
                <w:rFonts w:ascii="Cambria Math" w:hAnsi="Cambria Math"/>
                <w:lang w:val="en-US"/>
              </w:rPr>
              <m:t>z</m:t>
            </m:r>
          </m:sup>
        </m:sSub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p,p2</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O</m:t>
            </m:r>
          </m:e>
          <m:sub>
            <m:r>
              <w:rPr>
                <w:rFonts w:ascii="Cambria Math" w:hAnsi="Cambria Math"/>
                <w:lang w:val="en-US"/>
              </w:rPr>
              <m:t>p,y</m:t>
            </m:r>
          </m:sub>
        </m:sSub>
        <m:r>
          <m:rPr>
            <m:sty m:val="p"/>
          </m:rPr>
          <w:rPr>
            <w:rFonts w:ascii="Cambria Math" w:hAnsi="Cambria Math"/>
            <w:lang w:val="en-US"/>
          </w:rPr>
          <m:t>)</m:t>
        </m:r>
        <m:d>
          <m:dPr>
            <m:ctrlPr>
              <w:rPr>
                <w:rFonts w:ascii="Cambria Math" w:hAnsi="Cambria Math"/>
                <w:i/>
                <w:lang w:val="en-US"/>
              </w:rPr>
            </m:ctrlPr>
          </m:dPr>
          <m:e>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p2</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c</m:t>
                    </m:r>
                  </m:sub>
                </m:sSub>
              </m:num>
              <m:den>
                <m:nary>
                  <m:naryPr>
                    <m:chr m:val="∑"/>
                    <m:limLoc m:val="undOvr"/>
                    <m:supHide m:val="1"/>
                    <m:ctrlPr>
                      <w:rPr>
                        <w:rFonts w:ascii="Cambria Math" w:hAnsi="Cambria Math"/>
                        <w:i/>
                        <w:lang w:val="en-US"/>
                      </w:rPr>
                    </m:ctrlPr>
                  </m:naryPr>
                  <m:sub>
                    <m:r>
                      <w:rPr>
                        <w:rFonts w:ascii="Cambria Math" w:hAnsi="Cambria Math"/>
                        <w:lang w:val="en-US"/>
                      </w:rPr>
                      <m:t>c*</m:t>
                    </m:r>
                  </m:sub>
                  <m:sup/>
                  <m:e>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p2</m:t>
                        </m:r>
                      </m:sub>
                      <m:sup>
                        <m:r>
                          <w:rPr>
                            <w:rFonts w:ascii="Cambria Math" w:hAnsi="Cambria Math"/>
                            <w:lang w:val="en-US"/>
                          </w:rPr>
                          <m:t>c*</m:t>
                        </m:r>
                      </m:sup>
                    </m:sSubSup>
                    <m:r>
                      <w:rPr>
                        <w:rFonts w:ascii="Cambria Math" w:hAnsi="Cambria Math"/>
                        <w:lang w:val="en-US"/>
                      </w:rPr>
                      <m:t>(t)</m:t>
                    </m:r>
                  </m:e>
                </m:nary>
              </m:den>
            </m:f>
          </m:e>
        </m:d>
      </m:oMath>
      <w:r w:rsidRPr="00783571">
        <w:rPr>
          <w:lang w:val="en-US"/>
        </w:rPr>
        <w:fldChar w:fldCharType="begin"/>
      </w:r>
      <w:r w:rsidRPr="00783571">
        <w:rPr>
          <w:lang w:val="en-US"/>
        </w:rPr>
        <w:instrText xml:space="preserve"> QUOTE </w:instrText>
      </w:r>
      <m:oMath>
        <m:r>
          <m:rPr>
            <m:sty m:val="p"/>
          </m:rPr>
          <w:rPr>
            <w:rFonts w:ascii="Cambria Math" w:hAnsi="Cambria Math"/>
            <w:lang w:val="en-US"/>
          </w:rPr>
          <m:t>=(</m:t>
        </m:r>
        <m:sSubSup>
          <m:sSubSupPr>
            <m:ctrlPr>
              <w:rPr>
                <w:rFonts w:ascii="Cambria Math" w:hAnsi="Cambria Math"/>
                <w:i/>
                <w:lang w:val="en-US"/>
              </w:rPr>
            </m:ctrlPr>
          </m:sSubSupPr>
          <m:e>
            <m:r>
              <m:rPr>
                <m:sty m:val="p"/>
              </m:rPr>
              <w:rPr>
                <w:rFonts w:ascii="Cambria Math" w:hAnsi="Cambria Math"/>
                <w:lang w:val="en-US"/>
              </w:rPr>
              <m:t>m</m:t>
            </m:r>
          </m:e>
          <m:sub>
            <m:r>
              <m:rPr>
                <m:sty m:val="p"/>
              </m:rPr>
              <w:rPr>
                <w:rFonts w:ascii="Cambria Math" w:hAnsi="Cambria Math"/>
                <w:lang w:val="en-US"/>
              </w:rPr>
              <m:t>p</m:t>
            </m:r>
          </m:sub>
          <m:sup>
            <m:r>
              <m:rPr>
                <m:sty m:val="p"/>
              </m:rPr>
              <w:rPr>
                <w:rFonts w:ascii="Cambria Math" w:hAnsi="Cambria Math"/>
                <w:lang w:val="en-US"/>
              </w:rPr>
              <m:t>z</m:t>
            </m:r>
          </m:sup>
        </m:sSubSup>
        <m:r>
          <m:rPr>
            <m:sty m:val="p"/>
          </m:rPr>
          <w:rPr>
            <w:rFonts w:ascii="Cambria Math" w:hAnsi="Cambria Math"/>
            <w:lang w:val="en-US"/>
          </w:rPr>
          <m:t xml:space="preserve">)(Percentage of </m:t>
        </m:r>
        <m:sSup>
          <m:sSupPr>
            <m:ctrlPr>
              <w:rPr>
                <w:rFonts w:ascii="Cambria Math" w:hAnsi="Cambria Math"/>
                <w:iCs/>
                <w:lang w:val="en-US"/>
              </w:rPr>
            </m:ctrlPr>
          </m:sSupPr>
          <m:e>
            <m:r>
              <m:rPr>
                <m:sty m:val="p"/>
              </m:rPr>
              <w:rPr>
                <w:rFonts w:ascii="Cambria Math" w:hAnsi="Cambria Math"/>
                <w:lang w:val="en-US"/>
              </w:rPr>
              <m:t>p</m:t>
            </m:r>
          </m:e>
          <m:sup>
            <m:r>
              <m:rPr>
                <m:sty m:val="p"/>
              </m:rPr>
              <w:rPr>
                <w:rFonts w:ascii="Cambria Math" w:hAnsi="Cambria Math"/>
                <w:lang w:val="en-US"/>
              </w:rPr>
              <m:t>'</m:t>
            </m:r>
          </m:sup>
        </m:sSup>
        <m:r>
          <m:rPr>
            <m:sty m:val="p"/>
          </m:rPr>
          <w:rPr>
            <w:rFonts w:ascii="Cambria Math" w:hAnsi="Cambria Math"/>
            <w:lang w:val="en-US"/>
          </w:rPr>
          <m:t>s partners in p2)</m:t>
        </m:r>
        <m:d>
          <m:dPr>
            <m:ctrlPr>
              <w:rPr>
                <w:rFonts w:ascii="Cambria Math" w:hAnsi="Cambria Math"/>
                <w:i/>
                <w:lang w:val="en-US"/>
              </w:rPr>
            </m:ctrlPr>
          </m:dPr>
          <m:e>
            <m:f>
              <m:fPr>
                <m:ctrlPr>
                  <w:rPr>
                    <w:rFonts w:ascii="Cambria Math" w:hAnsi="Cambria Math"/>
                    <w:i/>
                    <w:lang w:val="en-US"/>
                  </w:rPr>
                </m:ctrlPr>
              </m:fPr>
              <m:num>
                <m:sSubSup>
                  <m:sSubSupPr>
                    <m:ctrlPr>
                      <w:rPr>
                        <w:rFonts w:ascii="Cambria Math" w:hAnsi="Cambria Math"/>
                        <w:i/>
                        <w:lang w:val="en-US"/>
                      </w:rPr>
                    </m:ctrlPr>
                  </m:sSubSupPr>
                  <m:e>
                    <m:r>
                      <m:rPr>
                        <m:sty m:val="p"/>
                      </m:rPr>
                      <w:rPr>
                        <w:rFonts w:ascii="Cambria Math" w:hAnsi="Cambria Math"/>
                        <w:lang w:val="en-US"/>
                      </w:rPr>
                      <m:t>X</m:t>
                    </m:r>
                  </m:e>
                  <m:sub>
                    <m:r>
                      <m:rPr>
                        <m:sty m:val="p"/>
                      </m:rPr>
                      <w:rPr>
                        <w:rFonts w:ascii="Cambria Math" w:hAnsi="Cambria Math"/>
                        <w:lang w:val="en-US"/>
                      </w:rPr>
                      <m:t>p2</m:t>
                    </m:r>
                  </m:sub>
                  <m:sup>
                    <m:r>
                      <m:rPr>
                        <m:sty m:val="p"/>
                      </m:rPr>
                      <w:rPr>
                        <w:rFonts w:ascii="Cambria Math" w:hAnsi="Cambria Math"/>
                        <w:lang w:val="en-US"/>
                      </w:rPr>
                      <m:t>c</m:t>
                    </m:r>
                  </m:sup>
                </m:sSubSup>
              </m:num>
              <m:den>
                <m:nary>
                  <m:naryPr>
                    <m:chr m:val="∑"/>
                    <m:limLoc m:val="undOvr"/>
                    <m:supHide m:val="1"/>
                    <m:ctrlPr>
                      <w:rPr>
                        <w:rFonts w:ascii="Cambria Math" w:hAnsi="Cambria Math"/>
                        <w:i/>
                        <w:lang w:val="en-US"/>
                      </w:rPr>
                    </m:ctrlPr>
                  </m:naryPr>
                  <m:sub>
                    <m:r>
                      <m:rPr>
                        <m:sty m:val="p"/>
                      </m:rPr>
                      <w:rPr>
                        <w:rFonts w:ascii="Cambria Math" w:hAnsi="Cambria Math"/>
                        <w:lang w:val="en-US"/>
                      </w:rPr>
                      <m:t>c=1to27</m:t>
                    </m:r>
                  </m:sub>
                  <m:sup/>
                  <m:e>
                    <m:sSubSup>
                      <m:sSubSupPr>
                        <m:ctrlPr>
                          <w:rPr>
                            <w:rFonts w:ascii="Cambria Math" w:hAnsi="Cambria Math"/>
                            <w:i/>
                            <w:lang w:val="en-US"/>
                          </w:rPr>
                        </m:ctrlPr>
                      </m:sSubSupPr>
                      <m:e>
                        <m:r>
                          <m:rPr>
                            <m:sty m:val="p"/>
                          </m:rPr>
                          <w:rPr>
                            <w:rFonts w:ascii="Cambria Math" w:hAnsi="Cambria Math"/>
                            <w:lang w:val="en-US"/>
                          </w:rPr>
                          <m:t>X</m:t>
                        </m:r>
                      </m:e>
                      <m:sub>
                        <m:r>
                          <m:rPr>
                            <m:sty m:val="p"/>
                          </m:rPr>
                          <w:rPr>
                            <w:rFonts w:ascii="Cambria Math" w:hAnsi="Cambria Math"/>
                            <w:lang w:val="en-US"/>
                          </w:rPr>
                          <m:t>p2</m:t>
                        </m:r>
                      </m:sub>
                      <m:sup>
                        <m:r>
                          <m:rPr>
                            <m:sty m:val="p"/>
                          </m:rPr>
                          <w:rPr>
                            <w:rFonts w:ascii="Cambria Math" w:hAnsi="Cambria Math"/>
                            <w:lang w:val="en-US"/>
                          </w:rPr>
                          <m:t>c</m:t>
                        </m:r>
                      </m:sup>
                    </m:sSubSup>
                  </m:e>
                </m:nary>
              </m:den>
            </m:f>
          </m:e>
        </m:d>
        <m:d>
          <m:dPr>
            <m:ctrlPr>
              <w:rPr>
                <w:rFonts w:ascii="Cambria Math" w:hAnsi="Cambria Math"/>
                <w:i/>
                <w:lang w:val="en-US"/>
              </w:rPr>
            </m:ctrlPr>
          </m:dPr>
          <m:e>
            <m:sSubSup>
              <m:sSubSupPr>
                <m:ctrlPr>
                  <w:rPr>
                    <w:rFonts w:ascii="Cambria Math" w:hAnsi="Cambria Math"/>
                    <w:i/>
                    <w:lang w:val="en-US"/>
                  </w:rPr>
                </m:ctrlPr>
              </m:sSubSupPr>
              <m:e>
                <m:r>
                  <m:rPr>
                    <m:sty m:val="p"/>
                  </m:rPr>
                  <w:rPr>
                    <w:rFonts w:ascii="Cambria Math" w:hAnsi="Cambria Math"/>
                    <w:lang w:val="en-US"/>
                  </w:rPr>
                  <m:t>η</m:t>
                </m:r>
              </m:e>
              <m:sub>
                <m:r>
                  <m:rPr>
                    <m:sty m:val="p"/>
                  </m:rPr>
                  <w:rPr>
                    <w:rFonts w:ascii="Cambria Math" w:hAnsi="Cambria Math"/>
                    <w:lang w:val="en-US"/>
                  </w:rPr>
                  <m:t>p,c</m:t>
                </m:r>
              </m:sub>
              <m:sup>
                <m:r>
                  <m:rPr>
                    <m:sty m:val="p"/>
                  </m:rPr>
                  <w:rPr>
                    <w:rFonts w:ascii="Cambria Math" w:hAnsi="Cambria Math"/>
                    <w:lang w:val="en-US"/>
                  </w:rPr>
                  <m:t>s</m:t>
                </m:r>
              </m:sup>
            </m:sSubSup>
          </m:e>
        </m:d>
      </m:oMath>
      <w:r w:rsidRPr="00783571">
        <w:rPr>
          <w:lang w:val="en-US"/>
        </w:rPr>
        <w:instrText xml:space="preserve"> </w:instrText>
      </w:r>
      <w:r w:rsidRPr="00783571">
        <w:rPr>
          <w:lang w:val="en-US"/>
        </w:rPr>
        <w:fldChar w:fldCharType="end"/>
      </w:r>
      <w:r w:rsidR="004F4E6D" w:rsidRPr="00783571">
        <w:rPr>
          <w:lang w:val="en-US"/>
        </w:rPr>
        <w:tab/>
      </w:r>
      <w:r w:rsidRPr="00783571">
        <w:rPr>
          <w:lang w:val="en-US"/>
        </w:rPr>
        <w:t>(</w:t>
      </w:r>
      <w:r w:rsidR="00FF381E" w:rsidRPr="00783571">
        <w:rPr>
          <w:lang w:val="en-US"/>
        </w:rPr>
        <w:t>6</w:t>
      </w:r>
      <w:r w:rsidR="00E47989" w:rsidRPr="00783571">
        <w:rPr>
          <w:lang w:val="en-US"/>
        </w:rPr>
        <w:t>.</w:t>
      </w:r>
      <w:r w:rsidR="001718B7" w:rsidRPr="00783571">
        <w:rPr>
          <w:lang w:val="en-US"/>
        </w:rPr>
        <w:t>5</w:t>
      </w:r>
      <w:r w:rsidRPr="00783571">
        <w:rPr>
          <w:lang w:val="en-US"/>
        </w:rPr>
        <w:t>)</w:t>
      </w:r>
    </w:p>
    <w:p w14:paraId="03226847" w14:textId="77777777" w:rsidR="00B67E34" w:rsidRPr="00783571" w:rsidRDefault="00B67E34" w:rsidP="00E47989">
      <w:pPr>
        <w:pStyle w:val="BodyText"/>
        <w:keepNext/>
      </w:pPr>
      <w:r w:rsidRPr="00783571">
        <w:t>where</w:t>
      </w:r>
    </w:p>
    <w:p w14:paraId="5A071B12" w14:textId="356BBA31" w:rsidR="002B180E" w:rsidRPr="00783571" w:rsidRDefault="000F17E7" w:rsidP="003B42C2">
      <w:pPr>
        <w:pStyle w:val="bullets"/>
      </w:pPr>
      <m:oMath>
        <m:sSubSup>
          <m:sSubSupPr>
            <m:ctrlPr>
              <w:rPr>
                <w:rFonts w:ascii="Cambria Math" w:hAnsi="Cambria Math"/>
              </w:rPr>
            </m:ctrlPr>
          </m:sSubSupPr>
          <m:e>
            <m:r>
              <m:rPr>
                <m:sty m:val="p"/>
              </m:rPr>
              <w:rPr>
                <w:rFonts w:ascii="Cambria Math" w:hAnsi="Cambria Math"/>
              </w:rPr>
              <m:t xml:space="preserve"> M</m:t>
            </m:r>
          </m:e>
          <m:sub>
            <m:r>
              <m:rPr>
                <m:sty m:val="p"/>
              </m:rPr>
              <w:rPr>
                <w:rFonts w:ascii="Cambria Math" w:hAnsi="Cambria Math"/>
              </w:rPr>
              <m:t>p</m:t>
            </m:r>
          </m:sub>
          <m:sup>
            <m:r>
              <m:rPr>
                <m:sty m:val="p"/>
              </m:rPr>
              <w:rPr>
                <w:rFonts w:ascii="Cambria Math" w:hAnsi="Cambria Math"/>
              </w:rPr>
              <m:t>z</m:t>
            </m:r>
          </m:sup>
        </m:sSubSup>
      </m:oMath>
      <w:r w:rsidR="002B180E" w:rsidRPr="00783571">
        <w:fldChar w:fldCharType="begin"/>
      </w:r>
      <w:r w:rsidR="002B180E" w:rsidRPr="00783571">
        <w:instrText xml:space="preserve"> QUOTE </w:instrText>
      </w:r>
      <m:oMath>
        <m:sSubSup>
          <m:sSubSupPr>
            <m:ctrlPr>
              <w:rPr>
                <w:rFonts w:ascii="Cambria Math" w:hAnsi="Cambria Math"/>
              </w:rPr>
            </m:ctrlPr>
          </m:sSubSupPr>
          <m:e>
            <m:r>
              <m:rPr>
                <m:sty m:val="p"/>
              </m:rPr>
              <w:rPr>
                <w:rFonts w:ascii="Cambria Math" w:hAnsi="Cambria Math"/>
              </w:rPr>
              <m:t>m</m:t>
            </m:r>
          </m:e>
          <m:sub>
            <m:r>
              <m:rPr>
                <m:sty m:val="p"/>
              </m:rPr>
              <w:rPr>
                <w:rFonts w:ascii="Cambria Math" w:hAnsi="Cambria Math"/>
              </w:rPr>
              <m:t>p</m:t>
            </m:r>
          </m:sub>
          <m:sup>
            <m:r>
              <m:rPr>
                <m:sty m:val="p"/>
              </m:rPr>
              <w:rPr>
                <w:rFonts w:ascii="Cambria Math" w:hAnsi="Cambria Math"/>
              </w:rPr>
              <m:t>z</m:t>
            </m:r>
          </m:sup>
        </m:sSubSup>
      </m:oMath>
      <w:r w:rsidR="002B180E" w:rsidRPr="00783571">
        <w:instrText xml:space="preserve"> </w:instrText>
      </w:r>
      <w:r w:rsidR="002B180E" w:rsidRPr="00783571">
        <w:fldChar w:fldCharType="end"/>
      </w:r>
      <w:r w:rsidR="002B180E" w:rsidRPr="00783571">
        <w:t> </w:t>
      </w:r>
      <w:r w:rsidR="002B180E" w:rsidRPr="00783571">
        <w:rPr>
          <w:iCs/>
        </w:rPr>
        <w:t>= annual number of partners for risk type z</w:t>
      </w:r>
      <w:r w:rsidR="002B180E" w:rsidRPr="00783571">
        <w:t xml:space="preserve"> </w:t>
      </w:r>
      <w:r w:rsidR="002B180E" w:rsidRPr="00783571">
        <w:rPr>
          <w:iCs/>
        </w:rPr>
        <w:t>per person in</w:t>
      </w:r>
      <w:r w:rsidR="002B180E" w:rsidRPr="00783571">
        <w:t xml:space="preserve"> p,</w:t>
      </w:r>
    </w:p>
    <w:p w14:paraId="5DA672FB" w14:textId="18E5A073" w:rsidR="00A54398" w:rsidRPr="00783571" w:rsidRDefault="000F17E7" w:rsidP="007B5D12">
      <w:pPr>
        <w:pStyle w:val="bullets"/>
      </w:pPr>
      <m:oMath>
        <m:sSub>
          <m:sSubPr>
            <m:ctrlPr>
              <w:rPr>
                <w:rFonts w:ascii="Cambria Math" w:hAnsi="Cambria Math"/>
                <w:i/>
              </w:rPr>
            </m:ctrlPr>
          </m:sSubPr>
          <m:e>
            <m:r>
              <w:rPr>
                <w:rFonts w:ascii="Cambria Math" w:hAnsi="Cambria Math"/>
              </w:rPr>
              <m:t>a</m:t>
            </m:r>
          </m:e>
          <m:sub>
            <m:r>
              <w:rPr>
                <w:rFonts w:ascii="Cambria Math" w:hAnsi="Cambria Math"/>
              </w:rPr>
              <m:t>p,p2</m:t>
            </m:r>
          </m:sub>
        </m:sSub>
        <m:r>
          <w:rPr>
            <w:rFonts w:ascii="Cambria Math" w:hAnsi="Cambria Math"/>
          </w:rPr>
          <m:t xml:space="preserve"> </m:t>
        </m:r>
      </m:oMath>
      <w:r w:rsidR="002B180E" w:rsidRPr="00783571">
        <w:rPr>
          <w:iCs/>
        </w:rPr>
        <w:t>= percentage of individuals in subpopulation</w:t>
      </w:r>
      <w:r w:rsidR="002B180E" w:rsidRPr="00783571">
        <w:t xml:space="preserve"> </w:t>
      </w:r>
      <w:r w:rsidR="002B180E" w:rsidRPr="00783571">
        <w:rPr>
          <w:iCs/>
        </w:rPr>
        <w:t>p</w:t>
      </w:r>
      <w:r w:rsidR="002B180E" w:rsidRPr="00783571">
        <w:t xml:space="preserve">’s </w:t>
      </w:r>
      <w:r w:rsidR="002B180E" w:rsidRPr="00783571">
        <w:rPr>
          <w:iCs/>
        </w:rPr>
        <w:t>partners that are in</w:t>
      </w:r>
      <w:r w:rsidR="00577C1F" w:rsidRPr="00783571">
        <w:rPr>
          <w:iCs/>
        </w:rPr>
        <w:t xml:space="preserve"> p2</w:t>
      </w:r>
      <w:r w:rsidR="007B5D12" w:rsidRPr="00783571">
        <w:rPr>
          <w:iCs/>
        </w:rPr>
        <w:t>, as</w:t>
      </w:r>
      <w:r w:rsidR="002B180E" w:rsidRPr="00783571">
        <w:rPr>
          <w:iCs/>
        </w:rPr>
        <w:t xml:space="preserve"> determined by the mixing matrix described in </w:t>
      </w:r>
      <w:r w:rsidR="00CA2896" w:rsidRPr="00783571">
        <w:rPr>
          <w:iCs/>
        </w:rPr>
        <w:t>Section </w:t>
      </w:r>
      <w:r w:rsidR="002B180E" w:rsidRPr="00783571">
        <w:rPr>
          <w:iCs/>
        </w:rPr>
        <w:t>6.1,</w:t>
      </w:r>
    </w:p>
    <w:p w14:paraId="5595F82D" w14:textId="1AFD3034" w:rsidR="00251497" w:rsidRPr="00783571" w:rsidRDefault="000F17E7" w:rsidP="00D869E9">
      <w:pPr>
        <w:pStyle w:val="bullets"/>
      </w:pPr>
      <m:oMath>
        <m:sSub>
          <m:sSubPr>
            <m:ctrlPr>
              <w:rPr>
                <w:rFonts w:ascii="Cambria Math" w:hAnsi="Cambria Math"/>
              </w:rPr>
            </m:ctrlPr>
          </m:sSubPr>
          <m:e>
            <m:r>
              <w:rPr>
                <w:rFonts w:ascii="Cambria Math" w:hAnsi="Cambria Math"/>
              </w:rPr>
              <m:t>O</m:t>
            </m:r>
          </m:e>
          <m:sub>
            <m:r>
              <w:rPr>
                <w:rFonts w:ascii="Cambria Math" w:hAnsi="Cambria Math"/>
              </w:rPr>
              <m:t>p,y</m:t>
            </m:r>
          </m:sub>
        </m:sSub>
        <m:r>
          <w:rPr>
            <w:rFonts w:ascii="Cambria Math" w:hAnsi="Cambria Math"/>
          </w:rPr>
          <m:t xml:space="preserve"> </m:t>
        </m:r>
      </m:oMath>
      <w:r w:rsidR="00A54398" w:rsidRPr="00783571">
        <w:t xml:space="preserve">= </w:t>
      </w:r>
      <w:r w:rsidR="00D869E9" w:rsidRPr="00783571">
        <w:t>average percentage of partnerships for an individual in subpopulation p that are type y, given that the individual has partnerships of type y</w:t>
      </w:r>
      <w:r w:rsidR="007B5D12" w:rsidRPr="00783571">
        <w:t xml:space="preserve">. It </w:t>
      </w:r>
      <w:r w:rsidR="00251497" w:rsidRPr="00783571">
        <w:t xml:space="preserve">is </w:t>
      </w:r>
      <w:r w:rsidR="00577C1F" w:rsidRPr="00783571">
        <w:t>calculated based on</w:t>
      </w:r>
      <w:r w:rsidR="00251497" w:rsidRPr="00783571">
        <w:t xml:space="preserve"> the following:</w:t>
      </w:r>
    </w:p>
    <w:p w14:paraId="755EACE3" w14:textId="0676A020" w:rsidR="00251497" w:rsidRPr="00783571" w:rsidRDefault="00251497" w:rsidP="00251497">
      <w:pPr>
        <w:pStyle w:val="bullets-2ndlevel"/>
      </w:pPr>
      <w:r w:rsidRPr="00783571">
        <w:t xml:space="preserve">the input </w:t>
      </w:r>
      <w:r w:rsidRPr="00783571">
        <w:rPr>
          <w:i/>
          <w:iCs/>
        </w:rPr>
        <w:t xml:space="preserve">Among people who have AI in their </w:t>
      </w:r>
      <w:r w:rsidR="00A725F8" w:rsidRPr="00783571">
        <w:rPr>
          <w:i/>
          <w:iCs/>
        </w:rPr>
        <w:t>male-female partnerships, percentage of those</w:t>
      </w:r>
      <w:r w:rsidRPr="00783571">
        <w:rPr>
          <w:i/>
          <w:iCs/>
        </w:rPr>
        <w:t xml:space="preserve"> partnerships with AI</w:t>
      </w:r>
      <w:r w:rsidR="004F4E6D" w:rsidRPr="00783571">
        <w:t>,</w:t>
      </w:r>
      <w:r w:rsidR="00A725F8" w:rsidRPr="00783571">
        <w:t xml:space="preserve"> which distributes partnerships for people who have AI in male-female partnerships into partnerships with and without AI</w:t>
      </w:r>
    </w:p>
    <w:p w14:paraId="4C1B78CD" w14:textId="3127916E" w:rsidR="00251497" w:rsidRPr="00783571" w:rsidRDefault="00251497" w:rsidP="00A725F8">
      <w:pPr>
        <w:pStyle w:val="bullets-2ndlevel"/>
      </w:pPr>
      <w:r w:rsidRPr="00783571">
        <w:t>the assumption that risk from</w:t>
      </w:r>
      <w:r w:rsidR="005058A2" w:rsidRPr="00783571">
        <w:t xml:space="preserve"> male-female partnerships </w:t>
      </w:r>
      <w:r w:rsidRPr="00783571">
        <w:t xml:space="preserve">does not factor into the </w:t>
      </w:r>
      <w:r w:rsidR="00A725F8" w:rsidRPr="00783571">
        <w:t xml:space="preserve">calculation of </w:t>
      </w:r>
      <w:r w:rsidRPr="00783571">
        <w:t xml:space="preserve">force of infection from male-male </w:t>
      </w:r>
      <w:r w:rsidR="00A725F8" w:rsidRPr="00783571">
        <w:t xml:space="preserve">sexual </w:t>
      </w:r>
      <w:r w:rsidRPr="00783571">
        <w:t>partnerships</w:t>
      </w:r>
      <w:r w:rsidR="00AF0ADF" w:rsidRPr="00783571">
        <w:t xml:space="preserve"> with AI only (</w:t>
      </w:r>
      <w:r w:rsidR="00A725F8" w:rsidRPr="00783571">
        <w:t>z = 2, x</w:t>
      </w:r>
      <w:r w:rsidR="00E628BE" w:rsidRPr="00783571">
        <w:t> = </w:t>
      </w:r>
      <w:r w:rsidR="00A725F8" w:rsidRPr="00783571">
        <w:t>2</w:t>
      </w:r>
      <w:r w:rsidR="00AF0ADF" w:rsidRPr="00783571">
        <w:t>)</w:t>
      </w:r>
    </w:p>
    <w:p w14:paraId="1ABEF2B5" w14:textId="163C70B1" w:rsidR="004F4E6D" w:rsidRPr="00783571" w:rsidRDefault="00AF0ADF" w:rsidP="00FF17E0">
      <w:pPr>
        <w:pStyle w:val="bullets-2ndlevel"/>
      </w:pPr>
      <w:r w:rsidRPr="00783571">
        <w:t xml:space="preserve">the assumption that risk from male-male partnerships does not factor into the </w:t>
      </w:r>
      <w:r w:rsidR="00A725F8" w:rsidRPr="00783571">
        <w:t xml:space="preserve">calculation of </w:t>
      </w:r>
      <w:r w:rsidRPr="00783571">
        <w:t xml:space="preserve">force of infection from </w:t>
      </w:r>
      <w:r w:rsidR="00A725F8" w:rsidRPr="00783571">
        <w:t>V</w:t>
      </w:r>
      <w:r w:rsidRPr="00783571">
        <w:t>I in male-female partnerships with VI only (</w:t>
      </w:r>
      <w:r w:rsidR="00A725F8" w:rsidRPr="00783571">
        <w:t>z</w:t>
      </w:r>
      <w:r w:rsidR="00E628BE" w:rsidRPr="00783571">
        <w:t> = </w:t>
      </w:r>
      <w:r w:rsidR="00A725F8" w:rsidRPr="00783571">
        <w:t>1, x</w:t>
      </w:r>
      <w:r w:rsidR="00E628BE" w:rsidRPr="00783571">
        <w:t> = </w:t>
      </w:r>
      <w:r w:rsidR="00A725F8" w:rsidRPr="00783571">
        <w:t>1</w:t>
      </w:r>
      <w:r w:rsidRPr="00783571">
        <w:t>)</w:t>
      </w:r>
      <w:r w:rsidR="00A725F8" w:rsidRPr="00783571">
        <w:t xml:space="preserve"> or from either VI or AI in male-female partnerships with both AI and VI (z</w:t>
      </w:r>
      <w:r w:rsidR="00E628BE" w:rsidRPr="00783571">
        <w:t> = </w:t>
      </w:r>
      <w:r w:rsidR="00A725F8" w:rsidRPr="00783571">
        <w:t>1 or 2, x</w:t>
      </w:r>
      <w:r w:rsidR="00E628BE" w:rsidRPr="00783571">
        <w:t> = </w:t>
      </w:r>
      <w:r w:rsidR="00A725F8" w:rsidRPr="00783571">
        <w:t>3).</w:t>
      </w:r>
    </w:p>
    <w:p w14:paraId="46125FC4" w14:textId="78F84367" w:rsidR="007452B6" w:rsidRPr="00783571" w:rsidRDefault="000F17E7" w:rsidP="007452B6">
      <w:pPr>
        <w:pStyle w:val="bullets"/>
      </w:pPr>
      <m:oMath>
        <m:sSub>
          <m:sSubPr>
            <m:ctrlPr>
              <w:rPr>
                <w:rFonts w:ascii="Cambria Math" w:hAnsi="Cambria Math"/>
                <w:i/>
              </w:rPr>
            </m:ctrlPr>
          </m:sSubPr>
          <m:e>
            <m:r>
              <w:rPr>
                <w:rFonts w:ascii="Cambria Math" w:hAnsi="Cambria Math"/>
              </w:rPr>
              <m:t>s</m:t>
            </m:r>
          </m:e>
          <m:sub>
            <m:r>
              <w:rPr>
                <w:rFonts w:ascii="Cambria Math" w:hAnsi="Cambria Math"/>
              </w:rPr>
              <m:t>c</m:t>
            </m:r>
          </m:sub>
        </m:sSub>
      </m:oMath>
      <w:r w:rsidR="007452B6" w:rsidRPr="00783571">
        <w:t xml:space="preserve"> = </w:t>
      </w:r>
      <w:r w:rsidR="00E9227D" w:rsidRPr="00783571">
        <w:t>b</w:t>
      </w:r>
      <w:r w:rsidR="007452B6" w:rsidRPr="00783571">
        <w:t>inary indicator that model state c is an infected HIV state (1 = infected, 0 = not infected)</w:t>
      </w:r>
    </w:p>
    <w:p w14:paraId="0124235D" w14:textId="6EC8E6F2" w:rsidR="00C05E85" w:rsidRPr="00783571" w:rsidRDefault="00C05E85" w:rsidP="003B42C2">
      <w:pPr>
        <w:pStyle w:val="bullets"/>
      </w:pPr>
      <w:r w:rsidRPr="00783571">
        <w:rPr>
          <w:i/>
        </w:rPr>
        <w:t xml:space="preserve">Number of </w:t>
      </w:r>
      <w:r w:rsidR="00A54398" w:rsidRPr="00783571">
        <w:rPr>
          <w:i/>
        </w:rPr>
        <w:t xml:space="preserve">partnership type y </w:t>
      </w:r>
      <w:r w:rsidRPr="00783571">
        <w:rPr>
          <w:i/>
        </w:rPr>
        <w:t>partners in</w:t>
      </w:r>
      <w:r w:rsidR="00577C1F" w:rsidRPr="00783571">
        <w:rPr>
          <w:i/>
        </w:rPr>
        <w:t xml:space="preserve"> p2</w:t>
      </w:r>
      <w:r w:rsidRPr="00783571">
        <w:rPr>
          <w:i/>
        </w:rPr>
        <w:t xml:space="preserve"> per person in p</w:t>
      </w:r>
      <w:r w:rsidRPr="00783571">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p,p2</m:t>
            </m:r>
          </m:sub>
        </m:sSub>
        <m:r>
          <m:rPr>
            <m:sty m:val="p"/>
          </m:rPr>
          <w:rPr>
            <w:rFonts w:ascii="Cambria Math" w:hAnsi="Cambria Math"/>
          </w:rPr>
          <m:t>)(</m:t>
        </m:r>
        <m:sSub>
          <m:sSubPr>
            <m:ctrlPr>
              <w:rPr>
                <w:rFonts w:ascii="Cambria Math" w:hAnsi="Cambria Math"/>
              </w:rPr>
            </m:ctrlPr>
          </m:sSubPr>
          <m:e>
            <m:r>
              <w:rPr>
                <w:rFonts w:ascii="Cambria Math" w:hAnsi="Cambria Math"/>
              </w:rPr>
              <m:t>O</m:t>
            </m:r>
          </m:e>
          <m:sub>
            <m:r>
              <w:rPr>
                <w:rFonts w:ascii="Cambria Math" w:hAnsi="Cambria Math"/>
              </w:rPr>
              <m:t>p,y</m:t>
            </m:r>
          </m:sub>
        </m:sSub>
        <m:r>
          <m:rPr>
            <m:sty m:val="p"/>
          </m:rPr>
          <w:rPr>
            <w:rFonts w:ascii="Cambria Math" w:hAnsi="Cambria Math"/>
          </w:rPr>
          <m:t>)</m:t>
        </m:r>
      </m:oMath>
      <w:r w:rsidR="00A54398" w:rsidRPr="00783571">
        <w:t>.</w:t>
      </w:r>
    </w:p>
    <w:p w14:paraId="0ADAB8DA" w14:textId="31175703" w:rsidR="00A96B36" w:rsidRPr="00783571" w:rsidRDefault="00A96B36" w:rsidP="00863FC7">
      <w:pPr>
        <w:pStyle w:val="BodyText"/>
      </w:pPr>
      <w:r w:rsidRPr="00783571">
        <w:t>This value</w:t>
      </w:r>
      <w:r w:rsidR="006753B6" w:rsidRPr="00783571">
        <w:t xml:space="preserve"> (</w:t>
      </w:r>
      <m:oMath>
        <m:sSub>
          <m:sSubPr>
            <m:ctrlPr>
              <w:rPr>
                <w:rFonts w:ascii="Cambria Math" w:hAnsi="Cambria Math"/>
                <w:i/>
              </w:rPr>
            </m:ctrlPr>
          </m:sSubPr>
          <m:e>
            <m:r>
              <w:rPr>
                <w:rFonts w:ascii="Cambria Math" w:hAnsi="Cambria Math"/>
              </w:rPr>
              <m:t>ξ</m:t>
            </m:r>
          </m:e>
          <m:sub>
            <m:r>
              <w:rPr>
                <w:rFonts w:ascii="Cambria Math" w:hAnsi="Cambria Math"/>
              </w:rPr>
              <m:t>z,y,p,p2,c</m:t>
            </m:r>
          </m:sub>
        </m:sSub>
      </m:oMath>
      <w:r w:rsidR="006753B6" w:rsidRPr="00783571">
        <w:t>)</w:t>
      </w:r>
      <w:r w:rsidRPr="00783571">
        <w:t xml:space="preserve"> equals 0 for uninfected compartments c = {1 or 2}.</w:t>
      </w:r>
    </w:p>
    <w:p w14:paraId="4D4A17B5" w14:textId="77777777" w:rsidR="00B41A9A" w:rsidRPr="00783571" w:rsidRDefault="00B41A9A" w:rsidP="00E47989">
      <w:pPr>
        <w:pStyle w:val="BodyText"/>
        <w:keepNext/>
        <w:keepLines/>
      </w:pPr>
      <w:r w:rsidRPr="00783571">
        <w:t>This method captures the following effects on HIV transmission:</w:t>
      </w:r>
    </w:p>
    <w:p w14:paraId="2E7C6B73" w14:textId="35265385" w:rsidR="00B41A9A" w:rsidRPr="00783571" w:rsidRDefault="00B41A9A" w:rsidP="00E47989">
      <w:pPr>
        <w:pStyle w:val="bullets"/>
        <w:keepNext/>
      </w:pPr>
      <w:r w:rsidRPr="00783571">
        <w:t xml:space="preserve">the impact of circumcision on </w:t>
      </w:r>
      <w:r w:rsidR="00341EDC" w:rsidRPr="00783571">
        <w:t>the per-partnership transmission risk (beta)</w:t>
      </w:r>
    </w:p>
    <w:p w14:paraId="7632D571" w14:textId="77777777" w:rsidR="00B41A9A" w:rsidRPr="00783571" w:rsidRDefault="00B41A9A" w:rsidP="00E47989">
      <w:pPr>
        <w:pStyle w:val="bullets"/>
        <w:keepNext/>
      </w:pPr>
      <w:r w:rsidRPr="00783571">
        <w:t xml:space="preserve">the impact of </w:t>
      </w:r>
      <w:r w:rsidR="00974941" w:rsidRPr="00783571">
        <w:t>viral load suppression</w:t>
      </w:r>
      <w:r w:rsidRPr="00783571">
        <w:t xml:space="preserve"> on beta</w:t>
      </w:r>
    </w:p>
    <w:p w14:paraId="173358DF" w14:textId="77777777" w:rsidR="00B41A9A" w:rsidRPr="00783571" w:rsidRDefault="00B41A9A" w:rsidP="003B42C2">
      <w:pPr>
        <w:pStyle w:val="bullets"/>
      </w:pPr>
      <w:r w:rsidRPr="00783571">
        <w:t>the impact of vaginal versus anal sexual risk in all transmission groups on beta</w:t>
      </w:r>
    </w:p>
    <w:p w14:paraId="27E53090" w14:textId="255CB305" w:rsidR="000F420A" w:rsidRPr="00783571" w:rsidRDefault="00B41A9A" w:rsidP="003B42C2">
      <w:pPr>
        <w:pStyle w:val="bullets"/>
      </w:pPr>
      <w:r w:rsidRPr="00783571">
        <w:t xml:space="preserve">the impact of the prevalence of HIV in the partner populations on </w:t>
      </w:r>
      <w:r w:rsidR="00341EDC" w:rsidRPr="00783571">
        <w:t>the per-person force of infection (</w:t>
      </w:r>
      <w:r w:rsidRPr="00783571">
        <w:t>lambda</w:t>
      </w:r>
      <w:r w:rsidR="00341EDC" w:rsidRPr="00783571">
        <w:t>)</w:t>
      </w:r>
    </w:p>
    <w:p w14:paraId="1E84DE14" w14:textId="77777777" w:rsidR="00B41A9A" w:rsidRPr="00783571" w:rsidRDefault="00B41A9A" w:rsidP="003B42C2">
      <w:pPr>
        <w:pStyle w:val="bullets"/>
      </w:pPr>
      <w:r w:rsidRPr="00783571">
        <w:t>the impact of mixing patterns on lambda</w:t>
      </w:r>
    </w:p>
    <w:p w14:paraId="6A486FF8" w14:textId="77777777" w:rsidR="00B41A9A" w:rsidRPr="00783571" w:rsidRDefault="00B41A9A" w:rsidP="00E47989">
      <w:pPr>
        <w:pStyle w:val="BodyText"/>
        <w:keepNext/>
      </w:pPr>
      <w:r w:rsidRPr="00783571">
        <w:t>This method has the following simplifying assumption:</w:t>
      </w:r>
    </w:p>
    <w:p w14:paraId="272CBA29" w14:textId="1A5EF30E" w:rsidR="009D5AF4" w:rsidRPr="00783571" w:rsidRDefault="00D63BB9" w:rsidP="00090075">
      <w:pPr>
        <w:pStyle w:val="bullets"/>
      </w:pPr>
      <w:r w:rsidRPr="00783571">
        <w:t>S</w:t>
      </w:r>
      <w:r w:rsidR="00B41A9A" w:rsidRPr="00783571">
        <w:t>ufficient partner supply always exists to support the distribution of partners specified by the inputs.</w:t>
      </w:r>
    </w:p>
    <w:p w14:paraId="0AC17D0E" w14:textId="76839144" w:rsidR="00C367F6" w:rsidRPr="00783571" w:rsidRDefault="00C367F6" w:rsidP="00C2663F">
      <w:pPr>
        <w:pStyle w:val="Heading2"/>
      </w:pPr>
      <w:bookmarkStart w:id="70" w:name="_Toc510104461"/>
      <w:r w:rsidRPr="00783571">
        <w:t xml:space="preserve">Force of Infection </w:t>
      </w:r>
      <w:r w:rsidR="00C2663F" w:rsidRPr="00783571">
        <w:t>for Individuals on</w:t>
      </w:r>
      <w:r w:rsidRPr="00783571">
        <w:t xml:space="preserve"> PrEP</w:t>
      </w:r>
      <w:bookmarkEnd w:id="70"/>
    </w:p>
    <w:p w14:paraId="5D4618C9" w14:textId="5ABE10AF" w:rsidR="00C367F6" w:rsidRPr="00783571" w:rsidRDefault="00C2663F" w:rsidP="00090075">
      <w:pPr>
        <w:pStyle w:val="BodyText"/>
      </w:pPr>
      <w:r w:rsidRPr="00783571">
        <w:t>Infection risk</w:t>
      </w:r>
      <w:r w:rsidR="00C367F6" w:rsidRPr="00783571">
        <w:t xml:space="preserve"> for </w:t>
      </w:r>
      <w:r w:rsidRPr="00783571">
        <w:t>susceptible</w:t>
      </w:r>
      <w:r w:rsidR="00C367F6" w:rsidRPr="00783571">
        <w:t xml:space="preserve"> individuals</w:t>
      </w:r>
      <w:r w:rsidRPr="00783571">
        <w:t xml:space="preserve"> on PrEP (</w:t>
      </w:r>
      <w:r w:rsidR="00D96458" w:rsidRPr="00783571">
        <w:rPr>
          <w:i/>
          <w:iCs/>
        </w:rPr>
        <w:t>c</w:t>
      </w:r>
      <w:r w:rsidR="00E628BE" w:rsidRPr="00783571">
        <w:t> = </w:t>
      </w:r>
      <w:r w:rsidR="00D96458" w:rsidRPr="00783571">
        <w:t>2</w:t>
      </w:r>
      <w:r w:rsidRPr="00783571">
        <w:t>)</w:t>
      </w:r>
      <w:r w:rsidR="00C367F6" w:rsidRPr="00783571">
        <w:t xml:space="preserve"> is calculated as </w:t>
      </w:r>
      <w:r w:rsidRPr="00783571">
        <w:t>the infection risk for susceptible individuals not on PrEP (</w:t>
      </w:r>
      <m:oMath>
        <m:sSub>
          <m:sSubPr>
            <m:ctrlPr>
              <w:rPr>
                <w:rFonts w:ascii="Cambria Math" w:hAnsi="Cambria Math"/>
                <w:i/>
              </w:rPr>
            </m:ctrlPr>
          </m:sSubPr>
          <m:e>
            <m:r>
              <w:rPr>
                <w:rFonts w:ascii="Cambria Math" w:hAnsi="Cambria Math"/>
              </w:rPr>
              <m:t>λ</m:t>
            </m:r>
          </m:e>
          <m:sub>
            <m:r>
              <w:rPr>
                <w:rFonts w:ascii="Cambria Math" w:hAnsi="Cambria Math"/>
              </w:rPr>
              <m:t>p</m:t>
            </m:r>
          </m:sub>
        </m:sSub>
        <m:d>
          <m:dPr>
            <m:ctrlPr>
              <w:rPr>
                <w:rFonts w:ascii="Cambria Math" w:hAnsi="Cambria Math"/>
                <w:i/>
              </w:rPr>
            </m:ctrlPr>
          </m:dPr>
          <m:e>
            <m:r>
              <w:rPr>
                <w:rFonts w:ascii="Cambria Math" w:hAnsi="Cambria Math"/>
              </w:rPr>
              <m:t>t</m:t>
            </m:r>
          </m:e>
        </m:d>
      </m:oMath>
      <w:r w:rsidRPr="00783571">
        <w:rPr>
          <w:rFonts w:ascii="Calibri" w:hAnsi="Calibri"/>
        </w:rPr>
        <w:t>)</w:t>
      </w:r>
      <w:r w:rsidR="00EC7979" w:rsidRPr="00783571">
        <w:t xml:space="preserve"> reduced by a multiplicative </w:t>
      </w:r>
      <w:r w:rsidRPr="00783571">
        <w:t xml:space="preserve">factor. Those multiplicative factors are listed in </w:t>
      </w:r>
      <w:r w:rsidR="00814158" w:rsidRPr="00783571">
        <w:t>Table </w:t>
      </w:r>
      <w:r w:rsidR="00871E69" w:rsidRPr="00783571">
        <w:t>6.</w:t>
      </w:r>
      <w:r w:rsidRPr="00783571">
        <w:t>1</w:t>
      </w:r>
      <w:r w:rsidR="00090075" w:rsidRPr="00783571">
        <w:t>4</w:t>
      </w:r>
      <w:r w:rsidRPr="00783571">
        <w:t>.</w:t>
      </w:r>
    </w:p>
    <w:p w14:paraId="3C49644C" w14:textId="176AEC2A" w:rsidR="00C2663F" w:rsidRPr="00783571" w:rsidRDefault="004F4E6D" w:rsidP="00090075">
      <w:pPr>
        <w:pStyle w:val="TableTitle"/>
      </w:pPr>
      <w:bookmarkStart w:id="71" w:name="_Toc510104037"/>
      <w:r w:rsidRPr="00783571">
        <w:t>Table 6.</w:t>
      </w:r>
      <w:r w:rsidR="00090075" w:rsidRPr="00783571">
        <w:t>14</w:t>
      </w:r>
      <w:r w:rsidR="00C2663F" w:rsidRPr="00783571">
        <w:t>.</w:t>
      </w:r>
      <w:r w:rsidR="00C2663F" w:rsidRPr="00783571">
        <w:tab/>
      </w:r>
      <w:r w:rsidR="009F5E14" w:rsidRPr="00783571">
        <w:t>Percent</w:t>
      </w:r>
      <w:r w:rsidR="00090075" w:rsidRPr="00783571">
        <w:t>age</w:t>
      </w:r>
      <w:r w:rsidR="009F5E14" w:rsidRPr="00783571">
        <w:t xml:space="preserve"> </w:t>
      </w:r>
      <w:r w:rsidR="00090075" w:rsidRPr="00783571">
        <w:t>R</w:t>
      </w:r>
      <w:r w:rsidR="00C2663F" w:rsidRPr="00783571">
        <w:t xml:space="preserve">eduction in </w:t>
      </w:r>
      <w:r w:rsidR="00090075" w:rsidRPr="00783571">
        <w:t>I</w:t>
      </w:r>
      <w:r w:rsidR="00C2663F" w:rsidRPr="00783571">
        <w:t xml:space="preserve">nfection </w:t>
      </w:r>
      <w:r w:rsidR="00090075" w:rsidRPr="00783571">
        <w:t>R</w:t>
      </w:r>
      <w:r w:rsidR="00C2663F" w:rsidRPr="00783571">
        <w:t>isk if on PrEP</w:t>
      </w:r>
      <w:bookmarkEnd w:id="71"/>
      <w:r w:rsidR="00C2663F" w:rsidRPr="00783571">
        <w:t xml:space="preserve"> </w:t>
      </w:r>
    </w:p>
    <w:tbl>
      <w:tblPr>
        <w:tblStyle w:val="TableFormat4"/>
        <w:tblW w:w="9360" w:type="dxa"/>
        <w:tblInd w:w="0" w:type="dxa"/>
        <w:tblLayout w:type="fixed"/>
        <w:tblCellMar>
          <w:left w:w="115" w:type="dxa"/>
          <w:right w:w="115" w:type="dxa"/>
        </w:tblCellMar>
        <w:tblLook w:val="04A0" w:firstRow="1" w:lastRow="0" w:firstColumn="1" w:lastColumn="0" w:noHBand="0" w:noVBand="1"/>
      </w:tblPr>
      <w:tblGrid>
        <w:gridCol w:w="2921"/>
        <w:gridCol w:w="2430"/>
        <w:gridCol w:w="4009"/>
      </w:tblGrid>
      <w:tr w:rsidR="00C2663F" w:rsidRPr="00783571" w14:paraId="49F1459C" w14:textId="77777777" w:rsidTr="00260D8A">
        <w:trPr>
          <w:cnfStyle w:val="100000000000" w:firstRow="1" w:lastRow="0" w:firstColumn="0" w:lastColumn="0" w:oddVBand="0" w:evenVBand="0" w:oddHBand="0" w:evenHBand="0" w:firstRowFirstColumn="0" w:firstRowLastColumn="0" w:lastRowFirstColumn="0" w:lastRowLastColumn="0"/>
        </w:trPr>
        <w:tc>
          <w:tcPr>
            <w:tcW w:w="2921" w:type="dxa"/>
          </w:tcPr>
          <w:p w14:paraId="66999B56" w14:textId="10B4548B" w:rsidR="00C2663F" w:rsidRPr="00783571" w:rsidRDefault="0035657E" w:rsidP="00C2663F">
            <w:pPr>
              <w:pStyle w:val="TableHeaders"/>
            </w:pPr>
            <w:r w:rsidRPr="00783571">
              <w:rPr>
                <w:szCs w:val="18"/>
              </w:rPr>
              <w:t>Risk Group</w:t>
            </w:r>
          </w:p>
        </w:tc>
        <w:tc>
          <w:tcPr>
            <w:tcW w:w="2430" w:type="dxa"/>
            <w:noWrap/>
          </w:tcPr>
          <w:p w14:paraId="2DE92961" w14:textId="77777777" w:rsidR="00C2663F" w:rsidRPr="00783571" w:rsidRDefault="00C2663F" w:rsidP="00C2663F">
            <w:pPr>
              <w:pStyle w:val="TableHeaders"/>
            </w:pPr>
            <w:r w:rsidRPr="00783571">
              <w:t>Value</w:t>
            </w:r>
          </w:p>
        </w:tc>
        <w:tc>
          <w:tcPr>
            <w:tcW w:w="4009" w:type="dxa"/>
          </w:tcPr>
          <w:p w14:paraId="64E540BB" w14:textId="77777777" w:rsidR="00C2663F" w:rsidRPr="00783571" w:rsidRDefault="00C2663F" w:rsidP="00C2663F">
            <w:pPr>
              <w:pStyle w:val="TableHeaders"/>
            </w:pPr>
            <w:r w:rsidRPr="00783571">
              <w:t>Source</w:t>
            </w:r>
          </w:p>
        </w:tc>
      </w:tr>
      <w:tr w:rsidR="00090075" w:rsidRPr="00783571" w14:paraId="0100C2B1" w14:textId="77777777" w:rsidTr="00260D8A">
        <w:tc>
          <w:tcPr>
            <w:tcW w:w="2921" w:type="dxa"/>
          </w:tcPr>
          <w:p w14:paraId="48085F4B" w14:textId="0095B739" w:rsidR="00090075" w:rsidRPr="00783571" w:rsidRDefault="00090075" w:rsidP="00090075">
            <w:pPr>
              <w:pStyle w:val="TableText"/>
              <w:rPr>
                <w:szCs w:val="18"/>
              </w:rPr>
            </w:pPr>
            <w:r w:rsidRPr="00783571">
              <w:rPr>
                <w:szCs w:val="18"/>
              </w:rPr>
              <w:t>HET</w:t>
            </w:r>
          </w:p>
        </w:tc>
        <w:tc>
          <w:tcPr>
            <w:tcW w:w="2430" w:type="dxa"/>
            <w:noWrap/>
          </w:tcPr>
          <w:p w14:paraId="043C9020" w14:textId="60B8F1BD" w:rsidR="00090075" w:rsidRPr="00783571" w:rsidRDefault="00090075" w:rsidP="00090075">
            <w:pPr>
              <w:pStyle w:val="TableText"/>
              <w:jc w:val="center"/>
              <w:rPr>
                <w:szCs w:val="18"/>
              </w:rPr>
            </w:pPr>
            <w:r w:rsidRPr="00783571">
              <w:rPr>
                <w:szCs w:val="18"/>
              </w:rPr>
              <w:t>75%</w:t>
            </w:r>
          </w:p>
        </w:tc>
        <w:tc>
          <w:tcPr>
            <w:tcW w:w="4009" w:type="dxa"/>
          </w:tcPr>
          <w:p w14:paraId="2271C0DE" w14:textId="4224D0B1" w:rsidR="00090075" w:rsidRPr="00783571" w:rsidRDefault="00090075" w:rsidP="00090075">
            <w:pPr>
              <w:pStyle w:val="TableText"/>
              <w:rPr>
                <w:szCs w:val="18"/>
              </w:rPr>
            </w:pPr>
            <w:r w:rsidRPr="00783571">
              <w:t>Baeten et al. (2012)</w:t>
            </w:r>
          </w:p>
        </w:tc>
      </w:tr>
      <w:tr w:rsidR="00090075" w:rsidRPr="00783571" w14:paraId="784F5C09" w14:textId="77777777" w:rsidTr="00260D8A">
        <w:tc>
          <w:tcPr>
            <w:tcW w:w="2921" w:type="dxa"/>
          </w:tcPr>
          <w:p w14:paraId="1539C311" w14:textId="165C52FD" w:rsidR="00090075" w:rsidRPr="00783571" w:rsidRDefault="00090075" w:rsidP="00090075">
            <w:pPr>
              <w:pStyle w:val="TableText"/>
              <w:rPr>
                <w:szCs w:val="18"/>
              </w:rPr>
            </w:pPr>
            <w:r w:rsidRPr="00783571">
              <w:rPr>
                <w:szCs w:val="18"/>
              </w:rPr>
              <w:t>MSM</w:t>
            </w:r>
          </w:p>
        </w:tc>
        <w:tc>
          <w:tcPr>
            <w:tcW w:w="2430" w:type="dxa"/>
            <w:noWrap/>
          </w:tcPr>
          <w:p w14:paraId="63FD1095" w14:textId="39A102AC" w:rsidR="00090075" w:rsidRPr="00783571" w:rsidRDefault="00090075" w:rsidP="00090075">
            <w:pPr>
              <w:pStyle w:val="TableText"/>
              <w:jc w:val="center"/>
              <w:rPr>
                <w:szCs w:val="18"/>
              </w:rPr>
            </w:pPr>
            <w:r w:rsidRPr="00783571">
              <w:rPr>
                <w:szCs w:val="18"/>
              </w:rPr>
              <w:t>73%</w:t>
            </w:r>
          </w:p>
        </w:tc>
        <w:tc>
          <w:tcPr>
            <w:tcW w:w="4009" w:type="dxa"/>
          </w:tcPr>
          <w:p w14:paraId="7E720C50" w14:textId="1966F024" w:rsidR="00090075" w:rsidRPr="00783571" w:rsidRDefault="00090075" w:rsidP="00090075">
            <w:pPr>
              <w:pStyle w:val="TableText"/>
              <w:rPr>
                <w:szCs w:val="18"/>
              </w:rPr>
            </w:pPr>
            <w:r w:rsidRPr="00783571">
              <w:t>Grant et al. (2010)</w:t>
            </w:r>
          </w:p>
        </w:tc>
      </w:tr>
      <w:tr w:rsidR="00090075" w:rsidRPr="00783571" w14:paraId="540C15C2" w14:textId="77777777" w:rsidTr="00260D8A">
        <w:tc>
          <w:tcPr>
            <w:tcW w:w="2921" w:type="dxa"/>
          </w:tcPr>
          <w:p w14:paraId="178AB298" w14:textId="62028AB7" w:rsidR="00090075" w:rsidRPr="00783571" w:rsidRDefault="00090075" w:rsidP="00090075">
            <w:pPr>
              <w:pStyle w:val="TableText"/>
              <w:rPr>
                <w:szCs w:val="18"/>
              </w:rPr>
            </w:pPr>
            <w:r w:rsidRPr="00783571">
              <w:rPr>
                <w:szCs w:val="18"/>
              </w:rPr>
              <w:t>PWID</w:t>
            </w:r>
          </w:p>
        </w:tc>
        <w:tc>
          <w:tcPr>
            <w:tcW w:w="2430" w:type="dxa"/>
            <w:noWrap/>
          </w:tcPr>
          <w:p w14:paraId="3EF2254B" w14:textId="351F661B" w:rsidR="00090075" w:rsidRPr="00783571" w:rsidRDefault="00090075" w:rsidP="00090075">
            <w:pPr>
              <w:pStyle w:val="TableText"/>
              <w:jc w:val="center"/>
              <w:rPr>
                <w:szCs w:val="18"/>
              </w:rPr>
            </w:pPr>
            <w:r w:rsidRPr="00783571">
              <w:rPr>
                <w:szCs w:val="18"/>
              </w:rPr>
              <w:t>49%</w:t>
            </w:r>
          </w:p>
        </w:tc>
        <w:tc>
          <w:tcPr>
            <w:tcW w:w="4009" w:type="dxa"/>
          </w:tcPr>
          <w:p w14:paraId="6A8D914D" w14:textId="1D1766C1" w:rsidR="00090075" w:rsidRPr="00783571" w:rsidRDefault="00090075" w:rsidP="00090075">
            <w:pPr>
              <w:pStyle w:val="TableText"/>
              <w:rPr>
                <w:szCs w:val="18"/>
              </w:rPr>
            </w:pPr>
            <w:r w:rsidRPr="00783571">
              <w:t>Choopanya et al. (2013)</w:t>
            </w:r>
          </w:p>
        </w:tc>
      </w:tr>
    </w:tbl>
    <w:p w14:paraId="6EAB84B2" w14:textId="14F5F344" w:rsidR="00C2663F" w:rsidRPr="00783571" w:rsidRDefault="00090075" w:rsidP="00C2663F">
      <w:pPr>
        <w:pStyle w:val="Source1"/>
      </w:pPr>
      <w:r w:rsidRPr="00783571">
        <w:t xml:space="preserve">Note: </w:t>
      </w:r>
      <w:r w:rsidR="009F5E14" w:rsidRPr="00783571">
        <w:t>HET</w:t>
      </w:r>
      <w:r w:rsidR="00E628BE" w:rsidRPr="00783571">
        <w:t> = </w:t>
      </w:r>
      <w:r w:rsidR="009F5E14" w:rsidRPr="00783571">
        <w:t>heterosexual; MSM</w:t>
      </w:r>
      <w:r w:rsidR="00E628BE" w:rsidRPr="00783571">
        <w:t> = </w:t>
      </w:r>
      <w:r w:rsidR="009F5E14" w:rsidRPr="00783571">
        <w:t>men who have sex with men; PWID</w:t>
      </w:r>
      <w:r w:rsidR="00E628BE" w:rsidRPr="00783571">
        <w:t> = </w:t>
      </w:r>
      <w:r w:rsidR="009F5E14" w:rsidRPr="00783571">
        <w:t>people who inject drugs</w:t>
      </w:r>
    </w:p>
    <w:p w14:paraId="4D82D593" w14:textId="2FE72DC1" w:rsidR="00BE4CD6" w:rsidRPr="00783571" w:rsidRDefault="00483B9E" w:rsidP="00C16CB0">
      <w:pPr>
        <w:pStyle w:val="BodyText"/>
        <w:keepNext/>
      </w:pPr>
      <w:r w:rsidRPr="00783571">
        <w:t>We assumed that individuals on PrEP are also already engaged in the health</w:t>
      </w:r>
      <w:r w:rsidR="00C16CB0" w:rsidRPr="00783571">
        <w:t xml:space="preserve"> </w:t>
      </w:r>
      <w:r w:rsidRPr="00783571">
        <w:t xml:space="preserve">care system and tested for HIV regularly and, therefore, when infected with HIV, immediately diagnosed and </w:t>
      </w:r>
      <w:r w:rsidR="009E34D9" w:rsidRPr="00783571">
        <w:t>linked to HIV care</w:t>
      </w:r>
      <w:r w:rsidR="00BD1B2A" w:rsidRPr="00783571">
        <w:t>.</w:t>
      </w:r>
    </w:p>
    <w:p w14:paraId="7EC11FF3" w14:textId="77777777" w:rsidR="00315F8D" w:rsidRPr="00783571" w:rsidRDefault="00315F8D" w:rsidP="00315F8D">
      <w:pPr>
        <w:pStyle w:val="BodyText"/>
      </w:pPr>
    </w:p>
    <w:p w14:paraId="3B1D317F" w14:textId="6A00B39E" w:rsidR="00FF17E0" w:rsidRPr="00783571" w:rsidRDefault="00FF17E0">
      <w:pPr>
        <w:rPr>
          <w:b/>
        </w:rPr>
        <w:sectPr w:rsidR="00FF17E0" w:rsidRPr="00783571" w:rsidSect="00315F8D">
          <w:headerReference w:type="even" r:id="rId84"/>
          <w:headerReference w:type="default" r:id="rId85"/>
          <w:footerReference w:type="even" r:id="rId86"/>
          <w:footerReference w:type="default" r:id="rId87"/>
          <w:pgSz w:w="12240" w:h="15840" w:code="1"/>
          <w:pgMar w:top="1440" w:right="1440" w:bottom="1440" w:left="1440" w:header="720" w:footer="720" w:gutter="0"/>
          <w:pgNumType w:chapStyle="1"/>
          <w:cols w:space="720"/>
          <w:docGrid w:linePitch="360"/>
        </w:sectPr>
      </w:pPr>
    </w:p>
    <w:p w14:paraId="4EA0E013" w14:textId="77777777" w:rsidR="00336761" w:rsidRPr="00783571" w:rsidRDefault="00336761" w:rsidP="00336761">
      <w:pPr>
        <w:pStyle w:val="Heading1"/>
      </w:pPr>
      <w:bookmarkStart w:id="72" w:name="_Toc398293125"/>
      <w:bookmarkStart w:id="73" w:name="_Toc510104462"/>
      <w:r w:rsidRPr="00783571">
        <w:t>Differential Equations that Define the Model</w:t>
      </w:r>
      <w:bookmarkEnd w:id="72"/>
      <w:bookmarkEnd w:id="73"/>
    </w:p>
    <w:p w14:paraId="0CC113F2" w14:textId="22ADE297" w:rsidR="00336761" w:rsidRPr="00783571" w:rsidRDefault="00336761" w:rsidP="007C6781">
      <w:pPr>
        <w:pStyle w:val="BodyText"/>
      </w:pPr>
      <w:r w:rsidRPr="00783571">
        <w:t xml:space="preserve">This section outlines the differential equations that define this model. The equations are organized into subsections by compartments </w:t>
      </w:r>
      <w:r w:rsidRPr="00783571">
        <w:rPr>
          <w:i/>
          <w:iCs/>
        </w:rPr>
        <w:t>c</w:t>
      </w:r>
      <w:r w:rsidRPr="00783571">
        <w:t xml:space="preserve"> based on disease stage </w:t>
      </w:r>
      <w:r w:rsidRPr="00783571">
        <w:rPr>
          <w:i/>
          <w:iCs/>
        </w:rPr>
        <w:t>h</w:t>
      </w:r>
      <w:r w:rsidRPr="00783571">
        <w:t>. The</w:t>
      </w:r>
      <w:r w:rsidR="007C6781" w:rsidRPr="00783571">
        <w:t xml:space="preserve"> differential</w:t>
      </w:r>
      <w:r w:rsidRPr="00783571">
        <w:t xml:space="preserve"> equations in the model are solved using the Dormand-Prince method of Runge-Kutta solvers (i.e., RK5(4)7FM) with a time-step equal to </w:t>
      </w:r>
      <w:r w:rsidR="000C5E51" w:rsidRPr="00783571">
        <w:t xml:space="preserve">1 </w:t>
      </w:r>
      <w:r w:rsidRPr="00783571">
        <w:t>year.</w:t>
      </w:r>
      <w:r w:rsidR="00CB68F5" w:rsidRPr="00783571">
        <w:t xml:space="preserve"> </w:t>
      </w:r>
      <w:r w:rsidR="007C6781" w:rsidRPr="00783571">
        <w:t xml:space="preserve">If the user opts to apply discretized versions of these equations, a user-selected time step can be indicated; the default is 0.1 year. </w:t>
      </w:r>
      <w:r w:rsidR="00814158" w:rsidRPr="00783571">
        <w:t>Table </w:t>
      </w:r>
      <w:r w:rsidR="00871E69" w:rsidRPr="00783571">
        <w:t>7.</w:t>
      </w:r>
      <w:r w:rsidR="00CB68F5" w:rsidRPr="00783571">
        <w:t xml:space="preserve">1 lists the model’s </w:t>
      </w:r>
      <w:r w:rsidR="00803D2D" w:rsidRPr="00783571">
        <w:t>2</w:t>
      </w:r>
      <w:r w:rsidR="000E7EEC" w:rsidRPr="00783571">
        <w:t>8</w:t>
      </w:r>
      <w:r w:rsidR="00CB68F5" w:rsidRPr="00783571">
        <w:t xml:space="preserve"> compartments</w:t>
      </w:r>
      <w:r w:rsidR="006B19E7" w:rsidRPr="00783571">
        <w:t>.</w:t>
      </w:r>
    </w:p>
    <w:p w14:paraId="6626D2A0" w14:textId="54017AED" w:rsidR="002B180E" w:rsidRPr="00783571" w:rsidRDefault="004F4E6D" w:rsidP="00EE7C4C">
      <w:pPr>
        <w:pStyle w:val="TableTitle"/>
      </w:pPr>
      <w:bookmarkStart w:id="74" w:name="_Toc510104038"/>
      <w:r w:rsidRPr="00783571">
        <w:t>Table 7.</w:t>
      </w:r>
      <w:r w:rsidR="002B180E" w:rsidRPr="00783571">
        <w:t>1.</w:t>
      </w:r>
      <w:r w:rsidR="00F259E1" w:rsidRPr="00783571">
        <w:tab/>
      </w:r>
      <w:r w:rsidR="00CB68F5" w:rsidRPr="00783571">
        <w:t xml:space="preserve">Model </w:t>
      </w:r>
      <w:r w:rsidR="00F259E1" w:rsidRPr="00783571">
        <w:t>Compartments</w:t>
      </w:r>
      <w:bookmarkEnd w:id="74"/>
    </w:p>
    <w:tbl>
      <w:tblPr>
        <w:tblW w:w="950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1108"/>
        <w:gridCol w:w="5581"/>
        <w:gridCol w:w="2815"/>
      </w:tblGrid>
      <w:tr w:rsidR="009171BE" w:rsidRPr="00783571" w14:paraId="294C83B8" w14:textId="54FA5749" w:rsidTr="00260D8A">
        <w:trPr>
          <w:cantSplit/>
          <w:tblHeader/>
        </w:trPr>
        <w:tc>
          <w:tcPr>
            <w:tcW w:w="583" w:type="pct"/>
            <w:tcBorders>
              <w:top w:val="single" w:sz="12" w:space="0" w:color="auto"/>
              <w:bottom w:val="single" w:sz="6" w:space="0" w:color="auto"/>
            </w:tcBorders>
            <w:shd w:val="clear" w:color="auto" w:fill="auto"/>
            <w:vAlign w:val="bottom"/>
          </w:tcPr>
          <w:p w14:paraId="7A6B284D" w14:textId="77777777" w:rsidR="009171BE" w:rsidRPr="00783571" w:rsidRDefault="009171BE" w:rsidP="00316E91">
            <w:pPr>
              <w:pStyle w:val="TableHeaders"/>
              <w:spacing w:before="40" w:after="40"/>
            </w:pPr>
            <w:r w:rsidRPr="00783571">
              <w:t>Number</w:t>
            </w:r>
          </w:p>
        </w:tc>
        <w:tc>
          <w:tcPr>
            <w:tcW w:w="2936" w:type="pct"/>
            <w:tcBorders>
              <w:top w:val="single" w:sz="12" w:space="0" w:color="auto"/>
              <w:bottom w:val="single" w:sz="6" w:space="0" w:color="auto"/>
            </w:tcBorders>
            <w:vAlign w:val="bottom"/>
          </w:tcPr>
          <w:p w14:paraId="7BF60C8D" w14:textId="77777777" w:rsidR="009171BE" w:rsidRPr="00783571" w:rsidRDefault="009171BE" w:rsidP="00316E91">
            <w:pPr>
              <w:pStyle w:val="TableHeaders"/>
              <w:spacing w:before="40" w:after="40"/>
            </w:pPr>
            <w:r w:rsidRPr="00783571">
              <w:t>Description</w:t>
            </w:r>
          </w:p>
        </w:tc>
        <w:tc>
          <w:tcPr>
            <w:tcW w:w="1481" w:type="pct"/>
            <w:tcBorders>
              <w:top w:val="single" w:sz="12" w:space="0" w:color="auto"/>
              <w:bottom w:val="single" w:sz="6" w:space="0" w:color="auto"/>
            </w:tcBorders>
            <w:vAlign w:val="bottom"/>
          </w:tcPr>
          <w:p w14:paraId="22F36B34" w14:textId="3C863687" w:rsidR="009171BE" w:rsidRPr="00783571" w:rsidRDefault="009171BE" w:rsidP="00316E91">
            <w:pPr>
              <w:pStyle w:val="TableHeaders"/>
              <w:spacing w:before="40" w:after="40"/>
            </w:pPr>
            <w:r w:rsidRPr="00783571">
              <w:t>Row-Column Designation for Each Compartment</w:t>
            </w:r>
          </w:p>
        </w:tc>
      </w:tr>
      <w:tr w:rsidR="009171BE" w:rsidRPr="00783571" w14:paraId="66D091CD" w14:textId="6F648201" w:rsidTr="00260D8A">
        <w:trPr>
          <w:cantSplit/>
        </w:trPr>
        <w:tc>
          <w:tcPr>
            <w:tcW w:w="583" w:type="pct"/>
            <w:tcBorders>
              <w:top w:val="single" w:sz="6" w:space="0" w:color="auto"/>
              <w:bottom w:val="single" w:sz="4" w:space="0" w:color="808080" w:themeColor="background1" w:themeShade="80"/>
            </w:tcBorders>
          </w:tcPr>
          <w:p w14:paraId="7766057A" w14:textId="77777777" w:rsidR="009171BE" w:rsidRPr="00783571" w:rsidRDefault="009171BE" w:rsidP="00697525">
            <w:pPr>
              <w:pStyle w:val="TableText"/>
              <w:spacing w:before="40" w:after="40"/>
              <w:jc w:val="center"/>
              <w:rPr>
                <w:szCs w:val="18"/>
              </w:rPr>
            </w:pPr>
            <w:r w:rsidRPr="00783571">
              <w:rPr>
                <w:szCs w:val="18"/>
              </w:rPr>
              <w:t>1</w:t>
            </w:r>
          </w:p>
        </w:tc>
        <w:tc>
          <w:tcPr>
            <w:tcW w:w="2936" w:type="pct"/>
            <w:tcBorders>
              <w:top w:val="single" w:sz="6" w:space="0" w:color="auto"/>
              <w:bottom w:val="single" w:sz="4" w:space="0" w:color="808080" w:themeColor="background1" w:themeShade="80"/>
            </w:tcBorders>
          </w:tcPr>
          <w:p w14:paraId="1FED1F25" w14:textId="36744253" w:rsidR="009171BE" w:rsidRPr="00783571" w:rsidRDefault="001E11CA" w:rsidP="00803D2D">
            <w:pPr>
              <w:pStyle w:val="TableText"/>
              <w:spacing w:before="40" w:after="40"/>
              <w:rPr>
                <w:szCs w:val="18"/>
              </w:rPr>
            </w:pPr>
            <w:r w:rsidRPr="00783571">
              <w:rPr>
                <w:szCs w:val="18"/>
              </w:rPr>
              <w:t>Susceptible</w:t>
            </w:r>
            <w:r w:rsidR="009171BE" w:rsidRPr="00783571">
              <w:rPr>
                <w:szCs w:val="18"/>
              </w:rPr>
              <w:t xml:space="preserve"> / not on PrEP</w:t>
            </w:r>
          </w:p>
        </w:tc>
        <w:tc>
          <w:tcPr>
            <w:tcW w:w="1481" w:type="pct"/>
            <w:tcBorders>
              <w:top w:val="single" w:sz="6" w:space="0" w:color="auto"/>
              <w:bottom w:val="single" w:sz="4" w:space="0" w:color="808080" w:themeColor="background1" w:themeShade="80"/>
            </w:tcBorders>
          </w:tcPr>
          <w:p w14:paraId="7DDC5194" w14:textId="7D69CFE3" w:rsidR="009171BE" w:rsidRPr="00783571" w:rsidRDefault="009171BE" w:rsidP="00697525">
            <w:pPr>
              <w:pStyle w:val="TableText"/>
              <w:spacing w:before="40" w:after="40"/>
              <w:jc w:val="center"/>
              <w:rPr>
                <w:szCs w:val="18"/>
              </w:rPr>
            </w:pPr>
            <w:r w:rsidRPr="00783571">
              <w:rPr>
                <w:szCs w:val="18"/>
              </w:rPr>
              <w:t>A1</w:t>
            </w:r>
          </w:p>
        </w:tc>
      </w:tr>
      <w:tr w:rsidR="009171BE" w:rsidRPr="00783571" w14:paraId="11A2C82E" w14:textId="0832864B" w:rsidTr="00260D8A">
        <w:trPr>
          <w:cantSplit/>
        </w:trPr>
        <w:tc>
          <w:tcPr>
            <w:tcW w:w="583" w:type="pct"/>
            <w:tcBorders>
              <w:top w:val="single" w:sz="4" w:space="0" w:color="808080" w:themeColor="background1" w:themeShade="80"/>
              <w:bottom w:val="single" w:sz="4" w:space="0" w:color="808080" w:themeColor="background1" w:themeShade="80"/>
            </w:tcBorders>
          </w:tcPr>
          <w:p w14:paraId="6A764AA0" w14:textId="77777777" w:rsidR="009171BE" w:rsidRPr="00783571" w:rsidRDefault="009171BE" w:rsidP="00697525">
            <w:pPr>
              <w:pStyle w:val="TableText"/>
              <w:spacing w:before="40" w:after="40"/>
              <w:jc w:val="center"/>
              <w:rPr>
                <w:szCs w:val="18"/>
              </w:rPr>
            </w:pPr>
            <w:r w:rsidRPr="00783571">
              <w:rPr>
                <w:szCs w:val="18"/>
              </w:rPr>
              <w:t>2</w:t>
            </w:r>
          </w:p>
        </w:tc>
        <w:tc>
          <w:tcPr>
            <w:tcW w:w="2936" w:type="pct"/>
            <w:tcBorders>
              <w:top w:val="single" w:sz="4" w:space="0" w:color="808080" w:themeColor="background1" w:themeShade="80"/>
              <w:bottom w:val="single" w:sz="4" w:space="0" w:color="808080" w:themeColor="background1" w:themeShade="80"/>
            </w:tcBorders>
          </w:tcPr>
          <w:p w14:paraId="5719BE34" w14:textId="56A94D81" w:rsidR="009171BE" w:rsidRPr="00783571" w:rsidRDefault="001E11CA" w:rsidP="00803D2D">
            <w:pPr>
              <w:pStyle w:val="TableText"/>
              <w:spacing w:before="40" w:after="40"/>
              <w:rPr>
                <w:szCs w:val="18"/>
              </w:rPr>
            </w:pPr>
            <w:r w:rsidRPr="00783571">
              <w:rPr>
                <w:szCs w:val="18"/>
              </w:rPr>
              <w:t>Susceptible</w:t>
            </w:r>
            <w:r w:rsidR="009171BE" w:rsidRPr="00783571">
              <w:rPr>
                <w:szCs w:val="18"/>
              </w:rPr>
              <w:t>/ on PrEP</w:t>
            </w:r>
          </w:p>
        </w:tc>
        <w:tc>
          <w:tcPr>
            <w:tcW w:w="1481" w:type="pct"/>
            <w:tcBorders>
              <w:top w:val="single" w:sz="4" w:space="0" w:color="808080" w:themeColor="background1" w:themeShade="80"/>
              <w:bottom w:val="single" w:sz="4" w:space="0" w:color="808080" w:themeColor="background1" w:themeShade="80"/>
            </w:tcBorders>
          </w:tcPr>
          <w:p w14:paraId="1556918A" w14:textId="3D6B9FD9" w:rsidR="009171BE" w:rsidRPr="00783571" w:rsidRDefault="009171BE" w:rsidP="00697525">
            <w:pPr>
              <w:pStyle w:val="TableText"/>
              <w:spacing w:before="40" w:after="40"/>
              <w:jc w:val="center"/>
              <w:rPr>
                <w:szCs w:val="18"/>
              </w:rPr>
            </w:pPr>
            <w:r w:rsidRPr="00783571">
              <w:rPr>
                <w:szCs w:val="18"/>
              </w:rPr>
              <w:t>A6</w:t>
            </w:r>
          </w:p>
        </w:tc>
      </w:tr>
      <w:tr w:rsidR="009171BE" w:rsidRPr="00783571" w14:paraId="5004C8F0" w14:textId="351A07A4" w:rsidTr="00260D8A">
        <w:trPr>
          <w:cantSplit/>
        </w:trPr>
        <w:tc>
          <w:tcPr>
            <w:tcW w:w="583" w:type="pct"/>
            <w:tcBorders>
              <w:top w:val="single" w:sz="4" w:space="0" w:color="808080" w:themeColor="background1" w:themeShade="80"/>
              <w:bottom w:val="single" w:sz="4" w:space="0" w:color="808080" w:themeColor="background1" w:themeShade="80"/>
            </w:tcBorders>
          </w:tcPr>
          <w:p w14:paraId="2CE646C8" w14:textId="77777777" w:rsidR="009171BE" w:rsidRPr="00783571" w:rsidRDefault="009171BE" w:rsidP="00697525">
            <w:pPr>
              <w:pStyle w:val="TableText"/>
              <w:spacing w:before="40" w:after="40"/>
              <w:jc w:val="center"/>
              <w:rPr>
                <w:szCs w:val="18"/>
              </w:rPr>
            </w:pPr>
            <w:r w:rsidRPr="00783571">
              <w:rPr>
                <w:szCs w:val="18"/>
              </w:rPr>
              <w:t>3</w:t>
            </w:r>
          </w:p>
        </w:tc>
        <w:tc>
          <w:tcPr>
            <w:tcW w:w="2936" w:type="pct"/>
            <w:tcBorders>
              <w:top w:val="single" w:sz="4" w:space="0" w:color="808080" w:themeColor="background1" w:themeShade="80"/>
              <w:bottom w:val="single" w:sz="4" w:space="0" w:color="808080" w:themeColor="background1" w:themeShade="80"/>
            </w:tcBorders>
          </w:tcPr>
          <w:p w14:paraId="193637BB" w14:textId="2CD4FE9F" w:rsidR="009171BE" w:rsidRPr="00783571" w:rsidRDefault="005F5C70" w:rsidP="00803D2D">
            <w:pPr>
              <w:pStyle w:val="TableText"/>
              <w:spacing w:before="40" w:after="40"/>
              <w:rPr>
                <w:szCs w:val="18"/>
              </w:rPr>
            </w:pPr>
            <w:r w:rsidRPr="00783571">
              <w:rPr>
                <w:szCs w:val="18"/>
              </w:rPr>
              <w:t>HIV-infected</w:t>
            </w:r>
            <w:r w:rsidR="009171BE" w:rsidRPr="00783571">
              <w:rPr>
                <w:szCs w:val="18"/>
              </w:rPr>
              <w:t xml:space="preserve"> / acute stage / </w:t>
            </w:r>
            <w:r w:rsidR="002F0073" w:rsidRPr="00783571">
              <w:rPr>
                <w:szCs w:val="18"/>
              </w:rPr>
              <w:t>unaware of infection</w:t>
            </w:r>
          </w:p>
        </w:tc>
        <w:tc>
          <w:tcPr>
            <w:tcW w:w="1481" w:type="pct"/>
            <w:tcBorders>
              <w:top w:val="single" w:sz="4" w:space="0" w:color="808080" w:themeColor="background1" w:themeShade="80"/>
              <w:bottom w:val="single" w:sz="4" w:space="0" w:color="808080" w:themeColor="background1" w:themeShade="80"/>
            </w:tcBorders>
          </w:tcPr>
          <w:p w14:paraId="42A3F45F" w14:textId="154E1E1E" w:rsidR="009171BE" w:rsidRPr="00783571" w:rsidRDefault="009171BE" w:rsidP="00697525">
            <w:pPr>
              <w:pStyle w:val="TableText"/>
              <w:spacing w:before="40" w:after="40"/>
              <w:jc w:val="center"/>
              <w:rPr>
                <w:szCs w:val="18"/>
              </w:rPr>
            </w:pPr>
            <w:r w:rsidRPr="00783571">
              <w:rPr>
                <w:szCs w:val="18"/>
              </w:rPr>
              <w:t>B1</w:t>
            </w:r>
          </w:p>
        </w:tc>
      </w:tr>
      <w:tr w:rsidR="009171BE" w:rsidRPr="00783571" w14:paraId="396FA136" w14:textId="26E2B987" w:rsidTr="00260D8A">
        <w:trPr>
          <w:cantSplit/>
        </w:trPr>
        <w:tc>
          <w:tcPr>
            <w:tcW w:w="583" w:type="pct"/>
            <w:tcBorders>
              <w:top w:val="single" w:sz="4" w:space="0" w:color="808080" w:themeColor="background1" w:themeShade="80"/>
              <w:bottom w:val="single" w:sz="4" w:space="0" w:color="808080" w:themeColor="background1" w:themeShade="80"/>
            </w:tcBorders>
          </w:tcPr>
          <w:p w14:paraId="629D8E61" w14:textId="77777777" w:rsidR="009171BE" w:rsidRPr="00783571" w:rsidRDefault="009171BE" w:rsidP="00697525">
            <w:pPr>
              <w:pStyle w:val="TableText"/>
              <w:spacing w:before="40" w:after="40"/>
              <w:jc w:val="center"/>
              <w:rPr>
                <w:szCs w:val="18"/>
              </w:rPr>
            </w:pPr>
            <w:r w:rsidRPr="00783571">
              <w:rPr>
                <w:szCs w:val="18"/>
              </w:rPr>
              <w:t>4</w:t>
            </w:r>
          </w:p>
        </w:tc>
        <w:tc>
          <w:tcPr>
            <w:tcW w:w="2936" w:type="pct"/>
            <w:tcBorders>
              <w:top w:val="single" w:sz="4" w:space="0" w:color="808080" w:themeColor="background1" w:themeShade="80"/>
              <w:bottom w:val="single" w:sz="4" w:space="0" w:color="808080" w:themeColor="background1" w:themeShade="80"/>
            </w:tcBorders>
          </w:tcPr>
          <w:p w14:paraId="516C0E5B" w14:textId="4C8D0A90"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acute stage / </w:t>
            </w:r>
            <w:r w:rsidR="002F0073" w:rsidRPr="00783571">
              <w:rPr>
                <w:szCs w:val="18"/>
              </w:rPr>
              <w:t>aware,</w:t>
            </w:r>
            <w:r w:rsidR="002F0073" w:rsidRPr="00783571">
              <w:t xml:space="preserve"> </w:t>
            </w:r>
            <w:r w:rsidR="002F0073" w:rsidRPr="00783571">
              <w:rPr>
                <w:szCs w:val="18"/>
              </w:rPr>
              <w:t>but not linked to HIV care</w:t>
            </w:r>
          </w:p>
        </w:tc>
        <w:tc>
          <w:tcPr>
            <w:tcW w:w="1481" w:type="pct"/>
            <w:tcBorders>
              <w:top w:val="single" w:sz="4" w:space="0" w:color="808080" w:themeColor="background1" w:themeShade="80"/>
              <w:bottom w:val="single" w:sz="4" w:space="0" w:color="808080" w:themeColor="background1" w:themeShade="80"/>
            </w:tcBorders>
          </w:tcPr>
          <w:p w14:paraId="62F441CA" w14:textId="0D32653A" w:rsidR="009171BE" w:rsidRPr="00783571" w:rsidRDefault="009171BE" w:rsidP="00697525">
            <w:pPr>
              <w:pStyle w:val="TableText"/>
              <w:spacing w:before="40" w:after="40"/>
              <w:jc w:val="center"/>
              <w:rPr>
                <w:szCs w:val="18"/>
              </w:rPr>
            </w:pPr>
            <w:r w:rsidRPr="00783571">
              <w:rPr>
                <w:szCs w:val="18"/>
              </w:rPr>
              <w:t>B2</w:t>
            </w:r>
          </w:p>
        </w:tc>
      </w:tr>
      <w:tr w:rsidR="009171BE" w:rsidRPr="00783571" w14:paraId="71A0A0D1" w14:textId="4F8CC2BD" w:rsidTr="00260D8A">
        <w:trPr>
          <w:cantSplit/>
        </w:trPr>
        <w:tc>
          <w:tcPr>
            <w:tcW w:w="583" w:type="pct"/>
            <w:tcBorders>
              <w:top w:val="single" w:sz="4" w:space="0" w:color="808080" w:themeColor="background1" w:themeShade="80"/>
              <w:bottom w:val="single" w:sz="4" w:space="0" w:color="808080" w:themeColor="background1" w:themeShade="80"/>
            </w:tcBorders>
          </w:tcPr>
          <w:p w14:paraId="0A885A87" w14:textId="77777777" w:rsidR="009171BE" w:rsidRPr="00783571" w:rsidRDefault="009171BE" w:rsidP="00697525">
            <w:pPr>
              <w:pStyle w:val="TableText"/>
              <w:spacing w:before="40" w:after="40"/>
              <w:jc w:val="center"/>
              <w:rPr>
                <w:szCs w:val="18"/>
              </w:rPr>
            </w:pPr>
            <w:r w:rsidRPr="00783571">
              <w:rPr>
                <w:szCs w:val="18"/>
              </w:rPr>
              <w:t>5</w:t>
            </w:r>
          </w:p>
        </w:tc>
        <w:tc>
          <w:tcPr>
            <w:tcW w:w="2936" w:type="pct"/>
            <w:tcBorders>
              <w:top w:val="single" w:sz="4" w:space="0" w:color="808080" w:themeColor="background1" w:themeShade="80"/>
              <w:bottom w:val="single" w:sz="4" w:space="0" w:color="808080" w:themeColor="background1" w:themeShade="80"/>
            </w:tcBorders>
          </w:tcPr>
          <w:p w14:paraId="2C05B294" w14:textId="7F8E867D"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acute stage / </w:t>
            </w:r>
            <w:r w:rsidR="002F0073" w:rsidRPr="00783571">
              <w:rPr>
                <w:szCs w:val="18"/>
              </w:rPr>
              <w:t>linked to HIV care, but not prescribed ART</w:t>
            </w:r>
          </w:p>
        </w:tc>
        <w:tc>
          <w:tcPr>
            <w:tcW w:w="1481" w:type="pct"/>
            <w:tcBorders>
              <w:top w:val="single" w:sz="4" w:space="0" w:color="808080" w:themeColor="background1" w:themeShade="80"/>
              <w:bottom w:val="single" w:sz="4" w:space="0" w:color="808080" w:themeColor="background1" w:themeShade="80"/>
            </w:tcBorders>
          </w:tcPr>
          <w:p w14:paraId="6617BD20" w14:textId="65EBC706" w:rsidR="009171BE" w:rsidRPr="00783571" w:rsidRDefault="009171BE" w:rsidP="00697525">
            <w:pPr>
              <w:pStyle w:val="TableText"/>
              <w:spacing w:before="40" w:after="40"/>
              <w:jc w:val="center"/>
              <w:rPr>
                <w:szCs w:val="18"/>
              </w:rPr>
            </w:pPr>
            <w:r w:rsidRPr="00783571">
              <w:rPr>
                <w:szCs w:val="18"/>
              </w:rPr>
              <w:t>B3</w:t>
            </w:r>
          </w:p>
        </w:tc>
      </w:tr>
      <w:tr w:rsidR="009171BE" w:rsidRPr="00783571" w14:paraId="5D125DF3" w14:textId="37BF671E" w:rsidTr="00260D8A">
        <w:trPr>
          <w:cantSplit/>
        </w:trPr>
        <w:tc>
          <w:tcPr>
            <w:tcW w:w="583" w:type="pct"/>
            <w:tcBorders>
              <w:top w:val="single" w:sz="4" w:space="0" w:color="808080" w:themeColor="background1" w:themeShade="80"/>
              <w:bottom w:val="single" w:sz="4" w:space="0" w:color="808080" w:themeColor="background1" w:themeShade="80"/>
            </w:tcBorders>
          </w:tcPr>
          <w:p w14:paraId="3A4675F3" w14:textId="77777777" w:rsidR="009171BE" w:rsidRPr="00783571" w:rsidRDefault="009171BE" w:rsidP="00697525">
            <w:pPr>
              <w:pStyle w:val="TableText"/>
              <w:spacing w:before="40" w:after="40"/>
              <w:jc w:val="center"/>
              <w:rPr>
                <w:szCs w:val="18"/>
              </w:rPr>
            </w:pPr>
            <w:r w:rsidRPr="00783571">
              <w:rPr>
                <w:szCs w:val="18"/>
              </w:rPr>
              <w:t>6</w:t>
            </w:r>
          </w:p>
        </w:tc>
        <w:tc>
          <w:tcPr>
            <w:tcW w:w="2936" w:type="pct"/>
            <w:tcBorders>
              <w:top w:val="single" w:sz="4" w:space="0" w:color="808080" w:themeColor="background1" w:themeShade="80"/>
              <w:bottom w:val="single" w:sz="4" w:space="0" w:color="808080" w:themeColor="background1" w:themeShade="80"/>
            </w:tcBorders>
          </w:tcPr>
          <w:p w14:paraId="3C27C737" w14:textId="0428CA76"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CD4&gt;500 / </w:t>
            </w:r>
            <w:r w:rsidR="002F0073" w:rsidRPr="00783571">
              <w:rPr>
                <w:szCs w:val="18"/>
              </w:rPr>
              <w:t>unaware of infection</w:t>
            </w:r>
          </w:p>
        </w:tc>
        <w:tc>
          <w:tcPr>
            <w:tcW w:w="1481" w:type="pct"/>
            <w:tcBorders>
              <w:top w:val="single" w:sz="4" w:space="0" w:color="808080" w:themeColor="background1" w:themeShade="80"/>
              <w:bottom w:val="single" w:sz="4" w:space="0" w:color="808080" w:themeColor="background1" w:themeShade="80"/>
            </w:tcBorders>
          </w:tcPr>
          <w:p w14:paraId="44E3B25B" w14:textId="05CF17F0" w:rsidR="009171BE" w:rsidRPr="00783571" w:rsidRDefault="009171BE" w:rsidP="00697525">
            <w:pPr>
              <w:pStyle w:val="TableText"/>
              <w:spacing w:before="40" w:after="40"/>
              <w:jc w:val="center"/>
              <w:rPr>
                <w:szCs w:val="18"/>
              </w:rPr>
            </w:pPr>
            <w:r w:rsidRPr="00783571">
              <w:rPr>
                <w:szCs w:val="18"/>
              </w:rPr>
              <w:t>C1</w:t>
            </w:r>
          </w:p>
        </w:tc>
      </w:tr>
      <w:tr w:rsidR="009171BE" w:rsidRPr="00783571" w14:paraId="7972DC85" w14:textId="6E3E1955" w:rsidTr="00260D8A">
        <w:trPr>
          <w:cantSplit/>
        </w:trPr>
        <w:tc>
          <w:tcPr>
            <w:tcW w:w="583" w:type="pct"/>
            <w:tcBorders>
              <w:top w:val="single" w:sz="4" w:space="0" w:color="808080" w:themeColor="background1" w:themeShade="80"/>
              <w:bottom w:val="single" w:sz="4" w:space="0" w:color="808080" w:themeColor="background1" w:themeShade="80"/>
            </w:tcBorders>
          </w:tcPr>
          <w:p w14:paraId="24AB0C5E" w14:textId="77777777" w:rsidR="009171BE" w:rsidRPr="00783571" w:rsidRDefault="009171BE" w:rsidP="00697525">
            <w:pPr>
              <w:pStyle w:val="TableText"/>
              <w:spacing w:before="40" w:after="40"/>
              <w:jc w:val="center"/>
              <w:rPr>
                <w:szCs w:val="18"/>
              </w:rPr>
            </w:pPr>
            <w:r w:rsidRPr="00783571">
              <w:rPr>
                <w:szCs w:val="18"/>
              </w:rPr>
              <w:t>7</w:t>
            </w:r>
          </w:p>
        </w:tc>
        <w:tc>
          <w:tcPr>
            <w:tcW w:w="2936" w:type="pct"/>
            <w:tcBorders>
              <w:top w:val="single" w:sz="4" w:space="0" w:color="808080" w:themeColor="background1" w:themeShade="80"/>
              <w:bottom w:val="single" w:sz="4" w:space="0" w:color="808080" w:themeColor="background1" w:themeShade="80"/>
            </w:tcBorders>
          </w:tcPr>
          <w:p w14:paraId="51064ADD" w14:textId="588041E4"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CD4&gt;500 / </w:t>
            </w:r>
            <w:r w:rsidR="002F0073" w:rsidRPr="00783571">
              <w:rPr>
                <w:szCs w:val="18"/>
              </w:rPr>
              <w:t>aware,</w:t>
            </w:r>
            <w:r w:rsidR="002F0073" w:rsidRPr="00783571">
              <w:t xml:space="preserve"> </w:t>
            </w:r>
            <w:r w:rsidR="002F0073" w:rsidRPr="00783571">
              <w:rPr>
                <w:szCs w:val="18"/>
              </w:rPr>
              <w:t>but not linked to HIV care</w:t>
            </w:r>
          </w:p>
        </w:tc>
        <w:tc>
          <w:tcPr>
            <w:tcW w:w="1481" w:type="pct"/>
            <w:tcBorders>
              <w:top w:val="single" w:sz="4" w:space="0" w:color="808080" w:themeColor="background1" w:themeShade="80"/>
              <w:bottom w:val="single" w:sz="4" w:space="0" w:color="808080" w:themeColor="background1" w:themeShade="80"/>
            </w:tcBorders>
          </w:tcPr>
          <w:p w14:paraId="5F5ECEA2" w14:textId="5CABD402" w:rsidR="009171BE" w:rsidRPr="00783571" w:rsidRDefault="009171BE" w:rsidP="00697525">
            <w:pPr>
              <w:pStyle w:val="TableText"/>
              <w:spacing w:before="40" w:after="40"/>
              <w:jc w:val="center"/>
              <w:rPr>
                <w:szCs w:val="18"/>
              </w:rPr>
            </w:pPr>
            <w:r w:rsidRPr="00783571">
              <w:rPr>
                <w:szCs w:val="18"/>
              </w:rPr>
              <w:t>C2</w:t>
            </w:r>
          </w:p>
        </w:tc>
      </w:tr>
      <w:tr w:rsidR="009171BE" w:rsidRPr="00783571" w14:paraId="21C44475" w14:textId="532A0753" w:rsidTr="00260D8A">
        <w:trPr>
          <w:cantSplit/>
        </w:trPr>
        <w:tc>
          <w:tcPr>
            <w:tcW w:w="583" w:type="pct"/>
            <w:tcBorders>
              <w:top w:val="single" w:sz="4" w:space="0" w:color="808080" w:themeColor="background1" w:themeShade="80"/>
              <w:bottom w:val="single" w:sz="4" w:space="0" w:color="808080" w:themeColor="background1" w:themeShade="80"/>
            </w:tcBorders>
          </w:tcPr>
          <w:p w14:paraId="4682CB29" w14:textId="77777777" w:rsidR="009171BE" w:rsidRPr="00783571" w:rsidRDefault="009171BE" w:rsidP="00697525">
            <w:pPr>
              <w:pStyle w:val="TableText"/>
              <w:spacing w:before="40" w:after="40"/>
              <w:jc w:val="center"/>
              <w:rPr>
                <w:szCs w:val="18"/>
              </w:rPr>
            </w:pPr>
            <w:r w:rsidRPr="00783571">
              <w:rPr>
                <w:szCs w:val="18"/>
              </w:rPr>
              <w:t>8</w:t>
            </w:r>
          </w:p>
        </w:tc>
        <w:tc>
          <w:tcPr>
            <w:tcW w:w="2936" w:type="pct"/>
            <w:tcBorders>
              <w:top w:val="single" w:sz="4" w:space="0" w:color="808080" w:themeColor="background1" w:themeShade="80"/>
              <w:bottom w:val="single" w:sz="4" w:space="0" w:color="808080" w:themeColor="background1" w:themeShade="80"/>
            </w:tcBorders>
          </w:tcPr>
          <w:p w14:paraId="22B8ACA7" w14:textId="0760BD8C"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CD4&gt;500 / </w:t>
            </w:r>
            <w:r w:rsidR="002F0073" w:rsidRPr="00783571">
              <w:rPr>
                <w:szCs w:val="18"/>
              </w:rPr>
              <w:t>linked to HIV care, but not prescribed ART</w:t>
            </w:r>
          </w:p>
        </w:tc>
        <w:tc>
          <w:tcPr>
            <w:tcW w:w="1481" w:type="pct"/>
            <w:tcBorders>
              <w:top w:val="single" w:sz="4" w:space="0" w:color="808080" w:themeColor="background1" w:themeShade="80"/>
              <w:bottom w:val="single" w:sz="4" w:space="0" w:color="808080" w:themeColor="background1" w:themeShade="80"/>
            </w:tcBorders>
          </w:tcPr>
          <w:p w14:paraId="0E67D944" w14:textId="30E954A4" w:rsidR="009171BE" w:rsidRPr="00783571" w:rsidRDefault="00D233B3" w:rsidP="00697525">
            <w:pPr>
              <w:pStyle w:val="TableText"/>
              <w:spacing w:before="40" w:after="40"/>
              <w:jc w:val="center"/>
              <w:rPr>
                <w:szCs w:val="18"/>
              </w:rPr>
            </w:pPr>
            <w:r w:rsidRPr="00783571">
              <w:rPr>
                <w:szCs w:val="18"/>
              </w:rPr>
              <w:t>C3</w:t>
            </w:r>
          </w:p>
        </w:tc>
      </w:tr>
      <w:tr w:rsidR="009171BE" w:rsidRPr="00783571" w14:paraId="1BBE090E" w14:textId="4106BE93" w:rsidTr="00260D8A">
        <w:trPr>
          <w:cantSplit/>
        </w:trPr>
        <w:tc>
          <w:tcPr>
            <w:tcW w:w="583" w:type="pct"/>
            <w:tcBorders>
              <w:top w:val="single" w:sz="4" w:space="0" w:color="808080" w:themeColor="background1" w:themeShade="80"/>
              <w:bottom w:val="single" w:sz="4" w:space="0" w:color="808080" w:themeColor="background1" w:themeShade="80"/>
            </w:tcBorders>
          </w:tcPr>
          <w:p w14:paraId="0183026B" w14:textId="77777777" w:rsidR="009171BE" w:rsidRPr="00783571" w:rsidRDefault="009171BE" w:rsidP="00697525">
            <w:pPr>
              <w:pStyle w:val="TableText"/>
              <w:spacing w:before="40" w:after="40"/>
              <w:jc w:val="center"/>
              <w:rPr>
                <w:szCs w:val="18"/>
              </w:rPr>
            </w:pPr>
            <w:r w:rsidRPr="00783571">
              <w:rPr>
                <w:szCs w:val="18"/>
              </w:rPr>
              <w:t>9</w:t>
            </w:r>
          </w:p>
        </w:tc>
        <w:tc>
          <w:tcPr>
            <w:tcW w:w="2936" w:type="pct"/>
            <w:tcBorders>
              <w:top w:val="single" w:sz="4" w:space="0" w:color="808080" w:themeColor="background1" w:themeShade="80"/>
              <w:bottom w:val="single" w:sz="4" w:space="0" w:color="808080" w:themeColor="background1" w:themeShade="80"/>
            </w:tcBorders>
          </w:tcPr>
          <w:p w14:paraId="1A00620B" w14:textId="6BDF76FA"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CD4&gt;500 / </w:t>
            </w:r>
            <w:r w:rsidR="002F0073" w:rsidRPr="00783571">
              <w:rPr>
                <w:szCs w:val="18"/>
              </w:rPr>
              <w:t>prescribed ART, but not virally suppressed</w:t>
            </w:r>
          </w:p>
        </w:tc>
        <w:tc>
          <w:tcPr>
            <w:tcW w:w="1481" w:type="pct"/>
            <w:tcBorders>
              <w:top w:val="single" w:sz="4" w:space="0" w:color="808080" w:themeColor="background1" w:themeShade="80"/>
              <w:bottom w:val="single" w:sz="4" w:space="0" w:color="808080" w:themeColor="background1" w:themeShade="80"/>
            </w:tcBorders>
          </w:tcPr>
          <w:p w14:paraId="3AC9E212" w14:textId="669AD7C1" w:rsidR="009171BE" w:rsidRPr="00783571" w:rsidRDefault="00D233B3" w:rsidP="00697525">
            <w:pPr>
              <w:pStyle w:val="TableText"/>
              <w:spacing w:before="40" w:after="40"/>
              <w:jc w:val="center"/>
              <w:rPr>
                <w:szCs w:val="18"/>
              </w:rPr>
            </w:pPr>
            <w:r w:rsidRPr="00783571">
              <w:rPr>
                <w:szCs w:val="18"/>
              </w:rPr>
              <w:t>C4</w:t>
            </w:r>
          </w:p>
        </w:tc>
      </w:tr>
      <w:tr w:rsidR="009171BE" w:rsidRPr="00783571" w14:paraId="74E73D9D" w14:textId="6DF2B01E" w:rsidTr="00260D8A">
        <w:trPr>
          <w:cantSplit/>
        </w:trPr>
        <w:tc>
          <w:tcPr>
            <w:tcW w:w="583" w:type="pct"/>
            <w:tcBorders>
              <w:top w:val="single" w:sz="4" w:space="0" w:color="808080" w:themeColor="background1" w:themeShade="80"/>
              <w:bottom w:val="single" w:sz="4" w:space="0" w:color="808080" w:themeColor="background1" w:themeShade="80"/>
            </w:tcBorders>
          </w:tcPr>
          <w:p w14:paraId="646E20E2" w14:textId="77777777" w:rsidR="009171BE" w:rsidRPr="00783571" w:rsidRDefault="009171BE" w:rsidP="00697525">
            <w:pPr>
              <w:pStyle w:val="TableText"/>
              <w:spacing w:before="40" w:after="40"/>
              <w:jc w:val="center"/>
              <w:rPr>
                <w:szCs w:val="18"/>
              </w:rPr>
            </w:pPr>
            <w:r w:rsidRPr="00783571">
              <w:rPr>
                <w:szCs w:val="18"/>
              </w:rPr>
              <w:t>10</w:t>
            </w:r>
          </w:p>
        </w:tc>
        <w:tc>
          <w:tcPr>
            <w:tcW w:w="2936" w:type="pct"/>
            <w:tcBorders>
              <w:top w:val="single" w:sz="4" w:space="0" w:color="808080" w:themeColor="background1" w:themeShade="80"/>
              <w:bottom w:val="single" w:sz="4" w:space="0" w:color="808080" w:themeColor="background1" w:themeShade="80"/>
            </w:tcBorders>
          </w:tcPr>
          <w:p w14:paraId="6FF06889" w14:textId="2D73FD66" w:rsidR="009171BE" w:rsidRPr="00783571" w:rsidRDefault="005F5C70" w:rsidP="00803D2D">
            <w:pPr>
              <w:pStyle w:val="TableText"/>
              <w:spacing w:before="40" w:after="40"/>
              <w:rPr>
                <w:szCs w:val="18"/>
              </w:rPr>
            </w:pPr>
            <w:r w:rsidRPr="00783571">
              <w:rPr>
                <w:szCs w:val="18"/>
              </w:rPr>
              <w:t>HIV-infected</w:t>
            </w:r>
            <w:r w:rsidR="009171BE" w:rsidRPr="00783571">
              <w:rPr>
                <w:szCs w:val="18"/>
              </w:rPr>
              <w:t xml:space="preserve"> / CD4&gt;500 / </w:t>
            </w:r>
            <w:r w:rsidR="00DC18BA" w:rsidRPr="00783571">
              <w:rPr>
                <w:szCs w:val="18"/>
              </w:rPr>
              <w:t>virally suppressed, which assumes persons are in care and prescribed ART</w:t>
            </w:r>
          </w:p>
        </w:tc>
        <w:tc>
          <w:tcPr>
            <w:tcW w:w="1481" w:type="pct"/>
            <w:tcBorders>
              <w:top w:val="single" w:sz="4" w:space="0" w:color="808080" w:themeColor="background1" w:themeShade="80"/>
              <w:bottom w:val="single" w:sz="4" w:space="0" w:color="808080" w:themeColor="background1" w:themeShade="80"/>
            </w:tcBorders>
          </w:tcPr>
          <w:p w14:paraId="125B581A" w14:textId="4C3D7A38" w:rsidR="009171BE" w:rsidRPr="00783571" w:rsidRDefault="00D233B3" w:rsidP="00697525">
            <w:pPr>
              <w:pStyle w:val="TableText"/>
              <w:spacing w:before="40" w:after="40"/>
              <w:jc w:val="center"/>
              <w:rPr>
                <w:szCs w:val="18"/>
              </w:rPr>
            </w:pPr>
            <w:r w:rsidRPr="00783571">
              <w:rPr>
                <w:szCs w:val="18"/>
              </w:rPr>
              <w:t>C5</w:t>
            </w:r>
          </w:p>
        </w:tc>
      </w:tr>
      <w:tr w:rsidR="009171BE" w:rsidRPr="00783571" w14:paraId="1FEE4571" w14:textId="554F91D2" w:rsidTr="00260D8A">
        <w:trPr>
          <w:cantSplit/>
        </w:trPr>
        <w:tc>
          <w:tcPr>
            <w:tcW w:w="583" w:type="pct"/>
            <w:tcBorders>
              <w:top w:val="single" w:sz="4" w:space="0" w:color="808080" w:themeColor="background1" w:themeShade="80"/>
              <w:bottom w:val="single" w:sz="4" w:space="0" w:color="808080" w:themeColor="background1" w:themeShade="80"/>
            </w:tcBorders>
          </w:tcPr>
          <w:p w14:paraId="663394F6" w14:textId="77777777" w:rsidR="009171BE" w:rsidRPr="00783571" w:rsidRDefault="009171BE" w:rsidP="00697525">
            <w:pPr>
              <w:pStyle w:val="TableText"/>
              <w:spacing w:before="40" w:after="40"/>
              <w:jc w:val="center"/>
              <w:rPr>
                <w:szCs w:val="18"/>
              </w:rPr>
            </w:pPr>
            <w:r w:rsidRPr="00783571">
              <w:rPr>
                <w:szCs w:val="18"/>
              </w:rPr>
              <w:t>11</w:t>
            </w:r>
          </w:p>
        </w:tc>
        <w:tc>
          <w:tcPr>
            <w:tcW w:w="2936" w:type="pct"/>
            <w:tcBorders>
              <w:top w:val="single" w:sz="4" w:space="0" w:color="808080" w:themeColor="background1" w:themeShade="80"/>
              <w:bottom w:val="single" w:sz="4" w:space="0" w:color="808080" w:themeColor="background1" w:themeShade="80"/>
            </w:tcBorders>
          </w:tcPr>
          <w:p w14:paraId="63E694FB" w14:textId="333A854D" w:rsidR="009171BE" w:rsidRPr="00783571" w:rsidRDefault="005F5C70" w:rsidP="00803D2D">
            <w:pPr>
              <w:pStyle w:val="TableText"/>
              <w:spacing w:before="40" w:after="40"/>
              <w:rPr>
                <w:szCs w:val="18"/>
              </w:rPr>
            </w:pPr>
            <w:r w:rsidRPr="00783571">
              <w:rPr>
                <w:szCs w:val="18"/>
              </w:rPr>
              <w:t>HIV-infected</w:t>
            </w:r>
            <w:r w:rsidR="009171BE" w:rsidRPr="00783571">
              <w:rPr>
                <w:szCs w:val="18"/>
              </w:rPr>
              <w:t xml:space="preserve"> / CD4 350–500 / </w:t>
            </w:r>
            <w:r w:rsidR="002F0073" w:rsidRPr="00783571">
              <w:rPr>
                <w:szCs w:val="18"/>
              </w:rPr>
              <w:t>unaware of infection</w:t>
            </w:r>
          </w:p>
        </w:tc>
        <w:tc>
          <w:tcPr>
            <w:tcW w:w="1481" w:type="pct"/>
            <w:tcBorders>
              <w:top w:val="single" w:sz="4" w:space="0" w:color="808080" w:themeColor="background1" w:themeShade="80"/>
              <w:bottom w:val="single" w:sz="4" w:space="0" w:color="808080" w:themeColor="background1" w:themeShade="80"/>
            </w:tcBorders>
          </w:tcPr>
          <w:p w14:paraId="6899FDDA" w14:textId="6B767261" w:rsidR="009171BE" w:rsidRPr="00783571" w:rsidRDefault="00D233B3" w:rsidP="00697525">
            <w:pPr>
              <w:pStyle w:val="TableText"/>
              <w:spacing w:before="40" w:after="40"/>
              <w:jc w:val="center"/>
              <w:rPr>
                <w:szCs w:val="18"/>
              </w:rPr>
            </w:pPr>
            <w:r w:rsidRPr="00783571">
              <w:rPr>
                <w:szCs w:val="18"/>
              </w:rPr>
              <w:t>D1</w:t>
            </w:r>
          </w:p>
        </w:tc>
      </w:tr>
      <w:tr w:rsidR="009171BE" w:rsidRPr="00783571" w14:paraId="4C529EE7" w14:textId="76AC88DB" w:rsidTr="00260D8A">
        <w:trPr>
          <w:cantSplit/>
        </w:trPr>
        <w:tc>
          <w:tcPr>
            <w:tcW w:w="583" w:type="pct"/>
            <w:tcBorders>
              <w:top w:val="single" w:sz="4" w:space="0" w:color="808080" w:themeColor="background1" w:themeShade="80"/>
              <w:bottom w:val="single" w:sz="4" w:space="0" w:color="808080" w:themeColor="background1" w:themeShade="80"/>
            </w:tcBorders>
          </w:tcPr>
          <w:p w14:paraId="12EAB4E1" w14:textId="77777777" w:rsidR="009171BE" w:rsidRPr="00783571" w:rsidRDefault="009171BE" w:rsidP="00697525">
            <w:pPr>
              <w:pStyle w:val="TableText"/>
              <w:spacing w:before="40" w:after="40"/>
              <w:jc w:val="center"/>
              <w:rPr>
                <w:szCs w:val="18"/>
              </w:rPr>
            </w:pPr>
            <w:r w:rsidRPr="00783571">
              <w:rPr>
                <w:szCs w:val="18"/>
              </w:rPr>
              <w:t>12</w:t>
            </w:r>
          </w:p>
        </w:tc>
        <w:tc>
          <w:tcPr>
            <w:tcW w:w="2936" w:type="pct"/>
            <w:tcBorders>
              <w:top w:val="single" w:sz="4" w:space="0" w:color="808080" w:themeColor="background1" w:themeShade="80"/>
              <w:bottom w:val="single" w:sz="4" w:space="0" w:color="808080" w:themeColor="background1" w:themeShade="80"/>
            </w:tcBorders>
          </w:tcPr>
          <w:p w14:paraId="5129D163" w14:textId="1E1E87A5"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CD4 350–500 / </w:t>
            </w:r>
            <w:r w:rsidR="002F0073" w:rsidRPr="00783571">
              <w:rPr>
                <w:szCs w:val="18"/>
              </w:rPr>
              <w:t>aware,</w:t>
            </w:r>
            <w:r w:rsidR="002F0073" w:rsidRPr="00783571">
              <w:t xml:space="preserve"> </w:t>
            </w:r>
            <w:r w:rsidR="002F0073" w:rsidRPr="00783571">
              <w:rPr>
                <w:szCs w:val="18"/>
              </w:rPr>
              <w:t>but not linked to HIV care</w:t>
            </w:r>
          </w:p>
        </w:tc>
        <w:tc>
          <w:tcPr>
            <w:tcW w:w="1481" w:type="pct"/>
            <w:tcBorders>
              <w:top w:val="single" w:sz="4" w:space="0" w:color="808080" w:themeColor="background1" w:themeShade="80"/>
              <w:bottom w:val="single" w:sz="4" w:space="0" w:color="808080" w:themeColor="background1" w:themeShade="80"/>
            </w:tcBorders>
          </w:tcPr>
          <w:p w14:paraId="540B32A4" w14:textId="22D65C40" w:rsidR="009171BE" w:rsidRPr="00783571" w:rsidRDefault="00D233B3" w:rsidP="00697525">
            <w:pPr>
              <w:pStyle w:val="TableText"/>
              <w:spacing w:before="40" w:after="40"/>
              <w:jc w:val="center"/>
              <w:rPr>
                <w:szCs w:val="18"/>
              </w:rPr>
            </w:pPr>
            <w:r w:rsidRPr="00783571">
              <w:rPr>
                <w:szCs w:val="18"/>
              </w:rPr>
              <w:t>D2</w:t>
            </w:r>
          </w:p>
        </w:tc>
      </w:tr>
      <w:tr w:rsidR="009171BE" w:rsidRPr="00783571" w14:paraId="206E014E" w14:textId="4CA2ABCC" w:rsidTr="00260D8A">
        <w:trPr>
          <w:cantSplit/>
        </w:trPr>
        <w:tc>
          <w:tcPr>
            <w:tcW w:w="583" w:type="pct"/>
            <w:tcBorders>
              <w:top w:val="single" w:sz="4" w:space="0" w:color="808080" w:themeColor="background1" w:themeShade="80"/>
              <w:bottom w:val="single" w:sz="4" w:space="0" w:color="808080" w:themeColor="background1" w:themeShade="80"/>
            </w:tcBorders>
          </w:tcPr>
          <w:p w14:paraId="18A6D8E4" w14:textId="77777777" w:rsidR="009171BE" w:rsidRPr="00783571" w:rsidRDefault="009171BE" w:rsidP="00697525">
            <w:pPr>
              <w:pStyle w:val="TableText"/>
              <w:spacing w:before="40" w:after="40"/>
              <w:jc w:val="center"/>
              <w:rPr>
                <w:szCs w:val="18"/>
              </w:rPr>
            </w:pPr>
            <w:r w:rsidRPr="00783571">
              <w:rPr>
                <w:szCs w:val="18"/>
              </w:rPr>
              <w:t>13</w:t>
            </w:r>
          </w:p>
        </w:tc>
        <w:tc>
          <w:tcPr>
            <w:tcW w:w="2936" w:type="pct"/>
            <w:tcBorders>
              <w:top w:val="single" w:sz="4" w:space="0" w:color="808080" w:themeColor="background1" w:themeShade="80"/>
              <w:bottom w:val="single" w:sz="4" w:space="0" w:color="808080" w:themeColor="background1" w:themeShade="80"/>
            </w:tcBorders>
          </w:tcPr>
          <w:p w14:paraId="53DB558E" w14:textId="7E0D26F2"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CD4 350–500 / </w:t>
            </w:r>
            <w:r w:rsidR="002F0073" w:rsidRPr="00783571">
              <w:rPr>
                <w:szCs w:val="18"/>
              </w:rPr>
              <w:t>linked to HIV care, but not prescribed ART</w:t>
            </w:r>
          </w:p>
        </w:tc>
        <w:tc>
          <w:tcPr>
            <w:tcW w:w="1481" w:type="pct"/>
            <w:tcBorders>
              <w:top w:val="single" w:sz="4" w:space="0" w:color="808080" w:themeColor="background1" w:themeShade="80"/>
              <w:bottom w:val="single" w:sz="4" w:space="0" w:color="808080" w:themeColor="background1" w:themeShade="80"/>
            </w:tcBorders>
          </w:tcPr>
          <w:p w14:paraId="17A5925E" w14:textId="2CCD5485" w:rsidR="009171BE" w:rsidRPr="00783571" w:rsidRDefault="00D233B3" w:rsidP="00697525">
            <w:pPr>
              <w:pStyle w:val="TableText"/>
              <w:spacing w:before="40" w:after="40"/>
              <w:jc w:val="center"/>
              <w:rPr>
                <w:szCs w:val="18"/>
              </w:rPr>
            </w:pPr>
            <w:r w:rsidRPr="00783571">
              <w:rPr>
                <w:szCs w:val="18"/>
              </w:rPr>
              <w:t>D3</w:t>
            </w:r>
          </w:p>
        </w:tc>
      </w:tr>
      <w:tr w:rsidR="009171BE" w:rsidRPr="00783571" w14:paraId="5496BCB0" w14:textId="45ECF125" w:rsidTr="00260D8A">
        <w:trPr>
          <w:cantSplit/>
        </w:trPr>
        <w:tc>
          <w:tcPr>
            <w:tcW w:w="583" w:type="pct"/>
            <w:tcBorders>
              <w:top w:val="single" w:sz="4" w:space="0" w:color="808080" w:themeColor="background1" w:themeShade="80"/>
              <w:bottom w:val="single" w:sz="4" w:space="0" w:color="808080" w:themeColor="background1" w:themeShade="80"/>
            </w:tcBorders>
          </w:tcPr>
          <w:p w14:paraId="3734C336" w14:textId="77777777" w:rsidR="009171BE" w:rsidRPr="00783571" w:rsidRDefault="009171BE" w:rsidP="00697525">
            <w:pPr>
              <w:pStyle w:val="TableText"/>
              <w:spacing w:before="40" w:after="40"/>
              <w:jc w:val="center"/>
              <w:rPr>
                <w:szCs w:val="18"/>
              </w:rPr>
            </w:pPr>
            <w:r w:rsidRPr="00783571">
              <w:rPr>
                <w:szCs w:val="18"/>
              </w:rPr>
              <w:t>14</w:t>
            </w:r>
          </w:p>
        </w:tc>
        <w:tc>
          <w:tcPr>
            <w:tcW w:w="2936" w:type="pct"/>
            <w:tcBorders>
              <w:top w:val="single" w:sz="4" w:space="0" w:color="808080" w:themeColor="background1" w:themeShade="80"/>
              <w:bottom w:val="single" w:sz="4" w:space="0" w:color="808080" w:themeColor="background1" w:themeShade="80"/>
            </w:tcBorders>
          </w:tcPr>
          <w:p w14:paraId="7E31B918" w14:textId="6F3F16BD"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CD4 350–500 / </w:t>
            </w:r>
            <w:r w:rsidR="002F0073" w:rsidRPr="00783571">
              <w:rPr>
                <w:szCs w:val="18"/>
              </w:rPr>
              <w:t>prescribed ART, but not virally suppressed</w:t>
            </w:r>
          </w:p>
        </w:tc>
        <w:tc>
          <w:tcPr>
            <w:tcW w:w="1481" w:type="pct"/>
            <w:tcBorders>
              <w:top w:val="single" w:sz="4" w:space="0" w:color="808080" w:themeColor="background1" w:themeShade="80"/>
              <w:bottom w:val="single" w:sz="4" w:space="0" w:color="808080" w:themeColor="background1" w:themeShade="80"/>
            </w:tcBorders>
          </w:tcPr>
          <w:p w14:paraId="2DEBFFD8" w14:textId="51075F31" w:rsidR="009171BE" w:rsidRPr="00783571" w:rsidRDefault="00D233B3" w:rsidP="00697525">
            <w:pPr>
              <w:pStyle w:val="TableText"/>
              <w:spacing w:before="40" w:after="40"/>
              <w:jc w:val="center"/>
              <w:rPr>
                <w:szCs w:val="18"/>
              </w:rPr>
            </w:pPr>
            <w:r w:rsidRPr="00783571">
              <w:rPr>
                <w:szCs w:val="18"/>
              </w:rPr>
              <w:t>D4</w:t>
            </w:r>
          </w:p>
        </w:tc>
      </w:tr>
      <w:tr w:rsidR="009171BE" w:rsidRPr="00783571" w14:paraId="0F39FC78" w14:textId="51C2CE6B" w:rsidTr="00260D8A">
        <w:trPr>
          <w:cantSplit/>
        </w:trPr>
        <w:tc>
          <w:tcPr>
            <w:tcW w:w="583" w:type="pct"/>
            <w:tcBorders>
              <w:top w:val="single" w:sz="4" w:space="0" w:color="808080" w:themeColor="background1" w:themeShade="80"/>
              <w:bottom w:val="single" w:sz="4" w:space="0" w:color="808080" w:themeColor="background1" w:themeShade="80"/>
            </w:tcBorders>
          </w:tcPr>
          <w:p w14:paraId="35D1863A" w14:textId="77777777" w:rsidR="009171BE" w:rsidRPr="00783571" w:rsidRDefault="009171BE" w:rsidP="00697525">
            <w:pPr>
              <w:pStyle w:val="TableText"/>
              <w:spacing w:before="40" w:after="40"/>
              <w:jc w:val="center"/>
              <w:rPr>
                <w:szCs w:val="18"/>
              </w:rPr>
            </w:pPr>
            <w:r w:rsidRPr="00783571">
              <w:rPr>
                <w:szCs w:val="18"/>
              </w:rPr>
              <w:t>15</w:t>
            </w:r>
          </w:p>
        </w:tc>
        <w:tc>
          <w:tcPr>
            <w:tcW w:w="2936" w:type="pct"/>
            <w:tcBorders>
              <w:top w:val="single" w:sz="4" w:space="0" w:color="808080" w:themeColor="background1" w:themeShade="80"/>
              <w:bottom w:val="single" w:sz="4" w:space="0" w:color="808080" w:themeColor="background1" w:themeShade="80"/>
            </w:tcBorders>
          </w:tcPr>
          <w:p w14:paraId="42173430" w14:textId="6FFDCD38"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CD4 350–500 / </w:t>
            </w:r>
            <w:r w:rsidR="00DC18BA" w:rsidRPr="00783571">
              <w:rPr>
                <w:szCs w:val="18"/>
              </w:rPr>
              <w:t>virally suppressed, which assumes persons are in care and prescribed ART</w:t>
            </w:r>
          </w:p>
        </w:tc>
        <w:tc>
          <w:tcPr>
            <w:tcW w:w="1481" w:type="pct"/>
            <w:tcBorders>
              <w:top w:val="single" w:sz="4" w:space="0" w:color="808080" w:themeColor="background1" w:themeShade="80"/>
              <w:bottom w:val="single" w:sz="4" w:space="0" w:color="808080" w:themeColor="background1" w:themeShade="80"/>
            </w:tcBorders>
          </w:tcPr>
          <w:p w14:paraId="3975CD9E" w14:textId="78F32B32" w:rsidR="009171BE" w:rsidRPr="00783571" w:rsidRDefault="00D233B3" w:rsidP="00697525">
            <w:pPr>
              <w:pStyle w:val="TableText"/>
              <w:spacing w:before="40" w:after="40"/>
              <w:jc w:val="center"/>
              <w:rPr>
                <w:szCs w:val="18"/>
              </w:rPr>
            </w:pPr>
            <w:r w:rsidRPr="00783571">
              <w:rPr>
                <w:szCs w:val="18"/>
              </w:rPr>
              <w:t>D5</w:t>
            </w:r>
          </w:p>
        </w:tc>
      </w:tr>
      <w:tr w:rsidR="009171BE" w:rsidRPr="00783571" w14:paraId="353A83AD" w14:textId="775DEBB4" w:rsidTr="00260D8A">
        <w:trPr>
          <w:cantSplit/>
        </w:trPr>
        <w:tc>
          <w:tcPr>
            <w:tcW w:w="583" w:type="pct"/>
            <w:tcBorders>
              <w:top w:val="single" w:sz="4" w:space="0" w:color="808080" w:themeColor="background1" w:themeShade="80"/>
              <w:bottom w:val="single" w:sz="4" w:space="0" w:color="808080" w:themeColor="background1" w:themeShade="80"/>
            </w:tcBorders>
          </w:tcPr>
          <w:p w14:paraId="3E9731B4" w14:textId="77777777" w:rsidR="009171BE" w:rsidRPr="00783571" w:rsidRDefault="009171BE" w:rsidP="00697525">
            <w:pPr>
              <w:pStyle w:val="TableText"/>
              <w:spacing w:before="40" w:after="40"/>
              <w:jc w:val="center"/>
              <w:rPr>
                <w:szCs w:val="18"/>
              </w:rPr>
            </w:pPr>
            <w:r w:rsidRPr="00783571">
              <w:rPr>
                <w:szCs w:val="18"/>
              </w:rPr>
              <w:t>16</w:t>
            </w:r>
          </w:p>
        </w:tc>
        <w:tc>
          <w:tcPr>
            <w:tcW w:w="2936" w:type="pct"/>
            <w:tcBorders>
              <w:top w:val="single" w:sz="4" w:space="0" w:color="808080" w:themeColor="background1" w:themeShade="80"/>
              <w:bottom w:val="single" w:sz="4" w:space="0" w:color="808080" w:themeColor="background1" w:themeShade="80"/>
            </w:tcBorders>
          </w:tcPr>
          <w:p w14:paraId="495AA360" w14:textId="6118ED20" w:rsidR="009171BE" w:rsidRPr="00783571" w:rsidRDefault="005F5C70" w:rsidP="00803D2D">
            <w:pPr>
              <w:pStyle w:val="TableText"/>
              <w:spacing w:before="40" w:after="40"/>
              <w:rPr>
                <w:szCs w:val="18"/>
              </w:rPr>
            </w:pPr>
            <w:r w:rsidRPr="00783571">
              <w:rPr>
                <w:szCs w:val="18"/>
              </w:rPr>
              <w:t>HIV-infected</w:t>
            </w:r>
            <w:r w:rsidR="009171BE" w:rsidRPr="00783571">
              <w:rPr>
                <w:szCs w:val="18"/>
              </w:rPr>
              <w:t xml:space="preserve"> / CD4 200–350 / </w:t>
            </w:r>
            <w:r w:rsidR="002F0073" w:rsidRPr="00783571">
              <w:rPr>
                <w:szCs w:val="18"/>
              </w:rPr>
              <w:t>unaware of infection</w:t>
            </w:r>
          </w:p>
        </w:tc>
        <w:tc>
          <w:tcPr>
            <w:tcW w:w="1481" w:type="pct"/>
            <w:tcBorders>
              <w:top w:val="single" w:sz="4" w:space="0" w:color="808080" w:themeColor="background1" w:themeShade="80"/>
              <w:bottom w:val="single" w:sz="4" w:space="0" w:color="808080" w:themeColor="background1" w:themeShade="80"/>
            </w:tcBorders>
          </w:tcPr>
          <w:p w14:paraId="69285944" w14:textId="555A386F" w:rsidR="009171BE" w:rsidRPr="00783571" w:rsidRDefault="00D233B3" w:rsidP="00697525">
            <w:pPr>
              <w:pStyle w:val="TableText"/>
              <w:spacing w:before="40" w:after="40"/>
              <w:jc w:val="center"/>
              <w:rPr>
                <w:szCs w:val="18"/>
              </w:rPr>
            </w:pPr>
            <w:r w:rsidRPr="00783571">
              <w:rPr>
                <w:szCs w:val="18"/>
              </w:rPr>
              <w:t>E1</w:t>
            </w:r>
          </w:p>
        </w:tc>
      </w:tr>
      <w:tr w:rsidR="009171BE" w:rsidRPr="00783571" w14:paraId="3D0C315D" w14:textId="4BF56FBA" w:rsidTr="00260D8A">
        <w:trPr>
          <w:cantSplit/>
        </w:trPr>
        <w:tc>
          <w:tcPr>
            <w:tcW w:w="583" w:type="pct"/>
            <w:tcBorders>
              <w:top w:val="single" w:sz="4" w:space="0" w:color="808080" w:themeColor="background1" w:themeShade="80"/>
              <w:bottom w:val="single" w:sz="4" w:space="0" w:color="808080" w:themeColor="background1" w:themeShade="80"/>
            </w:tcBorders>
          </w:tcPr>
          <w:p w14:paraId="20DA499C" w14:textId="77777777" w:rsidR="009171BE" w:rsidRPr="00783571" w:rsidRDefault="009171BE" w:rsidP="00697525">
            <w:pPr>
              <w:pStyle w:val="TableText"/>
              <w:spacing w:before="40" w:after="40"/>
              <w:jc w:val="center"/>
              <w:rPr>
                <w:szCs w:val="18"/>
              </w:rPr>
            </w:pPr>
            <w:r w:rsidRPr="00783571">
              <w:rPr>
                <w:szCs w:val="18"/>
              </w:rPr>
              <w:t>17</w:t>
            </w:r>
          </w:p>
        </w:tc>
        <w:tc>
          <w:tcPr>
            <w:tcW w:w="2936" w:type="pct"/>
            <w:tcBorders>
              <w:top w:val="single" w:sz="4" w:space="0" w:color="808080" w:themeColor="background1" w:themeShade="80"/>
              <w:bottom w:val="single" w:sz="4" w:space="0" w:color="808080" w:themeColor="background1" w:themeShade="80"/>
            </w:tcBorders>
          </w:tcPr>
          <w:p w14:paraId="71469D44" w14:textId="48520C53"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CD4 200–350 / </w:t>
            </w:r>
            <w:r w:rsidR="002F0073" w:rsidRPr="00783571">
              <w:rPr>
                <w:szCs w:val="18"/>
              </w:rPr>
              <w:t>aware,</w:t>
            </w:r>
            <w:r w:rsidR="002F0073" w:rsidRPr="00783571">
              <w:t xml:space="preserve"> </w:t>
            </w:r>
            <w:r w:rsidR="002F0073" w:rsidRPr="00783571">
              <w:rPr>
                <w:szCs w:val="18"/>
              </w:rPr>
              <w:t>but not linked to HIV care</w:t>
            </w:r>
          </w:p>
        </w:tc>
        <w:tc>
          <w:tcPr>
            <w:tcW w:w="1481" w:type="pct"/>
            <w:tcBorders>
              <w:top w:val="single" w:sz="4" w:space="0" w:color="808080" w:themeColor="background1" w:themeShade="80"/>
              <w:bottom w:val="single" w:sz="4" w:space="0" w:color="808080" w:themeColor="background1" w:themeShade="80"/>
            </w:tcBorders>
          </w:tcPr>
          <w:p w14:paraId="21CC0D3C" w14:textId="16A670A3" w:rsidR="009171BE" w:rsidRPr="00783571" w:rsidRDefault="00D233B3" w:rsidP="00697525">
            <w:pPr>
              <w:pStyle w:val="TableText"/>
              <w:spacing w:before="40" w:after="40"/>
              <w:jc w:val="center"/>
              <w:rPr>
                <w:szCs w:val="18"/>
              </w:rPr>
            </w:pPr>
            <w:r w:rsidRPr="00783571">
              <w:rPr>
                <w:szCs w:val="18"/>
              </w:rPr>
              <w:t>E2</w:t>
            </w:r>
          </w:p>
        </w:tc>
      </w:tr>
      <w:tr w:rsidR="009171BE" w:rsidRPr="00783571" w14:paraId="252A4FE9" w14:textId="2C248865" w:rsidTr="00260D8A">
        <w:trPr>
          <w:cantSplit/>
        </w:trPr>
        <w:tc>
          <w:tcPr>
            <w:tcW w:w="583" w:type="pct"/>
            <w:tcBorders>
              <w:top w:val="single" w:sz="4" w:space="0" w:color="808080" w:themeColor="background1" w:themeShade="80"/>
              <w:bottom w:val="single" w:sz="4" w:space="0" w:color="808080" w:themeColor="background1" w:themeShade="80"/>
            </w:tcBorders>
          </w:tcPr>
          <w:p w14:paraId="17CE99C6" w14:textId="77777777" w:rsidR="009171BE" w:rsidRPr="00783571" w:rsidRDefault="009171BE" w:rsidP="00697525">
            <w:pPr>
              <w:pStyle w:val="TableText"/>
              <w:spacing w:before="40" w:after="40"/>
              <w:jc w:val="center"/>
              <w:rPr>
                <w:szCs w:val="18"/>
              </w:rPr>
            </w:pPr>
            <w:r w:rsidRPr="00783571">
              <w:rPr>
                <w:szCs w:val="18"/>
              </w:rPr>
              <w:t>18</w:t>
            </w:r>
          </w:p>
        </w:tc>
        <w:tc>
          <w:tcPr>
            <w:tcW w:w="2936" w:type="pct"/>
            <w:tcBorders>
              <w:top w:val="single" w:sz="4" w:space="0" w:color="808080" w:themeColor="background1" w:themeShade="80"/>
              <w:bottom w:val="single" w:sz="4" w:space="0" w:color="808080" w:themeColor="background1" w:themeShade="80"/>
            </w:tcBorders>
          </w:tcPr>
          <w:p w14:paraId="6BEE045D" w14:textId="4D768C74"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CD4 200–350 / </w:t>
            </w:r>
            <w:r w:rsidR="002F0073" w:rsidRPr="00783571">
              <w:rPr>
                <w:szCs w:val="18"/>
              </w:rPr>
              <w:t>linked to HIV care, but not prescribed ART</w:t>
            </w:r>
          </w:p>
        </w:tc>
        <w:tc>
          <w:tcPr>
            <w:tcW w:w="1481" w:type="pct"/>
            <w:tcBorders>
              <w:top w:val="single" w:sz="4" w:space="0" w:color="808080" w:themeColor="background1" w:themeShade="80"/>
              <w:bottom w:val="single" w:sz="4" w:space="0" w:color="808080" w:themeColor="background1" w:themeShade="80"/>
            </w:tcBorders>
          </w:tcPr>
          <w:p w14:paraId="10915D1E" w14:textId="7B24C0FB" w:rsidR="009171BE" w:rsidRPr="00783571" w:rsidRDefault="00D233B3" w:rsidP="00697525">
            <w:pPr>
              <w:pStyle w:val="TableText"/>
              <w:spacing w:before="40" w:after="40"/>
              <w:jc w:val="center"/>
              <w:rPr>
                <w:szCs w:val="18"/>
              </w:rPr>
            </w:pPr>
            <w:r w:rsidRPr="00783571">
              <w:rPr>
                <w:szCs w:val="18"/>
              </w:rPr>
              <w:t>E3</w:t>
            </w:r>
          </w:p>
        </w:tc>
      </w:tr>
      <w:tr w:rsidR="009171BE" w:rsidRPr="00783571" w14:paraId="6E084B17" w14:textId="33ADF3E2" w:rsidTr="00260D8A">
        <w:trPr>
          <w:cantSplit/>
        </w:trPr>
        <w:tc>
          <w:tcPr>
            <w:tcW w:w="583" w:type="pct"/>
            <w:tcBorders>
              <w:top w:val="single" w:sz="4" w:space="0" w:color="808080" w:themeColor="background1" w:themeShade="80"/>
              <w:bottom w:val="single" w:sz="4" w:space="0" w:color="808080" w:themeColor="background1" w:themeShade="80"/>
            </w:tcBorders>
          </w:tcPr>
          <w:p w14:paraId="63485550" w14:textId="77777777" w:rsidR="009171BE" w:rsidRPr="00783571" w:rsidRDefault="009171BE" w:rsidP="00697525">
            <w:pPr>
              <w:pStyle w:val="TableText"/>
              <w:spacing w:before="40" w:after="40"/>
              <w:jc w:val="center"/>
              <w:rPr>
                <w:szCs w:val="18"/>
              </w:rPr>
            </w:pPr>
            <w:r w:rsidRPr="00783571">
              <w:rPr>
                <w:szCs w:val="18"/>
              </w:rPr>
              <w:t>19</w:t>
            </w:r>
          </w:p>
        </w:tc>
        <w:tc>
          <w:tcPr>
            <w:tcW w:w="2936" w:type="pct"/>
            <w:tcBorders>
              <w:top w:val="single" w:sz="4" w:space="0" w:color="808080" w:themeColor="background1" w:themeShade="80"/>
              <w:bottom w:val="single" w:sz="4" w:space="0" w:color="808080" w:themeColor="background1" w:themeShade="80"/>
            </w:tcBorders>
          </w:tcPr>
          <w:p w14:paraId="68FDDCB0" w14:textId="0B3D0926"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CD4 200–350 / </w:t>
            </w:r>
            <w:r w:rsidR="002F0073" w:rsidRPr="00783571">
              <w:rPr>
                <w:szCs w:val="18"/>
              </w:rPr>
              <w:t>prescribed ART, but not virally suppressed</w:t>
            </w:r>
          </w:p>
        </w:tc>
        <w:tc>
          <w:tcPr>
            <w:tcW w:w="1481" w:type="pct"/>
            <w:tcBorders>
              <w:top w:val="single" w:sz="4" w:space="0" w:color="808080" w:themeColor="background1" w:themeShade="80"/>
              <w:bottom w:val="single" w:sz="4" w:space="0" w:color="808080" w:themeColor="background1" w:themeShade="80"/>
            </w:tcBorders>
          </w:tcPr>
          <w:p w14:paraId="3371F07B" w14:textId="5051DE2E" w:rsidR="009171BE" w:rsidRPr="00783571" w:rsidRDefault="00D233B3" w:rsidP="00697525">
            <w:pPr>
              <w:pStyle w:val="TableText"/>
              <w:spacing w:before="40" w:after="40"/>
              <w:jc w:val="center"/>
              <w:rPr>
                <w:szCs w:val="18"/>
              </w:rPr>
            </w:pPr>
            <w:r w:rsidRPr="00783571">
              <w:rPr>
                <w:szCs w:val="18"/>
              </w:rPr>
              <w:t>E4</w:t>
            </w:r>
          </w:p>
        </w:tc>
      </w:tr>
    </w:tbl>
    <w:p w14:paraId="511E7A84" w14:textId="2557CC24" w:rsidR="00316E91" w:rsidRPr="00783571" w:rsidRDefault="00316E91" w:rsidP="00316E91">
      <w:pPr>
        <w:pStyle w:val="Tablecont"/>
      </w:pPr>
      <w:r w:rsidRPr="00783571">
        <w:t>(continued)</w:t>
      </w:r>
    </w:p>
    <w:p w14:paraId="066E22FD" w14:textId="3D489A64" w:rsidR="00316E91" w:rsidRPr="00783571" w:rsidRDefault="00316E91" w:rsidP="00316E91">
      <w:pPr>
        <w:pStyle w:val="TableTitlecont"/>
      </w:pPr>
      <w:r w:rsidRPr="00783571">
        <w:t>Table 7.1.</w:t>
      </w:r>
      <w:r w:rsidRPr="00783571">
        <w:tab/>
        <w:t>Model Compartments (continued)</w:t>
      </w:r>
    </w:p>
    <w:tbl>
      <w:tblPr>
        <w:tblW w:w="9504" w:type="dxa"/>
        <w:tblBorders>
          <w:top w:val="single" w:sz="12" w:space="0" w:color="auto"/>
          <w:bottom w:val="single" w:sz="12" w:space="0" w:color="auto"/>
        </w:tblBorders>
        <w:tblLayout w:type="fixed"/>
        <w:tblCellMar>
          <w:left w:w="115" w:type="dxa"/>
          <w:right w:w="115" w:type="dxa"/>
        </w:tblCellMar>
        <w:tblLook w:val="04A0" w:firstRow="1" w:lastRow="0" w:firstColumn="1" w:lastColumn="0" w:noHBand="0" w:noVBand="1"/>
      </w:tblPr>
      <w:tblGrid>
        <w:gridCol w:w="1108"/>
        <w:gridCol w:w="5581"/>
        <w:gridCol w:w="2815"/>
      </w:tblGrid>
      <w:tr w:rsidR="00316E91" w:rsidRPr="00783571" w14:paraId="0BE0772C" w14:textId="77777777" w:rsidTr="00260D8A">
        <w:trPr>
          <w:cantSplit/>
          <w:tblHeader/>
        </w:trPr>
        <w:tc>
          <w:tcPr>
            <w:tcW w:w="583" w:type="pct"/>
            <w:tcBorders>
              <w:top w:val="single" w:sz="12" w:space="0" w:color="auto"/>
              <w:bottom w:val="single" w:sz="6" w:space="0" w:color="auto"/>
            </w:tcBorders>
            <w:shd w:val="clear" w:color="auto" w:fill="auto"/>
            <w:vAlign w:val="bottom"/>
          </w:tcPr>
          <w:p w14:paraId="4A41089E" w14:textId="77777777" w:rsidR="00316E91" w:rsidRPr="00783571" w:rsidRDefault="00316E91" w:rsidP="00935C54">
            <w:pPr>
              <w:pStyle w:val="TableHeaders"/>
              <w:spacing w:before="40" w:after="40"/>
            </w:pPr>
            <w:r w:rsidRPr="00783571">
              <w:t>Number</w:t>
            </w:r>
          </w:p>
        </w:tc>
        <w:tc>
          <w:tcPr>
            <w:tcW w:w="2936" w:type="pct"/>
            <w:tcBorders>
              <w:top w:val="single" w:sz="12" w:space="0" w:color="auto"/>
              <w:bottom w:val="single" w:sz="6" w:space="0" w:color="auto"/>
            </w:tcBorders>
            <w:vAlign w:val="bottom"/>
          </w:tcPr>
          <w:p w14:paraId="3BF484E4" w14:textId="77777777" w:rsidR="00316E91" w:rsidRPr="00783571" w:rsidRDefault="00316E91" w:rsidP="00935C54">
            <w:pPr>
              <w:pStyle w:val="TableHeaders"/>
              <w:spacing w:before="40" w:after="40"/>
            </w:pPr>
            <w:r w:rsidRPr="00783571">
              <w:t>Description</w:t>
            </w:r>
          </w:p>
        </w:tc>
        <w:tc>
          <w:tcPr>
            <w:tcW w:w="1481" w:type="pct"/>
            <w:tcBorders>
              <w:top w:val="single" w:sz="12" w:space="0" w:color="auto"/>
              <w:bottom w:val="single" w:sz="6" w:space="0" w:color="auto"/>
            </w:tcBorders>
            <w:vAlign w:val="bottom"/>
          </w:tcPr>
          <w:p w14:paraId="2E9B0375" w14:textId="77777777" w:rsidR="00316E91" w:rsidRPr="00783571" w:rsidRDefault="00316E91" w:rsidP="00935C54">
            <w:pPr>
              <w:pStyle w:val="TableHeaders"/>
              <w:spacing w:before="40" w:after="40"/>
            </w:pPr>
            <w:r w:rsidRPr="00783571">
              <w:t>Row-Column Designation for Each Compartment</w:t>
            </w:r>
          </w:p>
        </w:tc>
      </w:tr>
      <w:tr w:rsidR="0046162D" w:rsidRPr="00783571" w14:paraId="478380F9" w14:textId="77777777" w:rsidTr="00260D8A">
        <w:trPr>
          <w:cantSplit/>
        </w:trPr>
        <w:tc>
          <w:tcPr>
            <w:tcW w:w="583" w:type="pct"/>
            <w:tcBorders>
              <w:top w:val="single" w:sz="4" w:space="0" w:color="808080" w:themeColor="background1" w:themeShade="80"/>
              <w:bottom w:val="single" w:sz="4" w:space="0" w:color="808080" w:themeColor="background1" w:themeShade="80"/>
            </w:tcBorders>
          </w:tcPr>
          <w:p w14:paraId="0BD981AD" w14:textId="77777777" w:rsidR="0046162D" w:rsidRPr="00783571" w:rsidRDefault="0046162D" w:rsidP="00786484">
            <w:pPr>
              <w:pStyle w:val="TableText"/>
              <w:spacing w:before="40" w:after="40"/>
              <w:jc w:val="center"/>
              <w:rPr>
                <w:szCs w:val="18"/>
              </w:rPr>
            </w:pPr>
            <w:r w:rsidRPr="00783571">
              <w:rPr>
                <w:szCs w:val="18"/>
              </w:rPr>
              <w:t>20</w:t>
            </w:r>
          </w:p>
        </w:tc>
        <w:tc>
          <w:tcPr>
            <w:tcW w:w="2936" w:type="pct"/>
            <w:tcBorders>
              <w:top w:val="single" w:sz="4" w:space="0" w:color="808080" w:themeColor="background1" w:themeShade="80"/>
              <w:bottom w:val="single" w:sz="4" w:space="0" w:color="808080" w:themeColor="background1" w:themeShade="80"/>
            </w:tcBorders>
          </w:tcPr>
          <w:p w14:paraId="32508D22" w14:textId="43C2EFEF" w:rsidR="0046162D" w:rsidRPr="00783571" w:rsidRDefault="0046162D" w:rsidP="00786484">
            <w:pPr>
              <w:pStyle w:val="TableText"/>
              <w:spacing w:before="40" w:after="40"/>
              <w:rPr>
                <w:szCs w:val="18"/>
              </w:rPr>
            </w:pPr>
            <w:r w:rsidRPr="00783571">
              <w:rPr>
                <w:szCs w:val="18"/>
              </w:rPr>
              <w:t>HIV-infected / CD4 200–350 / virally suppressed, which assumes persons are in care and prescribed ART</w:t>
            </w:r>
          </w:p>
        </w:tc>
        <w:tc>
          <w:tcPr>
            <w:tcW w:w="1481" w:type="pct"/>
            <w:tcBorders>
              <w:top w:val="single" w:sz="4" w:space="0" w:color="808080" w:themeColor="background1" w:themeShade="80"/>
              <w:bottom w:val="single" w:sz="4" w:space="0" w:color="808080" w:themeColor="background1" w:themeShade="80"/>
            </w:tcBorders>
          </w:tcPr>
          <w:p w14:paraId="57432F89" w14:textId="77777777" w:rsidR="0046162D" w:rsidRPr="00783571" w:rsidRDefault="0046162D" w:rsidP="00786484">
            <w:pPr>
              <w:pStyle w:val="TableText"/>
              <w:spacing w:before="40" w:after="40"/>
              <w:jc w:val="center"/>
              <w:rPr>
                <w:szCs w:val="18"/>
              </w:rPr>
            </w:pPr>
            <w:r w:rsidRPr="00783571">
              <w:rPr>
                <w:szCs w:val="18"/>
              </w:rPr>
              <w:t>E5</w:t>
            </w:r>
          </w:p>
        </w:tc>
      </w:tr>
      <w:tr w:rsidR="0046162D" w:rsidRPr="00783571" w14:paraId="2DBC15F1" w14:textId="77777777" w:rsidTr="00260D8A">
        <w:trPr>
          <w:cantSplit/>
        </w:trPr>
        <w:tc>
          <w:tcPr>
            <w:tcW w:w="583" w:type="pct"/>
            <w:tcBorders>
              <w:top w:val="single" w:sz="4" w:space="0" w:color="808080" w:themeColor="background1" w:themeShade="80"/>
              <w:bottom w:val="single" w:sz="4" w:space="0" w:color="808080" w:themeColor="background1" w:themeShade="80"/>
            </w:tcBorders>
          </w:tcPr>
          <w:p w14:paraId="1AF7A102" w14:textId="77777777" w:rsidR="0046162D" w:rsidRPr="00783571" w:rsidRDefault="0046162D" w:rsidP="00786484">
            <w:pPr>
              <w:pStyle w:val="TableText"/>
              <w:spacing w:before="40" w:after="40"/>
              <w:jc w:val="center"/>
              <w:rPr>
                <w:szCs w:val="18"/>
              </w:rPr>
            </w:pPr>
            <w:r w:rsidRPr="00783571">
              <w:rPr>
                <w:szCs w:val="18"/>
              </w:rPr>
              <w:t>21</w:t>
            </w:r>
          </w:p>
        </w:tc>
        <w:tc>
          <w:tcPr>
            <w:tcW w:w="2936" w:type="pct"/>
            <w:tcBorders>
              <w:top w:val="single" w:sz="4" w:space="0" w:color="808080" w:themeColor="background1" w:themeShade="80"/>
              <w:bottom w:val="single" w:sz="4" w:space="0" w:color="808080" w:themeColor="background1" w:themeShade="80"/>
            </w:tcBorders>
          </w:tcPr>
          <w:p w14:paraId="28E88752" w14:textId="24B8F29F" w:rsidR="0046162D" w:rsidRPr="00783571" w:rsidRDefault="0046162D" w:rsidP="00786484">
            <w:pPr>
              <w:pStyle w:val="TableText"/>
              <w:spacing w:before="40" w:after="40"/>
              <w:rPr>
                <w:szCs w:val="18"/>
              </w:rPr>
            </w:pPr>
            <w:r w:rsidRPr="00783571">
              <w:rPr>
                <w:szCs w:val="18"/>
              </w:rPr>
              <w:t>HIV-infected / CD4 &lt; 200 / unaware of infection</w:t>
            </w:r>
          </w:p>
        </w:tc>
        <w:tc>
          <w:tcPr>
            <w:tcW w:w="1481" w:type="pct"/>
            <w:tcBorders>
              <w:top w:val="single" w:sz="4" w:space="0" w:color="808080" w:themeColor="background1" w:themeShade="80"/>
              <w:bottom w:val="single" w:sz="4" w:space="0" w:color="808080" w:themeColor="background1" w:themeShade="80"/>
            </w:tcBorders>
          </w:tcPr>
          <w:p w14:paraId="7B9C141A" w14:textId="77777777" w:rsidR="0046162D" w:rsidRPr="00783571" w:rsidRDefault="0046162D" w:rsidP="00786484">
            <w:pPr>
              <w:pStyle w:val="TableText"/>
              <w:spacing w:before="40" w:after="40"/>
              <w:jc w:val="center"/>
              <w:rPr>
                <w:szCs w:val="18"/>
              </w:rPr>
            </w:pPr>
            <w:r w:rsidRPr="00783571">
              <w:rPr>
                <w:szCs w:val="18"/>
              </w:rPr>
              <w:t>F1</w:t>
            </w:r>
          </w:p>
        </w:tc>
      </w:tr>
      <w:tr w:rsidR="0046162D" w:rsidRPr="00783571" w14:paraId="7436D72C" w14:textId="77777777" w:rsidTr="00260D8A">
        <w:trPr>
          <w:cantSplit/>
        </w:trPr>
        <w:tc>
          <w:tcPr>
            <w:tcW w:w="583" w:type="pct"/>
            <w:tcBorders>
              <w:top w:val="single" w:sz="4" w:space="0" w:color="808080" w:themeColor="background1" w:themeShade="80"/>
              <w:bottom w:val="single" w:sz="4" w:space="0" w:color="808080" w:themeColor="background1" w:themeShade="80"/>
            </w:tcBorders>
          </w:tcPr>
          <w:p w14:paraId="23A298FE" w14:textId="77777777" w:rsidR="0046162D" w:rsidRPr="00783571" w:rsidRDefault="0046162D" w:rsidP="00786484">
            <w:pPr>
              <w:pStyle w:val="TableText"/>
              <w:spacing w:before="40" w:after="40"/>
              <w:jc w:val="center"/>
              <w:rPr>
                <w:szCs w:val="18"/>
              </w:rPr>
            </w:pPr>
            <w:r w:rsidRPr="00783571">
              <w:rPr>
                <w:szCs w:val="18"/>
              </w:rPr>
              <w:t>22</w:t>
            </w:r>
          </w:p>
        </w:tc>
        <w:tc>
          <w:tcPr>
            <w:tcW w:w="2936" w:type="pct"/>
            <w:tcBorders>
              <w:top w:val="single" w:sz="4" w:space="0" w:color="808080" w:themeColor="background1" w:themeShade="80"/>
              <w:bottom w:val="single" w:sz="4" w:space="0" w:color="808080" w:themeColor="background1" w:themeShade="80"/>
            </w:tcBorders>
          </w:tcPr>
          <w:p w14:paraId="2FD404F7" w14:textId="111BCC15" w:rsidR="0046162D" w:rsidRPr="00783571" w:rsidRDefault="0046162D" w:rsidP="00786484">
            <w:pPr>
              <w:pStyle w:val="TableText"/>
              <w:spacing w:before="40" w:after="40"/>
              <w:rPr>
                <w:szCs w:val="18"/>
              </w:rPr>
            </w:pPr>
            <w:r w:rsidRPr="00783571">
              <w:rPr>
                <w:szCs w:val="18"/>
              </w:rPr>
              <w:t>HIV-infected / CD4 &lt; 200 (AIDS) / aware,</w:t>
            </w:r>
            <w:r w:rsidRPr="00783571">
              <w:t xml:space="preserve"> </w:t>
            </w:r>
            <w:r w:rsidRPr="00783571">
              <w:rPr>
                <w:szCs w:val="18"/>
              </w:rPr>
              <w:t>but not linked to HIV care</w:t>
            </w:r>
          </w:p>
        </w:tc>
        <w:tc>
          <w:tcPr>
            <w:tcW w:w="1481" w:type="pct"/>
            <w:tcBorders>
              <w:top w:val="single" w:sz="4" w:space="0" w:color="808080" w:themeColor="background1" w:themeShade="80"/>
              <w:bottom w:val="single" w:sz="4" w:space="0" w:color="808080" w:themeColor="background1" w:themeShade="80"/>
            </w:tcBorders>
          </w:tcPr>
          <w:p w14:paraId="73CF5683" w14:textId="77777777" w:rsidR="0046162D" w:rsidRPr="00783571" w:rsidRDefault="0046162D" w:rsidP="00786484">
            <w:pPr>
              <w:pStyle w:val="TableText"/>
              <w:spacing w:before="40" w:after="40"/>
              <w:jc w:val="center"/>
              <w:rPr>
                <w:szCs w:val="18"/>
              </w:rPr>
            </w:pPr>
            <w:r w:rsidRPr="00783571">
              <w:rPr>
                <w:szCs w:val="18"/>
              </w:rPr>
              <w:t>F2</w:t>
            </w:r>
          </w:p>
        </w:tc>
      </w:tr>
      <w:tr w:rsidR="0046162D" w:rsidRPr="00783571" w14:paraId="70143AD4" w14:textId="77777777" w:rsidTr="00260D8A">
        <w:trPr>
          <w:cantSplit/>
        </w:trPr>
        <w:tc>
          <w:tcPr>
            <w:tcW w:w="583" w:type="pct"/>
            <w:tcBorders>
              <w:top w:val="single" w:sz="4" w:space="0" w:color="808080" w:themeColor="background1" w:themeShade="80"/>
              <w:bottom w:val="single" w:sz="4" w:space="0" w:color="808080" w:themeColor="background1" w:themeShade="80"/>
            </w:tcBorders>
          </w:tcPr>
          <w:p w14:paraId="76E9AF4A" w14:textId="77777777" w:rsidR="0046162D" w:rsidRPr="00783571" w:rsidRDefault="0046162D" w:rsidP="00786484">
            <w:pPr>
              <w:pStyle w:val="TableText"/>
              <w:spacing w:before="40" w:after="40"/>
              <w:jc w:val="center"/>
              <w:rPr>
                <w:szCs w:val="18"/>
              </w:rPr>
            </w:pPr>
            <w:r w:rsidRPr="00783571">
              <w:rPr>
                <w:szCs w:val="18"/>
              </w:rPr>
              <w:t>23</w:t>
            </w:r>
          </w:p>
        </w:tc>
        <w:tc>
          <w:tcPr>
            <w:tcW w:w="2936" w:type="pct"/>
            <w:tcBorders>
              <w:top w:val="single" w:sz="4" w:space="0" w:color="808080" w:themeColor="background1" w:themeShade="80"/>
              <w:bottom w:val="single" w:sz="4" w:space="0" w:color="808080" w:themeColor="background1" w:themeShade="80"/>
            </w:tcBorders>
          </w:tcPr>
          <w:p w14:paraId="7DF690E8" w14:textId="3AE08F28" w:rsidR="0046162D" w:rsidRPr="00783571" w:rsidRDefault="0046162D" w:rsidP="00786484">
            <w:pPr>
              <w:pStyle w:val="TableText"/>
              <w:spacing w:before="40" w:after="40"/>
              <w:rPr>
                <w:szCs w:val="18"/>
              </w:rPr>
            </w:pPr>
            <w:r w:rsidRPr="00783571">
              <w:rPr>
                <w:szCs w:val="18"/>
              </w:rPr>
              <w:t>HIV-infected / CD4 &lt; 200 (AIDS) / linked to HIV care, but not prescribed ART</w:t>
            </w:r>
          </w:p>
        </w:tc>
        <w:tc>
          <w:tcPr>
            <w:tcW w:w="1481" w:type="pct"/>
            <w:tcBorders>
              <w:top w:val="single" w:sz="4" w:space="0" w:color="808080" w:themeColor="background1" w:themeShade="80"/>
              <w:bottom w:val="single" w:sz="4" w:space="0" w:color="808080" w:themeColor="background1" w:themeShade="80"/>
            </w:tcBorders>
          </w:tcPr>
          <w:p w14:paraId="77220B30" w14:textId="77777777" w:rsidR="0046162D" w:rsidRPr="00783571" w:rsidRDefault="0046162D" w:rsidP="00786484">
            <w:pPr>
              <w:pStyle w:val="TableText"/>
              <w:spacing w:before="40" w:after="40"/>
              <w:jc w:val="center"/>
              <w:rPr>
                <w:szCs w:val="18"/>
              </w:rPr>
            </w:pPr>
            <w:r w:rsidRPr="00783571">
              <w:rPr>
                <w:szCs w:val="18"/>
              </w:rPr>
              <w:t>F3</w:t>
            </w:r>
          </w:p>
        </w:tc>
      </w:tr>
      <w:tr w:rsidR="009171BE" w:rsidRPr="00783571" w14:paraId="589124A0" w14:textId="48D910CD" w:rsidTr="00260D8A">
        <w:trPr>
          <w:cantSplit/>
        </w:trPr>
        <w:tc>
          <w:tcPr>
            <w:tcW w:w="583" w:type="pct"/>
            <w:tcBorders>
              <w:top w:val="single" w:sz="4" w:space="0" w:color="808080" w:themeColor="background1" w:themeShade="80"/>
              <w:bottom w:val="single" w:sz="4" w:space="0" w:color="808080" w:themeColor="background1" w:themeShade="80"/>
            </w:tcBorders>
          </w:tcPr>
          <w:p w14:paraId="2923F180" w14:textId="77777777" w:rsidR="009171BE" w:rsidRPr="00783571" w:rsidRDefault="009171BE" w:rsidP="00697525">
            <w:pPr>
              <w:pStyle w:val="TableText"/>
              <w:spacing w:before="40" w:after="40"/>
              <w:jc w:val="center"/>
              <w:rPr>
                <w:szCs w:val="18"/>
              </w:rPr>
            </w:pPr>
            <w:r w:rsidRPr="00783571">
              <w:rPr>
                <w:szCs w:val="18"/>
              </w:rPr>
              <w:t>24</w:t>
            </w:r>
          </w:p>
        </w:tc>
        <w:tc>
          <w:tcPr>
            <w:tcW w:w="2936" w:type="pct"/>
            <w:tcBorders>
              <w:top w:val="single" w:sz="4" w:space="0" w:color="808080" w:themeColor="background1" w:themeShade="80"/>
              <w:bottom w:val="single" w:sz="4" w:space="0" w:color="808080" w:themeColor="background1" w:themeShade="80"/>
            </w:tcBorders>
          </w:tcPr>
          <w:p w14:paraId="62F47DF6" w14:textId="5A12DC52"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 &lt; 200 (AIDS) / </w:t>
            </w:r>
            <w:r w:rsidR="002F0073" w:rsidRPr="00783571">
              <w:rPr>
                <w:szCs w:val="18"/>
              </w:rPr>
              <w:t>prescribed ART, but not virally suppressed</w:t>
            </w:r>
          </w:p>
        </w:tc>
        <w:tc>
          <w:tcPr>
            <w:tcW w:w="1481" w:type="pct"/>
            <w:tcBorders>
              <w:top w:val="single" w:sz="4" w:space="0" w:color="808080" w:themeColor="background1" w:themeShade="80"/>
              <w:bottom w:val="single" w:sz="4" w:space="0" w:color="808080" w:themeColor="background1" w:themeShade="80"/>
            </w:tcBorders>
          </w:tcPr>
          <w:p w14:paraId="4A665BDE" w14:textId="276762E3" w:rsidR="009171BE" w:rsidRPr="00783571" w:rsidRDefault="005F7B71" w:rsidP="00697525">
            <w:pPr>
              <w:pStyle w:val="TableText"/>
              <w:spacing w:before="40" w:after="40"/>
              <w:jc w:val="center"/>
              <w:rPr>
                <w:szCs w:val="18"/>
              </w:rPr>
            </w:pPr>
            <w:r w:rsidRPr="00783571">
              <w:rPr>
                <w:szCs w:val="18"/>
              </w:rPr>
              <w:t>F4</w:t>
            </w:r>
          </w:p>
        </w:tc>
      </w:tr>
      <w:tr w:rsidR="009171BE" w:rsidRPr="00783571" w14:paraId="3C71C099" w14:textId="53DF33DB" w:rsidTr="00260D8A">
        <w:trPr>
          <w:cantSplit/>
        </w:trPr>
        <w:tc>
          <w:tcPr>
            <w:tcW w:w="583" w:type="pct"/>
            <w:tcBorders>
              <w:top w:val="single" w:sz="4" w:space="0" w:color="808080" w:themeColor="background1" w:themeShade="80"/>
              <w:bottom w:val="single" w:sz="4" w:space="0" w:color="808080" w:themeColor="background1" w:themeShade="80"/>
            </w:tcBorders>
          </w:tcPr>
          <w:p w14:paraId="5336FB4B" w14:textId="77777777" w:rsidR="009171BE" w:rsidRPr="00783571" w:rsidRDefault="009171BE" w:rsidP="00697525">
            <w:pPr>
              <w:pStyle w:val="TableText"/>
              <w:spacing w:before="40" w:after="40"/>
              <w:jc w:val="center"/>
              <w:rPr>
                <w:szCs w:val="18"/>
              </w:rPr>
            </w:pPr>
            <w:r w:rsidRPr="00783571">
              <w:rPr>
                <w:szCs w:val="18"/>
              </w:rPr>
              <w:t>25</w:t>
            </w:r>
          </w:p>
        </w:tc>
        <w:tc>
          <w:tcPr>
            <w:tcW w:w="2936" w:type="pct"/>
            <w:tcBorders>
              <w:top w:val="single" w:sz="4" w:space="0" w:color="808080" w:themeColor="background1" w:themeShade="80"/>
              <w:bottom w:val="single" w:sz="4" w:space="0" w:color="808080" w:themeColor="background1" w:themeShade="80"/>
            </w:tcBorders>
          </w:tcPr>
          <w:p w14:paraId="7F535F08" w14:textId="77296B5D" w:rsidR="009171BE" w:rsidRPr="00783571" w:rsidRDefault="005F5C70" w:rsidP="00F259E1">
            <w:pPr>
              <w:pStyle w:val="TableText"/>
              <w:spacing w:before="40" w:after="40"/>
              <w:rPr>
                <w:szCs w:val="18"/>
              </w:rPr>
            </w:pPr>
            <w:r w:rsidRPr="00783571">
              <w:rPr>
                <w:szCs w:val="18"/>
              </w:rPr>
              <w:t>HIV-infected</w:t>
            </w:r>
            <w:r w:rsidR="009171BE" w:rsidRPr="00783571">
              <w:rPr>
                <w:szCs w:val="18"/>
              </w:rPr>
              <w:t xml:space="preserve"> / CD4 &lt; 200 (AIDS) / </w:t>
            </w:r>
            <w:r w:rsidR="00DC18BA" w:rsidRPr="00783571">
              <w:rPr>
                <w:szCs w:val="18"/>
              </w:rPr>
              <w:t>virally suppressed, which assumes persons are in care and prescribed ART</w:t>
            </w:r>
          </w:p>
        </w:tc>
        <w:tc>
          <w:tcPr>
            <w:tcW w:w="1481" w:type="pct"/>
            <w:tcBorders>
              <w:top w:val="single" w:sz="4" w:space="0" w:color="808080" w:themeColor="background1" w:themeShade="80"/>
              <w:bottom w:val="single" w:sz="4" w:space="0" w:color="808080" w:themeColor="background1" w:themeShade="80"/>
            </w:tcBorders>
          </w:tcPr>
          <w:p w14:paraId="34D53B17" w14:textId="3748D38E" w:rsidR="009171BE" w:rsidRPr="00783571" w:rsidRDefault="005F7B71" w:rsidP="00752013">
            <w:pPr>
              <w:pStyle w:val="TableText"/>
              <w:spacing w:before="40" w:after="40"/>
              <w:jc w:val="center"/>
              <w:rPr>
                <w:szCs w:val="18"/>
              </w:rPr>
            </w:pPr>
            <w:r w:rsidRPr="00783571">
              <w:rPr>
                <w:szCs w:val="18"/>
              </w:rPr>
              <w:t>F5</w:t>
            </w:r>
          </w:p>
        </w:tc>
      </w:tr>
      <w:tr w:rsidR="009171BE" w:rsidRPr="00783571" w14:paraId="7FC1F092" w14:textId="7348B5B9" w:rsidTr="00260D8A">
        <w:trPr>
          <w:cantSplit/>
        </w:trPr>
        <w:tc>
          <w:tcPr>
            <w:tcW w:w="583" w:type="pct"/>
            <w:tcBorders>
              <w:top w:val="single" w:sz="4" w:space="0" w:color="808080" w:themeColor="background1" w:themeShade="80"/>
              <w:bottom w:val="single" w:sz="4" w:space="0" w:color="808080" w:themeColor="background1" w:themeShade="80"/>
            </w:tcBorders>
          </w:tcPr>
          <w:p w14:paraId="72F68FCF" w14:textId="77777777" w:rsidR="009171BE" w:rsidRPr="00783571" w:rsidRDefault="009171BE" w:rsidP="00697525">
            <w:pPr>
              <w:pStyle w:val="TableText"/>
              <w:spacing w:before="40" w:after="40"/>
              <w:jc w:val="center"/>
              <w:rPr>
                <w:szCs w:val="18"/>
              </w:rPr>
            </w:pPr>
            <w:r w:rsidRPr="00783571">
              <w:rPr>
                <w:szCs w:val="18"/>
              </w:rPr>
              <w:t>26</w:t>
            </w:r>
          </w:p>
        </w:tc>
        <w:tc>
          <w:tcPr>
            <w:tcW w:w="2936" w:type="pct"/>
            <w:tcBorders>
              <w:top w:val="single" w:sz="4" w:space="0" w:color="808080" w:themeColor="background1" w:themeShade="80"/>
              <w:bottom w:val="single" w:sz="4" w:space="0" w:color="808080" w:themeColor="background1" w:themeShade="80"/>
            </w:tcBorders>
          </w:tcPr>
          <w:p w14:paraId="77F7FD6B" w14:textId="3810E348" w:rsidR="009171BE" w:rsidRPr="00783571" w:rsidRDefault="009171BE" w:rsidP="00D5314C">
            <w:pPr>
              <w:pStyle w:val="TableText"/>
              <w:spacing w:before="40" w:after="40"/>
              <w:rPr>
                <w:szCs w:val="18"/>
              </w:rPr>
            </w:pPr>
            <w:r w:rsidRPr="00783571">
              <w:rPr>
                <w:szCs w:val="18"/>
              </w:rPr>
              <w:t>Death due to non-</w:t>
            </w:r>
            <w:r w:rsidR="00D5314C" w:rsidRPr="00783571">
              <w:rPr>
                <w:szCs w:val="18"/>
              </w:rPr>
              <w:t>HIV</w:t>
            </w:r>
            <w:r w:rsidRPr="00783571">
              <w:rPr>
                <w:szCs w:val="18"/>
              </w:rPr>
              <w:t>-related cause</w:t>
            </w:r>
          </w:p>
        </w:tc>
        <w:tc>
          <w:tcPr>
            <w:tcW w:w="1481" w:type="pct"/>
            <w:tcBorders>
              <w:top w:val="single" w:sz="4" w:space="0" w:color="808080" w:themeColor="background1" w:themeShade="80"/>
              <w:bottom w:val="single" w:sz="4" w:space="0" w:color="808080" w:themeColor="background1" w:themeShade="80"/>
            </w:tcBorders>
          </w:tcPr>
          <w:p w14:paraId="47706847" w14:textId="43885A27" w:rsidR="009171BE" w:rsidRPr="00783571" w:rsidRDefault="00712562" w:rsidP="00752013">
            <w:pPr>
              <w:pStyle w:val="TableText"/>
              <w:spacing w:before="40" w:after="40"/>
              <w:jc w:val="center"/>
              <w:rPr>
                <w:szCs w:val="18"/>
              </w:rPr>
            </w:pPr>
            <w:r w:rsidRPr="00783571">
              <w:rPr>
                <w:szCs w:val="18"/>
              </w:rPr>
              <w:t>N/A</w:t>
            </w:r>
          </w:p>
        </w:tc>
      </w:tr>
      <w:tr w:rsidR="009171BE" w:rsidRPr="00783571" w14:paraId="7011D3AD" w14:textId="3E5D3F30" w:rsidTr="00260D8A">
        <w:trPr>
          <w:cantSplit/>
        </w:trPr>
        <w:tc>
          <w:tcPr>
            <w:tcW w:w="583" w:type="pct"/>
            <w:tcBorders>
              <w:top w:val="single" w:sz="4" w:space="0" w:color="808080" w:themeColor="background1" w:themeShade="80"/>
              <w:bottom w:val="single" w:sz="4" w:space="0" w:color="808080" w:themeColor="background1" w:themeShade="80"/>
            </w:tcBorders>
          </w:tcPr>
          <w:p w14:paraId="4E37173C" w14:textId="77777777" w:rsidR="009171BE" w:rsidRPr="00783571" w:rsidRDefault="009171BE" w:rsidP="00697525">
            <w:pPr>
              <w:pStyle w:val="TableText"/>
              <w:spacing w:before="40" w:after="40"/>
              <w:jc w:val="center"/>
              <w:rPr>
                <w:szCs w:val="18"/>
              </w:rPr>
            </w:pPr>
            <w:r w:rsidRPr="00783571">
              <w:rPr>
                <w:szCs w:val="18"/>
              </w:rPr>
              <w:t>27</w:t>
            </w:r>
          </w:p>
        </w:tc>
        <w:tc>
          <w:tcPr>
            <w:tcW w:w="2936" w:type="pct"/>
            <w:tcBorders>
              <w:top w:val="single" w:sz="4" w:space="0" w:color="808080" w:themeColor="background1" w:themeShade="80"/>
              <w:bottom w:val="single" w:sz="4" w:space="0" w:color="808080" w:themeColor="background1" w:themeShade="80"/>
            </w:tcBorders>
          </w:tcPr>
          <w:p w14:paraId="32833EED" w14:textId="77777777" w:rsidR="009171BE" w:rsidRPr="00783571" w:rsidRDefault="009171BE" w:rsidP="00F259E1">
            <w:pPr>
              <w:pStyle w:val="TableText"/>
              <w:spacing w:before="40" w:after="40"/>
              <w:rPr>
                <w:szCs w:val="18"/>
              </w:rPr>
            </w:pPr>
            <w:r w:rsidRPr="00783571">
              <w:rPr>
                <w:szCs w:val="18"/>
              </w:rPr>
              <w:t>Death from causes related to AIDS</w:t>
            </w:r>
          </w:p>
        </w:tc>
        <w:tc>
          <w:tcPr>
            <w:tcW w:w="1481" w:type="pct"/>
            <w:tcBorders>
              <w:top w:val="single" w:sz="4" w:space="0" w:color="808080" w:themeColor="background1" w:themeShade="80"/>
              <w:bottom w:val="single" w:sz="4" w:space="0" w:color="808080" w:themeColor="background1" w:themeShade="80"/>
            </w:tcBorders>
          </w:tcPr>
          <w:p w14:paraId="1A4DF4A6" w14:textId="41B10313" w:rsidR="009171BE" w:rsidRPr="00783571" w:rsidRDefault="00712562" w:rsidP="00752013">
            <w:pPr>
              <w:pStyle w:val="TableText"/>
              <w:spacing w:before="40" w:after="40"/>
              <w:jc w:val="center"/>
              <w:rPr>
                <w:szCs w:val="18"/>
              </w:rPr>
            </w:pPr>
            <w:r w:rsidRPr="00783571">
              <w:rPr>
                <w:szCs w:val="18"/>
              </w:rPr>
              <w:t>N/A</w:t>
            </w:r>
          </w:p>
        </w:tc>
      </w:tr>
      <w:tr w:rsidR="009171BE" w:rsidRPr="00783571" w14:paraId="53BD133B" w14:textId="3BAF4079" w:rsidTr="00260D8A">
        <w:trPr>
          <w:cantSplit/>
        </w:trPr>
        <w:tc>
          <w:tcPr>
            <w:tcW w:w="583" w:type="pct"/>
            <w:tcBorders>
              <w:top w:val="single" w:sz="4" w:space="0" w:color="808080" w:themeColor="background1" w:themeShade="80"/>
              <w:bottom w:val="single" w:sz="12" w:space="0" w:color="auto"/>
            </w:tcBorders>
          </w:tcPr>
          <w:p w14:paraId="76F27BEC" w14:textId="77777777" w:rsidR="009171BE" w:rsidRPr="00783571" w:rsidRDefault="009171BE" w:rsidP="00697525">
            <w:pPr>
              <w:pStyle w:val="TableText"/>
              <w:spacing w:before="40" w:after="40"/>
              <w:jc w:val="center"/>
              <w:rPr>
                <w:szCs w:val="18"/>
              </w:rPr>
            </w:pPr>
            <w:r w:rsidRPr="00783571">
              <w:rPr>
                <w:szCs w:val="18"/>
              </w:rPr>
              <w:t>28</w:t>
            </w:r>
          </w:p>
        </w:tc>
        <w:tc>
          <w:tcPr>
            <w:tcW w:w="2936" w:type="pct"/>
            <w:tcBorders>
              <w:top w:val="single" w:sz="4" w:space="0" w:color="808080" w:themeColor="background1" w:themeShade="80"/>
              <w:bottom w:val="single" w:sz="12" w:space="0" w:color="auto"/>
            </w:tcBorders>
          </w:tcPr>
          <w:p w14:paraId="4F88F21D" w14:textId="77777777" w:rsidR="009171BE" w:rsidRPr="00783571" w:rsidRDefault="009171BE" w:rsidP="00F259E1">
            <w:pPr>
              <w:pStyle w:val="TableText"/>
              <w:spacing w:before="40" w:after="40"/>
              <w:rPr>
                <w:szCs w:val="18"/>
              </w:rPr>
            </w:pPr>
            <w:r w:rsidRPr="00783571">
              <w:rPr>
                <w:szCs w:val="18"/>
              </w:rPr>
              <w:t xml:space="preserve">Aged out of the population </w:t>
            </w:r>
          </w:p>
        </w:tc>
        <w:tc>
          <w:tcPr>
            <w:tcW w:w="1481" w:type="pct"/>
            <w:tcBorders>
              <w:top w:val="single" w:sz="4" w:space="0" w:color="808080" w:themeColor="background1" w:themeShade="80"/>
              <w:bottom w:val="single" w:sz="12" w:space="0" w:color="auto"/>
            </w:tcBorders>
          </w:tcPr>
          <w:p w14:paraId="4D493653" w14:textId="196E4AAF" w:rsidR="009171BE" w:rsidRPr="00783571" w:rsidRDefault="00712562" w:rsidP="00752013">
            <w:pPr>
              <w:pStyle w:val="TableText"/>
              <w:spacing w:before="40" w:after="40"/>
              <w:jc w:val="center"/>
              <w:rPr>
                <w:szCs w:val="18"/>
              </w:rPr>
            </w:pPr>
            <w:r w:rsidRPr="00783571">
              <w:rPr>
                <w:szCs w:val="18"/>
              </w:rPr>
              <w:t>N/A</w:t>
            </w:r>
          </w:p>
        </w:tc>
      </w:tr>
    </w:tbl>
    <w:p w14:paraId="1797B054" w14:textId="47EB8770" w:rsidR="002B180E" w:rsidRPr="00783571" w:rsidRDefault="00697525" w:rsidP="00712562">
      <w:pPr>
        <w:pStyle w:val="Source1"/>
      </w:pPr>
      <w:r w:rsidRPr="00783571">
        <w:t xml:space="preserve">Note: </w:t>
      </w:r>
      <w:r w:rsidR="00AC6001" w:rsidRPr="00783571">
        <w:t>ART</w:t>
      </w:r>
      <w:r w:rsidR="00E628BE" w:rsidRPr="00783571">
        <w:t> = </w:t>
      </w:r>
      <w:r w:rsidR="00AC6001" w:rsidRPr="00783571">
        <w:t xml:space="preserve">antiretroviral therapy; </w:t>
      </w:r>
      <w:r w:rsidR="000E7EEC" w:rsidRPr="00783571">
        <w:t>PrEP</w:t>
      </w:r>
      <w:r w:rsidR="00E628BE" w:rsidRPr="00783571">
        <w:t> = </w:t>
      </w:r>
      <w:r w:rsidR="000E7EEC" w:rsidRPr="00783571">
        <w:t xml:space="preserve">pre-exposure prophylaxis; </w:t>
      </w:r>
      <w:r w:rsidR="00712562" w:rsidRPr="00783571">
        <w:t xml:space="preserve">N/A </w:t>
      </w:r>
      <w:r w:rsidR="00732A1D" w:rsidRPr="00783571">
        <w:t>= not applicable</w:t>
      </w:r>
    </w:p>
    <w:p w14:paraId="31543D97" w14:textId="77777777" w:rsidR="00336761" w:rsidRPr="00783571" w:rsidRDefault="00336761" w:rsidP="00336761">
      <w:pPr>
        <w:pStyle w:val="Heading2"/>
      </w:pPr>
      <w:bookmarkStart w:id="75" w:name="_Toc401148179"/>
      <w:bookmarkStart w:id="76" w:name="_Toc401215323"/>
      <w:bookmarkStart w:id="77" w:name="_Toc403720522"/>
      <w:bookmarkStart w:id="78" w:name="_Toc403720563"/>
      <w:bookmarkStart w:id="79" w:name="_Toc403727668"/>
      <w:bookmarkStart w:id="80" w:name="_Toc403727705"/>
      <w:bookmarkStart w:id="81" w:name="_Toc403731230"/>
      <w:bookmarkStart w:id="82" w:name="_Toc398293126"/>
      <w:bookmarkStart w:id="83" w:name="_Toc510104463"/>
      <w:bookmarkEnd w:id="75"/>
      <w:bookmarkEnd w:id="76"/>
      <w:bookmarkEnd w:id="77"/>
      <w:bookmarkEnd w:id="78"/>
      <w:bookmarkEnd w:id="79"/>
      <w:bookmarkEnd w:id="80"/>
      <w:bookmarkEnd w:id="81"/>
      <w:r w:rsidRPr="00783571">
        <w:t>Number of Susceptible Individuals</w:t>
      </w:r>
      <w:bookmarkEnd w:id="82"/>
      <w:bookmarkEnd w:id="83"/>
    </w:p>
    <w:p w14:paraId="07CB90BE" w14:textId="2872D774" w:rsidR="00336761" w:rsidRPr="00783571" w:rsidRDefault="00336761" w:rsidP="00766A8C">
      <w:pPr>
        <w:pStyle w:val="BodyText"/>
      </w:pPr>
      <w:r w:rsidRPr="00783571">
        <w:t>The number</w:t>
      </w:r>
      <w:r w:rsidR="00697525" w:rsidRPr="00783571">
        <w:t>s</w:t>
      </w:r>
      <w:r w:rsidRPr="00783571">
        <w:t xml:space="preserve"> of susceptible individuals </w:t>
      </w:r>
      <w:r w:rsidR="000E7EEC" w:rsidRPr="00783571">
        <w:t xml:space="preserve">not on PrEP </w:t>
      </w:r>
      <w:r w:rsidRPr="00783571">
        <w:t>(</w:t>
      </w:r>
      <w:r w:rsidR="00AC6001" w:rsidRPr="00783571">
        <w:rPr>
          <w:i/>
          <w:iCs/>
        </w:rPr>
        <w:t>c</w:t>
      </w:r>
      <w:r w:rsidR="00E628BE" w:rsidRPr="00783571">
        <w:rPr>
          <w:i/>
          <w:iCs/>
        </w:rPr>
        <w:t> = </w:t>
      </w:r>
      <w:r w:rsidR="00AC6001" w:rsidRPr="00783571">
        <w:t>1</w:t>
      </w:r>
      <w:r w:rsidRPr="00783571">
        <w:t>)</w:t>
      </w:r>
      <w:r w:rsidR="00BE4D99" w:rsidRPr="00783571">
        <w:t xml:space="preserve"> and on PrEP (c</w:t>
      </w:r>
      <w:r w:rsidR="00E628BE" w:rsidRPr="00783571">
        <w:t> = </w:t>
      </w:r>
      <w:r w:rsidR="00BE4D99" w:rsidRPr="00783571">
        <w:t>2)</w:t>
      </w:r>
      <w:r w:rsidRPr="00783571">
        <w:t xml:space="preserve"> within each subpopulation </w:t>
      </w:r>
      <w:r w:rsidRPr="00783571">
        <w:rPr>
          <w:i/>
          <w:iCs/>
        </w:rPr>
        <w:t xml:space="preserve">p </w:t>
      </w:r>
      <w:r w:rsidR="00BE4D99" w:rsidRPr="00783571">
        <w:t>are</w:t>
      </w:r>
      <w:r w:rsidRPr="00783571">
        <w:t xml:space="preserve"> determined by Equation</w:t>
      </w:r>
      <w:r w:rsidR="00BE4D99" w:rsidRPr="00783571">
        <w:t>s</w:t>
      </w:r>
      <w:r w:rsidRPr="00783571">
        <w:t xml:space="preserve"> </w:t>
      </w:r>
      <w:r w:rsidR="008B30F8" w:rsidRPr="00783571">
        <w:t>(</w:t>
      </w:r>
      <w:r w:rsidR="00FF381E" w:rsidRPr="00783571">
        <w:t>7</w:t>
      </w:r>
      <w:r w:rsidR="00F259E1" w:rsidRPr="00783571">
        <w:t>.</w:t>
      </w:r>
      <w:r w:rsidR="00FF381E" w:rsidRPr="00783571">
        <w:t>1</w:t>
      </w:r>
      <w:r w:rsidR="008B30F8" w:rsidRPr="00783571">
        <w:t>)</w:t>
      </w:r>
      <w:r w:rsidR="00BE4D99" w:rsidRPr="00783571">
        <w:t xml:space="preserve"> and (7.2), respectively</w:t>
      </w:r>
      <w:r w:rsidRPr="00783571">
        <w:t xml:space="preserve">. </w:t>
      </w:r>
      <w:r w:rsidR="00BE4D99" w:rsidRPr="00783571">
        <w:t>For individuals not on PrEP, t</w:t>
      </w:r>
      <w:r w:rsidRPr="00783571">
        <w:t>he number of susceptible individuals increases by aging into the observed population</w:t>
      </w:r>
      <w:r w:rsidR="000E7EEC" w:rsidRPr="00783571">
        <w:t xml:space="preserve"> and susceptible individuals on PrEP </w:t>
      </w:r>
      <w:r w:rsidR="00766A8C" w:rsidRPr="00783571">
        <w:t>stopping</w:t>
      </w:r>
      <w:r w:rsidR="000E7EEC" w:rsidRPr="00783571">
        <w:t xml:space="preserve"> PrEP</w:t>
      </w:r>
      <w:r w:rsidR="007437CC" w:rsidRPr="00783571">
        <w:t xml:space="preserve"> and</w:t>
      </w:r>
      <w:r w:rsidRPr="00783571">
        <w:t xml:space="preserve"> decreases due to </w:t>
      </w:r>
      <w:r w:rsidR="000E7EEC" w:rsidRPr="00783571">
        <w:t>PrEP initiation</w:t>
      </w:r>
      <w:r w:rsidRPr="00783571">
        <w:t xml:space="preserve">. </w:t>
      </w:r>
      <w:r w:rsidR="007437CC" w:rsidRPr="00783571">
        <w:t xml:space="preserve">The number of susceptible individuals on PrEP increases due to initiation of PrEP and decreases due to </w:t>
      </w:r>
      <w:r w:rsidR="00766A8C" w:rsidRPr="00783571">
        <w:t>stopping</w:t>
      </w:r>
      <w:r w:rsidR="007437CC" w:rsidRPr="00783571">
        <w:t xml:space="preserve"> PrEP. For both compartments, the number of susceptible individuals decreases by HIV infection, death from causes other than AIDS, or aging out of the modeled population. </w:t>
      </w:r>
      <w:r w:rsidR="00BE4D99" w:rsidRPr="00783571">
        <w:t xml:space="preserve">For both compartments, as well as all other </w:t>
      </w:r>
      <w:r w:rsidR="00BE4D99" w:rsidRPr="00783571">
        <w:rPr>
          <w:i/>
          <w:iCs/>
        </w:rPr>
        <w:t>c</w:t>
      </w:r>
      <w:r w:rsidR="00BE4D99" w:rsidRPr="00783571">
        <w:t>, a</w:t>
      </w:r>
      <w:r w:rsidRPr="00783571">
        <w:t>ging also shifts individuals between age groups.</w:t>
      </w:r>
    </w:p>
    <w:p w14:paraId="5AA49B21" w14:textId="7BA123F1" w:rsidR="005D5BE6" w:rsidRPr="00783571" w:rsidRDefault="005D5BE6" w:rsidP="00F86D5A">
      <w:pPr>
        <w:pStyle w:val="equation"/>
        <w:spacing w:after="360"/>
        <w:rPr>
          <w:lang w:val="en-US"/>
        </w:rPr>
      </w:pPr>
      <w:r w:rsidRPr="00783571">
        <w:rPr>
          <w:snapToGrid w:val="0"/>
          <w:lang w:val="en-US"/>
        </w:rPr>
        <w:tab/>
      </w:r>
      <m:oMath>
        <m:f>
          <m:fPr>
            <m:ctrlPr>
              <w:rPr>
                <w:rFonts w:ascii="Cambria Math" w:hAnsi="Cambria Math"/>
                <w:snapToGrid w:val="0"/>
                <w:lang w:val="en-US"/>
              </w:rPr>
            </m:ctrlPr>
          </m:fPr>
          <m:num>
            <m:sSubSup>
              <m:sSubSupPr>
                <m:ctrlPr>
                  <w:rPr>
                    <w:rFonts w:ascii="Cambria Math" w:hAnsi="Cambria Math"/>
                    <w:snapToGrid w:val="0"/>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m:t>
                </m:r>
                <m:r>
                  <m:rPr>
                    <m:sty m:val="p"/>
                  </m:rPr>
                  <w:rPr>
                    <w:rFonts w:ascii="Cambria Math" w:hAnsi="Cambria Math"/>
                    <w:lang w:val="en-US"/>
                  </w:rPr>
                  <m:t>=1</m:t>
                </m:r>
              </m:sup>
            </m:sSubSup>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num>
          <m:den>
            <m:r>
              <w:rPr>
                <w:rFonts w:ascii="Cambria Math" w:hAnsi="Cambria Math"/>
                <w:lang w:val="en-US"/>
              </w:rPr>
              <m:t>dt</m:t>
            </m:r>
          </m:den>
        </m:f>
        <m:r>
          <m:rPr>
            <m:sty m:val="p"/>
          </m:rPr>
          <w:rPr>
            <w:rFonts w:ascii="Cambria Math" w:hAnsi="Cambria Math"/>
            <w:lang w:val="en-US"/>
          </w:rPr>
          <m:t>=</m:t>
        </m:r>
        <m:d>
          <m:dPr>
            <m:begChr m:val="["/>
            <m:endChr m:val="]"/>
            <m:ctrlPr>
              <w:rPr>
                <w:rFonts w:ascii="Cambria Math" w:hAnsi="Cambria Math"/>
                <w:snapToGrid w:val="0"/>
                <w:lang w:val="en-US"/>
              </w:rPr>
            </m:ctrlPr>
          </m:dPr>
          <m:e>
            <m:sSub>
              <m:sSubPr>
                <m:ctrlPr>
                  <w:rPr>
                    <w:rFonts w:ascii="Cambria Math" w:hAnsi="Cambria Math"/>
                    <w:snapToGrid w:val="0"/>
                    <w:lang w:val="en-US"/>
                  </w:rPr>
                </m:ctrlPr>
              </m:sSubPr>
              <m:e>
                <m:r>
                  <m:rPr>
                    <m:sty m:val="p"/>
                  </m:rPr>
                  <w:rPr>
                    <w:rFonts w:ascii="Cambria Math" w:hAnsi="Cambria Math"/>
                    <w:lang w:val="en-US"/>
                  </w:rPr>
                  <m:t>Λ</m:t>
                </m:r>
              </m:e>
              <m:sub>
                <m:r>
                  <w:rPr>
                    <w:rFonts w:ascii="Cambria Math" w:hAnsi="Cambria Math"/>
                    <w:lang w:val="en-US"/>
                  </w:rPr>
                  <m:t>p</m:t>
                </m:r>
              </m:sub>
            </m:sSub>
          </m:e>
        </m:d>
        <m:nary>
          <m:naryPr>
            <m:chr m:val="∑"/>
            <m:limLoc m:val="undOvr"/>
            <m:ctrlPr>
              <w:rPr>
                <w:rFonts w:ascii="Cambria Math" w:hAnsi="Cambria Math"/>
                <w:snapToGrid w:val="0"/>
                <w:lang w:val="en-US"/>
              </w:rPr>
            </m:ctrlPr>
          </m:naryPr>
          <m:sub>
            <m:r>
              <w:rPr>
                <w:rFonts w:ascii="Cambria Math" w:hAnsi="Cambria Math"/>
                <w:lang w:val="en-US"/>
              </w:rPr>
              <m:t>c</m:t>
            </m:r>
            <m:r>
              <m:rPr>
                <m:sty m:val="p"/>
              </m:rPr>
              <w:rPr>
                <w:rFonts w:ascii="Cambria Math" w:hAnsi="Cambria Math"/>
                <w:lang w:val="en-US"/>
              </w:rPr>
              <m:t>=1</m:t>
            </m:r>
          </m:sub>
          <m:sup>
            <m:r>
              <w:rPr>
                <w:rFonts w:ascii="Cambria Math" w:hAnsi="Cambria Math"/>
                <w:snapToGrid w:val="0"/>
                <w:lang w:val="en-US"/>
              </w:rPr>
              <m:t>25</m:t>
            </m:r>
          </m:sup>
          <m:e>
            <m:sSubSup>
              <m:sSubSupPr>
                <m:ctrlPr>
                  <w:rPr>
                    <w:rFonts w:ascii="Cambria Math" w:hAnsi="Cambria Math"/>
                    <w:i/>
                    <w:snapToGrid w:val="0"/>
                    <w:lang w:val="en-US"/>
                  </w:rPr>
                </m:ctrlPr>
              </m:sSubSupPr>
              <m:e>
                <m:r>
                  <w:rPr>
                    <w:rFonts w:ascii="Cambria Math" w:hAnsi="Cambria Math"/>
                    <w:snapToGrid w:val="0"/>
                    <w:lang w:val="en-US"/>
                  </w:rPr>
                  <m:t>X</m:t>
                </m:r>
              </m:e>
              <m:sub>
                <m:r>
                  <w:rPr>
                    <w:rFonts w:ascii="Cambria Math" w:hAnsi="Cambria Math"/>
                    <w:snapToGrid w:val="0"/>
                    <w:lang w:val="en-US"/>
                  </w:rPr>
                  <m:t>p</m:t>
                </m:r>
              </m:sub>
              <m:sup>
                <m:r>
                  <w:rPr>
                    <w:rFonts w:ascii="Cambria Math" w:hAnsi="Cambria Math"/>
                    <w:snapToGrid w:val="0"/>
                    <w:lang w:val="en-US"/>
                  </w:rPr>
                  <m:t>c</m:t>
                </m:r>
              </m:sup>
            </m:sSubSup>
            <m:r>
              <w:rPr>
                <w:rFonts w:ascii="Cambria Math" w:hAnsi="Cambria Math"/>
                <w:snapToGrid w:val="0"/>
                <w:lang w:val="en-US"/>
              </w:rPr>
              <m:t>(t=0)</m:t>
            </m:r>
          </m:e>
        </m:nary>
        <m:r>
          <w:rPr>
            <w:rFonts w:ascii="Cambria Math" w:hAnsi="Cambria Math"/>
            <w:snapToGrid w:val="0"/>
            <w:lang w:val="en-US"/>
          </w:rPr>
          <m:t>+</m:t>
        </m:r>
        <m:d>
          <m:dPr>
            <m:begChr m:val="["/>
            <m:endChr m:val="]"/>
            <m:ctrlPr>
              <w:rPr>
                <w:rFonts w:ascii="Cambria Math" w:hAnsi="Cambria Math"/>
                <w:i/>
                <w:snapToGrid w:val="0"/>
                <w:lang w:val="en-US"/>
              </w:rPr>
            </m:ctrlPr>
          </m:dPr>
          <m:e>
            <m:sSub>
              <m:sSubPr>
                <m:ctrlPr>
                  <w:rPr>
                    <w:rFonts w:ascii="Cambria Math" w:hAnsi="Cambria Math"/>
                    <w:i/>
                    <w:snapToGrid w:val="0"/>
                    <w:lang w:val="en-US"/>
                  </w:rPr>
                </m:ctrlPr>
              </m:sSubPr>
              <m:e>
                <m:r>
                  <w:rPr>
                    <w:rFonts w:ascii="Cambria Math" w:hAnsi="Cambria Math"/>
                    <w:snapToGrid w:val="0"/>
                    <w:lang w:val="en-US"/>
                  </w:rPr>
                  <m:t>Y</m:t>
                </m:r>
              </m:e>
              <m:sub>
                <m:r>
                  <w:rPr>
                    <w:rFonts w:ascii="Cambria Math" w:hAnsi="Cambria Math"/>
                    <w:snapToGrid w:val="0"/>
                    <w:lang w:val="en-US"/>
                  </w:rPr>
                  <m:t>p</m:t>
                </m:r>
              </m:sub>
            </m:sSub>
          </m:e>
        </m:d>
        <m:sSubSup>
          <m:sSubSupPr>
            <m:ctrlPr>
              <w:rPr>
                <w:rFonts w:ascii="Cambria Math" w:hAnsi="Cambria Math"/>
                <w:i/>
                <w:snapToGrid w:val="0"/>
                <w:lang w:val="en-US"/>
              </w:rPr>
            </m:ctrlPr>
          </m:sSubSupPr>
          <m:e>
            <m:r>
              <w:rPr>
                <w:rFonts w:ascii="Cambria Math" w:hAnsi="Cambria Math"/>
                <w:snapToGrid w:val="0"/>
                <w:lang w:val="en-US"/>
              </w:rPr>
              <m:t>X</m:t>
            </m:r>
          </m:e>
          <m:sub>
            <m:r>
              <w:rPr>
                <w:rFonts w:ascii="Cambria Math" w:hAnsi="Cambria Math"/>
                <w:snapToGrid w:val="0"/>
                <w:lang w:val="en-US"/>
              </w:rPr>
              <m:t>p</m:t>
            </m:r>
          </m:sub>
          <m:sup>
            <m:r>
              <w:rPr>
                <w:rFonts w:ascii="Cambria Math" w:hAnsi="Cambria Math"/>
                <w:snapToGrid w:val="0"/>
                <w:lang w:val="en-US"/>
              </w:rPr>
              <m:t>c=2</m:t>
            </m:r>
          </m:sup>
        </m:sSubSup>
        <m:d>
          <m:dPr>
            <m:ctrlPr>
              <w:rPr>
                <w:rFonts w:ascii="Cambria Math" w:hAnsi="Cambria Math"/>
                <w:i/>
                <w:snapToGrid w:val="0"/>
                <w:lang w:val="en-US"/>
              </w:rPr>
            </m:ctrlPr>
          </m:dPr>
          <m:e>
            <m:r>
              <w:rPr>
                <w:rFonts w:ascii="Cambria Math" w:hAnsi="Cambria Math"/>
                <w:snapToGrid w:val="0"/>
                <w:lang w:val="en-US"/>
              </w:rPr>
              <m:t>t</m:t>
            </m:r>
          </m:e>
        </m:d>
        <m:r>
          <w:rPr>
            <w:rFonts w:ascii="Cambria Math" w:hAnsi="Cambria Math"/>
            <w:snapToGrid w:val="0"/>
            <w:lang w:val="en-US"/>
          </w:rPr>
          <m:t>-</m:t>
        </m:r>
        <m:d>
          <m:dPr>
            <m:begChr m:val="["/>
            <m:endChr m:val="]"/>
            <m:ctrlPr>
              <w:rPr>
                <w:rFonts w:ascii="Cambria Math" w:hAnsi="Cambria Math"/>
                <w:snapToGrid w:val="0"/>
                <w:lang w:val="en-US"/>
              </w:rPr>
            </m:ctrlPr>
          </m:dPr>
          <m:e>
            <m:sSub>
              <m:sSubPr>
                <m:ctrlPr>
                  <w:rPr>
                    <w:rFonts w:ascii="Cambria Math" w:hAnsi="Cambria Math"/>
                    <w:snapToGrid w:val="0"/>
                    <w:lang w:val="en-US"/>
                  </w:rPr>
                </m:ctrlPr>
              </m:sSubPr>
              <m:e>
                <m:r>
                  <m:rPr>
                    <m:sty m:val="p"/>
                  </m:rPr>
                  <w:rPr>
                    <w:rFonts w:ascii="Cambria Math" w:hAnsi="Cambria Math"/>
                    <w:snapToGrid w:val="0"/>
                    <w:lang w:val="en-US"/>
                  </w:rPr>
                  <m:t>Ψ</m:t>
                </m:r>
              </m:e>
              <m:sub>
                <m:r>
                  <w:rPr>
                    <w:rFonts w:ascii="Cambria Math" w:hAnsi="Cambria Math"/>
                    <w:snapToGrid w:val="0"/>
                    <w:lang w:val="en-US"/>
                  </w:rPr>
                  <m:t>p</m:t>
                </m:r>
              </m:sub>
            </m:sSub>
            <m:d>
              <m:dPr>
                <m:ctrlPr>
                  <w:rPr>
                    <w:rFonts w:ascii="Cambria Math" w:hAnsi="Cambria Math"/>
                    <w:i/>
                    <w:snapToGrid w:val="0"/>
                    <w:lang w:val="en-US"/>
                  </w:rPr>
                </m:ctrlPr>
              </m:dPr>
              <m:e>
                <m:r>
                  <w:rPr>
                    <w:rFonts w:ascii="Cambria Math" w:hAnsi="Cambria Math"/>
                    <w:snapToGrid w:val="0"/>
                    <w:lang w:val="en-US"/>
                  </w:rPr>
                  <m:t>t</m:t>
                </m:r>
              </m:e>
            </m:d>
            <m:r>
              <w:rPr>
                <w:rFonts w:ascii="Cambria Math" w:hAnsi="Cambria Math"/>
                <w:snapToGrid w:val="0"/>
                <w:lang w:val="en-US"/>
              </w:rPr>
              <m:t>+</m:t>
            </m:r>
            <m:sSub>
              <m:sSubPr>
                <m:ctrlPr>
                  <w:rPr>
                    <w:rFonts w:ascii="Cambria Math" w:hAnsi="Cambria Math"/>
                    <w:i/>
                    <w:snapToGrid w:val="0"/>
                    <w:lang w:val="en-US"/>
                  </w:rPr>
                </m:ctrlPr>
              </m:sSubPr>
              <m:e>
                <m:r>
                  <w:rPr>
                    <w:rFonts w:ascii="Cambria Math" w:hAnsi="Cambria Math"/>
                    <w:snapToGrid w:val="0"/>
                    <w:lang w:val="en-US"/>
                  </w:rPr>
                  <m:t>λ</m:t>
                </m:r>
              </m:e>
              <m:sub>
                <m:r>
                  <w:rPr>
                    <w:rFonts w:ascii="Cambria Math" w:hAnsi="Cambria Math"/>
                    <w:snapToGrid w:val="0"/>
                    <w:lang w:val="en-US"/>
                  </w:rPr>
                  <m:t>p</m:t>
                </m:r>
                <m:d>
                  <m:dPr>
                    <m:ctrlPr>
                      <w:rPr>
                        <w:rFonts w:ascii="Cambria Math" w:hAnsi="Cambria Math"/>
                        <w:i/>
                        <w:snapToGrid w:val="0"/>
                        <w:lang w:val="en-US"/>
                      </w:rPr>
                    </m:ctrlPr>
                  </m:dPr>
                  <m:e>
                    <m:r>
                      <w:rPr>
                        <w:rFonts w:ascii="Cambria Math" w:hAnsi="Cambria Math"/>
                        <w:snapToGrid w:val="0"/>
                        <w:lang w:val="en-US"/>
                      </w:rPr>
                      <m:t>t</m:t>
                    </m:r>
                  </m:e>
                </m:d>
              </m:sub>
            </m:sSub>
            <m:r>
              <w:rPr>
                <w:rFonts w:ascii="Cambria Math" w:hAnsi="Cambria Math"/>
                <w:snapToGrid w:val="0"/>
                <w:lang w:val="en-US"/>
              </w:rPr>
              <m:t>+</m:t>
            </m:r>
            <m:sSub>
              <m:sSubPr>
                <m:ctrlPr>
                  <w:rPr>
                    <w:rFonts w:ascii="Cambria Math" w:hAnsi="Cambria Math"/>
                    <w:i/>
                    <w:snapToGrid w:val="0"/>
                    <w:lang w:val="en-US"/>
                  </w:rPr>
                </m:ctrlPr>
              </m:sSubPr>
              <m:e>
                <m:r>
                  <w:rPr>
                    <w:rFonts w:ascii="Cambria Math" w:hAnsi="Cambria Math"/>
                    <w:snapToGrid w:val="0"/>
                    <w:lang w:val="en-US"/>
                  </w:rPr>
                  <m:t>μ</m:t>
                </m:r>
              </m:e>
              <m:sub>
                <m:r>
                  <w:rPr>
                    <w:rFonts w:ascii="Cambria Math" w:hAnsi="Cambria Math"/>
                    <w:snapToGrid w:val="0"/>
                    <w:lang w:val="en-US"/>
                  </w:rPr>
                  <m:t>p</m:t>
                </m:r>
              </m:sub>
            </m:sSub>
            <m:r>
              <w:rPr>
                <w:rFonts w:ascii="Cambria Math" w:hAnsi="Cambria Math"/>
                <w:snapToGrid w:val="0"/>
                <w:lang w:val="en-US"/>
              </w:rPr>
              <m:t>+</m:t>
            </m:r>
            <m:sSubSup>
              <m:sSubSupPr>
                <m:ctrlPr>
                  <w:rPr>
                    <w:rFonts w:ascii="Cambria Math" w:hAnsi="Cambria Math"/>
                    <w:i/>
                    <w:snapToGrid w:val="0"/>
                    <w:lang w:val="en-US"/>
                  </w:rPr>
                </m:ctrlPr>
              </m:sSubSupPr>
              <m:e>
                <m:r>
                  <w:rPr>
                    <w:rFonts w:ascii="Cambria Math" w:hAnsi="Cambria Math"/>
                    <w:snapToGrid w:val="0"/>
                    <w:lang w:val="en-US"/>
                  </w:rPr>
                  <m:t>δ</m:t>
                </m:r>
              </m:e>
              <m:sub>
                <m:r>
                  <w:rPr>
                    <w:rFonts w:ascii="Cambria Math" w:hAnsi="Cambria Math"/>
                    <w:snapToGrid w:val="0"/>
                    <w:lang w:val="en-US"/>
                  </w:rPr>
                  <m:t>p</m:t>
                </m:r>
              </m:sub>
              <m:sup>
                <m:r>
                  <w:rPr>
                    <w:rFonts w:ascii="Cambria Math" w:hAnsi="Cambria Math"/>
                    <w:snapToGrid w:val="0"/>
                    <w:lang w:val="en-US"/>
                  </w:rPr>
                  <m:t>-</m:t>
                </m:r>
              </m:sup>
            </m:sSubSup>
          </m:e>
        </m:d>
        <m:sSubSup>
          <m:sSubSupPr>
            <m:ctrlPr>
              <w:rPr>
                <w:rFonts w:ascii="Cambria Math" w:hAnsi="Cambria Math"/>
                <w:i/>
                <w:snapToGrid w:val="0"/>
                <w:lang w:val="en-US"/>
              </w:rPr>
            </m:ctrlPr>
          </m:sSubSupPr>
          <m:e>
            <m:r>
              <w:rPr>
                <w:rFonts w:ascii="Cambria Math" w:hAnsi="Cambria Math"/>
                <w:snapToGrid w:val="0"/>
                <w:lang w:val="en-US"/>
              </w:rPr>
              <m:t>X</m:t>
            </m:r>
          </m:e>
          <m:sub>
            <m:r>
              <w:rPr>
                <w:rFonts w:ascii="Cambria Math" w:hAnsi="Cambria Math"/>
                <w:snapToGrid w:val="0"/>
                <w:lang w:val="en-US"/>
              </w:rPr>
              <m:t>p</m:t>
            </m:r>
          </m:sub>
          <m:sup>
            <m:r>
              <w:rPr>
                <w:rFonts w:ascii="Cambria Math" w:hAnsi="Cambria Math"/>
                <w:snapToGrid w:val="0"/>
                <w:lang w:val="en-US"/>
              </w:rPr>
              <m:t>c=1</m:t>
            </m:r>
          </m:sup>
        </m:sSubSup>
        <m:d>
          <m:dPr>
            <m:ctrlPr>
              <w:rPr>
                <w:rFonts w:ascii="Cambria Math" w:hAnsi="Cambria Math"/>
                <w:i/>
                <w:snapToGrid w:val="0"/>
                <w:lang w:val="en-US"/>
              </w:rPr>
            </m:ctrlPr>
          </m:dPr>
          <m:e>
            <m:r>
              <w:rPr>
                <w:rFonts w:ascii="Cambria Math" w:hAnsi="Cambria Math"/>
                <w:snapToGrid w:val="0"/>
                <w:lang w:val="en-US"/>
              </w:rPr>
              <m:t>t</m:t>
            </m:r>
          </m:e>
        </m:d>
        <m:r>
          <w:rPr>
            <w:rFonts w:ascii="Cambria Math" w:hAnsi="Cambria Math"/>
            <w:snapToGrid w:val="0"/>
            <w:lang w:val="en-US"/>
          </w:rPr>
          <m:t>+</m:t>
        </m:r>
        <m:d>
          <m:dPr>
            <m:begChr m:val="["/>
            <m:endChr m:val="]"/>
            <m:ctrlPr>
              <w:rPr>
                <w:rFonts w:ascii="Cambria Math" w:hAnsi="Cambria Math"/>
                <w:i/>
                <w:snapToGrid w:val="0"/>
                <w:lang w:val="en-US"/>
              </w:rPr>
            </m:ctrlPr>
          </m:dPr>
          <m:e>
            <m:sSubSup>
              <m:sSubSupPr>
                <m:ctrlPr>
                  <w:rPr>
                    <w:rFonts w:ascii="Cambria Math" w:hAnsi="Cambria Math"/>
                    <w:i/>
                    <w:snapToGrid w:val="0"/>
                    <w:lang w:val="en-US"/>
                  </w:rPr>
                </m:ctrlPr>
              </m:sSubSupPr>
              <m:e>
                <m:r>
                  <w:rPr>
                    <w:rFonts w:ascii="Cambria Math" w:hAnsi="Cambria Math"/>
                    <w:snapToGrid w:val="0"/>
                    <w:lang w:val="en-US"/>
                  </w:rPr>
                  <m:t>δ</m:t>
                </m:r>
              </m:e>
              <m:sub>
                <m:r>
                  <w:rPr>
                    <w:rFonts w:ascii="Cambria Math" w:hAnsi="Cambria Math"/>
                    <w:snapToGrid w:val="0"/>
                    <w:lang w:val="en-US"/>
                  </w:rPr>
                  <m:t>p</m:t>
                </m:r>
              </m:sub>
              <m:sup>
                <m:r>
                  <w:rPr>
                    <w:rFonts w:ascii="Cambria Math" w:hAnsi="Cambria Math"/>
                    <w:snapToGrid w:val="0"/>
                    <w:lang w:val="en-US"/>
                  </w:rPr>
                  <m:t>+</m:t>
                </m:r>
              </m:sup>
            </m:sSubSup>
          </m:e>
        </m:d>
        <m:sSubSup>
          <m:sSubSupPr>
            <m:ctrlPr>
              <w:rPr>
                <w:rFonts w:ascii="Cambria Math" w:hAnsi="Cambria Math"/>
                <w:i/>
                <w:snapToGrid w:val="0"/>
                <w:lang w:val="en-US"/>
              </w:rPr>
            </m:ctrlPr>
          </m:sSubSupPr>
          <m:e>
            <m:r>
              <w:rPr>
                <w:rFonts w:ascii="Cambria Math" w:hAnsi="Cambria Math"/>
                <w:snapToGrid w:val="0"/>
                <w:lang w:val="en-US"/>
              </w:rPr>
              <m:t>X</m:t>
            </m:r>
          </m:e>
          <m:sub>
            <m:r>
              <w:rPr>
                <w:rFonts w:ascii="Cambria Math" w:hAnsi="Cambria Math"/>
                <w:snapToGrid w:val="0"/>
                <w:lang w:val="en-US"/>
              </w:rPr>
              <m:t>p-1</m:t>
            </m:r>
          </m:sub>
          <m:sup>
            <m:r>
              <w:rPr>
                <w:rFonts w:ascii="Cambria Math" w:hAnsi="Cambria Math"/>
                <w:snapToGrid w:val="0"/>
                <w:lang w:val="en-US"/>
              </w:rPr>
              <m:t>c=1</m:t>
            </m:r>
          </m:sup>
        </m:sSubSup>
        <m:r>
          <w:rPr>
            <w:rFonts w:ascii="Cambria Math" w:hAnsi="Cambria Math"/>
            <w:snapToGrid w:val="0"/>
            <w:lang w:val="en-US"/>
          </w:rPr>
          <m:t>(t)</m:t>
        </m:r>
      </m:oMath>
      <w:r w:rsidRPr="00783571">
        <w:rPr>
          <w:snapToGrid w:val="0"/>
          <w:lang w:val="en-US"/>
        </w:rPr>
        <w:tab/>
        <w:t>(7.1)</w:t>
      </w:r>
    </w:p>
    <w:p w14:paraId="22B4F524" w14:textId="6FECDFEA" w:rsidR="003F334F" w:rsidRPr="00783571" w:rsidRDefault="003F334F" w:rsidP="00F86D5A">
      <w:pPr>
        <w:pStyle w:val="equation"/>
        <w:rPr>
          <w:lang w:val="en-US"/>
        </w:rPr>
      </w:pPr>
      <w:r w:rsidRPr="00783571">
        <w:rPr>
          <w:lang w:val="en-US"/>
        </w:rPr>
        <w:tab/>
      </w: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c=2</m:t>
                </m:r>
              </m:sup>
            </m:sSubSup>
            <m:r>
              <w:rPr>
                <w:rFonts w:ascii="Cambria Math" w:hAnsi="Cambria Math"/>
                <w:lang w:val="en-US"/>
              </w:rPr>
              <m:t>(t)</m:t>
            </m:r>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lang w:val="en-US"/>
                  </w:rPr>
                </m:ctrlPr>
              </m:sSubPr>
              <m:e>
                <m:r>
                  <m:rPr>
                    <m:sty m:val="p"/>
                  </m:rPr>
                  <w:rPr>
                    <w:rFonts w:ascii="Cambria Math" w:hAnsi="Cambria Math"/>
                    <w:lang w:val="en-US"/>
                  </w:rPr>
                  <m:t>Ψ</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p</m:t>
                </m:r>
              </m:sub>
            </m:sSub>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p</m:t>
                    </m:r>
                  </m:sub>
                </m:sSub>
              </m:e>
            </m:d>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p</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c=2</m:t>
            </m:r>
          </m:sup>
        </m:sSubSup>
        <m:r>
          <w:rPr>
            <w:rFonts w:ascii="Cambria Math" w:hAnsi="Cambria Math"/>
            <w:lang w:val="en-US"/>
          </w:rPr>
          <m:t>(t)</m:t>
        </m:r>
      </m:oMath>
      <w:r w:rsidRPr="00783571">
        <w:rPr>
          <w:lang w:val="en-US"/>
        </w:rPr>
        <w:tab/>
        <w:t>(7.2)</w:t>
      </w:r>
    </w:p>
    <w:p w14:paraId="5EBCB8BC" w14:textId="77777777" w:rsidR="00336761" w:rsidRPr="00783571" w:rsidRDefault="00336761" w:rsidP="00F259E1">
      <w:pPr>
        <w:pStyle w:val="BodyText"/>
        <w:keepNext/>
      </w:pPr>
      <w:r w:rsidRPr="00783571">
        <w:t>where</w:t>
      </w:r>
    </w:p>
    <w:bookmarkStart w:id="84" w:name="_Toc398293127"/>
    <w:p w14:paraId="0907F957" w14:textId="1DE5D2F8" w:rsidR="00751172" w:rsidRPr="00783571" w:rsidRDefault="00184438" w:rsidP="003B42C2">
      <w:pPr>
        <w:pStyle w:val="bullets"/>
      </w:pPr>
      <w:r w:rsidRPr="00783571">
        <w:rPr>
          <w:position w:val="-14"/>
        </w:rPr>
        <w:object w:dxaOrig="639" w:dyaOrig="400" w14:anchorId="7C26DB3F">
          <v:shape id="_x0000_i1043" type="#_x0000_t75" style="width:28.5pt;height:21.75pt" o:ole="">
            <v:imagedata r:id="rId88" o:title=""/>
          </v:shape>
          <o:OLEObject Type="Embed" ProgID="Equation.3" ShapeID="_x0000_i1043" DrawAspect="Content" ObjectID="_1584261697" r:id="rId89"/>
        </w:object>
      </w:r>
      <w:r w:rsidR="00751172" w:rsidRPr="00783571">
        <w:t xml:space="preserve"> = </w:t>
      </w:r>
      <w:r w:rsidR="006B19E7" w:rsidRPr="00783571">
        <w:t>n</w:t>
      </w:r>
      <w:r w:rsidR="00751172" w:rsidRPr="00783571">
        <w:t xml:space="preserve">umber of individuals in the population in compartment </w:t>
      </w:r>
      <w:r w:rsidR="00751172" w:rsidRPr="00783571">
        <w:rPr>
          <w:i/>
          <w:iCs/>
        </w:rPr>
        <w:t>c</w:t>
      </w:r>
      <w:r w:rsidR="00751172" w:rsidRPr="00783571">
        <w:t xml:space="preserve"> and demographic subpopulation </w:t>
      </w:r>
      <w:r w:rsidR="00751172" w:rsidRPr="00783571">
        <w:rPr>
          <w:i/>
          <w:iCs/>
        </w:rPr>
        <w:t>p</w:t>
      </w:r>
      <w:r w:rsidR="00751172" w:rsidRPr="00783571">
        <w:rPr>
          <w:iCs/>
        </w:rPr>
        <w:t xml:space="preserve"> </w:t>
      </w:r>
      <w:r w:rsidR="00751172" w:rsidRPr="00783571">
        <w:t xml:space="preserve">at time </w:t>
      </w:r>
      <w:r w:rsidR="00751172" w:rsidRPr="00783571">
        <w:rPr>
          <w:i/>
        </w:rPr>
        <w:t>t</w:t>
      </w:r>
      <w:r w:rsidR="00751172" w:rsidRPr="00783571">
        <w:t>;</w:t>
      </w:r>
    </w:p>
    <w:p w14:paraId="11F52772" w14:textId="6D570E83" w:rsidR="00336761" w:rsidRPr="00783571" w:rsidRDefault="00184438" w:rsidP="000E7EEC">
      <w:pPr>
        <w:pStyle w:val="bullets"/>
      </w:pPr>
      <w:r w:rsidRPr="00783571">
        <w:rPr>
          <w:position w:val="-14"/>
        </w:rPr>
        <w:object w:dxaOrig="360" w:dyaOrig="400" w14:anchorId="79B5F825">
          <v:shape id="_x0000_i1044" type="#_x0000_t75" style="width:21.75pt;height:21.75pt" o:ole="">
            <v:imagedata r:id="rId90" o:title=""/>
          </v:shape>
          <o:OLEObject Type="Embed" ProgID="Equation.3" ShapeID="_x0000_i1044" DrawAspect="Content" ObjectID="_1584261698" r:id="rId91"/>
        </w:object>
      </w:r>
      <w:r w:rsidR="00336761" w:rsidRPr="00783571">
        <w:t> = </w:t>
      </w:r>
      <w:r w:rsidR="006B19E7" w:rsidRPr="00783571">
        <w:t>constant rate of aging into the</w:t>
      </w:r>
      <w:r w:rsidR="000E7EEC" w:rsidRPr="00783571">
        <w:t xml:space="preserve"> youngest age group in the</w:t>
      </w:r>
      <w:r w:rsidR="006B19E7" w:rsidRPr="00783571">
        <w:t xml:space="preserve"> modeled population per person </w:t>
      </w:r>
      <w:r w:rsidR="00B6581D" w:rsidRPr="00783571">
        <w:t>(based on the size and distribution</w:t>
      </w:r>
      <w:r w:rsidR="000E7EEC" w:rsidRPr="00783571">
        <w:t xml:space="preserve"> of that youngest group</w:t>
      </w:r>
      <w:r w:rsidR="00B6581D" w:rsidRPr="00783571">
        <w:t xml:space="preserve"> </w:t>
      </w:r>
      <w:r w:rsidR="005879EA" w:rsidRPr="00783571">
        <w:t xml:space="preserve">at </w:t>
      </w:r>
      <w:r w:rsidR="00AC6001" w:rsidRPr="00783571">
        <w:rPr>
          <w:i/>
        </w:rPr>
        <w:t>t</w:t>
      </w:r>
      <w:r w:rsidR="00AC6001" w:rsidRPr="00783571">
        <w:t xml:space="preserve"> = 0)</w:t>
      </w:r>
      <w:r w:rsidR="005879EA" w:rsidRPr="00783571">
        <w:t xml:space="preserve"> </w:t>
      </w:r>
      <w:r w:rsidR="006B19E7" w:rsidRPr="00783571">
        <w:t xml:space="preserve">in subpopulation </w:t>
      </w:r>
      <w:r w:rsidR="006B19E7" w:rsidRPr="00783571">
        <w:rPr>
          <w:i/>
        </w:rPr>
        <w:t>p</w:t>
      </w:r>
      <w:r w:rsidR="0006550C" w:rsidRPr="00783571">
        <w:t>;</w:t>
      </w:r>
    </w:p>
    <w:p w14:paraId="04F6F3AB" w14:textId="58C04EBD" w:rsidR="009A2918" w:rsidRPr="00783571" w:rsidRDefault="009A2918" w:rsidP="00766A8C">
      <w:pPr>
        <w:pStyle w:val="bullets"/>
      </w:pPr>
      <w:r w:rsidRPr="00783571">
        <w:t>Y</w:t>
      </w:r>
      <w:r w:rsidRPr="00783571">
        <w:rPr>
          <w:vertAlign w:val="subscript"/>
        </w:rPr>
        <w:t>p</w:t>
      </w:r>
      <w:r w:rsidRPr="00783571">
        <w:t xml:space="preserve"> = </w:t>
      </w:r>
      <w:r w:rsidR="00341EDC" w:rsidRPr="00783571">
        <w:t>a</w:t>
      </w:r>
      <w:r w:rsidRPr="00783571">
        <w:t xml:space="preserve">nnual probability of </w:t>
      </w:r>
      <w:r w:rsidR="00766A8C" w:rsidRPr="00783571">
        <w:t>stopping</w:t>
      </w:r>
      <w:r w:rsidRPr="00783571">
        <w:t xml:space="preserve"> PrEP if susceptible and on PrEP for subpopulation </w:t>
      </w:r>
      <w:r w:rsidRPr="00783571">
        <w:rPr>
          <w:i/>
          <w:iCs/>
        </w:rPr>
        <w:t>p</w:t>
      </w:r>
      <w:r w:rsidRPr="00783571">
        <w:t>;</w:t>
      </w:r>
    </w:p>
    <w:p w14:paraId="10EEA3E4" w14:textId="7951BE86" w:rsidR="006264E7" w:rsidRPr="00783571" w:rsidRDefault="009A2918" w:rsidP="006264E7">
      <w:pPr>
        <w:pStyle w:val="bullets"/>
      </w:pPr>
      <w:r w:rsidRPr="00783571">
        <w:t>Ψ</w:t>
      </w:r>
      <w:r w:rsidR="006264E7" w:rsidRPr="00783571">
        <w:rPr>
          <w:vertAlign w:val="subscript"/>
        </w:rPr>
        <w:t>p</w:t>
      </w:r>
      <w:r w:rsidR="006264E7" w:rsidRPr="00783571">
        <w:t xml:space="preserve">(t) = </w:t>
      </w:r>
      <w:r w:rsidR="00341EDC" w:rsidRPr="00783571">
        <w:t>a</w:t>
      </w:r>
      <w:r w:rsidR="006264E7" w:rsidRPr="00783571">
        <w:t xml:space="preserve">nnual probability of initiating PrEP, given eligible, for subpopulation </w:t>
      </w:r>
      <w:r w:rsidR="006264E7" w:rsidRPr="00783571">
        <w:rPr>
          <w:i/>
          <w:iCs/>
        </w:rPr>
        <w:t>p</w:t>
      </w:r>
      <w:r w:rsidR="006264E7" w:rsidRPr="00783571">
        <w:t xml:space="preserve"> at time </w:t>
      </w:r>
      <w:r w:rsidR="006264E7" w:rsidRPr="00783571">
        <w:rPr>
          <w:i/>
          <w:iCs/>
        </w:rPr>
        <w:t>t</w:t>
      </w:r>
      <w:r w:rsidR="006264E7" w:rsidRPr="00783571">
        <w:t>;</w:t>
      </w:r>
    </w:p>
    <w:p w14:paraId="08912E73" w14:textId="5C2077EF" w:rsidR="00E36915" w:rsidRPr="00783571" w:rsidRDefault="00425360" w:rsidP="00E36915">
      <w:pPr>
        <w:pStyle w:val="bullets"/>
      </w:pPr>
      <w:r w:rsidRPr="00783571">
        <w:rPr>
          <w:i/>
        </w:rPr>
        <w:t>i</w:t>
      </w:r>
      <w:r w:rsidRPr="00783571">
        <w:rPr>
          <w:vertAlign w:val="subscript"/>
        </w:rPr>
        <w:t>p</w:t>
      </w:r>
      <w:r w:rsidRPr="00783571">
        <w:t xml:space="preserve"> = </w:t>
      </w:r>
      <w:r w:rsidR="00341EDC" w:rsidRPr="00783571">
        <w:t>p</w:t>
      </w:r>
      <w:r w:rsidR="00E36915" w:rsidRPr="00783571">
        <w:t>ercent</w:t>
      </w:r>
      <w:r w:rsidR="00697525" w:rsidRPr="00783571">
        <w:t>age</w:t>
      </w:r>
      <w:r w:rsidR="00E36915" w:rsidRPr="00783571">
        <w:t xml:space="preserve"> reduction in the annual rate of HIV transmission if </w:t>
      </w:r>
      <w:r w:rsidR="005F5C70" w:rsidRPr="00783571">
        <w:t>HIV-uninfected</w:t>
      </w:r>
      <w:r w:rsidR="00E36915" w:rsidRPr="00783571">
        <w:t xml:space="preserve"> individual </w:t>
      </w:r>
      <w:r w:rsidRPr="00783571">
        <w:t xml:space="preserve">in subpopulation </w:t>
      </w:r>
      <w:r w:rsidRPr="00783571">
        <w:rPr>
          <w:i/>
          <w:iCs/>
        </w:rPr>
        <w:t>p</w:t>
      </w:r>
      <w:r w:rsidRPr="00783571">
        <w:t xml:space="preserve"> </w:t>
      </w:r>
      <w:r w:rsidR="00E36915" w:rsidRPr="00783571">
        <w:t>is on PrEP</w:t>
      </w:r>
      <w:r w:rsidRPr="00783571">
        <w:t>;</w:t>
      </w:r>
    </w:p>
    <w:p w14:paraId="4D77657F" w14:textId="3FD4B731" w:rsidR="004F4E6D" w:rsidRPr="00783571" w:rsidRDefault="00CC2C24" w:rsidP="00F86D5A">
      <w:pPr>
        <w:pStyle w:val="bullets"/>
      </w:pPr>
      <w:r w:rsidRPr="00783571">
        <w:rPr>
          <w:position w:val="-14"/>
        </w:rPr>
        <w:object w:dxaOrig="320" w:dyaOrig="380" w14:anchorId="1ECFA178">
          <v:shape id="_x0000_i1045" type="#_x0000_t75" style="width:14.25pt;height:14.25pt" o:ole="">
            <v:imagedata r:id="rId92" o:title=""/>
          </v:shape>
          <o:OLEObject Type="Embed" ProgID="Equation.3" ShapeID="_x0000_i1045" DrawAspect="Content" ObjectID="_1584261699" r:id="rId93"/>
        </w:object>
      </w:r>
      <w:r w:rsidR="00336761" w:rsidRPr="00783571">
        <w:t xml:space="preserve"> = mortality rate </w:t>
      </w:r>
      <w:r w:rsidR="00F86D5A" w:rsidRPr="00783571">
        <w:t>among uninfected individuals in</w:t>
      </w:r>
      <w:r w:rsidR="00336761" w:rsidRPr="00783571">
        <w:t xml:space="preserve"> subpopulation </w:t>
      </w:r>
      <w:r w:rsidR="00336761" w:rsidRPr="00783571">
        <w:rPr>
          <w:i/>
          <w:iCs/>
        </w:rPr>
        <w:t>p</w:t>
      </w:r>
      <w:r w:rsidR="0006550C" w:rsidRPr="00783571">
        <w:t>;</w:t>
      </w:r>
    </w:p>
    <w:p w14:paraId="20DC665E" w14:textId="5E84B987" w:rsidR="00B20622" w:rsidRPr="00783571" w:rsidRDefault="00184438" w:rsidP="00697525">
      <w:pPr>
        <w:pStyle w:val="bullets"/>
      </w:pPr>
      <w:r w:rsidRPr="00783571">
        <w:rPr>
          <w:position w:val="-14"/>
        </w:rPr>
        <w:object w:dxaOrig="320" w:dyaOrig="400" w14:anchorId="1E724852">
          <v:shape id="_x0000_i1046" type="#_x0000_t75" style="width:14.25pt;height:21.75pt" o:ole="">
            <v:imagedata r:id="rId94" o:title=""/>
          </v:shape>
          <o:OLEObject Type="Embed" ProgID="Equation.3" ShapeID="_x0000_i1046" DrawAspect="Content" ObjectID="_1584261700" r:id="rId95"/>
        </w:object>
      </w:r>
      <w:r w:rsidR="00336761" w:rsidRPr="00783571">
        <w:t xml:space="preserve"> </w:t>
      </w:r>
      <w:r w:rsidR="00B20622" w:rsidRPr="00783571">
        <w:t xml:space="preserve">= aging rates into (+) subpopulation </w:t>
      </w:r>
      <w:r w:rsidR="00B20622" w:rsidRPr="00783571">
        <w:rPr>
          <w:i/>
          <w:iCs/>
        </w:rPr>
        <w:t>p</w:t>
      </w:r>
      <w:r w:rsidR="00B20622" w:rsidRPr="00783571">
        <w:t xml:space="preserve"> for all </w:t>
      </w:r>
      <w:r w:rsidR="00B20622" w:rsidRPr="00783571">
        <w:rPr>
          <w:i/>
          <w:iCs/>
        </w:rPr>
        <w:t>p</w:t>
      </w:r>
      <w:r w:rsidR="00B20622" w:rsidRPr="00783571">
        <w:t xml:space="preserve"> in age groups older than the youngest age group included in the population (</w:t>
      </w:r>
      <w:r w:rsidR="00B20622" w:rsidRPr="00783571">
        <w:rPr>
          <w:i/>
          <w:iCs/>
        </w:rPr>
        <w:t>j</w:t>
      </w:r>
      <w:r w:rsidR="00B20622" w:rsidRPr="00783571">
        <w:t xml:space="preserve"> = 2, 3, 4, 5 if youngest age group is 13</w:t>
      </w:r>
      <w:r w:rsidR="00697525" w:rsidRPr="00783571">
        <w:t xml:space="preserve"> to </w:t>
      </w:r>
      <w:r w:rsidR="00B20622" w:rsidRPr="00783571">
        <w:t xml:space="preserve">17 and </w:t>
      </w:r>
      <w:r w:rsidR="00B20622" w:rsidRPr="00783571">
        <w:rPr>
          <w:i/>
          <w:iCs/>
        </w:rPr>
        <w:t>j</w:t>
      </w:r>
      <w:r w:rsidR="00B20622" w:rsidRPr="00783571">
        <w:t xml:space="preserve"> = 3, 4, 5 if youngest age group is 18</w:t>
      </w:r>
      <w:r w:rsidR="00697525" w:rsidRPr="00783571">
        <w:t xml:space="preserve"> to </w:t>
      </w:r>
      <w:r w:rsidR="00B20622" w:rsidRPr="00783571">
        <w:t>24)</w:t>
      </w:r>
      <w:r w:rsidR="00E36915" w:rsidRPr="00783571">
        <w:t>; and</w:t>
      </w:r>
    </w:p>
    <w:p w14:paraId="424FD90C" w14:textId="7B7099DC" w:rsidR="00336761" w:rsidRPr="00783571" w:rsidRDefault="00184438" w:rsidP="00FD01E0">
      <w:pPr>
        <w:pStyle w:val="bullets"/>
      </w:pPr>
      <w:r w:rsidRPr="00783571">
        <w:rPr>
          <w:position w:val="-14"/>
        </w:rPr>
        <w:object w:dxaOrig="320" w:dyaOrig="400" w14:anchorId="214D2F75">
          <v:shape id="_x0000_i1047" type="#_x0000_t75" style="width:14.25pt;height:21.75pt" o:ole="">
            <v:imagedata r:id="rId96" o:title=""/>
          </v:shape>
          <o:OLEObject Type="Embed" ProgID="Equation.3" ShapeID="_x0000_i1047" DrawAspect="Content" ObjectID="_1584261701" r:id="rId97"/>
        </w:object>
      </w:r>
      <w:r w:rsidR="00336761" w:rsidRPr="00783571">
        <w:t xml:space="preserve"> = aging rates out of subpopulation </w:t>
      </w:r>
      <w:r w:rsidR="00336761" w:rsidRPr="00783571">
        <w:rPr>
          <w:i/>
          <w:iCs/>
        </w:rPr>
        <w:t>p</w:t>
      </w:r>
      <w:r w:rsidR="00697525" w:rsidRPr="00783571">
        <w:t>.</w:t>
      </w:r>
    </w:p>
    <w:p w14:paraId="0C468458" w14:textId="77777777" w:rsidR="00336761" w:rsidRPr="00783571" w:rsidRDefault="00336761" w:rsidP="00336761">
      <w:pPr>
        <w:pStyle w:val="Heading2"/>
      </w:pPr>
      <w:bookmarkStart w:id="85" w:name="_Toc510104464"/>
      <w:r w:rsidRPr="00783571">
        <w:t>Individuals with Acute HIV Infection</w:t>
      </w:r>
      <w:bookmarkEnd w:id="84"/>
      <w:bookmarkEnd w:id="85"/>
    </w:p>
    <w:p w14:paraId="79BB6593" w14:textId="6C62E264" w:rsidR="00336761" w:rsidRPr="00783571" w:rsidRDefault="00336761" w:rsidP="00697525">
      <w:pPr>
        <w:pStyle w:val="BodyText"/>
      </w:pPr>
      <w:r w:rsidRPr="00783571">
        <w:t>The numbers of individuals with acute HIV infections (</w:t>
      </w:r>
      <w:r w:rsidRPr="00783571">
        <w:rPr>
          <w:i/>
          <w:iCs/>
        </w:rPr>
        <w:t>c = </w:t>
      </w:r>
      <w:r w:rsidR="00054A68" w:rsidRPr="00783571">
        <w:t xml:space="preserve">3, </w:t>
      </w:r>
      <w:r w:rsidR="005879EA" w:rsidRPr="00783571">
        <w:t>4</w:t>
      </w:r>
      <w:r w:rsidR="00CF2CDB" w:rsidRPr="00783571">
        <w:t>, 5</w:t>
      </w:r>
      <w:r w:rsidRPr="00783571">
        <w:t xml:space="preserve">) within each subpopulation </w:t>
      </w:r>
      <w:r w:rsidRPr="00783571">
        <w:rPr>
          <w:i/>
          <w:iCs/>
        </w:rPr>
        <w:t xml:space="preserve">p </w:t>
      </w:r>
      <w:r w:rsidRPr="00783571">
        <w:t xml:space="preserve">are determined by Equations </w:t>
      </w:r>
      <w:r w:rsidR="008B30F8" w:rsidRPr="00783571">
        <w:t>(</w:t>
      </w:r>
      <w:r w:rsidR="00FF381E" w:rsidRPr="00783571">
        <w:t>7</w:t>
      </w:r>
      <w:r w:rsidR="00F259E1" w:rsidRPr="00783571">
        <w:t>.</w:t>
      </w:r>
      <w:r w:rsidR="007437CC" w:rsidRPr="00783571">
        <w:t>3</w:t>
      </w:r>
      <w:r w:rsidR="008B30F8" w:rsidRPr="00783571">
        <w:t>)</w:t>
      </w:r>
      <w:r w:rsidRPr="00783571">
        <w:t xml:space="preserve"> through </w:t>
      </w:r>
      <w:r w:rsidR="008B30F8" w:rsidRPr="00783571">
        <w:t>(</w:t>
      </w:r>
      <w:r w:rsidR="00FF381E" w:rsidRPr="00783571">
        <w:t>7</w:t>
      </w:r>
      <w:r w:rsidR="00F259E1" w:rsidRPr="00783571">
        <w:t>.</w:t>
      </w:r>
      <w:r w:rsidR="007437CC" w:rsidRPr="00783571">
        <w:t>5</w:t>
      </w:r>
      <w:r w:rsidR="008B30F8" w:rsidRPr="00783571">
        <w:t>)</w:t>
      </w:r>
      <w:r w:rsidRPr="00783571">
        <w:t>, corresponding to continuum-of-care stages</w:t>
      </w:r>
      <w:r w:rsidR="00391295" w:rsidRPr="00783571">
        <w:t xml:space="preserve"> (</w:t>
      </w:r>
      <w:r w:rsidR="00391295" w:rsidRPr="00783571">
        <w:rPr>
          <w:i/>
          <w:iCs/>
        </w:rPr>
        <w:t>r</w:t>
      </w:r>
      <w:r w:rsidR="00391295" w:rsidRPr="00783571">
        <w:t>)</w:t>
      </w:r>
      <w:r w:rsidRPr="00783571">
        <w:t xml:space="preserve"> </w:t>
      </w:r>
      <w:r w:rsidR="005879EA" w:rsidRPr="00783571">
        <w:t xml:space="preserve">1 </w:t>
      </w:r>
      <w:r w:rsidRPr="00783571">
        <w:t xml:space="preserve">to </w:t>
      </w:r>
      <w:r w:rsidR="00AC6001" w:rsidRPr="00783571">
        <w:t>3</w:t>
      </w:r>
      <w:r w:rsidRPr="00783571">
        <w:t>, respectively. The numbers of individuals calculated in these equations vary in the factors that increase or decrease their values</w:t>
      </w:r>
      <w:r w:rsidR="00AC6001" w:rsidRPr="00783571">
        <w:t xml:space="preserve"> based on their continuum status</w:t>
      </w:r>
      <w:r w:rsidRPr="00783571">
        <w:t xml:space="preserve">; hence, the equations vary in the same way. Transitions that increase the values include HIV infection, </w:t>
      </w:r>
      <w:r w:rsidR="00CF2CDB" w:rsidRPr="00783571">
        <w:t>diagnosis</w:t>
      </w:r>
      <w:r w:rsidRPr="00783571">
        <w:t>,</w:t>
      </w:r>
      <w:r w:rsidR="00AC6001" w:rsidRPr="00783571">
        <w:t xml:space="preserve"> and</w:t>
      </w:r>
      <w:r w:rsidRPr="00783571">
        <w:t xml:space="preserve"> linkage to or departure from HIV care</w:t>
      </w:r>
      <w:r w:rsidR="00AC6001" w:rsidRPr="00783571">
        <w:t>.</w:t>
      </w:r>
      <w:r w:rsidRPr="00783571">
        <w:t xml:space="preserve"> Transitions that decrease the values include HIV progression, testing and notification of results, linkage to HIV care, </w:t>
      </w:r>
      <w:r w:rsidR="00AC6001" w:rsidRPr="00783571">
        <w:t xml:space="preserve">ART </w:t>
      </w:r>
      <w:r w:rsidR="008101D3" w:rsidRPr="00783571">
        <w:t>prescription</w:t>
      </w:r>
      <w:r w:rsidR="00AC6001" w:rsidRPr="00783571">
        <w:t>,</w:t>
      </w:r>
      <w:r w:rsidR="008101D3" w:rsidRPr="00783571">
        <w:t xml:space="preserve"> </w:t>
      </w:r>
      <w:r w:rsidRPr="00783571">
        <w:t>death from causes other than AIDS,</w:t>
      </w:r>
      <w:r w:rsidR="00AC6001" w:rsidRPr="00783571">
        <w:t xml:space="preserve"> and aging out of the modeled population</w:t>
      </w:r>
      <w:r w:rsidRPr="00783571">
        <w:t>. Aging also shifts individuals among age groups.</w:t>
      </w:r>
    </w:p>
    <w:p w14:paraId="4537FEE3" w14:textId="192052D6" w:rsidR="003F334F" w:rsidRPr="00783571" w:rsidRDefault="0022374F" w:rsidP="00F86D5A">
      <w:pPr>
        <w:pStyle w:val="equation"/>
        <w:spacing w:after="360"/>
        <w:rPr>
          <w:lang w:val="en-US"/>
        </w:rPr>
      </w:pPr>
      <w:r w:rsidRPr="00783571">
        <w:rPr>
          <w:lang w:val="en-US"/>
        </w:rPr>
        <w:tab/>
      </w: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c=3</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c=3</m:t>
                </m:r>
              </m:sup>
            </m:s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r>
              <m:rPr>
                <m:sty m:val="p"/>
              </m:rPr>
              <w:rPr>
                <w:rFonts w:ascii="Cambria Math" w:hAnsi="Cambria Math"/>
                <w:position w:val="-14"/>
                <w:lang w:val="en-US"/>
              </w:rPr>
              <w:object w:dxaOrig="620" w:dyaOrig="420" w14:anchorId="246F2C5B">
                <v:shape id="_x0000_i1049" type="#_x0000_t75" style="width:28.5pt;height:21.75pt" o:ole="">
                  <v:imagedata r:id="rId98" o:title=""/>
                </v:shape>
                <o:OLEObject Type="Embed" ProgID="Equation.3" ShapeID="_x0000_i1049" DrawAspect="Content" ObjectID="_1584261702" r:id="rId99"/>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c=3</m:t>
            </m:r>
          </m:sup>
        </m:sSubSup>
        <m:r>
          <w:rPr>
            <w:rFonts w:ascii="Cambria Math" w:hAnsi="Cambria Math"/>
            <w:lang w:val="en-US"/>
          </w:rPr>
          <m:t>(t)</m:t>
        </m:r>
      </m:oMath>
      <w:r w:rsidRPr="00783571">
        <w:rPr>
          <w:lang w:val="en-US"/>
        </w:rPr>
        <w:tab/>
        <w:t>(7.3)</w:t>
      </w:r>
    </w:p>
    <w:p w14:paraId="114CABA4" w14:textId="46323ED4" w:rsidR="0022374F" w:rsidRPr="00783571" w:rsidRDefault="0022374F" w:rsidP="00F86D5A">
      <w:pPr>
        <w:pStyle w:val="equation"/>
        <w:tabs>
          <w:tab w:val="left" w:pos="2160"/>
        </w:tabs>
        <w:spacing w:after="360"/>
        <w:rPr>
          <w:lang w:val="en-US"/>
        </w:rPr>
      </w:pPr>
      <w:r w:rsidRPr="00783571">
        <w:rPr>
          <w:lang w:val="en-US"/>
        </w:rPr>
        <w:tab/>
      </w: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c=4</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c=3</m:t>
                </m:r>
              </m:sup>
            </m:sSubSup>
            <m:d>
              <m:dPr>
                <m:ctrlPr>
                  <w:rPr>
                    <w:rFonts w:ascii="Cambria Math" w:hAnsi="Cambria Math"/>
                    <w:i/>
                    <w:lang w:val="en-US"/>
                  </w:rPr>
                </m:ctrlPr>
              </m:dPr>
              <m:e>
                <m:r>
                  <w:rPr>
                    <w:rFonts w:ascii="Cambria Math" w:hAnsi="Cambria Math"/>
                    <w:lang w:val="en-US"/>
                  </w:rPr>
                  <m:t>t</m:t>
                </m:r>
              </m:e>
            </m:d>
          </m:e>
        </m:d>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κ</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r>
          <m:rPr>
            <m:sty m:val="p"/>
          </m:rPr>
          <w:rPr>
            <w:rFonts w:ascii="Cambria Math" w:hAnsi="Cambria Math"/>
            <w:lang w:val="en-US"/>
          </w:rPr>
          <w:br/>
        </m:r>
      </m:oMath>
      <w:r w:rsidRPr="00783571">
        <w:rPr>
          <w:lang w:val="en-US"/>
        </w:rPr>
        <w:tab/>
      </w:r>
      <m:oMath>
        <m:d>
          <m:dPr>
            <m:begChr m:val="["/>
            <m:endChr m:val="]"/>
            <m:ctrlPr>
              <w:rPr>
                <w:rFonts w:ascii="Cambria Math" w:hAnsi="Cambria Math"/>
                <w:i/>
                <w:lang w:val="en-US"/>
              </w:rPr>
            </m:ctrlPr>
          </m:dPr>
          <m:e>
            <m:sSubSup>
              <m:sSubSupPr>
                <m:ctrlPr>
                  <w:rPr>
                    <w:rFonts w:ascii="Cambria Math" w:hAnsi="Cambria Math"/>
                    <w:i/>
                    <w:lang w:val="en-US"/>
                  </w:rPr>
                </m:ctrlPr>
              </m:sSubSupPr>
              <m:e>
                <m:r>
                  <m:rPr>
                    <m:scr m:val="script"/>
                  </m:rPr>
                  <w:rPr>
                    <w:rFonts w:ascii="Cambria Math" w:hAnsi="Cambria Math"/>
                    <w:lang w:val="en-US"/>
                  </w:rPr>
                  <m:t>l</m:t>
                </m:r>
              </m:e>
              <m:sub>
                <m:r>
                  <w:rPr>
                    <w:rFonts w:ascii="Cambria Math" w:hAnsi="Cambria Math"/>
                    <w:lang w:val="en-US"/>
                  </w:rPr>
                  <m:t>p</m:t>
                </m:r>
              </m:sub>
              <m:sup>
                <m:r>
                  <w:rPr>
                    <w:rFonts w:ascii="Cambria Math" w:hAnsi="Cambria Math"/>
                    <w:lang w:val="en-US"/>
                  </w:rPr>
                  <m:t>c=4</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c=4</m:t>
                </m:r>
              </m:sup>
            </m:s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r>
              <m:rPr>
                <m:sty m:val="p"/>
              </m:rPr>
              <w:rPr>
                <w:rFonts w:ascii="Cambria Math" w:hAnsi="Cambria Math"/>
                <w:position w:val="-14"/>
                <w:lang w:val="en-US"/>
              </w:rPr>
              <w:object w:dxaOrig="620" w:dyaOrig="420" w14:anchorId="1E5401D3">
                <v:shape id="_x0000_i1051" type="#_x0000_t75" style="width:28.5pt;height:21.75pt" o:ole="">
                  <v:imagedata r:id="rId98" o:title=""/>
                </v:shape>
                <o:OLEObject Type="Embed" ProgID="Equation.3" ShapeID="_x0000_i1051" DrawAspect="Content" ObjectID="_1584261703" r:id="rId100"/>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c=4</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c=4</m:t>
            </m:r>
          </m:sup>
        </m:sSubSup>
        <m:r>
          <w:rPr>
            <w:rFonts w:ascii="Cambria Math" w:hAnsi="Cambria Math"/>
            <w:lang w:val="en-US"/>
          </w:rPr>
          <m:t>(t)</m:t>
        </m:r>
      </m:oMath>
      <w:r w:rsidRPr="00783571">
        <w:rPr>
          <w:lang w:val="en-US"/>
        </w:rPr>
        <w:tab/>
        <w:t>(7.4)</w:t>
      </w:r>
    </w:p>
    <w:p w14:paraId="64C1A9E9" w14:textId="10A121B6" w:rsidR="0022374F" w:rsidRPr="00783571" w:rsidRDefault="000F17E7" w:rsidP="0014376C">
      <w:pPr>
        <w:pStyle w:val="equation"/>
        <w:spacing w:after="360"/>
        <w:rPr>
          <w:lang w:val="en-US"/>
        </w:rPr>
      </w:pPr>
      <m:oMathPara>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p</m:t>
                      </m:r>
                    </m:sub>
                  </m:sSub>
                </m:e>
              </m:d>
              <m:sSub>
                <m:sSubPr>
                  <m:ctrlPr>
                    <w:rPr>
                      <w:rFonts w:ascii="Cambria Math" w:hAnsi="Cambria Math"/>
                      <w:i/>
                      <w:lang w:val="en-US"/>
                    </w:rPr>
                  </m:ctrlPr>
                </m:sSubPr>
                <m:e>
                  <m:r>
                    <w:rPr>
                      <w:rFonts w:ascii="Cambria Math" w:hAnsi="Cambria Math"/>
                      <w:lang w:val="en-US"/>
                    </w:rPr>
                    <m:t>λ</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m:t>
              </m:r>
            </m:sup>
          </m:sSubSup>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c=3</m:t>
                  </m:r>
                </m:sup>
              </m:sSubSup>
              <m:d>
                <m:dPr>
                  <m:ctrlPr>
                    <w:rPr>
                      <w:rFonts w:ascii="Cambria Math" w:hAnsi="Cambria Math"/>
                      <w:i/>
                      <w:lang w:val="en-US"/>
                    </w:rPr>
                  </m:ctrlPr>
                </m:dPr>
                <m:e>
                  <m:r>
                    <w:rPr>
                      <w:rFonts w:ascii="Cambria Math" w:hAnsi="Cambria Math"/>
                      <w:lang w:val="en-US"/>
                    </w:rPr>
                    <m:t>t</m:t>
                  </m:r>
                </m:e>
              </m:d>
            </m:e>
          </m:d>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κ</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m:rPr>
                      <m:scr m:val="script"/>
                    </m:rPr>
                    <w:rPr>
                      <w:rFonts w:ascii="Cambria Math" w:hAnsi="Cambria Math"/>
                      <w:lang w:val="en-US"/>
                    </w:rPr>
                    <m:t>l</m:t>
                  </m:r>
                </m:e>
                <m:sub>
                  <m:r>
                    <w:rPr>
                      <w:rFonts w:ascii="Cambria Math" w:hAnsi="Cambria Math"/>
                      <w:lang w:val="en-US"/>
                    </w:rPr>
                    <m:t>p</m:t>
                  </m:r>
                </m:sub>
                <m:sup>
                  <m:r>
                    <w:rPr>
                      <w:rFonts w:ascii="Cambria Math" w:hAnsi="Cambria Math"/>
                      <w:lang w:val="en-US"/>
                    </w:rPr>
                    <m:t>c=4</m:t>
                  </m:r>
                </m:sup>
              </m:sSub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c=4</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r>
            <m:rPr>
              <m:sty m:val="p"/>
            </m:rPr>
            <w:rPr>
              <w:rFonts w:ascii="Cambria Math" w:hAnsi="Cambria Math"/>
              <w:lang w:val="en-US"/>
            </w:rPr>
            <w:br/>
          </m:r>
        </m:oMath>
      </m:oMathPara>
      <w:r w:rsidR="009C25E0" w:rsidRPr="00783571">
        <w:rPr>
          <w:lang w:val="en-US"/>
        </w:rPr>
        <w:tab/>
      </w:r>
      <m:oMath>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c=5</m:t>
                </m:r>
              </m:sup>
            </m:s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r>
              <m:rPr>
                <m:sty m:val="p"/>
              </m:rPr>
              <w:rPr>
                <w:rFonts w:ascii="Cambria Math" w:hAnsi="Cambria Math"/>
                <w:position w:val="-14"/>
                <w:lang w:val="en-US"/>
              </w:rPr>
              <w:object w:dxaOrig="620" w:dyaOrig="420" w14:anchorId="18E3BDEF">
                <v:shape id="_x0000_i1053" type="#_x0000_t75" style="width:28.5pt;height:21.75pt" o:ole="">
                  <v:imagedata r:id="rId98" o:title=""/>
                </v:shape>
                <o:OLEObject Type="Embed" ProgID="Equation.3" ShapeID="_x0000_i1053" DrawAspect="Content" ObjectID="_1584261704" r:id="rId101"/>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r>
              <w:rPr>
                <w:rFonts w:ascii="Cambria Math" w:hAnsi="Cambria Math"/>
                <w:lang w:val="en-US"/>
              </w:rPr>
              <m:t>X</m:t>
            </m:r>
          </m:e>
          <m:sub>
            <m:r>
              <w:rPr>
                <w:rFonts w:ascii="Cambria Math" w:hAnsi="Cambria Math"/>
                <w:lang w:val="en-US"/>
              </w:rPr>
              <m:t>p-1</m:t>
            </m:r>
          </m:sub>
          <m:sup>
            <m:r>
              <w:rPr>
                <w:rFonts w:ascii="Cambria Math" w:hAnsi="Cambria Math"/>
                <w:lang w:val="en-US"/>
              </w:rPr>
              <m:t>c=5</m:t>
            </m:r>
          </m:sup>
        </m:sSubSup>
        <m:r>
          <w:rPr>
            <w:rFonts w:ascii="Cambria Math" w:hAnsi="Cambria Math"/>
            <w:lang w:val="en-US"/>
          </w:rPr>
          <m:t>(t)</m:t>
        </m:r>
      </m:oMath>
      <w:r w:rsidR="009C25E0" w:rsidRPr="00783571">
        <w:rPr>
          <w:lang w:val="en-US"/>
        </w:rPr>
        <w:tab/>
        <w:t>(7.5)</w:t>
      </w:r>
    </w:p>
    <w:p w14:paraId="2C53CE5B" w14:textId="77777777" w:rsidR="00336761" w:rsidRPr="00783571" w:rsidRDefault="00336761" w:rsidP="00F259E1">
      <w:pPr>
        <w:pStyle w:val="BodyText"/>
        <w:keepNext/>
      </w:pPr>
      <w:r w:rsidRPr="00783571">
        <w:t>where</w:t>
      </w:r>
    </w:p>
    <w:p w14:paraId="26204D5B" w14:textId="51926466" w:rsidR="000F420A" w:rsidRPr="00783571" w:rsidRDefault="00425360" w:rsidP="00425360">
      <w:pPr>
        <w:pStyle w:val="bullets"/>
      </w:pPr>
      <w:r w:rsidRPr="00783571">
        <w:rPr>
          <w:position w:val="-6"/>
        </w:rPr>
        <w:object w:dxaOrig="340" w:dyaOrig="340" w14:anchorId="0A408167">
          <v:shape id="_x0000_i1054" type="#_x0000_t75" style="width:21.75pt;height:14.25pt" o:ole="">
            <v:imagedata r:id="rId102" o:title=""/>
          </v:shape>
          <o:OLEObject Type="Embed" ProgID="Equation.3" ShapeID="_x0000_i1054" DrawAspect="Content" ObjectID="_1584261705" r:id="rId103"/>
        </w:object>
      </w:r>
      <w:r w:rsidR="00336761" w:rsidRPr="00783571">
        <w:t> = rate of</w:t>
      </w:r>
      <w:r w:rsidR="005879EA" w:rsidRPr="00783571">
        <w:t xml:space="preserve"> natural history</w:t>
      </w:r>
      <w:r w:rsidR="00336761" w:rsidRPr="00783571">
        <w:t xml:space="preserve"> HIV progression </w:t>
      </w:r>
      <w:r w:rsidR="00AC6001" w:rsidRPr="00783571">
        <w:t xml:space="preserve">from compartment </w:t>
      </w:r>
      <w:r w:rsidR="00AC6001" w:rsidRPr="00783571">
        <w:rPr>
          <w:i/>
        </w:rPr>
        <w:t xml:space="preserve">c </w:t>
      </w:r>
      <w:r w:rsidR="00336761" w:rsidRPr="00783571">
        <w:t>to the next disease stage</w:t>
      </w:r>
      <w:r w:rsidR="00AC6001" w:rsidRPr="00783571">
        <w:t xml:space="preserve"> if not </w:t>
      </w:r>
      <w:r w:rsidR="000965E6" w:rsidRPr="00783571">
        <w:t>prescribed ART</w:t>
      </w:r>
      <w:r w:rsidR="0006550C" w:rsidRPr="00783571">
        <w:t>;</w:t>
      </w:r>
    </w:p>
    <w:p w14:paraId="40445CCC" w14:textId="69355AC8" w:rsidR="00336761" w:rsidRPr="00783571" w:rsidRDefault="00184438" w:rsidP="00BE4D99">
      <w:pPr>
        <w:pStyle w:val="bullets"/>
      </w:pPr>
      <w:r w:rsidRPr="00783571">
        <w:rPr>
          <w:position w:val="-14"/>
        </w:rPr>
        <w:object w:dxaOrig="560" w:dyaOrig="400" w14:anchorId="67B0F03B">
          <v:shape id="_x0000_i1055" type="#_x0000_t75" style="width:21.75pt;height:21.75pt" o:ole="">
            <v:imagedata r:id="rId104" o:title=""/>
          </v:shape>
          <o:OLEObject Type="Embed" ProgID="Equation.3" ShapeID="_x0000_i1055" DrawAspect="Content" ObjectID="_1584261706" r:id="rId105"/>
        </w:object>
      </w:r>
      <w:r w:rsidR="00336761" w:rsidRPr="00783571">
        <w:t> = </w:t>
      </w:r>
      <w:r w:rsidR="00BE4D99" w:rsidRPr="00783571">
        <w:t xml:space="preserve">diagnosis </w:t>
      </w:r>
      <w:r w:rsidR="00336761" w:rsidRPr="00783571">
        <w:t xml:space="preserve">rate from unaware </w:t>
      </w:r>
      <w:r w:rsidR="00D6628E" w:rsidRPr="00783571">
        <w:t xml:space="preserve">compartment </w:t>
      </w:r>
      <w:r w:rsidR="00D6628E" w:rsidRPr="00783571">
        <w:rPr>
          <w:i/>
        </w:rPr>
        <w:t xml:space="preserve">c </w:t>
      </w:r>
      <w:r w:rsidR="00D6628E" w:rsidRPr="00783571">
        <w:t>to aware</w:t>
      </w:r>
      <w:r w:rsidR="00D6628E" w:rsidRPr="00783571">
        <w:rPr>
          <w:i/>
        </w:rPr>
        <w:t xml:space="preserve"> </w:t>
      </w:r>
      <w:r w:rsidR="00336761" w:rsidRPr="00783571">
        <w:t xml:space="preserve">for subpopulation </w:t>
      </w:r>
      <w:r w:rsidR="00336761" w:rsidRPr="00783571">
        <w:rPr>
          <w:i/>
          <w:iCs/>
        </w:rPr>
        <w:t>p</w:t>
      </w:r>
      <w:r w:rsidR="00A245BC" w:rsidRPr="00783571">
        <w:rPr>
          <w:iCs/>
        </w:rPr>
        <w:t xml:space="preserve"> at time </w:t>
      </w:r>
      <w:r w:rsidR="00D6628E" w:rsidRPr="00783571">
        <w:rPr>
          <w:i/>
          <w:iCs/>
        </w:rPr>
        <w:t>t</w:t>
      </w:r>
      <w:r w:rsidR="00BE4D99" w:rsidRPr="00783571">
        <w:t xml:space="preserve">, for </w:t>
      </w:r>
      <w:r w:rsidR="00BE4D99" w:rsidRPr="00783571">
        <w:rPr>
          <w:i/>
        </w:rPr>
        <w:t>c</w:t>
      </w:r>
      <w:r w:rsidR="00BE4D99" w:rsidRPr="00783571">
        <w:t xml:space="preserve"> = {3</w:t>
      </w:r>
      <w:r w:rsidR="004F4E6D" w:rsidRPr="00783571">
        <w:t>,</w:t>
      </w:r>
      <w:r w:rsidR="00BE4D99" w:rsidRPr="00783571">
        <w:t xml:space="preserve"> 6, 11, 16, 21}</w:t>
      </w:r>
      <w:r w:rsidR="0006550C" w:rsidRPr="00783571">
        <w:t>;</w:t>
      </w:r>
    </w:p>
    <w:p w14:paraId="5568558F" w14:textId="77777777" w:rsidR="00F86D5A" w:rsidRPr="00783571" w:rsidRDefault="00751A9E" w:rsidP="00F86D5A">
      <w:pPr>
        <w:pStyle w:val="bullets"/>
      </w:pPr>
      <w:r w:rsidRPr="00783571">
        <w:rPr>
          <w:position w:val="-14"/>
        </w:rPr>
        <w:object w:dxaOrig="620" w:dyaOrig="420" w14:anchorId="26E5B548">
          <v:shape id="_x0000_i1056" type="#_x0000_t75" style="width:28.5pt;height:21.75pt" o:ole="">
            <v:imagedata r:id="rId106" o:title=""/>
          </v:shape>
          <o:OLEObject Type="Embed" ProgID="Equation.3" ShapeID="_x0000_i1056" DrawAspect="Content" ObjectID="_1584261707" r:id="rId107"/>
        </w:object>
      </w:r>
      <w:r w:rsidR="00F86D5A" w:rsidRPr="00783571">
        <w:t xml:space="preserve"> = mortality rate if HIV-infected, by compartment </w:t>
      </w:r>
      <w:r w:rsidR="00F86D5A" w:rsidRPr="00783571">
        <w:rPr>
          <w:i/>
          <w:iCs/>
        </w:rPr>
        <w:t>c</w:t>
      </w:r>
      <w:r w:rsidR="00F86D5A" w:rsidRPr="00783571">
        <w:t xml:space="preserve"> and subpopulation </w:t>
      </w:r>
      <w:r w:rsidR="00F86D5A" w:rsidRPr="00783571">
        <w:rPr>
          <w:i/>
          <w:iCs/>
        </w:rPr>
        <w:t>p</w:t>
      </w:r>
      <w:r w:rsidR="00F86D5A" w:rsidRPr="00783571">
        <w:t xml:space="preserve"> at time </w:t>
      </w:r>
      <w:r w:rsidR="00F86D5A" w:rsidRPr="00783571">
        <w:rPr>
          <w:i/>
        </w:rPr>
        <w:t>t</w:t>
      </w:r>
      <w:r w:rsidR="00F86D5A" w:rsidRPr="00783571">
        <w:t>;</w:t>
      </w:r>
    </w:p>
    <w:p w14:paraId="19A8D58E" w14:textId="39BFF0CE" w:rsidR="00336761" w:rsidRPr="00783571" w:rsidRDefault="00935C54" w:rsidP="00D41DE4">
      <w:pPr>
        <w:pStyle w:val="bullets"/>
      </w:pPr>
      <w:r w:rsidRPr="00783571">
        <w:rPr>
          <w:position w:val="-12"/>
        </w:rPr>
        <w:object w:dxaOrig="540" w:dyaOrig="380" w14:anchorId="09FD00E5">
          <v:shape id="_x0000_i1057" type="#_x0000_t75" style="width:28.5pt;height:14.25pt" o:ole="">
            <v:imagedata r:id="rId108" o:title=""/>
          </v:shape>
          <o:OLEObject Type="Embed" ProgID="Equation.3" ShapeID="_x0000_i1057" DrawAspect="Content" ObjectID="_1584261708" r:id="rId109"/>
        </w:object>
      </w:r>
      <w:r w:rsidR="00336761" w:rsidRPr="00783571">
        <w:t xml:space="preserve"> = rate of ART </w:t>
      </w:r>
      <w:r w:rsidR="008101D3" w:rsidRPr="00783571">
        <w:t>prescription</w:t>
      </w:r>
      <w:r w:rsidR="00336761" w:rsidRPr="00783571">
        <w:t xml:space="preserve"> if </w:t>
      </w:r>
      <w:r w:rsidR="009E34D9" w:rsidRPr="00783571">
        <w:t>linked to HIV care</w:t>
      </w:r>
      <w:r w:rsidR="00315C31" w:rsidRPr="00783571">
        <w:t xml:space="preserve">, by </w:t>
      </w:r>
      <w:r w:rsidR="00D6628E" w:rsidRPr="00783571">
        <w:t xml:space="preserve">compartment c </w:t>
      </w:r>
      <w:r w:rsidR="00315C31" w:rsidRPr="00783571">
        <w:t>and</w:t>
      </w:r>
      <w:r w:rsidR="00336761" w:rsidRPr="00783571">
        <w:t xml:space="preserve"> subpopulation </w:t>
      </w:r>
      <w:r w:rsidR="00336761" w:rsidRPr="00783571">
        <w:rPr>
          <w:i/>
          <w:iCs/>
        </w:rPr>
        <w:t>p</w:t>
      </w:r>
      <w:r w:rsidR="00A245BC" w:rsidRPr="00783571">
        <w:rPr>
          <w:iCs/>
        </w:rPr>
        <w:t xml:space="preserve"> at time </w:t>
      </w:r>
      <w:r w:rsidR="00A245BC" w:rsidRPr="00783571">
        <w:rPr>
          <w:i/>
          <w:iCs/>
        </w:rPr>
        <w:t>t</w:t>
      </w:r>
      <w:r w:rsidR="00D41DE4" w:rsidRPr="00783571">
        <w:t xml:space="preserve">, for </w:t>
      </w:r>
      <w:r w:rsidR="00D41DE4" w:rsidRPr="00783571">
        <w:rPr>
          <w:i/>
        </w:rPr>
        <w:t>c</w:t>
      </w:r>
      <w:r w:rsidR="00D41DE4" w:rsidRPr="00783571">
        <w:t xml:space="preserve"> = {8, 13, 18, 23}</w:t>
      </w:r>
      <w:r w:rsidR="0006550C" w:rsidRPr="00783571">
        <w:t>;</w:t>
      </w:r>
    </w:p>
    <w:p w14:paraId="7D155B16" w14:textId="49452364" w:rsidR="000F420A" w:rsidRPr="00783571" w:rsidRDefault="00935C54" w:rsidP="00D41DE4">
      <w:pPr>
        <w:pStyle w:val="bullets"/>
      </w:pPr>
      <w:r w:rsidRPr="00783571">
        <w:rPr>
          <w:position w:val="-12"/>
        </w:rPr>
        <w:object w:dxaOrig="560" w:dyaOrig="380" w14:anchorId="4A181587">
          <v:shape id="_x0000_i1058" type="#_x0000_t75" style="width:28.5pt;height:14.25pt" o:ole="">
            <v:imagedata r:id="rId110" o:title=""/>
          </v:shape>
          <o:OLEObject Type="Embed" ProgID="Equation.3" ShapeID="_x0000_i1058" DrawAspect="Content" ObjectID="_1584261709" r:id="rId111"/>
        </w:object>
      </w:r>
      <w:r w:rsidR="004D7E5A" w:rsidRPr="00783571">
        <w:t xml:space="preserve">= rate of departure from HIV care if </w:t>
      </w:r>
      <w:r w:rsidR="009E34D9" w:rsidRPr="00783571">
        <w:t>linked to HIV care</w:t>
      </w:r>
      <w:r w:rsidR="004D7E5A" w:rsidRPr="00783571">
        <w:t xml:space="preserve">, by </w:t>
      </w:r>
      <w:r w:rsidR="004D7E5A" w:rsidRPr="00783571">
        <w:rPr>
          <w:iCs/>
        </w:rPr>
        <w:t xml:space="preserve">demographic subpopulation </w:t>
      </w:r>
      <w:r w:rsidR="004D7E5A" w:rsidRPr="00783571">
        <w:rPr>
          <w:i/>
          <w:iCs/>
        </w:rPr>
        <w:t>p</w:t>
      </w:r>
      <w:r w:rsidR="00712562" w:rsidRPr="00783571">
        <w:t xml:space="preserve"> </w:t>
      </w:r>
      <w:r w:rsidR="004D7E5A" w:rsidRPr="00783571">
        <w:t xml:space="preserve">at time </w:t>
      </w:r>
      <w:r w:rsidR="004D7E5A" w:rsidRPr="00783571">
        <w:rPr>
          <w:i/>
          <w:iCs/>
        </w:rPr>
        <w:t>t</w:t>
      </w:r>
      <w:r w:rsidR="00D41DE4" w:rsidRPr="00783571">
        <w:t xml:space="preserve">, for </w:t>
      </w:r>
      <w:r w:rsidR="00D41DE4" w:rsidRPr="00783571">
        <w:rPr>
          <w:i/>
        </w:rPr>
        <w:t>c</w:t>
      </w:r>
      <w:r w:rsidR="00D41DE4" w:rsidRPr="00783571">
        <w:t xml:space="preserve"> = {5, 8, 13, 18, 23}</w:t>
      </w:r>
      <w:r w:rsidR="0006550C" w:rsidRPr="00783571">
        <w:t>;</w:t>
      </w:r>
    </w:p>
    <w:p w14:paraId="3754452B" w14:textId="1CE40AFC" w:rsidR="001E77C7" w:rsidRPr="00783571" w:rsidRDefault="00935C54" w:rsidP="007437CC">
      <w:pPr>
        <w:pStyle w:val="bullets"/>
      </w:pPr>
      <w:r w:rsidRPr="00783571">
        <w:rPr>
          <w:position w:val="-12"/>
        </w:rPr>
        <w:object w:dxaOrig="520" w:dyaOrig="380" w14:anchorId="18FEA8B3">
          <v:shape id="_x0000_i1059" type="#_x0000_t75" style="width:21.75pt;height:14.25pt" o:ole="">
            <v:imagedata r:id="rId112" o:title=""/>
          </v:shape>
          <o:OLEObject Type="Embed" ProgID="Equation.3" ShapeID="_x0000_i1059" DrawAspect="Content" ObjectID="_1584261710" r:id="rId113"/>
        </w:object>
      </w:r>
      <w:r w:rsidR="00336761" w:rsidRPr="00783571">
        <w:t> = </w:t>
      </w:r>
      <w:r w:rsidR="004D7E5A" w:rsidRPr="00783571">
        <w:t>percentage of newly diagnos</w:t>
      </w:r>
      <w:r w:rsidR="007437CC" w:rsidRPr="00783571">
        <w:t>ed</w:t>
      </w:r>
      <w:r w:rsidR="004D7E5A" w:rsidRPr="00783571">
        <w:t xml:space="preserve"> individuals in subpopulation </w:t>
      </w:r>
      <w:r w:rsidR="004D7E5A" w:rsidRPr="00783571">
        <w:rPr>
          <w:i/>
          <w:iCs/>
        </w:rPr>
        <w:t>p</w:t>
      </w:r>
      <w:r w:rsidR="004D7E5A" w:rsidRPr="00783571">
        <w:t xml:space="preserve"> who immediately link to care at diagnosis at time </w:t>
      </w:r>
      <w:r w:rsidR="004D7E5A" w:rsidRPr="00783571">
        <w:rPr>
          <w:i/>
        </w:rPr>
        <w:t>t</w:t>
      </w:r>
      <w:r w:rsidR="001E77C7" w:rsidRPr="00783571">
        <w:t>; and</w:t>
      </w:r>
    </w:p>
    <w:p w14:paraId="36EE44EF" w14:textId="16151A5A" w:rsidR="00336761" w:rsidRPr="00783571" w:rsidRDefault="00621210" w:rsidP="00D41DE4">
      <w:pPr>
        <w:pStyle w:val="bullets"/>
      </w:pPr>
      <w:r w:rsidRPr="00783571">
        <w:rPr>
          <w:position w:val="-14"/>
        </w:rPr>
        <w:object w:dxaOrig="639" w:dyaOrig="420" w14:anchorId="7C9A8788">
          <v:shape id="_x0000_i1060" type="#_x0000_t75" style="width:28.5pt;height:21.75pt" o:ole="">
            <v:imagedata r:id="rId114" o:title=""/>
          </v:shape>
          <o:OLEObject Type="Embed" ProgID="Equation.3" ShapeID="_x0000_i1060" DrawAspect="Content" ObjectID="_1584261711" r:id="rId115"/>
        </w:object>
      </w:r>
      <w:r w:rsidR="00AC6001" w:rsidRPr="00783571">
        <w:t xml:space="preserve">= </w:t>
      </w:r>
      <w:r w:rsidR="001E77C7" w:rsidRPr="00783571">
        <w:t>rate of linkage to HIV care among aware (not newly diagnosed) individuals</w:t>
      </w:r>
      <w:r w:rsidR="004D7E5A" w:rsidRPr="00783571">
        <w:t xml:space="preserve"> in compartment </w:t>
      </w:r>
      <w:r w:rsidR="004D7E5A" w:rsidRPr="00783571">
        <w:rPr>
          <w:i/>
        </w:rPr>
        <w:t>c</w:t>
      </w:r>
      <w:r w:rsidR="001E77C7" w:rsidRPr="00783571">
        <w:t xml:space="preserve"> </w:t>
      </w:r>
      <w:r w:rsidR="002D5C5C" w:rsidRPr="00783571">
        <w:t>for</w:t>
      </w:r>
      <w:r w:rsidR="001E77C7" w:rsidRPr="00783571">
        <w:t xml:space="preserve"> subpopulation </w:t>
      </w:r>
      <w:r w:rsidR="001E77C7" w:rsidRPr="00783571">
        <w:rPr>
          <w:i/>
          <w:iCs/>
        </w:rPr>
        <w:t>p</w:t>
      </w:r>
      <w:r w:rsidR="00673916" w:rsidRPr="00783571">
        <w:rPr>
          <w:iCs/>
        </w:rPr>
        <w:t xml:space="preserve"> at time </w:t>
      </w:r>
      <w:r w:rsidR="004D7E5A" w:rsidRPr="00783571">
        <w:rPr>
          <w:i/>
          <w:iCs/>
        </w:rPr>
        <w:t>t</w:t>
      </w:r>
      <w:r w:rsidR="00D41DE4" w:rsidRPr="00783571">
        <w:t xml:space="preserve">, for </w:t>
      </w:r>
      <w:r w:rsidR="00D41DE4" w:rsidRPr="00783571">
        <w:rPr>
          <w:i/>
        </w:rPr>
        <w:t>c</w:t>
      </w:r>
      <w:r w:rsidR="00D41DE4" w:rsidRPr="00783571">
        <w:t xml:space="preserve"> = {4, 7, 12, 17, 22}</w:t>
      </w:r>
      <w:r w:rsidR="0052684D" w:rsidRPr="00783571">
        <w:rPr>
          <w:iCs/>
        </w:rPr>
        <w:t>.</w:t>
      </w:r>
    </w:p>
    <w:p w14:paraId="6DD75525" w14:textId="77777777" w:rsidR="000F420A" w:rsidRPr="00783571" w:rsidRDefault="00336761" w:rsidP="00336761">
      <w:pPr>
        <w:pStyle w:val="Heading2"/>
      </w:pPr>
      <w:bookmarkStart w:id="86" w:name="_Toc398293128"/>
      <w:bookmarkStart w:id="87" w:name="_Toc510104465"/>
      <w:r w:rsidRPr="00783571">
        <w:t xml:space="preserve">Individuals with </w:t>
      </w:r>
      <w:r w:rsidR="00726B26" w:rsidRPr="00783571">
        <w:t xml:space="preserve">Chronic </w:t>
      </w:r>
      <w:r w:rsidRPr="00783571">
        <w:t>HIV Infection and CD4 ≥ 200</w:t>
      </w:r>
      <w:bookmarkEnd w:id="86"/>
      <w:bookmarkEnd w:id="87"/>
    </w:p>
    <w:p w14:paraId="78EA61DA" w14:textId="2257594B" w:rsidR="00336761" w:rsidRPr="00783571" w:rsidRDefault="00336761" w:rsidP="00492BF2">
      <w:pPr>
        <w:pStyle w:val="BodyText"/>
      </w:pPr>
      <w:r w:rsidRPr="00783571">
        <w:t xml:space="preserve">The numbers of individuals with </w:t>
      </w:r>
      <w:r w:rsidR="00726B26" w:rsidRPr="00783571">
        <w:t xml:space="preserve">chronic </w:t>
      </w:r>
      <w:r w:rsidRPr="00783571">
        <w:t>HIV infection and CD4 ≥ 200 (</w:t>
      </w:r>
      <w:r w:rsidRPr="00783571">
        <w:rPr>
          <w:i/>
          <w:iCs/>
        </w:rPr>
        <w:t>c</w:t>
      </w:r>
      <w:r w:rsidR="00E628BE" w:rsidRPr="00783571">
        <w:rPr>
          <w:i/>
          <w:iCs/>
        </w:rPr>
        <w:t> = </w:t>
      </w:r>
      <w:r w:rsidR="00731B40" w:rsidRPr="00783571">
        <w:t>6</w:t>
      </w:r>
      <w:r w:rsidRPr="00783571">
        <w:t xml:space="preserve"> to </w:t>
      </w:r>
      <w:r w:rsidR="00731B40" w:rsidRPr="00783571">
        <w:t>20</w:t>
      </w:r>
      <w:r w:rsidRPr="00783571">
        <w:t>), by demographic subpopulation</w:t>
      </w:r>
      <w:r w:rsidR="00B72C75" w:rsidRPr="00783571">
        <w:t xml:space="preserve"> </w:t>
      </w:r>
      <w:r w:rsidR="00B72C75" w:rsidRPr="00783571">
        <w:rPr>
          <w:i/>
        </w:rPr>
        <w:t>p</w:t>
      </w:r>
      <w:r w:rsidRPr="00783571">
        <w:t xml:space="preserve">, are determined by Equations </w:t>
      </w:r>
      <w:r w:rsidR="008B30F8" w:rsidRPr="00783571">
        <w:t>(</w:t>
      </w:r>
      <w:r w:rsidR="00FF381E" w:rsidRPr="00783571">
        <w:t>7</w:t>
      </w:r>
      <w:r w:rsidR="00F259E1" w:rsidRPr="00783571">
        <w:t>.</w:t>
      </w:r>
      <w:r w:rsidR="00731B40" w:rsidRPr="00783571">
        <w:t>6</w:t>
      </w:r>
      <w:r w:rsidR="008B30F8" w:rsidRPr="00783571">
        <w:t>)</w:t>
      </w:r>
      <w:r w:rsidRPr="00783571">
        <w:t xml:space="preserve"> through </w:t>
      </w:r>
      <w:r w:rsidR="008B30F8" w:rsidRPr="00783571">
        <w:t>(</w:t>
      </w:r>
      <w:r w:rsidR="005B0687" w:rsidRPr="00783571">
        <w:t>7</w:t>
      </w:r>
      <w:r w:rsidR="00F259E1" w:rsidRPr="00783571">
        <w:t>.</w:t>
      </w:r>
      <w:r w:rsidR="00726B26" w:rsidRPr="00783571">
        <w:t>15</w:t>
      </w:r>
      <w:r w:rsidR="008B30F8" w:rsidRPr="00783571">
        <w:t>)</w:t>
      </w:r>
      <w:r w:rsidRPr="00783571">
        <w:t>, corresponding to continuum-of-care stages</w:t>
      </w:r>
      <w:r w:rsidR="00731B40" w:rsidRPr="00783571">
        <w:t xml:space="preserve"> (</w:t>
      </w:r>
      <w:r w:rsidR="00731B40" w:rsidRPr="00783571">
        <w:rPr>
          <w:i/>
          <w:iCs/>
        </w:rPr>
        <w:t>r</w:t>
      </w:r>
      <w:r w:rsidR="00731B40" w:rsidRPr="00783571">
        <w:t>)</w:t>
      </w:r>
      <w:r w:rsidRPr="00783571">
        <w:t xml:space="preserve"> </w:t>
      </w:r>
      <w:r w:rsidR="002D5C5C" w:rsidRPr="00783571">
        <w:t xml:space="preserve">1 </w:t>
      </w:r>
      <w:r w:rsidRPr="00783571">
        <w:t xml:space="preserve">to </w:t>
      </w:r>
      <w:r w:rsidR="002D5C5C" w:rsidRPr="00783571">
        <w:t>5</w:t>
      </w:r>
      <w:r w:rsidRPr="00783571">
        <w:t xml:space="preserve">, respectively. </w:t>
      </w:r>
      <w:r w:rsidR="00B1520C" w:rsidRPr="00783571">
        <w:t>Across these compartments, t</w:t>
      </w:r>
      <w:r w:rsidRPr="00783571">
        <w:t xml:space="preserve">ransitions that </w:t>
      </w:r>
      <w:r w:rsidR="00621210" w:rsidRPr="00783571">
        <w:t xml:space="preserve">can </w:t>
      </w:r>
      <w:r w:rsidRPr="00783571">
        <w:t xml:space="preserve">increase the </w:t>
      </w:r>
      <w:r w:rsidR="00621210" w:rsidRPr="00783571">
        <w:t xml:space="preserve">number of individuals in </w:t>
      </w:r>
      <w:r w:rsidR="00B1520C" w:rsidRPr="00783571">
        <w:t>a particular compartment</w:t>
      </w:r>
      <w:r w:rsidRPr="00783571">
        <w:t xml:space="preserve"> include </w:t>
      </w:r>
      <w:r w:rsidR="00B1520C" w:rsidRPr="00783571">
        <w:t xml:space="preserve">HIV progression, </w:t>
      </w:r>
      <w:r w:rsidRPr="00783571">
        <w:t>testing and notification of results, linkage to or departure from HIV care,</w:t>
      </w:r>
      <w:r w:rsidR="002D5C5C" w:rsidRPr="00783571">
        <w:t xml:space="preserve"> ART </w:t>
      </w:r>
      <w:r w:rsidR="008101D3" w:rsidRPr="00783571">
        <w:t>prescription</w:t>
      </w:r>
      <w:r w:rsidR="00B1520C" w:rsidRPr="00783571">
        <w:t xml:space="preserve"> (resulting in VLS or not)</w:t>
      </w:r>
      <w:r w:rsidR="002D5C5C" w:rsidRPr="00783571">
        <w:t>, loss of ART, and loss of viral load suppression</w:t>
      </w:r>
      <w:r w:rsidRPr="00783571">
        <w:t xml:space="preserve">. Transitions that </w:t>
      </w:r>
      <w:r w:rsidR="00492BF2" w:rsidRPr="00783571">
        <w:t xml:space="preserve">can </w:t>
      </w:r>
      <w:r w:rsidRPr="00783571">
        <w:t xml:space="preserve">decrease the </w:t>
      </w:r>
      <w:r w:rsidR="00492BF2" w:rsidRPr="00783571">
        <w:t xml:space="preserve">number of PLWH in any of these compartments </w:t>
      </w:r>
      <w:r w:rsidRPr="00783571">
        <w:t>include HIV progression, testing and notification of results, linkage to</w:t>
      </w:r>
      <w:r w:rsidR="002D5C5C" w:rsidRPr="00783571">
        <w:t xml:space="preserve"> or departure from</w:t>
      </w:r>
      <w:r w:rsidRPr="00783571">
        <w:t xml:space="preserve"> HIV care, </w:t>
      </w:r>
      <w:r w:rsidR="002D5C5C" w:rsidRPr="00783571">
        <w:t xml:space="preserve">ART </w:t>
      </w:r>
      <w:r w:rsidR="008101D3" w:rsidRPr="00783571">
        <w:t>prescription</w:t>
      </w:r>
      <w:r w:rsidR="00B1520C" w:rsidRPr="00783571">
        <w:t xml:space="preserve"> (resulting in VLS or not)</w:t>
      </w:r>
      <w:r w:rsidR="002D5C5C" w:rsidRPr="00783571">
        <w:t xml:space="preserve">, loss of ART, loss of viral load suppression, </w:t>
      </w:r>
      <w:r w:rsidRPr="00783571">
        <w:t xml:space="preserve">death from causes other than AIDS, death if </w:t>
      </w:r>
      <w:r w:rsidR="000965E6" w:rsidRPr="00783571">
        <w:t>prescribed ART</w:t>
      </w:r>
      <w:r w:rsidR="00726B26" w:rsidRPr="00783571">
        <w:t>, and aging out of the modeled population</w:t>
      </w:r>
      <w:r w:rsidRPr="00783571">
        <w:t>. Aging also shifts individuals among age groups.</w:t>
      </w:r>
    </w:p>
    <w:p w14:paraId="52B8DA4F" w14:textId="3D71EE24" w:rsidR="002D5C5C" w:rsidRPr="00783571" w:rsidRDefault="003741C2" w:rsidP="002F71EB">
      <w:pPr>
        <w:pStyle w:val="equation"/>
        <w:rPr>
          <w:i/>
          <w:lang w:val="en-US"/>
        </w:rPr>
      </w:pPr>
      <w:r w:rsidRPr="00783571">
        <w:rPr>
          <w:i/>
          <w:lang w:val="en-US"/>
        </w:rPr>
        <w:t>Equations for CD4 &gt; 500</w:t>
      </w:r>
      <w:r w:rsidR="002F71EB" w:rsidRPr="00783571">
        <w:rPr>
          <w:i/>
          <w:lang w:val="en-US"/>
        </w:rPr>
        <w:t xml:space="preserve"> (</w:t>
      </w:r>
      <w:r w:rsidRPr="00783571">
        <w:rPr>
          <w:i/>
          <w:lang w:val="en-US"/>
        </w:rPr>
        <w:t>h =</w:t>
      </w:r>
      <w:r w:rsidR="00726B26" w:rsidRPr="00783571">
        <w:rPr>
          <w:i/>
          <w:lang w:val="en-US"/>
        </w:rPr>
        <w:t xml:space="preserve"> </w:t>
      </w:r>
      <w:r w:rsidRPr="00783571">
        <w:rPr>
          <w:i/>
          <w:lang w:val="en-US"/>
        </w:rPr>
        <w:t>2</w:t>
      </w:r>
      <w:r w:rsidR="002F71EB" w:rsidRPr="00783571">
        <w:rPr>
          <w:i/>
          <w:lang w:val="en-US"/>
        </w:rPr>
        <w:t>)</w:t>
      </w:r>
      <w:r w:rsidR="00731B40" w:rsidRPr="00783571">
        <w:rPr>
          <w:i/>
          <w:lang w:val="en-US"/>
        </w:rPr>
        <w:t>:</w:t>
      </w:r>
    </w:p>
    <w:p w14:paraId="07024EA4" w14:textId="18C9FAC9" w:rsidR="00A3127C" w:rsidRPr="00783571" w:rsidRDefault="00E47B37" w:rsidP="00C16178">
      <w:pPr>
        <w:pStyle w:val="equation"/>
        <w:spacing w:after="360"/>
        <w:rPr>
          <w:lang w:val="en-US"/>
        </w:rPr>
      </w:pPr>
      <w:r w:rsidRPr="00783571">
        <w:rPr>
          <w:rFonts w:ascii="Cambria Math" w:hAnsi="Cambria Math"/>
          <w:i/>
          <w:lang w:val="en-US"/>
        </w:rPr>
        <w:tab/>
      </w: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c=6</m:t>
                </m:r>
              </m:sup>
            </m:sSubSup>
            <m:r>
              <w:rPr>
                <w:rFonts w:ascii="Cambria Math" w:hAnsi="Cambria Math"/>
                <w:lang w:val="en-US"/>
              </w:rPr>
              <m:t>(t)</m:t>
            </m:r>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c=3</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c=6</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c=6</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r>
              <m:rPr>
                <m:sty m:val="p"/>
              </m:rPr>
              <w:rPr>
                <w:rFonts w:ascii="Cambria Math" w:hAnsi="Cambria Math"/>
                <w:position w:val="-14"/>
                <w:lang w:val="en-US"/>
              </w:rPr>
              <w:object w:dxaOrig="740" w:dyaOrig="400" w14:anchorId="33EE8420">
                <v:shape id="_x0000_i1062" type="#_x0000_t75" style="width:36pt;height:21.75pt" o:ole="">
                  <v:imagedata r:id="rId116" o:title=""/>
                </v:shape>
                <o:OLEObject Type="Embed" ProgID="Equation.3" ShapeID="_x0000_i1062" DrawAspect="Content" ObjectID="_1584261712" r:id="rId117"/>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c=6</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c=6</m:t>
            </m:r>
          </m:sup>
        </m:sSubSup>
        <m:r>
          <w:rPr>
            <w:rFonts w:ascii="Cambria Math" w:hAnsi="Cambria Math"/>
            <w:lang w:val="en-US"/>
          </w:rPr>
          <m:t>(t)</m:t>
        </m:r>
      </m:oMath>
      <w:r w:rsidRPr="00783571">
        <w:rPr>
          <w:rFonts w:ascii="Cambria Math" w:hAnsi="Cambria Math"/>
          <w:lang w:val="en-US"/>
        </w:rPr>
        <w:tab/>
      </w:r>
      <w:r w:rsidRPr="00783571">
        <w:rPr>
          <w:lang w:val="en-US"/>
        </w:rPr>
        <w:t>(7.6)</w:t>
      </w:r>
    </w:p>
    <w:p w14:paraId="12F9167D" w14:textId="6F87C55A" w:rsidR="00143653" w:rsidRPr="00783571" w:rsidRDefault="000F17E7" w:rsidP="0056377C">
      <w:pPr>
        <w:pStyle w:val="equation"/>
        <w:spacing w:after="360"/>
        <w:jc w:val="both"/>
        <w:rPr>
          <w:rFonts w:ascii="Cambria Math" w:hAnsi="Cambria Math"/>
          <w:lang w:val="en-US"/>
        </w:rPr>
      </w:pPr>
      <m:oMathPara>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c=7</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c=4</m:t>
                  </m:r>
                </m:sup>
              </m:s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c=4</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c=6</m:t>
                  </m:r>
                </m:sup>
              </m:sSubSup>
              <m:d>
                <m:dPr>
                  <m:ctrlPr>
                    <w:rPr>
                      <w:rFonts w:ascii="Cambria Math" w:hAnsi="Cambria Math"/>
                      <w:i/>
                      <w:lang w:val="en-US"/>
                    </w:rPr>
                  </m:ctrlPr>
                </m:dPr>
                <m:e>
                  <m:r>
                    <w:rPr>
                      <w:rFonts w:ascii="Cambria Math" w:hAnsi="Cambria Math"/>
                      <w:lang w:val="en-US"/>
                    </w:rPr>
                    <m:t>t</m:t>
                  </m:r>
                </m:e>
              </m:d>
            </m:e>
          </m:d>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κ</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c=6</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 xml:space="preserve"> </m:t>
          </m:r>
          <m:r>
            <m:rPr>
              <m:sty m:val="p"/>
            </m:rPr>
            <w:rPr>
              <w:rFonts w:ascii="Cambria Math" w:hAnsi="Cambria Math"/>
              <w:lang w:val="en-US"/>
            </w:rPr>
            <w:br/>
          </m:r>
        </m:oMath>
      </m:oMathPara>
      <w:r w:rsidR="00E47B37" w:rsidRPr="00783571">
        <w:rPr>
          <w:rFonts w:ascii="Cambria Math" w:hAnsi="Cambria Math"/>
          <w:lang w:val="en-US"/>
        </w:rPr>
        <w:tab/>
      </w:r>
      <m:oMath>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c=8</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m:rPr>
                    <m:scr m:val="script"/>
                  </m:rPr>
                  <w:rPr>
                    <w:rFonts w:ascii="Cambria Math" w:hAnsi="Cambria Math"/>
                    <w:lang w:val="en-US"/>
                  </w:rPr>
                  <m:t>l</m:t>
                </m:r>
              </m:e>
              <m:sub>
                <m:r>
                  <w:rPr>
                    <w:rFonts w:ascii="Cambria Math" w:hAnsi="Cambria Math"/>
                    <w:lang w:val="en-US"/>
                  </w:rPr>
                  <m:t>p</m:t>
                </m:r>
              </m:sub>
              <m:sup>
                <m:r>
                  <w:rPr>
                    <w:rFonts w:ascii="Cambria Math" w:hAnsi="Cambria Math"/>
                    <w:lang w:val="en-US"/>
                  </w:rPr>
                  <m:t>c=7</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c=7</m:t>
                </m:r>
              </m:sup>
            </m:s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r>
              <m:rPr>
                <m:sty m:val="p"/>
              </m:rPr>
              <w:rPr>
                <w:rFonts w:ascii="Cambria Math" w:hAnsi="Cambria Math"/>
                <w:position w:val="-14"/>
                <w:lang w:val="en-US"/>
              </w:rPr>
              <w:object w:dxaOrig="720" w:dyaOrig="400" w14:anchorId="13FF5335">
                <v:shape id="_x0000_i1064" type="#_x0000_t75" style="width:36pt;height:21.75pt" o:ole="">
                  <v:imagedata r:id="rId118" o:title=""/>
                </v:shape>
                <o:OLEObject Type="Embed" ProgID="Equation.3" ShapeID="_x0000_i1064" DrawAspect="Content" ObjectID="_1584261713" r:id="rId119"/>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c=7</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c=7</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 xml:space="preserve"> </m:t>
        </m:r>
      </m:oMath>
      <w:r w:rsidR="00E47B37" w:rsidRPr="00783571">
        <w:rPr>
          <w:rFonts w:ascii="Cambria Math" w:hAnsi="Cambria Math"/>
          <w:lang w:val="en-US"/>
        </w:rPr>
        <w:tab/>
      </w:r>
      <w:r w:rsidR="00E47B37" w:rsidRPr="00783571">
        <w:rPr>
          <w:lang w:val="en-US"/>
        </w:rPr>
        <w:t>(7.7)</w:t>
      </w:r>
    </w:p>
    <w:p w14:paraId="20114A0D" w14:textId="67194684" w:rsidR="005D5BE6" w:rsidRPr="00783571" w:rsidRDefault="000F17E7" w:rsidP="0047287B">
      <w:pPr>
        <w:pStyle w:val="equation"/>
        <w:spacing w:after="360"/>
        <w:jc w:val="both"/>
        <w:rPr>
          <w:lang w:val="en-US"/>
        </w:rPr>
      </w:pPr>
      <m:oMathPara>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c=8</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c=5</m:t>
              </m:r>
            </m:sup>
          </m:sSup>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c=6</m:t>
              </m:r>
            </m:sup>
          </m:sSubSup>
          <m:d>
            <m:dPr>
              <m:ctrlPr>
                <w:rPr>
                  <w:rFonts w:ascii="Cambria Math" w:hAnsi="Cambria Math"/>
                  <w:i/>
                  <w:lang w:val="en-US"/>
                </w:rPr>
              </m:ctrlPr>
            </m:dPr>
            <m:e>
              <m:r>
                <w:rPr>
                  <w:rFonts w:ascii="Cambria Math" w:hAnsi="Cambria Math"/>
                  <w:lang w:val="en-US"/>
                </w:rPr>
                <m:t>t</m:t>
              </m:r>
            </m:e>
          </m:d>
          <m:sSub>
            <m:sSubPr>
              <m:ctrlPr>
                <w:rPr>
                  <w:rFonts w:ascii="Cambria Math" w:hAnsi="Cambria Math"/>
                  <w:i/>
                  <w:lang w:val="en-US"/>
                </w:rPr>
              </m:ctrlPr>
            </m:sSubPr>
            <m:e>
              <m:r>
                <w:rPr>
                  <w:rFonts w:ascii="Cambria Math" w:hAnsi="Cambria Math"/>
                  <w:lang w:val="en-US"/>
                </w:rPr>
                <m:t>κ</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c=6</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m:rPr>
                  <m:scr m:val="script"/>
                </m:rPr>
                <w:rPr>
                  <w:rFonts w:ascii="Cambria Math" w:hAnsi="Cambria Math"/>
                  <w:lang w:val="en-US"/>
                </w:rPr>
                <m:t>l</m:t>
              </m:r>
            </m:e>
            <m:sub>
              <m:r>
                <w:rPr>
                  <w:rFonts w:ascii="Cambria Math" w:hAnsi="Cambria Math"/>
                  <w:lang w:val="en-US"/>
                </w:rPr>
                <m:t>p</m:t>
              </m:r>
            </m:sub>
            <m:sup>
              <m:r>
                <w:rPr>
                  <w:rFonts w:ascii="Cambria Math" w:hAnsi="Cambria Math"/>
                  <w:lang w:val="en-US"/>
                </w:rPr>
                <m:t>c=7</m:t>
              </m:r>
            </m:sup>
          </m:sSubSup>
          <m:d>
            <m:dPr>
              <m:ctrlPr>
                <w:rPr>
                  <w:rFonts w:ascii="Cambria Math" w:hAnsi="Cambria Math"/>
                  <w:i/>
                  <w:lang w:val="en-US"/>
                </w:rPr>
              </m:ctrlPr>
            </m:dPr>
            <m:e>
              <m:r>
                <w:rPr>
                  <w:rFonts w:ascii="Cambria Math" w:hAnsi="Cambria Math"/>
                  <w:lang w:val="en-US"/>
                </w:rPr>
                <m:t>t</m:t>
              </m:r>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c=7</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 xml:space="preserve"> </m:t>
          </m:r>
          <m:r>
            <m:rPr>
              <m:sty m:val="p"/>
            </m:rPr>
            <w:rPr>
              <w:rFonts w:ascii="Cambria Math" w:hAnsi="Cambria Math"/>
              <w:lang w:val="en-US"/>
            </w:rPr>
            <w:br/>
          </m:r>
        </m:oMath>
      </m:oMathPara>
      <w:r w:rsidR="000F0E6D" w:rsidRPr="00783571">
        <w:rPr>
          <w:rFonts w:ascii="Cambria Math" w:hAnsi="Cambria Math"/>
          <w:lang w:val="en-US"/>
        </w:rPr>
        <w:tab/>
      </w:r>
      <m:oMath>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c=9</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c=8</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c=8</m:t>
                </m:r>
              </m:sup>
            </m:sSup>
            <m:r>
              <w:rPr>
                <w:rFonts w:ascii="Cambria Math" w:hAnsi="Cambria Math"/>
                <w:lang w:val="en-US"/>
              </w:rPr>
              <m:t>+</m:t>
            </m:r>
            <m:r>
              <m:rPr>
                <m:sty m:val="p"/>
              </m:rPr>
              <w:rPr>
                <w:rFonts w:ascii="Cambria Math" w:hAnsi="Cambria Math"/>
                <w:position w:val="-14"/>
                <w:lang w:val="en-US"/>
              </w:rPr>
              <w:object w:dxaOrig="720" w:dyaOrig="400" w14:anchorId="46BA7197">
                <v:shape id="_x0000_i1066" type="#_x0000_t75" style="width:36pt;height:21.75pt" o:ole="">
                  <v:imagedata r:id="rId120" o:title=""/>
                </v:shape>
                <o:OLEObject Type="Embed" ProgID="Equation.3" ShapeID="_x0000_i1066" DrawAspect="Content" ObjectID="_1584261714" r:id="rId121"/>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c=8</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c=8</m:t>
            </m:r>
          </m:sup>
        </m:sSubSup>
        <m:r>
          <w:rPr>
            <w:rFonts w:ascii="Cambria Math" w:hAnsi="Cambria Math"/>
            <w:lang w:val="en-US"/>
          </w:rPr>
          <m:t>(t)</m:t>
        </m:r>
      </m:oMath>
      <w:r w:rsidR="000F0E6D" w:rsidRPr="00783571">
        <w:rPr>
          <w:rFonts w:ascii="Cambria Math" w:hAnsi="Cambria Math"/>
          <w:lang w:val="en-US"/>
        </w:rPr>
        <w:tab/>
      </w:r>
      <w:r w:rsidR="000F0E6D" w:rsidRPr="00783571">
        <w:rPr>
          <w:lang w:val="en-US"/>
        </w:rPr>
        <w:t>(7.8)</w:t>
      </w:r>
    </w:p>
    <w:p w14:paraId="5AF52E66" w14:textId="14842721" w:rsidR="005D5BE6" w:rsidRPr="00783571" w:rsidRDefault="000F17E7" w:rsidP="0056377C">
      <w:pPr>
        <w:pStyle w:val="equation"/>
        <w:tabs>
          <w:tab w:val="left" w:pos="360"/>
        </w:tabs>
        <w:spacing w:after="360"/>
        <w:jc w:val="both"/>
        <w:rPr>
          <w:lang w:val="en-US"/>
        </w:rPr>
      </w:pPr>
      <m:oMathPara>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c=9</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1-u</m:t>
              </m:r>
            </m:e>
          </m:d>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1-u</m:t>
              </m:r>
            </m:e>
          </m:d>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c=8</m:t>
                  </m:r>
                </m:sup>
              </m:sSub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c=8</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c=10</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m:oMathPara>
      <w:r w:rsidR="009C25E0" w:rsidRPr="00783571">
        <w:rPr>
          <w:rFonts w:ascii="Cambria Math" w:hAnsi="Cambria Math"/>
          <w:lang w:val="en-US"/>
        </w:rPr>
        <w:tab/>
      </w:r>
      <w:r w:rsidR="00DB0635" w:rsidRPr="00783571">
        <w:rPr>
          <w:rFonts w:ascii="Cambria Math" w:hAnsi="Cambria Math"/>
          <w:lang w:val="en-US"/>
        </w:rPr>
        <w:tab/>
      </w:r>
      <m:oMath>
        <m:r>
          <w:rPr>
            <w:rFonts w:ascii="Cambria Math" w:hAnsi="Cambria Math"/>
            <w:lang w:val="en-US"/>
          </w:rPr>
          <m:t>-</m:t>
        </m:r>
        <m:d>
          <m:dPr>
            <m:begChr m:val="["/>
            <m:endChr m:val="]"/>
            <m:ctrlPr>
              <w:rPr>
                <w:rFonts w:ascii="Cambria Math" w:hAnsi="Cambria Math"/>
                <w:i/>
                <w:lang w:val="en-US"/>
              </w:rPr>
            </m:ctrlPr>
          </m:d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p</m:t>
                    </m:r>
                  </m:sub>
                </m:sSub>
                <m:d>
                  <m:dPr>
                    <m:ctrlPr>
                      <w:rPr>
                        <w:rFonts w:ascii="Cambria Math" w:hAnsi="Cambria Math"/>
                        <w:lang w:val="en-US"/>
                      </w:rPr>
                    </m:ctrlPr>
                  </m:dPr>
                  <m:e>
                    <m:r>
                      <m:rPr>
                        <m:sty m:val="p"/>
                      </m:rPr>
                      <w:rPr>
                        <w:rFonts w:ascii="Cambria Math" w:hAnsi="Cambria Math"/>
                        <w:lang w:val="en-US"/>
                      </w:rPr>
                      <m:t>t</m:t>
                    </m:r>
                  </m:e>
                </m:d>
              </m:e>
            </m:d>
            <m:r>
              <m:rPr>
                <m:sty m:val="p"/>
              </m:rP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r>
              <m:rPr>
                <m:sty m:val="p"/>
              </m:rPr>
              <w:rPr>
                <w:rFonts w:ascii="Cambria Math" w:hAnsi="Cambria Math"/>
                <w:lang w:val="en-US"/>
              </w:rPr>
              <m:t>+</m:t>
            </m:r>
            <m:sSup>
              <m:sSupPr>
                <m:ctrlPr>
                  <w:rPr>
                    <w:rFonts w:ascii="Cambria Math" w:hAnsi="Cambria Math"/>
                    <w:lang w:val="en-US"/>
                  </w:rPr>
                </m:ctrlPr>
              </m:sSupPr>
              <m:e>
                <m:r>
                  <w:rPr>
                    <w:rFonts w:ascii="Cambria Math" w:hAnsi="Cambria Math"/>
                    <w:lang w:val="en-US"/>
                  </w:rPr>
                  <m:t>H</m:t>
                </m:r>
              </m:e>
              <m:sup>
                <m:r>
                  <w:rPr>
                    <w:rFonts w:ascii="Cambria Math" w:hAnsi="Cambria Math"/>
                    <w:lang w:val="en-US"/>
                  </w:rPr>
                  <m:t>c=9</m:t>
                </m:r>
              </m:sup>
            </m:sSup>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σ</m:t>
                </m:r>
              </m:e>
              <m:sub>
                <m:r>
                  <w:rPr>
                    <w:rFonts w:ascii="Cambria Math" w:hAnsi="Cambria Math"/>
                    <w:lang w:val="en-US"/>
                  </w:rPr>
                  <m:t>p</m:t>
                </m:r>
              </m:sub>
              <m:sup>
                <m:r>
                  <w:rPr>
                    <w:rFonts w:ascii="Cambria Math" w:hAnsi="Cambria Math"/>
                    <w:lang w:val="en-US"/>
                  </w:rPr>
                  <m:t>c=9</m:t>
                </m:r>
              </m:sup>
            </m:sSubSup>
            <m:d>
              <m:dPr>
                <m:ctrlPr>
                  <w:rPr>
                    <w:rFonts w:ascii="Cambria Math" w:hAnsi="Cambria Math"/>
                    <w:lang w:val="en-US"/>
                  </w:rPr>
                </m:ctrlPr>
              </m:dPr>
              <m:e>
                <m:r>
                  <m:rPr>
                    <m:sty m:val="p"/>
                  </m:rPr>
                  <w:rPr>
                    <w:rFonts w:ascii="Cambria Math" w:hAnsi="Cambria Math"/>
                    <w:lang w:val="en-US"/>
                  </w:rPr>
                  <m:t>t</m:t>
                </m:r>
              </m:e>
            </m:d>
            <m:r>
              <m:rPr>
                <m:sty m:val="p"/>
              </m:rPr>
              <w:rPr>
                <w:rFonts w:ascii="Cambria Math" w:hAnsi="Cambria Math"/>
                <w:lang w:val="en-US"/>
              </w:rPr>
              <m:t>+</m:t>
            </m:r>
            <m:sSubSup>
              <m:sSubSupPr>
                <m:ctrlPr>
                  <w:rPr>
                    <w:rFonts w:ascii="Cambria Math" w:hAnsi="Cambria Math"/>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c=9</m:t>
            </m:r>
          </m:sup>
        </m:sSubSup>
        <m:d>
          <m:dPr>
            <m:ctrlPr>
              <w:rPr>
                <w:rFonts w:ascii="Cambria Math" w:hAnsi="Cambria Math"/>
                <w:lang w:val="en-US"/>
              </w:rPr>
            </m:ctrlPr>
          </m:dPr>
          <m:e>
            <m:r>
              <m:rPr>
                <m:sty m:val="p"/>
              </m:rPr>
              <w:rPr>
                <w:rFonts w:ascii="Cambria Math" w:hAnsi="Cambria Math"/>
                <w:lang w:val="en-US"/>
              </w:rPr>
              <m:t>t</m:t>
            </m:r>
          </m:e>
        </m:d>
        <m:r>
          <m:rPr>
            <m:sty m:val="p"/>
          </m:rPr>
          <w:rPr>
            <w:rFonts w:ascii="Cambria Math" w:hAnsi="Cambria Math"/>
            <w:lang w:val="en-US"/>
          </w:rPr>
          <m:t>+</m:t>
        </m:r>
        <m:d>
          <m:dPr>
            <m:begChr m:val="["/>
            <m:endChr m:val="]"/>
            <m:ctrlPr>
              <w:rPr>
                <w:rFonts w:ascii="Cambria Math" w:hAnsi="Cambria Math"/>
                <w:lang w:val="en-US"/>
              </w:rPr>
            </m:ctrlPr>
          </m:dPr>
          <m:e>
            <m:sSubSup>
              <m:sSubSupPr>
                <m:ctrlPr>
                  <w:rPr>
                    <w:rFonts w:ascii="Cambria Math" w:hAnsi="Cambria Math"/>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c=9</m:t>
            </m:r>
          </m:sup>
        </m:sSubSup>
        <m:r>
          <m:rPr>
            <m:sty m:val="p"/>
          </m:rPr>
          <w:rPr>
            <w:rFonts w:ascii="Cambria Math" w:hAnsi="Cambria Math"/>
            <w:lang w:val="en-US"/>
          </w:rPr>
          <m:t>(t)</m:t>
        </m:r>
      </m:oMath>
      <w:r w:rsidR="00143653" w:rsidRPr="00783571">
        <w:rPr>
          <w:rFonts w:ascii="Cambria Math" w:hAnsi="Cambria Math"/>
          <w:lang w:val="en-US"/>
        </w:rPr>
        <w:tab/>
      </w:r>
      <w:r w:rsidR="00143653" w:rsidRPr="00783571">
        <w:rPr>
          <w:lang w:val="en-US"/>
        </w:rPr>
        <w:t>(7.9)</w:t>
      </w:r>
    </w:p>
    <w:p w14:paraId="4CBB3807" w14:textId="77E42797" w:rsidR="00143653" w:rsidRPr="00783571" w:rsidRDefault="0056377C" w:rsidP="0056377C">
      <w:pPr>
        <w:pStyle w:val="equation"/>
        <w:spacing w:after="360"/>
        <w:jc w:val="both"/>
        <w:rPr>
          <w:lang w:val="en-US"/>
        </w:rPr>
      </w:pPr>
      <w:r w:rsidRPr="00783571">
        <w:rPr>
          <w:rFonts w:ascii="Cambria Math" w:hAnsi="Cambria Math"/>
          <w:lang w:val="en-US"/>
        </w:rPr>
        <w:tab/>
      </w: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c=10</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u</m:t>
            </m:r>
          </m:e>
        </m:d>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u</m:t>
            </m:r>
          </m:e>
        </m:d>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c=8</m:t>
                </m:r>
              </m:sup>
            </m:sSub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c=8</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w:r w:rsidRPr="00783571">
        <w:rPr>
          <w:rFonts w:ascii="Cambria Math" w:hAnsi="Cambria Math"/>
          <w:lang w:val="en-US"/>
        </w:rPr>
        <w:tab/>
      </w:r>
      <m:oMath>
        <m:r>
          <w:rPr>
            <w:rFonts w:ascii="Cambria Math" w:hAnsi="Cambria Math"/>
            <w:lang w:val="en-US"/>
          </w:rPr>
          <m:t>+</m:t>
        </m:r>
        <m:d>
          <m:dPr>
            <m:begChr m:val="["/>
            <m:endChr m:val="]"/>
            <m:ctrlPr>
              <w:rPr>
                <w:rFonts w:ascii="Cambria Math" w:hAnsi="Cambria Math"/>
                <w:i/>
                <w:lang w:val="en-US"/>
              </w:rPr>
            </m:ctrlPr>
          </m:d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c=9</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ϑ</m:t>
                </m:r>
              </m:e>
              <m:sup>
                <m:r>
                  <w:rPr>
                    <w:rFonts w:ascii="Cambria Math" w:hAnsi="Cambria Math"/>
                    <w:lang w:val="en-US"/>
                  </w:rPr>
                  <m:t>c=15</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c=15</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w:r w:rsidR="00F31CBE" w:rsidRPr="00783571">
        <w:rPr>
          <w:lang w:val="en-US"/>
        </w:rPr>
        <w:tab/>
      </w:r>
      <m:oMath>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c=10</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p</m:t>
                </m:r>
              </m:sub>
              <m:sup>
                <m:r>
                  <w:rPr>
                    <w:rFonts w:ascii="Cambria Math" w:hAnsi="Cambria Math"/>
                    <w:lang w:val="en-US"/>
                  </w:rPr>
                  <m:t>c=10</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c=10</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c=10</m:t>
            </m:r>
          </m:sup>
        </m:sSubSup>
        <m:r>
          <w:rPr>
            <w:rFonts w:ascii="Cambria Math" w:hAnsi="Cambria Math"/>
            <w:lang w:val="en-US"/>
          </w:rPr>
          <m:t>(t)</m:t>
        </m:r>
      </m:oMath>
      <w:r w:rsidR="00F31CBE" w:rsidRPr="00783571">
        <w:rPr>
          <w:lang w:val="en-US"/>
        </w:rPr>
        <w:tab/>
        <w:t>(7.10)</w:t>
      </w:r>
    </w:p>
    <w:p w14:paraId="5B97EC30" w14:textId="6927963F" w:rsidR="00336761" w:rsidRPr="00783571" w:rsidRDefault="003741C2" w:rsidP="00184438">
      <w:pPr>
        <w:pStyle w:val="equation"/>
        <w:keepNext/>
        <w:rPr>
          <w:lang w:val="en-US"/>
        </w:rPr>
      </w:pPr>
      <w:r w:rsidRPr="00783571">
        <w:rPr>
          <w:i/>
          <w:lang w:val="en-US"/>
        </w:rPr>
        <w:t>Equations for CD4 200</w:t>
      </w:r>
      <w:r w:rsidR="00C320F6" w:rsidRPr="00783571">
        <w:rPr>
          <w:i/>
          <w:lang w:val="en-US"/>
        </w:rPr>
        <w:t>–</w:t>
      </w:r>
      <w:r w:rsidRPr="00783571">
        <w:rPr>
          <w:i/>
          <w:lang w:val="en-US"/>
        </w:rPr>
        <w:t xml:space="preserve">500 </w:t>
      </w:r>
      <w:r w:rsidR="00731B40" w:rsidRPr="00783571">
        <w:rPr>
          <w:i/>
          <w:lang w:val="en-US"/>
        </w:rPr>
        <w:t>(</w:t>
      </w:r>
      <w:r w:rsidRPr="00783571">
        <w:rPr>
          <w:i/>
          <w:lang w:val="en-US"/>
        </w:rPr>
        <w:t>h =3 or 4</w:t>
      </w:r>
      <w:r w:rsidR="00731B40" w:rsidRPr="00783571">
        <w:rPr>
          <w:i/>
          <w:lang w:val="en-US"/>
        </w:rPr>
        <w:t>):</w:t>
      </w:r>
    </w:p>
    <w:p w14:paraId="44E1F19F" w14:textId="209FCD4C" w:rsidR="00F31CBE" w:rsidRPr="00783571" w:rsidRDefault="00F31CBE" w:rsidP="00F86D5A">
      <w:pPr>
        <w:pStyle w:val="equation"/>
        <w:keepNext/>
        <w:rPr>
          <w:lang w:val="en-US"/>
        </w:rPr>
      </w:pPr>
      <w:r w:rsidRPr="00783571">
        <w:rPr>
          <w:lang w:val="en-US"/>
        </w:rPr>
        <w:tab/>
      </w: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m:t>
                </m:r>
              </m:sup>
            </m:sSubSup>
            <m:r>
              <w:rPr>
                <w:rFonts w:ascii="Cambria Math" w:hAnsi="Cambria Math"/>
                <w:lang w:val="en-US"/>
              </w:rPr>
              <m:t>(t)</m:t>
            </m:r>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c-5</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r>
              <m:rPr>
                <m:sty m:val="p"/>
              </m:rPr>
              <w:rPr>
                <w:rFonts w:ascii="Cambria Math" w:hAnsi="Cambria Math"/>
                <w:position w:val="-14"/>
                <w:lang w:val="en-US"/>
              </w:rPr>
              <w:object w:dxaOrig="620" w:dyaOrig="420" w14:anchorId="103BD08E">
                <v:shape id="_x0000_i1068" type="#_x0000_t75" style="width:28.5pt;height:21.75pt" o:ole="">
                  <v:imagedata r:id="rId98" o:title=""/>
                </v:shape>
                <o:OLEObject Type="Embed" ProgID="Equation.3" ShapeID="_x0000_i1068" DrawAspect="Content" ObjectID="_1584261715" r:id="rId122"/>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m:t>
            </m:r>
          </m:sup>
        </m:sSubSup>
        <m:r>
          <w:rPr>
            <w:rFonts w:ascii="Cambria Math" w:hAnsi="Cambria Math"/>
            <w:lang w:val="en-US"/>
          </w:rPr>
          <m:t>(t)</m:t>
        </m:r>
      </m:oMath>
    </w:p>
    <w:p w14:paraId="1700ACDE" w14:textId="3B5DEAF1" w:rsidR="00361ECB" w:rsidRPr="00783571" w:rsidRDefault="00952E82" w:rsidP="00F1655F">
      <w:pPr>
        <w:pStyle w:val="equation"/>
        <w:spacing w:after="360"/>
        <w:rPr>
          <w:lang w:val="en-US"/>
        </w:rPr>
      </w:pPr>
      <w:r w:rsidRPr="00783571">
        <w:rPr>
          <w:lang w:val="en-US"/>
        </w:rPr>
        <w:tab/>
      </w:r>
      <w:r w:rsidR="00336761" w:rsidRPr="00783571">
        <w:rPr>
          <w:lang w:val="en-US"/>
        </w:rPr>
        <w:t>for c = {</w:t>
      </w:r>
      <w:r w:rsidR="006C2165" w:rsidRPr="00783571">
        <w:rPr>
          <w:lang w:val="en-US"/>
        </w:rPr>
        <w:t>1</w:t>
      </w:r>
      <w:r w:rsidR="00361ECB" w:rsidRPr="00783571">
        <w:rPr>
          <w:lang w:val="en-US"/>
        </w:rPr>
        <w:t>1</w:t>
      </w:r>
      <w:r w:rsidR="006C2165" w:rsidRPr="00783571">
        <w:rPr>
          <w:lang w:val="en-US"/>
        </w:rPr>
        <w:t>, 1</w:t>
      </w:r>
      <w:r w:rsidR="00361ECB" w:rsidRPr="00783571">
        <w:rPr>
          <w:lang w:val="en-US"/>
        </w:rPr>
        <w:t>6</w:t>
      </w:r>
      <w:r w:rsidR="00F31CBE" w:rsidRPr="00783571">
        <w:rPr>
          <w:lang w:val="en-US"/>
        </w:rPr>
        <w:t>}</w:t>
      </w:r>
      <w:r w:rsidR="00F31CBE" w:rsidRPr="00783571">
        <w:rPr>
          <w:lang w:val="en-US"/>
        </w:rPr>
        <w:tab/>
        <w:t>(7.11)</w:t>
      </w:r>
    </w:p>
    <w:p w14:paraId="0886A6C9" w14:textId="6C68C240" w:rsidR="00336761" w:rsidRPr="00783571" w:rsidRDefault="000F17E7" w:rsidP="009E6267">
      <w:pPr>
        <w:pStyle w:val="equation"/>
        <w:tabs>
          <w:tab w:val="left" w:pos="360"/>
        </w:tabs>
        <w:spacing w:after="360"/>
        <w:rPr>
          <w:lang w:val="en-US"/>
        </w:rPr>
      </w:pPr>
      <m:oMathPara>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c-5</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e>
          </m:d>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κ</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m:oMathPara>
      <w:r w:rsidR="009E6267" w:rsidRPr="00783571">
        <w:rPr>
          <w:lang w:val="en-US"/>
        </w:rPr>
        <w:tab/>
      </w:r>
      <w:r w:rsidR="00D054DC" w:rsidRPr="00783571">
        <w:rPr>
          <w:lang w:val="en-US"/>
        </w:rPr>
        <w:tab/>
      </w:r>
      <m:oMath>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m:rPr>
                    <m:scr m:val="script"/>
                  </m:rPr>
                  <w:rPr>
                    <w:rFonts w:ascii="Cambria Math" w:hAnsi="Cambria Math"/>
                    <w:lang w:val="en-US"/>
                  </w:rPr>
                  <m:t>l</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m:t>
                </m:r>
              </m:sup>
            </m:sSup>
            <m:r>
              <w:rPr>
                <w:rFonts w:ascii="Cambria Math" w:hAnsi="Cambria Math"/>
                <w:lang w:val="en-US"/>
              </w:rPr>
              <m:t>+</m:t>
            </m:r>
            <m:r>
              <m:rPr>
                <m:sty m:val="p"/>
              </m:rPr>
              <w:rPr>
                <w:rFonts w:ascii="Cambria Math" w:hAnsi="Cambria Math"/>
                <w:position w:val="-14"/>
                <w:lang w:val="en-US"/>
              </w:rPr>
              <w:object w:dxaOrig="620" w:dyaOrig="420" w14:anchorId="071AF9C5">
                <v:shape id="_x0000_i1070" type="#_x0000_t75" style="width:28.5pt;height:21.75pt" o:ole="">
                  <v:imagedata r:id="rId98" o:title=""/>
                </v:shape>
                <o:OLEObject Type="Embed" ProgID="Equation.3" ShapeID="_x0000_i1070" DrawAspect="Content" ObjectID="_1584261716" r:id="rId123"/>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m:t>
            </m:r>
          </m:sup>
        </m:sSubSup>
        <m:r>
          <w:rPr>
            <w:rFonts w:ascii="Cambria Math" w:hAnsi="Cambria Math"/>
            <w:lang w:val="en-US"/>
          </w:rPr>
          <m:t>(t)</m:t>
        </m:r>
      </m:oMath>
      <w:r w:rsidR="00484078" w:rsidRPr="00783571">
        <w:rPr>
          <w:lang w:val="en-US"/>
        </w:rPr>
        <w:br/>
      </w:r>
      <w:r w:rsidR="00484078" w:rsidRPr="00783571">
        <w:rPr>
          <w:lang w:val="en-US"/>
        </w:rPr>
        <w:tab/>
      </w:r>
      <w:r w:rsidR="005F5254" w:rsidRPr="00783571">
        <w:rPr>
          <w:lang w:val="en-US"/>
        </w:rPr>
        <w:tab/>
      </w:r>
      <w:r w:rsidR="00EE5B9C" w:rsidRPr="00783571">
        <w:rPr>
          <w:lang w:val="en-US"/>
        </w:rPr>
        <w:t>for c = {</w:t>
      </w:r>
      <w:r w:rsidR="00361ECB" w:rsidRPr="00783571">
        <w:rPr>
          <w:lang w:val="en-US"/>
        </w:rPr>
        <w:t>12, 17</w:t>
      </w:r>
      <w:r w:rsidR="009B4E5F" w:rsidRPr="00783571">
        <w:rPr>
          <w:lang w:val="en-US"/>
        </w:rPr>
        <w:t>}</w:t>
      </w:r>
      <w:r w:rsidR="00336761" w:rsidRPr="00783571">
        <w:rPr>
          <w:lang w:val="en-US"/>
        </w:rPr>
        <w:tab/>
        <w:t>(</w:t>
      </w:r>
      <w:r w:rsidR="005B0687" w:rsidRPr="00783571">
        <w:rPr>
          <w:lang w:val="en-US"/>
        </w:rPr>
        <w:t>7</w:t>
      </w:r>
      <w:r w:rsidR="00F259E1" w:rsidRPr="00783571">
        <w:rPr>
          <w:lang w:val="en-US"/>
        </w:rPr>
        <w:t>.</w:t>
      </w:r>
      <w:r w:rsidR="00BA1F4C" w:rsidRPr="00783571">
        <w:rPr>
          <w:lang w:val="en-US"/>
        </w:rPr>
        <w:t>1</w:t>
      </w:r>
      <w:r w:rsidR="00731B40" w:rsidRPr="00783571">
        <w:rPr>
          <w:lang w:val="en-US"/>
        </w:rPr>
        <w:t>2</w:t>
      </w:r>
      <w:r w:rsidR="00336761" w:rsidRPr="00783571">
        <w:rPr>
          <w:lang w:val="en-US"/>
        </w:rPr>
        <w:t>)</w:t>
      </w:r>
    </w:p>
    <w:p w14:paraId="3922AC46" w14:textId="31A01A0A" w:rsidR="00484078" w:rsidRPr="00783571" w:rsidRDefault="00467D83" w:rsidP="003D24F8">
      <w:pPr>
        <w:pStyle w:val="equation"/>
        <w:ind w:left="720"/>
        <w:rPr>
          <w:lang w:val="en-US"/>
        </w:rPr>
      </w:pPr>
      <w:r w:rsidRPr="00783571">
        <w:rPr>
          <w:lang w:val="en-US"/>
        </w:rPr>
        <w:tab/>
      </w: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c-5</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c-2</m:t>
                </m:r>
              </m:sup>
            </m:sSubSup>
            <m:d>
              <m:dPr>
                <m:ctrlPr>
                  <w:rPr>
                    <w:rFonts w:ascii="Cambria Math" w:hAnsi="Cambria Math"/>
                    <w:i/>
                    <w:lang w:val="en-US"/>
                  </w:rPr>
                </m:ctrlPr>
              </m:dPr>
              <m:e>
                <m:r>
                  <w:rPr>
                    <w:rFonts w:ascii="Cambria Math" w:hAnsi="Cambria Math"/>
                    <w:lang w:val="en-US"/>
                  </w:rPr>
                  <m:t>t</m:t>
                </m:r>
              </m:e>
            </m:d>
          </m:e>
        </m:d>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κ</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m:rPr>
                    <m:scr m:val="script"/>
                  </m:rPr>
                  <w:rPr>
                    <w:rFonts w:ascii="Cambria Math" w:hAnsi="Cambria Math"/>
                    <w:lang w:val="en-US"/>
                  </w:rPr>
                  <m:t>l</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m:oMathPara>
        <m:oMath>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m:t>
                  </m:r>
                </m:sup>
              </m:sSup>
              <m:r>
                <w:rPr>
                  <w:rFonts w:ascii="Cambria Math" w:hAnsi="Cambria Math"/>
                  <w:lang w:val="en-US"/>
                </w:rPr>
                <m:t>+</m:t>
              </m:r>
              <m:r>
                <m:rPr>
                  <m:sty m:val="p"/>
                </m:rPr>
                <w:rPr>
                  <w:rFonts w:ascii="Cambria Math" w:hAnsi="Cambria Math"/>
                  <w:position w:val="-14"/>
                  <w:lang w:val="en-US"/>
                </w:rPr>
                <w:object w:dxaOrig="620" w:dyaOrig="420" w14:anchorId="5D845C95">
                  <v:shape id="_x0000_i1072" type="#_x0000_t75" style="width:28.5pt;height:21.75pt" o:ole="">
                    <v:imagedata r:id="rId98" o:title=""/>
                  </v:shape>
                  <o:OLEObject Type="Embed" ProgID="Equation.3" ShapeID="_x0000_i1072" DrawAspect="Content" ObjectID="_1584261717" r:id="rId124"/>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oMath>
      </m:oMathPara>
    </w:p>
    <w:p w14:paraId="60103674" w14:textId="77FA39E9" w:rsidR="000F420A" w:rsidRPr="00783571" w:rsidRDefault="00016965" w:rsidP="00F1655F">
      <w:pPr>
        <w:pStyle w:val="equation"/>
        <w:spacing w:after="360"/>
        <w:rPr>
          <w:lang w:val="en-US"/>
        </w:rPr>
      </w:pPr>
      <w:r w:rsidRPr="00783571">
        <w:rPr>
          <w:lang w:val="en-US"/>
        </w:rPr>
        <w:tab/>
      </w:r>
      <w:r w:rsidR="00AF6BF4" w:rsidRPr="00783571">
        <w:rPr>
          <w:lang w:val="en-US"/>
        </w:rPr>
        <w:t>for c = {</w:t>
      </w:r>
      <w:r w:rsidR="00361ECB" w:rsidRPr="00783571">
        <w:rPr>
          <w:lang w:val="en-US"/>
        </w:rPr>
        <w:t>13, 18</w:t>
      </w:r>
      <w:r w:rsidR="00AF6BF4" w:rsidRPr="00783571">
        <w:rPr>
          <w:lang w:val="en-US"/>
        </w:rPr>
        <w:t>}</w:t>
      </w:r>
      <w:r w:rsidR="00336761" w:rsidRPr="00783571">
        <w:rPr>
          <w:lang w:val="en-US"/>
        </w:rPr>
        <w:tab/>
        <w:t>(</w:t>
      </w:r>
      <w:r w:rsidR="005B0687" w:rsidRPr="00783571">
        <w:rPr>
          <w:lang w:val="en-US"/>
        </w:rPr>
        <w:t>7</w:t>
      </w:r>
      <w:r w:rsidR="00F259E1" w:rsidRPr="00783571">
        <w:rPr>
          <w:lang w:val="en-US"/>
        </w:rPr>
        <w:t>.</w:t>
      </w:r>
      <w:r w:rsidR="005B0687" w:rsidRPr="00783571">
        <w:rPr>
          <w:lang w:val="en-US"/>
        </w:rPr>
        <w:t>1</w:t>
      </w:r>
      <w:r w:rsidR="00731B40" w:rsidRPr="00783571">
        <w:rPr>
          <w:lang w:val="en-US"/>
        </w:rPr>
        <w:t>3</w:t>
      </w:r>
      <w:r w:rsidR="00336761" w:rsidRPr="00783571">
        <w:rPr>
          <w:lang w:val="en-US"/>
        </w:rPr>
        <w:t>)</w:t>
      </w:r>
    </w:p>
    <w:p w14:paraId="752E42CC" w14:textId="7F387742" w:rsidR="00A03D9A" w:rsidRPr="00783571" w:rsidRDefault="0056377C" w:rsidP="0056377C">
      <w:pPr>
        <w:pStyle w:val="equation"/>
        <w:spacing w:after="360"/>
        <w:rPr>
          <w:lang w:val="en-US"/>
        </w:rPr>
      </w:pPr>
      <w:r w:rsidRPr="00783571">
        <w:rPr>
          <w:rFonts w:ascii="Cambria Math" w:hAnsi="Cambria Math"/>
          <w:lang w:val="en-US"/>
        </w:rPr>
        <w:tab/>
      </w: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c-5</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1-u</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w:r w:rsidRPr="00783571">
        <w:rPr>
          <w:rFonts w:ascii="Cambria Math" w:hAnsi="Cambria Math"/>
          <w:lang w:val="en-US"/>
        </w:rPr>
        <w:tab/>
      </w:r>
      <m:oMath>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m:t>
                </m:r>
              </m:sup>
            </m:sSubSup>
            <m:r>
              <w:rPr>
                <w:rFonts w:ascii="Cambria Math" w:hAnsi="Cambria Math"/>
                <w:lang w:val="en-US"/>
              </w:rPr>
              <m:t>+</m:t>
            </m:r>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c</m:t>
                </m:r>
              </m:sup>
            </m:s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m:t>
            </m:r>
          </m:sup>
        </m:sSubSup>
        <m:r>
          <w:rPr>
            <w:rFonts w:ascii="Cambria Math" w:hAnsi="Cambria Math"/>
            <w:lang w:val="en-US"/>
          </w:rPr>
          <m:t>(t)</m:t>
        </m:r>
      </m:oMath>
    </w:p>
    <w:p w14:paraId="3FD60B35" w14:textId="1CBDA47C" w:rsidR="00BA1F4C" w:rsidRPr="00783571" w:rsidRDefault="005F5254" w:rsidP="00F1655F">
      <w:pPr>
        <w:pStyle w:val="equation"/>
        <w:spacing w:after="360"/>
        <w:rPr>
          <w:lang w:val="en-US"/>
        </w:rPr>
      </w:pPr>
      <w:r w:rsidRPr="00783571">
        <w:rPr>
          <w:lang w:val="en-US"/>
        </w:rPr>
        <w:tab/>
      </w:r>
      <w:r w:rsidR="00AF6BF4" w:rsidRPr="00783571">
        <w:rPr>
          <w:lang w:val="en-US"/>
        </w:rPr>
        <w:t>f</w:t>
      </w:r>
      <w:r w:rsidR="00EE5B9C" w:rsidRPr="00783571">
        <w:rPr>
          <w:lang w:val="en-US"/>
        </w:rPr>
        <w:t>or c = {</w:t>
      </w:r>
      <w:r w:rsidR="00361ECB" w:rsidRPr="00783571">
        <w:rPr>
          <w:lang w:val="en-US"/>
        </w:rPr>
        <w:t>14, 19</w:t>
      </w:r>
      <w:r w:rsidR="00EE5B9C" w:rsidRPr="00783571">
        <w:rPr>
          <w:lang w:val="en-US"/>
        </w:rPr>
        <w:t>}</w:t>
      </w:r>
      <w:r w:rsidR="004F4E6D" w:rsidRPr="00783571">
        <w:rPr>
          <w:lang w:val="en-US"/>
        </w:rPr>
        <w:tab/>
      </w:r>
      <w:r w:rsidR="00BA1F4C" w:rsidRPr="00783571">
        <w:rPr>
          <w:lang w:val="en-US"/>
        </w:rPr>
        <w:t>(7.1</w:t>
      </w:r>
      <w:r w:rsidR="00731B40" w:rsidRPr="00783571">
        <w:rPr>
          <w:lang w:val="en-US"/>
        </w:rPr>
        <w:t>4</w:t>
      </w:r>
      <w:r w:rsidR="00BA1F4C" w:rsidRPr="00783571">
        <w:rPr>
          <w:lang w:val="en-US"/>
        </w:rPr>
        <w:t>)</w:t>
      </w:r>
    </w:p>
    <w:p w14:paraId="1A8B72EB" w14:textId="4C9F656A" w:rsidR="00336761" w:rsidRPr="00783571" w:rsidRDefault="000F17E7" w:rsidP="0056029C">
      <w:pPr>
        <w:pStyle w:val="equation"/>
        <w:spacing w:after="360"/>
        <w:rPr>
          <w:lang w:val="en-US"/>
        </w:rPr>
      </w:pPr>
      <m:oMathPara>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c-5</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u</m:t>
              </m:r>
            </m:e>
          </m:d>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c-2</m:t>
                  </m:r>
                </m:sup>
              </m:sSub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r>
                <m:rPr>
                  <m:sty m:val="p"/>
                </m:rPr>
                <w:rPr>
                  <w:rFonts w:ascii="Cambria Math" w:hAnsi="Cambria Math"/>
                  <w:position w:val="-6"/>
                  <w:lang w:val="en-US"/>
                </w:rPr>
                <w:object w:dxaOrig="460" w:dyaOrig="320" w14:anchorId="7C2DDCA2">
                  <v:shape id="_x0000_i1074" type="#_x0000_t75" style="width:28.5pt;height:14.25pt" o:ole="">
                    <v:imagedata r:id="rId125" o:title=""/>
                  </v:shape>
                  <o:OLEObject Type="Embed" ProgID="Equation.3" ShapeID="_x0000_i1074" DrawAspect="Content" ObjectID="_1584261718" r:id="rId126"/>
                </w:object>
              </m:r>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c+5</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m:oMath>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c</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r>
                <m:rPr>
                  <m:sty m:val="p"/>
                </m:rPr>
                <w:rPr>
                  <w:rFonts w:ascii="Cambria Math" w:hAnsi="Cambria Math"/>
                  <w:position w:val="-6"/>
                  <w:lang w:val="en-US"/>
                </w:rPr>
                <w:object w:dxaOrig="300" w:dyaOrig="320" w14:anchorId="223EA537">
                  <v:shape id="_x0000_i1076" type="#_x0000_t75" style="width:14.25pt;height:14.25pt" o:ole="">
                    <v:imagedata r:id="rId127" o:title=""/>
                  </v:shape>
                  <o:OLEObject Type="Embed" ProgID="Equation.3" ShapeID="_x0000_i1076" DrawAspect="Content" ObjectID="_1584261719" r:id="rId128"/>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m:t>
              </m:r>
            </m:sup>
          </m:sSubSup>
          <m:r>
            <w:rPr>
              <w:rFonts w:ascii="Cambria Math" w:hAnsi="Cambria Math"/>
              <w:lang w:val="en-US"/>
            </w:rPr>
            <m:t>(t)</m:t>
          </m:r>
          <m:r>
            <m:rPr>
              <m:sty m:val="p"/>
            </m:rPr>
            <w:rPr>
              <w:lang w:val="en-US"/>
            </w:rPr>
            <w:br/>
          </m:r>
        </m:oMath>
      </m:oMathPara>
      <w:r w:rsidR="00952E82" w:rsidRPr="00783571">
        <w:rPr>
          <w:lang w:val="en-US"/>
        </w:rPr>
        <w:tab/>
      </w:r>
      <w:r w:rsidR="006C2165" w:rsidRPr="00783571">
        <w:rPr>
          <w:lang w:val="en-US"/>
        </w:rPr>
        <w:t>for c = {1</w:t>
      </w:r>
      <w:r w:rsidR="00361ECB" w:rsidRPr="00783571">
        <w:rPr>
          <w:lang w:val="en-US"/>
        </w:rPr>
        <w:t>5</w:t>
      </w:r>
      <w:r w:rsidR="006C2165" w:rsidRPr="00783571">
        <w:rPr>
          <w:lang w:val="en-US"/>
        </w:rPr>
        <w:t xml:space="preserve">, </w:t>
      </w:r>
      <w:r w:rsidR="00361ECB" w:rsidRPr="00783571">
        <w:rPr>
          <w:lang w:val="en-US"/>
        </w:rPr>
        <w:t>20</w:t>
      </w:r>
      <w:r w:rsidR="006C2165" w:rsidRPr="00783571">
        <w:rPr>
          <w:lang w:val="en-US"/>
        </w:rPr>
        <w:t>}</w:t>
      </w:r>
      <w:r w:rsidR="00336761" w:rsidRPr="00783571">
        <w:rPr>
          <w:lang w:val="en-US"/>
        </w:rPr>
        <w:tab/>
        <w:t>(</w:t>
      </w:r>
      <w:r w:rsidR="005B0687" w:rsidRPr="00783571">
        <w:rPr>
          <w:lang w:val="en-US"/>
        </w:rPr>
        <w:t>7</w:t>
      </w:r>
      <w:r w:rsidR="00F259E1" w:rsidRPr="00783571">
        <w:rPr>
          <w:lang w:val="en-US"/>
        </w:rPr>
        <w:t>.</w:t>
      </w:r>
      <w:r w:rsidR="00BA1F4C" w:rsidRPr="00783571">
        <w:rPr>
          <w:lang w:val="en-US"/>
        </w:rPr>
        <w:t>1</w:t>
      </w:r>
      <w:r w:rsidR="00731B40" w:rsidRPr="00783571">
        <w:rPr>
          <w:lang w:val="en-US"/>
        </w:rPr>
        <w:t>5</w:t>
      </w:r>
      <w:r w:rsidR="00336761" w:rsidRPr="00783571">
        <w:rPr>
          <w:lang w:val="en-US"/>
        </w:rPr>
        <w:t>)</w:t>
      </w:r>
    </w:p>
    <w:p w14:paraId="72C461E2" w14:textId="77777777" w:rsidR="00D6628E" w:rsidRPr="00783571" w:rsidRDefault="00D6628E" w:rsidP="00361ECB">
      <w:pPr>
        <w:pStyle w:val="BodyText"/>
        <w:keepNext/>
      </w:pPr>
      <w:r w:rsidRPr="00783571">
        <w:t>where</w:t>
      </w:r>
    </w:p>
    <w:p w14:paraId="6362593A" w14:textId="20780354" w:rsidR="00CA2B81" w:rsidRPr="00783571" w:rsidRDefault="00F1655F" w:rsidP="0047287B">
      <w:pPr>
        <w:pStyle w:val="bullets"/>
      </w:pPr>
      <w:r w:rsidRPr="00783571">
        <w:rPr>
          <w:position w:val="-12"/>
        </w:rPr>
        <w:object w:dxaOrig="540" w:dyaOrig="320" w14:anchorId="7A91DF8D">
          <v:shape id="_x0000_i1077" type="#_x0000_t75" style="width:21.75pt;height:14.25pt" o:ole="">
            <v:imagedata r:id="rId129" o:title=""/>
          </v:shape>
          <o:OLEObject Type="Embed" ProgID="Equation.3" ShapeID="_x0000_i1077" DrawAspect="Content" ObjectID="_1584261720" r:id="rId130"/>
        </w:object>
      </w:r>
      <w:r w:rsidR="003827AF" w:rsidRPr="00783571">
        <w:t xml:space="preserve">= </w:t>
      </w:r>
      <w:r w:rsidR="00BF425D" w:rsidRPr="00783571">
        <w:t xml:space="preserve">annual </w:t>
      </w:r>
      <w:r w:rsidR="00341EDC" w:rsidRPr="00783571">
        <w:t>r</w:t>
      </w:r>
      <w:r w:rsidR="00E573F8" w:rsidRPr="00783571">
        <w:t xml:space="preserve">ate of </w:t>
      </w:r>
      <w:r w:rsidR="0047287B" w:rsidRPr="00783571">
        <w:t xml:space="preserve">dropping off </w:t>
      </w:r>
      <w:r w:rsidR="00E573F8" w:rsidRPr="00783571">
        <w:t>of ART if ART</w:t>
      </w:r>
      <w:r w:rsidR="0047287B" w:rsidRPr="00783571">
        <w:t>-</w:t>
      </w:r>
      <w:r w:rsidR="00E573F8" w:rsidRPr="00783571">
        <w:t>not</w:t>
      </w:r>
      <w:r w:rsidR="0047287B" w:rsidRPr="00783571">
        <w:t>-</w:t>
      </w:r>
      <w:r w:rsidR="00E573F8" w:rsidRPr="00783571">
        <w:t>VLS</w:t>
      </w:r>
      <w:r w:rsidR="003827AF" w:rsidRPr="00783571">
        <w:t xml:space="preserve">, by demographic subpopulation </w:t>
      </w:r>
      <w:r w:rsidR="003827AF" w:rsidRPr="00783571">
        <w:rPr>
          <w:i/>
        </w:rPr>
        <w:t>p</w:t>
      </w:r>
      <w:r w:rsidR="003827AF" w:rsidRPr="00783571">
        <w:t xml:space="preserve"> at time </w:t>
      </w:r>
      <w:r w:rsidR="003827AF" w:rsidRPr="00783571">
        <w:rPr>
          <w:i/>
        </w:rPr>
        <w:t>t</w:t>
      </w:r>
      <w:r w:rsidR="001063EA" w:rsidRPr="00783571">
        <w:rPr>
          <w:i/>
        </w:rPr>
        <w:t>;</w:t>
      </w:r>
    </w:p>
    <w:p w14:paraId="4F05EF32" w14:textId="37247CF1" w:rsidR="00CA2B81" w:rsidRPr="00783571" w:rsidRDefault="000F17E7" w:rsidP="00D107B7">
      <w:pPr>
        <w:pStyle w:val="bullets"/>
      </w:pPr>
      <m:oMath>
        <m:sSub>
          <m:sSubPr>
            <m:ctrlPr>
              <w:rPr>
                <w:rFonts w:ascii="Cambria Math" w:hAnsi="Cambria Math"/>
                <w:i/>
              </w:rPr>
            </m:ctrlPr>
          </m:sSubPr>
          <m:e>
            <m:r>
              <w:rPr>
                <w:rFonts w:ascii="Cambria Math" w:hAnsi="Cambria Math"/>
              </w:rPr>
              <m:t>ζ</m:t>
            </m:r>
          </m:e>
          <m:sub>
            <m:r>
              <w:rPr>
                <w:rFonts w:ascii="Cambria Math" w:hAnsi="Cambria Math"/>
              </w:rPr>
              <m:t>p</m:t>
            </m:r>
          </m:sub>
        </m:sSub>
        <m:d>
          <m:dPr>
            <m:ctrlPr>
              <w:rPr>
                <w:rFonts w:ascii="Cambria Math" w:hAnsi="Cambria Math"/>
                <w:i/>
              </w:rPr>
            </m:ctrlPr>
          </m:dPr>
          <m:e>
            <m:r>
              <w:rPr>
                <w:rFonts w:ascii="Cambria Math" w:hAnsi="Cambria Math"/>
              </w:rPr>
              <m:t>t</m:t>
            </m:r>
          </m:e>
        </m:d>
      </m:oMath>
      <w:r w:rsidR="003827AF" w:rsidRPr="00783571">
        <w:t xml:space="preserve">= </w:t>
      </w:r>
      <w:r w:rsidR="00BF425D" w:rsidRPr="00783571">
        <w:t xml:space="preserve">annual </w:t>
      </w:r>
      <w:r w:rsidR="00341EDC" w:rsidRPr="00783571">
        <w:t>r</w:t>
      </w:r>
      <w:r w:rsidR="003827AF" w:rsidRPr="00783571">
        <w:t>ate</w:t>
      </w:r>
      <w:r w:rsidR="004E4790" w:rsidRPr="00783571">
        <w:t xml:space="preserve"> of </w:t>
      </w:r>
      <w:r w:rsidR="00140583" w:rsidRPr="00783571">
        <w:t xml:space="preserve">becoming </w:t>
      </w:r>
      <w:r w:rsidR="004E4790" w:rsidRPr="00783571">
        <w:t>VLS</w:t>
      </w:r>
      <w:r w:rsidR="00140583" w:rsidRPr="00783571">
        <w:t xml:space="preserve"> if ART-not-VLS</w:t>
      </w:r>
      <w:r w:rsidR="00E573F8" w:rsidRPr="00783571">
        <w:t xml:space="preserve">, </w:t>
      </w:r>
      <w:r w:rsidR="003827AF" w:rsidRPr="00783571">
        <w:t xml:space="preserve">by demographic subpopulation </w:t>
      </w:r>
      <w:r w:rsidR="003827AF" w:rsidRPr="00783571">
        <w:rPr>
          <w:i/>
        </w:rPr>
        <w:t>p</w:t>
      </w:r>
      <w:r w:rsidR="003827AF" w:rsidRPr="00783571">
        <w:t xml:space="preserve"> at time </w:t>
      </w:r>
      <w:r w:rsidR="003827AF" w:rsidRPr="00783571">
        <w:rPr>
          <w:i/>
        </w:rPr>
        <w:t>t</w:t>
      </w:r>
      <w:r w:rsidR="001063EA" w:rsidRPr="00783571">
        <w:rPr>
          <w:i/>
        </w:rPr>
        <w:t>;</w:t>
      </w:r>
    </w:p>
    <w:p w14:paraId="33B3C183" w14:textId="7FC7822E" w:rsidR="00CA2B81" w:rsidRPr="00783571" w:rsidRDefault="00CF52A2" w:rsidP="00CF52A2">
      <w:pPr>
        <w:pStyle w:val="bullets"/>
      </w:pPr>
      <w:r w:rsidRPr="00783571">
        <w:t>H</w:t>
      </w:r>
      <w:r w:rsidRPr="00783571">
        <w:rPr>
          <w:vertAlign w:val="superscript"/>
        </w:rPr>
        <w:t>c</w:t>
      </w:r>
      <w:r w:rsidRPr="00783571">
        <w:t xml:space="preserve"> </w:t>
      </w:r>
      <w:r w:rsidR="003827AF" w:rsidRPr="00783571">
        <w:t xml:space="preserve">= </w:t>
      </w:r>
      <w:r w:rsidR="00341EDC" w:rsidRPr="00783571">
        <w:t>r</w:t>
      </w:r>
      <w:r w:rsidR="003827AF" w:rsidRPr="00783571">
        <w:t xml:space="preserve">ate of HIV progression to the next disease stage from compartment </w:t>
      </w:r>
      <w:r w:rsidR="003827AF" w:rsidRPr="00783571">
        <w:rPr>
          <w:i/>
        </w:rPr>
        <w:t xml:space="preserve">c, </w:t>
      </w:r>
      <w:r w:rsidR="003827AF" w:rsidRPr="00783571">
        <w:t xml:space="preserve">if </w:t>
      </w:r>
      <w:r w:rsidR="000965E6" w:rsidRPr="00783571">
        <w:t>prescribed ART</w:t>
      </w:r>
      <w:r w:rsidRPr="00783571">
        <w:t xml:space="preserve"> but</w:t>
      </w:r>
      <w:r w:rsidR="003827AF" w:rsidRPr="00783571">
        <w:t xml:space="preserve"> not VLS</w:t>
      </w:r>
      <w:r w:rsidR="001063EA" w:rsidRPr="00783571">
        <w:t>;</w:t>
      </w:r>
    </w:p>
    <w:p w14:paraId="12138C85" w14:textId="68B1A468" w:rsidR="00CA2B81" w:rsidRPr="00783571" w:rsidRDefault="00CF52A2" w:rsidP="00697525">
      <w:pPr>
        <w:pStyle w:val="bullets"/>
      </w:pPr>
      <w:r w:rsidRPr="00783571">
        <w:t xml:space="preserve">u </w:t>
      </w:r>
      <w:r w:rsidR="003827AF" w:rsidRPr="00783571">
        <w:t xml:space="preserve">= </w:t>
      </w:r>
      <w:r w:rsidR="00341EDC" w:rsidRPr="00783571">
        <w:t>p</w:t>
      </w:r>
      <w:r w:rsidR="003827AF" w:rsidRPr="00783571">
        <w:t>ercentage of individuals who become VLS</w:t>
      </w:r>
      <w:r w:rsidRPr="00783571">
        <w:t xml:space="preserve"> among those who are prescribed ART</w:t>
      </w:r>
      <w:r w:rsidR="001063EA" w:rsidRPr="00783571">
        <w:t>;</w:t>
      </w:r>
    </w:p>
    <w:p w14:paraId="13027A33" w14:textId="02435244" w:rsidR="00BA1F4C" w:rsidRPr="00783571" w:rsidRDefault="00F1655F" w:rsidP="00BA1F4C">
      <w:pPr>
        <w:pStyle w:val="bullets"/>
      </w:pPr>
      <w:r w:rsidRPr="00783571">
        <w:rPr>
          <w:position w:val="-12"/>
        </w:rPr>
        <w:object w:dxaOrig="540" w:dyaOrig="320" w14:anchorId="5366BFDE">
          <v:shape id="_x0000_i1078" type="#_x0000_t75" style="width:28.5pt;height:14.25pt" o:ole="">
            <v:imagedata r:id="rId131" o:title=""/>
          </v:shape>
          <o:OLEObject Type="Embed" ProgID="Equation.3" ShapeID="_x0000_i1078" DrawAspect="Content" ObjectID="_1584261721" r:id="rId132"/>
        </w:object>
      </w:r>
      <w:r w:rsidR="00BA1F4C" w:rsidRPr="00783571">
        <w:t xml:space="preserve">= rate of loss of viral load suppression if VLS, by demographic subpopulation </w:t>
      </w:r>
      <w:r w:rsidR="00BA1F4C" w:rsidRPr="00783571">
        <w:rPr>
          <w:i/>
        </w:rPr>
        <w:t>p</w:t>
      </w:r>
      <w:r w:rsidR="00BA1F4C" w:rsidRPr="00783571">
        <w:t xml:space="preserve"> at time</w:t>
      </w:r>
      <w:r w:rsidR="001063EA" w:rsidRPr="00783571">
        <w:t>;</w:t>
      </w:r>
    </w:p>
    <w:p w14:paraId="6116ACA0" w14:textId="01FD1322" w:rsidR="00B72C75" w:rsidRPr="00783571" w:rsidRDefault="00F1655F" w:rsidP="00CA2B81">
      <w:pPr>
        <w:pStyle w:val="bullets"/>
      </w:pPr>
      <w:r w:rsidRPr="00783571">
        <w:rPr>
          <w:position w:val="-4"/>
        </w:rPr>
        <w:object w:dxaOrig="300" w:dyaOrig="300" w14:anchorId="27DB9066">
          <v:shape id="_x0000_i1079" type="#_x0000_t75" style="width:14.25pt;height:14.25pt" o:ole="">
            <v:imagedata r:id="rId133" o:title=""/>
          </v:shape>
          <o:OLEObject Type="Embed" ProgID="Equation.3" ShapeID="_x0000_i1079" DrawAspect="Content" ObjectID="_1584261722" r:id="rId134"/>
        </w:object>
      </w:r>
      <w:r w:rsidR="003827AF" w:rsidRPr="00783571">
        <w:t xml:space="preserve">= </w:t>
      </w:r>
      <w:r w:rsidR="00341EDC" w:rsidRPr="00783571">
        <w:t>r</w:t>
      </w:r>
      <w:r w:rsidR="003827AF" w:rsidRPr="00783571">
        <w:t xml:space="preserve">ate of HIV progression to the next disease stage from compartment </w:t>
      </w:r>
      <w:r w:rsidR="003827AF" w:rsidRPr="00783571">
        <w:rPr>
          <w:i/>
        </w:rPr>
        <w:t xml:space="preserve">c, </w:t>
      </w:r>
      <w:r w:rsidR="003827AF" w:rsidRPr="00783571">
        <w:t>if VLS</w:t>
      </w:r>
      <w:r w:rsidR="001063EA" w:rsidRPr="00783571">
        <w:t>; and</w:t>
      </w:r>
    </w:p>
    <w:p w14:paraId="3DE95582" w14:textId="64D3C1A9" w:rsidR="00BA1F4C" w:rsidRPr="00783571" w:rsidRDefault="00F1655F" w:rsidP="00361ECB">
      <w:pPr>
        <w:pStyle w:val="bullets"/>
      </w:pPr>
      <w:r w:rsidRPr="00783571">
        <w:rPr>
          <w:position w:val="-6"/>
        </w:rPr>
        <w:object w:dxaOrig="300" w:dyaOrig="320" w14:anchorId="2D3F7059">
          <v:shape id="_x0000_i1080" type="#_x0000_t75" style="width:14.25pt;height:14.25pt" o:ole="">
            <v:imagedata r:id="rId127" o:title=""/>
          </v:shape>
          <o:OLEObject Type="Embed" ProgID="Equation.3" ShapeID="_x0000_i1080" DrawAspect="Content" ObjectID="_1584261723" r:id="rId135"/>
        </w:object>
      </w:r>
      <w:r w:rsidR="00BA1F4C" w:rsidRPr="00783571">
        <w:t xml:space="preserve">= </w:t>
      </w:r>
      <w:r w:rsidR="00341EDC" w:rsidRPr="00783571">
        <w:t>r</w:t>
      </w:r>
      <w:r w:rsidR="00BA1F4C" w:rsidRPr="00783571">
        <w:t xml:space="preserve">ate of HIV progression to the previous disease stage from compartment </w:t>
      </w:r>
      <w:r w:rsidR="00BA1F4C" w:rsidRPr="00783571">
        <w:rPr>
          <w:i/>
        </w:rPr>
        <w:t>c</w:t>
      </w:r>
      <w:r w:rsidR="00BA1F4C" w:rsidRPr="00783571">
        <w:t>, if VLS</w:t>
      </w:r>
      <w:r w:rsidR="001063EA" w:rsidRPr="00783571">
        <w:t>.</w:t>
      </w:r>
    </w:p>
    <w:p w14:paraId="0EB14CB8" w14:textId="77777777" w:rsidR="00336761" w:rsidRPr="00783571" w:rsidRDefault="00336761" w:rsidP="00336761">
      <w:pPr>
        <w:pStyle w:val="Heading2"/>
      </w:pPr>
      <w:bookmarkStart w:id="88" w:name="_Toc398293129"/>
      <w:bookmarkStart w:id="89" w:name="_Toc510104466"/>
      <w:r w:rsidRPr="00783571">
        <w:t xml:space="preserve">Individuals </w:t>
      </w:r>
      <w:r w:rsidR="00D63BB9" w:rsidRPr="00783571">
        <w:t>w</w:t>
      </w:r>
      <w:r w:rsidRPr="00783571">
        <w:t>ith AIDS (CD4 &lt; 200) (</w:t>
      </w:r>
      <w:r w:rsidRPr="00783571">
        <w:rPr>
          <w:i/>
          <w:iCs/>
        </w:rPr>
        <w:t>h</w:t>
      </w:r>
      <w:r w:rsidRPr="00783571">
        <w:t> = 5)</w:t>
      </w:r>
      <w:bookmarkEnd w:id="88"/>
      <w:bookmarkEnd w:id="89"/>
    </w:p>
    <w:p w14:paraId="408088D5" w14:textId="7F0EFD4B" w:rsidR="004F4E6D" w:rsidRPr="00783571" w:rsidRDefault="00336761" w:rsidP="0012168B">
      <w:pPr>
        <w:pStyle w:val="BodyText"/>
      </w:pPr>
      <w:r w:rsidRPr="00783571">
        <w:t>The numbers of individuals with AIDS (</w:t>
      </w:r>
      <w:r w:rsidR="007031C9" w:rsidRPr="00783571">
        <w:rPr>
          <w:i/>
          <w:iCs/>
        </w:rPr>
        <w:t>c</w:t>
      </w:r>
      <w:r w:rsidRPr="00783571">
        <w:t> = </w:t>
      </w:r>
      <w:r w:rsidR="00B72C75" w:rsidRPr="00783571">
        <w:t>2</w:t>
      </w:r>
      <w:r w:rsidR="00952E82" w:rsidRPr="00783571">
        <w:t>1</w:t>
      </w:r>
      <w:r w:rsidR="00B72C75" w:rsidRPr="00783571">
        <w:t xml:space="preserve"> to 2</w:t>
      </w:r>
      <w:r w:rsidR="00952E82" w:rsidRPr="00783571">
        <w:t>5</w:t>
      </w:r>
      <w:r w:rsidRPr="00783571">
        <w:t>), by demographic subpopulation</w:t>
      </w:r>
      <w:r w:rsidR="00B72C75" w:rsidRPr="00783571">
        <w:t xml:space="preserve"> </w:t>
      </w:r>
      <w:r w:rsidR="00B72C75" w:rsidRPr="00783571">
        <w:rPr>
          <w:i/>
        </w:rPr>
        <w:t>p</w:t>
      </w:r>
      <w:r w:rsidRPr="00783571">
        <w:t xml:space="preserve">, are determined by Equations </w:t>
      </w:r>
      <w:r w:rsidR="008B30F8" w:rsidRPr="00783571">
        <w:t>(</w:t>
      </w:r>
      <w:r w:rsidR="00936A10" w:rsidRPr="00783571">
        <w:t>7.</w:t>
      </w:r>
      <w:r w:rsidRPr="00783571">
        <w:t>1</w:t>
      </w:r>
      <w:r w:rsidR="00BA1F4C" w:rsidRPr="00783571">
        <w:t>6</w:t>
      </w:r>
      <w:r w:rsidR="008B30F8" w:rsidRPr="00783571">
        <w:t>)</w:t>
      </w:r>
      <w:r w:rsidRPr="00783571">
        <w:t xml:space="preserve"> through </w:t>
      </w:r>
      <w:r w:rsidR="008B30F8" w:rsidRPr="00783571">
        <w:t>(</w:t>
      </w:r>
      <w:r w:rsidR="00936A10" w:rsidRPr="00783571">
        <w:t>7.</w:t>
      </w:r>
      <w:r w:rsidR="00BA1F4C" w:rsidRPr="00783571">
        <w:t>20</w:t>
      </w:r>
      <w:r w:rsidR="008B30F8" w:rsidRPr="00783571">
        <w:t>)</w:t>
      </w:r>
      <w:r w:rsidRPr="00783571">
        <w:t>, corresponding to continuum-of-care stages</w:t>
      </w:r>
      <w:r w:rsidR="00952E82" w:rsidRPr="00783571">
        <w:t xml:space="preserve"> (</w:t>
      </w:r>
      <w:r w:rsidR="00952E82" w:rsidRPr="00783571">
        <w:rPr>
          <w:i/>
          <w:iCs/>
        </w:rPr>
        <w:t>r</w:t>
      </w:r>
      <w:r w:rsidR="00952E82" w:rsidRPr="00783571">
        <w:t>)</w:t>
      </w:r>
      <w:r w:rsidRPr="00783571">
        <w:rPr>
          <w:i/>
          <w:iCs/>
        </w:rPr>
        <w:t xml:space="preserve"> </w:t>
      </w:r>
      <w:r w:rsidR="00B72C75" w:rsidRPr="00783571">
        <w:t>1 to 5</w:t>
      </w:r>
      <w:r w:rsidRPr="00783571">
        <w:t xml:space="preserve">, respectively. </w:t>
      </w:r>
      <w:r w:rsidR="00492BF2" w:rsidRPr="00783571">
        <w:t>Across these compartments, transitions that can increase the number of individuals in a particular compartment</w:t>
      </w:r>
      <w:r w:rsidR="00492BF2" w:rsidRPr="00783571" w:rsidDel="00492BF2">
        <w:t xml:space="preserve"> </w:t>
      </w:r>
      <w:r w:rsidRPr="00783571">
        <w:t xml:space="preserve">include HIV progression, testing and notification of results, linkage to or departure from HIV care, </w:t>
      </w:r>
      <w:r w:rsidR="00B72C75" w:rsidRPr="00783571">
        <w:t xml:space="preserve">ART </w:t>
      </w:r>
      <w:r w:rsidR="00952E82" w:rsidRPr="00783571">
        <w:t>prescription</w:t>
      </w:r>
      <w:r w:rsidR="00492BF2" w:rsidRPr="00783571">
        <w:t xml:space="preserve"> (resulting in VLS or not)</w:t>
      </w:r>
      <w:r w:rsidR="00B72C75" w:rsidRPr="00783571">
        <w:t>, loss of ART, and loss of viral load suppression</w:t>
      </w:r>
      <w:r w:rsidRPr="00783571">
        <w:t xml:space="preserve">. Transitions that decrease the </w:t>
      </w:r>
      <w:r w:rsidR="00492BF2" w:rsidRPr="00783571">
        <w:t xml:space="preserve">number of PLWH in any of these compartments </w:t>
      </w:r>
      <w:r w:rsidRPr="00783571">
        <w:t>include testing and notification of results, linkage to</w:t>
      </w:r>
      <w:r w:rsidR="00B72C75" w:rsidRPr="00783571">
        <w:t xml:space="preserve"> and departure from</w:t>
      </w:r>
      <w:r w:rsidRPr="00783571">
        <w:t xml:space="preserve"> HIV care, death from AIDS, </w:t>
      </w:r>
      <w:r w:rsidR="00AD43DB" w:rsidRPr="00783571">
        <w:t>and aging out of the modeled population</w:t>
      </w:r>
      <w:r w:rsidRPr="00783571">
        <w:t>. Aging also shifts individuals among age groups. These equations differ from the other sets of equations in that they include AIDS-related mortality.</w:t>
      </w:r>
    </w:p>
    <w:p w14:paraId="69014A92" w14:textId="141170F3" w:rsidR="00987410" w:rsidRPr="00783571" w:rsidRDefault="00987410" w:rsidP="00751A9E">
      <w:pPr>
        <w:pStyle w:val="equation"/>
        <w:spacing w:after="360"/>
        <w:rPr>
          <w:lang w:val="en-US"/>
        </w:rPr>
      </w:pPr>
      <w:r w:rsidRPr="00783571">
        <w:rPr>
          <w:snapToGrid w:val="0"/>
          <w:sz w:val="22"/>
          <w:lang w:val="en-US"/>
        </w:rPr>
        <w:tab/>
      </w:r>
      <m:oMath>
        <m:f>
          <m:fPr>
            <m:ctrlPr>
              <w:rPr>
                <w:rFonts w:ascii="Cambria Math" w:hAnsi="Cambria Math"/>
                <w:snapToGrid w:val="0"/>
                <w:lang w:val="en-US"/>
              </w:rPr>
            </m:ctrlPr>
          </m:fPr>
          <m:num>
            <m:sSubSup>
              <m:sSubSupPr>
                <m:ctrlPr>
                  <w:rPr>
                    <w:rFonts w:ascii="Cambria Math" w:hAnsi="Cambria Math"/>
                    <w:snapToGrid w:val="0"/>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m:t>
                </m:r>
                <m:r>
                  <m:rPr>
                    <m:sty m:val="p"/>
                  </m:rPr>
                  <w:rPr>
                    <w:rFonts w:ascii="Cambria Math" w:hAnsi="Cambria Math"/>
                    <w:lang w:val="en-US"/>
                  </w:rPr>
                  <m:t>=21</m:t>
                </m:r>
              </m:sup>
            </m:sSubSup>
            <m:d>
              <m:dPr>
                <m:ctrlPr>
                  <w:rPr>
                    <w:rFonts w:ascii="Cambria Math" w:hAnsi="Cambria Math"/>
                    <w:lang w:val="en-US"/>
                  </w:rPr>
                </m:ctrlPr>
              </m:dPr>
              <m:e>
                <m:r>
                  <w:rPr>
                    <w:rFonts w:ascii="Cambria Math" w:hAnsi="Cambria Math"/>
                    <w:lang w:val="en-US"/>
                  </w:rPr>
                  <m:t>t</m:t>
                </m:r>
              </m:e>
            </m:d>
          </m:num>
          <m:den>
            <m:r>
              <w:rPr>
                <w:rFonts w:ascii="Cambria Math" w:hAnsi="Cambria Math"/>
                <w:lang w:val="en-US"/>
              </w:rPr>
              <m:t>dt</m:t>
            </m:r>
          </m:den>
        </m:f>
        <m:r>
          <m:rPr>
            <m:sty m:val="p"/>
          </m:rPr>
          <w:rPr>
            <w:rFonts w:ascii="Cambria Math" w:hAnsi="Cambria Math"/>
            <w:lang w:val="en-US"/>
          </w:rPr>
          <m:t>=</m:t>
        </m:r>
        <m:sSup>
          <m:sSupPr>
            <m:ctrlPr>
              <w:rPr>
                <w:rFonts w:ascii="Cambria Math" w:hAnsi="Cambria Math"/>
                <w:snapToGrid w:val="0"/>
                <w:lang w:val="en-US"/>
              </w:rPr>
            </m:ctrlPr>
          </m:sSupPr>
          <m:e>
            <m:r>
              <w:rPr>
                <w:rFonts w:ascii="Cambria Math" w:hAnsi="Cambria Math"/>
                <w:lang w:val="en-US"/>
              </w:rPr>
              <m:t>ω</m:t>
            </m:r>
          </m:e>
          <m:sup>
            <m:r>
              <w:rPr>
                <w:rFonts w:ascii="Cambria Math" w:hAnsi="Cambria Math"/>
                <w:lang w:val="en-US"/>
              </w:rPr>
              <m:t>c</m:t>
            </m:r>
            <m:r>
              <m:rPr>
                <m:sty m:val="p"/>
              </m:rPr>
              <w:rPr>
                <w:rFonts w:ascii="Cambria Math" w:hAnsi="Cambria Math"/>
                <w:lang w:val="en-US"/>
              </w:rPr>
              <m:t>=16</m:t>
            </m:r>
          </m:sup>
        </m:sSup>
        <m:sSubSup>
          <m:sSubSupPr>
            <m:ctrlPr>
              <w:rPr>
                <w:rFonts w:ascii="Cambria Math" w:hAnsi="Cambria Math"/>
                <w:snapToGrid w:val="0"/>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m:t>
            </m:r>
            <m:r>
              <m:rPr>
                <m:sty m:val="p"/>
              </m:rPr>
              <w:rPr>
                <w:rFonts w:ascii="Cambria Math" w:hAnsi="Cambria Math"/>
                <w:lang w:val="en-US"/>
              </w:rPr>
              <m:t>=16</m:t>
            </m:r>
          </m:sup>
        </m:sSubSup>
        <m:d>
          <m:dPr>
            <m:ctrlPr>
              <w:rPr>
                <w:rFonts w:ascii="Cambria Math" w:hAnsi="Cambria Math"/>
                <w:lang w:val="en-US"/>
              </w:rPr>
            </m:ctrlPr>
          </m:dPr>
          <m:e>
            <m:r>
              <w:rPr>
                <w:rFonts w:ascii="Cambria Math" w:hAnsi="Cambria Math"/>
                <w:lang w:val="en-US"/>
              </w:rPr>
              <m:t>t</m:t>
            </m:r>
          </m:e>
        </m:d>
        <m:r>
          <m:rPr>
            <m:sty m:val="p"/>
          </m:rPr>
          <w:rPr>
            <w:rFonts w:ascii="Cambria Math" w:hAnsi="Cambria Math"/>
            <w:lang w:val="en-US"/>
          </w:rPr>
          <m:t>-[</m:t>
        </m:r>
        <m:sSubSup>
          <m:sSubSupPr>
            <m:ctrlPr>
              <w:rPr>
                <w:rFonts w:ascii="Cambria Math" w:hAnsi="Cambria Math"/>
                <w:snapToGrid w:val="0"/>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m:t>
            </m:r>
            <m:r>
              <m:rPr>
                <m:sty m:val="p"/>
              </m:rPr>
              <w:rPr>
                <w:rFonts w:ascii="Cambria Math" w:hAnsi="Cambria Math"/>
                <w:lang w:val="en-US"/>
              </w:rPr>
              <m:t>=21</m:t>
            </m:r>
          </m:sup>
        </m:sSubSup>
        <m:d>
          <m:dPr>
            <m:ctrlPr>
              <w:rPr>
                <w:rFonts w:ascii="Cambria Math" w:hAnsi="Cambria Math"/>
                <w:lang w:val="en-US"/>
              </w:rPr>
            </m:ctrlPr>
          </m:dPr>
          <m:e>
            <m:r>
              <w:rPr>
                <w:rFonts w:ascii="Cambria Math" w:hAnsi="Cambria Math"/>
                <w:lang w:val="en-US"/>
              </w:rPr>
              <m:t>t</m:t>
            </m:r>
          </m:e>
        </m:d>
        <m:r>
          <m:rPr>
            <m:sty m:val="p"/>
          </m:rP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p</m:t>
            </m:r>
          </m:sub>
          <m:sup>
            <m:r>
              <w:rPr>
                <w:rFonts w:ascii="Cambria Math" w:hAnsi="Cambria Math"/>
                <w:lang w:val="en-US"/>
              </w:rPr>
              <m:t>c=21</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m:t>+</m:t>
        </m:r>
        <m:sSubSup>
          <m:sSubSupPr>
            <m:ctrlPr>
              <w:rPr>
                <w:rFonts w:ascii="Cambria Math" w:hAnsi="Cambria Math"/>
                <w:snapToGrid w:val="0"/>
                <w:lang w:val="en-US"/>
              </w:rPr>
            </m:ctrlPr>
          </m:sSubSupPr>
          <m:e>
            <m:r>
              <w:rPr>
                <w:rFonts w:ascii="Cambria Math" w:hAnsi="Cambria Math"/>
                <w:lang w:val="en-US"/>
              </w:rPr>
              <m:t>δ</m:t>
            </m:r>
          </m:e>
          <m:sub>
            <m:r>
              <w:rPr>
                <w:rFonts w:ascii="Cambria Math" w:hAnsi="Cambria Math"/>
                <w:lang w:val="en-US"/>
              </w:rPr>
              <m:t>p</m:t>
            </m:r>
          </m:sub>
          <m:sup>
            <m:r>
              <m:rPr>
                <m:sty m:val="p"/>
              </m:rPr>
              <w:rPr>
                <w:rFonts w:ascii="Cambria Math" w:hAnsi="Cambria Math"/>
                <w:lang w:val="en-US"/>
              </w:rPr>
              <m:t>-</m:t>
            </m:r>
          </m:sup>
        </m:sSubSup>
        <m:sSubSup>
          <m:sSubSupPr>
            <m:ctrlPr>
              <w:rPr>
                <w:rFonts w:ascii="Cambria Math" w:hAnsi="Cambria Math"/>
                <w:snapToGrid w:val="0"/>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m:t>
            </m:r>
            <m:r>
              <m:rPr>
                <m:sty m:val="p"/>
              </m:rPr>
              <w:rPr>
                <w:rFonts w:ascii="Cambria Math" w:hAnsi="Cambria Math"/>
                <w:lang w:val="en-US"/>
              </w:rPr>
              <m:t>=21</m:t>
            </m:r>
          </m:sup>
        </m:sSubSup>
        <m:d>
          <m:dPr>
            <m:ctrlPr>
              <w:rPr>
                <w:rFonts w:ascii="Cambria Math" w:hAnsi="Cambria Math"/>
                <w:lang w:val="en-US"/>
              </w:rPr>
            </m:ctrlPr>
          </m:dPr>
          <m:e>
            <m:r>
              <w:rPr>
                <w:rFonts w:ascii="Cambria Math" w:hAnsi="Cambria Math"/>
                <w:lang w:val="en-US"/>
              </w:rPr>
              <m:t>t</m:t>
            </m:r>
          </m:e>
        </m:d>
        <m:r>
          <m:rPr>
            <m:sty m:val="p"/>
          </m:rPr>
          <w:rPr>
            <w:rFonts w:ascii="Cambria Math" w:hAnsi="Cambria Math"/>
            <w:lang w:val="en-US"/>
          </w:rPr>
          <m:t>+</m:t>
        </m:r>
        <m:sSubSup>
          <m:sSubSupPr>
            <m:ctrlPr>
              <w:rPr>
                <w:rFonts w:ascii="Cambria Math" w:hAnsi="Cambria Math"/>
                <w:snapToGrid w:val="0"/>
                <w:lang w:val="en-US"/>
              </w:rPr>
            </m:ctrlPr>
          </m:sSubSupPr>
          <m:e>
            <m:r>
              <w:rPr>
                <w:rFonts w:ascii="Cambria Math" w:hAnsi="Cambria Math"/>
                <w:lang w:val="en-US"/>
              </w:rPr>
              <m:t>[δ</m:t>
            </m:r>
          </m:e>
          <m:sub>
            <m:r>
              <w:rPr>
                <w:rFonts w:ascii="Cambria Math" w:hAnsi="Cambria Math"/>
                <w:lang w:val="en-US"/>
              </w:rPr>
              <m:t>p</m:t>
            </m:r>
          </m:sub>
          <m:sup>
            <m:r>
              <m:rPr>
                <m:sty m:val="p"/>
              </m:rPr>
              <w:rPr>
                <w:rFonts w:ascii="Cambria Math" w:hAnsi="Cambria Math"/>
                <w:lang w:val="en-US"/>
              </w:rPr>
              <m:t>+</m:t>
            </m:r>
          </m:sup>
        </m:sSubSup>
        <m:r>
          <w:rPr>
            <w:rFonts w:ascii="Cambria Math" w:hAnsi="Cambria Math"/>
            <w:snapToGrid w:val="0"/>
            <w:lang w:val="en-US"/>
          </w:rPr>
          <m:t>]</m:t>
        </m:r>
        <m:sSubSup>
          <m:sSubSupPr>
            <m:ctrlPr>
              <w:rPr>
                <w:rFonts w:ascii="Cambria Math" w:hAnsi="Cambria Math"/>
                <w:snapToGrid w:val="0"/>
                <w:lang w:val="en-US"/>
              </w:rPr>
            </m:ctrlPr>
          </m:sSubSupPr>
          <m:e>
            <m:r>
              <w:rPr>
                <w:rFonts w:ascii="Cambria Math" w:hAnsi="Cambria Math"/>
                <w:lang w:val="en-US"/>
              </w:rPr>
              <m:t>X</m:t>
            </m:r>
          </m:e>
          <m:sub>
            <m:r>
              <w:rPr>
                <w:rFonts w:ascii="Cambria Math" w:hAnsi="Cambria Math"/>
                <w:lang w:val="en-US"/>
              </w:rPr>
              <m:t>p</m:t>
            </m:r>
            <m:r>
              <m:rPr>
                <m:sty m:val="p"/>
              </m:rPr>
              <w:rPr>
                <w:rFonts w:ascii="Cambria Math" w:hAnsi="Cambria Math"/>
                <w:lang w:val="en-US"/>
              </w:rPr>
              <m:t>-1</m:t>
            </m:r>
          </m:sub>
          <m:sup>
            <m:r>
              <w:rPr>
                <w:rFonts w:ascii="Cambria Math" w:hAnsi="Cambria Math"/>
                <w:lang w:val="en-US"/>
              </w:rPr>
              <m:t>c</m:t>
            </m:r>
            <m:r>
              <m:rPr>
                <m:sty m:val="p"/>
              </m:rPr>
              <w:rPr>
                <w:rFonts w:ascii="Cambria Math" w:hAnsi="Cambria Math"/>
                <w:lang w:val="en-US"/>
              </w:rPr>
              <m:t>=21</m:t>
            </m:r>
          </m:sup>
        </m:sSubSup>
        <m:d>
          <m:dPr>
            <m:ctrlPr>
              <w:rPr>
                <w:rFonts w:ascii="Cambria Math" w:hAnsi="Cambria Math"/>
                <w:lang w:val="en-US"/>
              </w:rPr>
            </m:ctrlPr>
          </m:dPr>
          <m:e>
            <m:r>
              <w:rPr>
                <w:rFonts w:ascii="Cambria Math" w:hAnsi="Cambria Math"/>
                <w:lang w:val="en-US"/>
              </w:rPr>
              <m:t>t</m:t>
            </m:r>
          </m:e>
        </m:d>
      </m:oMath>
      <w:r w:rsidRPr="00783571">
        <w:rPr>
          <w:sz w:val="22"/>
          <w:lang w:val="en-US"/>
        </w:rPr>
        <w:tab/>
      </w:r>
      <w:r w:rsidRPr="00783571">
        <w:rPr>
          <w:lang w:val="en-US"/>
        </w:rPr>
        <w:t>(7.16)</w:t>
      </w:r>
    </w:p>
    <w:p w14:paraId="0BD497C3" w14:textId="3B44AB97" w:rsidR="00987410" w:rsidRPr="00783571" w:rsidRDefault="000F17E7" w:rsidP="00751A9E">
      <w:pPr>
        <w:pStyle w:val="equation"/>
        <w:tabs>
          <w:tab w:val="left" w:pos="270"/>
        </w:tabs>
        <w:spacing w:after="360"/>
        <w:rPr>
          <w:lang w:val="en-US"/>
        </w:rPr>
      </w:pPr>
      <m:oMathPara>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c=22</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c=21</m:t>
                  </m:r>
                </m:sup>
              </m:sSubSup>
              <m:d>
                <m:dPr>
                  <m:ctrlPr>
                    <w:rPr>
                      <w:rFonts w:ascii="Cambria Math" w:hAnsi="Cambria Math"/>
                      <w:i/>
                      <w:lang w:val="en-US"/>
                    </w:rPr>
                  </m:ctrlPr>
                </m:dPr>
                <m:e>
                  <m:r>
                    <w:rPr>
                      <w:rFonts w:ascii="Cambria Math" w:hAnsi="Cambria Math"/>
                      <w:lang w:val="en-US"/>
                    </w:rPr>
                    <m:t>t</m:t>
                  </m:r>
                </m:e>
              </m:d>
            </m:e>
          </m:d>
          <m:d>
            <m:dPr>
              <m:begChr m:val="["/>
              <m:endChr m:val="]"/>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κ</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c=21</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C=17</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c=17</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m:oMathPara>
      <w:r w:rsidR="006A4A25" w:rsidRPr="00783571">
        <w:rPr>
          <w:lang w:val="en-US"/>
        </w:rPr>
        <w:tab/>
      </w:r>
      <w:r w:rsidR="002F0FFB" w:rsidRPr="00783571">
        <w:rPr>
          <w:lang w:val="en-US"/>
        </w:rPr>
        <w:tab/>
      </w:r>
      <m:oMath>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ctrlPr>
              <w:rPr>
                <w:rFonts w:ascii="Cambria Math" w:hAnsi="Cambria Math"/>
                <w:i/>
                <w:lang w:val="en-US"/>
              </w:rPr>
            </m:ctrlPr>
          </m:dPr>
          <m:e>
            <m:sSubSup>
              <m:sSubSupPr>
                <m:ctrlPr>
                  <w:rPr>
                    <w:rFonts w:ascii="Cambria Math" w:hAnsi="Cambria Math"/>
                    <w:i/>
                    <w:lang w:val="en-US"/>
                  </w:rPr>
                </m:ctrlPr>
              </m:sSubSupPr>
              <m:e>
                <m:r>
                  <m:rPr>
                    <m:scr m:val="script"/>
                  </m:rPr>
                  <w:rPr>
                    <w:rFonts w:ascii="Cambria Math" w:hAnsi="Cambria Math"/>
                    <w:lang w:val="en-US"/>
                  </w:rPr>
                  <m:t>l</m:t>
                </m:r>
              </m:e>
              <m:sub>
                <m:r>
                  <w:rPr>
                    <w:rFonts w:ascii="Cambria Math" w:hAnsi="Cambria Math"/>
                    <w:lang w:val="en-US"/>
                  </w:rPr>
                  <m:t>p</m:t>
                </m:r>
              </m:sub>
              <m:sup>
                <m:r>
                  <w:rPr>
                    <w:rFonts w:ascii="Cambria Math" w:hAnsi="Cambria Math"/>
                    <w:lang w:val="en-US"/>
                  </w:rPr>
                  <m:t>c=22</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p</m:t>
                </m:r>
              </m:sub>
              <m:sup>
                <m:r>
                  <w:rPr>
                    <w:rFonts w:ascii="Cambria Math" w:hAnsi="Cambria Math"/>
                    <w:lang w:val="en-US"/>
                  </w:rPr>
                  <m:t>c=22</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c=22</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c=22</m:t>
            </m:r>
          </m:sup>
        </m:sSubSup>
        <m:r>
          <w:rPr>
            <w:rFonts w:ascii="Cambria Math" w:hAnsi="Cambria Math"/>
            <w:lang w:val="en-US"/>
          </w:rPr>
          <m:t>(t)</m:t>
        </m:r>
      </m:oMath>
      <w:r w:rsidR="002F0FFB" w:rsidRPr="00783571">
        <w:rPr>
          <w:lang w:val="en-US"/>
        </w:rPr>
        <w:tab/>
        <w:t>(7.17)</w:t>
      </w:r>
    </w:p>
    <w:p w14:paraId="577BC684" w14:textId="306AE28A" w:rsidR="00530191" w:rsidRPr="00783571" w:rsidRDefault="000F17E7" w:rsidP="00751A9E">
      <w:pPr>
        <w:pStyle w:val="equation"/>
        <w:tabs>
          <w:tab w:val="left" w:pos="1260"/>
        </w:tabs>
        <w:spacing w:after="360"/>
        <w:rPr>
          <w:lang w:val="en-US"/>
        </w:rPr>
      </w:pPr>
      <m:oMathPara>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c=23</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τ</m:t>
                  </m:r>
                </m:e>
                <m:sub>
                  <m:r>
                    <w:rPr>
                      <w:rFonts w:ascii="Cambria Math" w:hAnsi="Cambria Math"/>
                      <w:lang w:val="en-US"/>
                    </w:rPr>
                    <m:t>p</m:t>
                  </m:r>
                </m:sub>
                <m:sup>
                  <m:r>
                    <w:rPr>
                      <w:rFonts w:ascii="Cambria Math" w:hAnsi="Cambria Math"/>
                      <w:lang w:val="en-US"/>
                    </w:rPr>
                    <m:t>c=21</m:t>
                  </m:r>
                </m:sup>
              </m:sSubSup>
            </m:e>
          </m:d>
          <m:r>
            <w:rPr>
              <w:rFonts w:ascii="Cambria Math" w:hAnsi="Cambria Math"/>
              <w:lang w:val="en-US"/>
            </w:rPr>
            <m:t xml:space="preserve"> </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κ</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c=21</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m:rPr>
                      <m:scr m:val="script"/>
                    </m:rPr>
                    <w:rPr>
                      <w:rFonts w:ascii="Cambria Math" w:hAnsi="Cambria Math"/>
                      <w:lang w:val="en-US"/>
                    </w:rPr>
                    <m:t>l</m:t>
                  </m:r>
                </m:e>
                <m:sub>
                  <m:r>
                    <w:rPr>
                      <w:rFonts w:ascii="Cambria Math" w:hAnsi="Cambria Math"/>
                      <w:lang w:val="en-US"/>
                    </w:rPr>
                    <m:t>p</m:t>
                  </m:r>
                </m:sub>
                <m:sup>
                  <m:r>
                    <w:rPr>
                      <w:rFonts w:ascii="Cambria Math" w:hAnsi="Cambria Math"/>
                      <w:lang w:val="en-US"/>
                    </w:rPr>
                    <m:t>c=221</m:t>
                  </m:r>
                </m:sup>
              </m:sSub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c=22</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ω</m:t>
                  </m:r>
                </m:e>
                <m:sup>
                  <m:r>
                    <w:rPr>
                      <w:rFonts w:ascii="Cambria Math" w:hAnsi="Cambria Math"/>
                      <w:lang w:val="en-US"/>
                    </w:rPr>
                    <m:t>c=18</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c=18</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c=24</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m:oMathPara>
      <w:r w:rsidR="006A4A25" w:rsidRPr="00783571">
        <w:rPr>
          <w:lang w:val="en-US"/>
        </w:rPr>
        <w:tab/>
      </w:r>
      <w:r w:rsidR="00705289" w:rsidRPr="00783571">
        <w:rPr>
          <w:lang w:val="en-US"/>
        </w:rPr>
        <w:tab/>
      </w:r>
      <m:oMath>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c=23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p</m:t>
            </m:r>
          </m:sub>
          <m:sup>
            <m:r>
              <w:rPr>
                <w:rFonts w:ascii="Cambria Math" w:hAnsi="Cambria Math"/>
                <w:lang w:val="en-US"/>
              </w:rPr>
              <m:t>c=23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c=23</m:t>
            </m:r>
          </m:sup>
        </m:sSubSup>
        <m:r>
          <w:rPr>
            <w:rFonts w:ascii="Cambria Math" w:hAnsi="Cambria Math"/>
            <w:lang w:val="en-US"/>
          </w:rPr>
          <m:t>(t)</m:t>
        </m:r>
      </m:oMath>
      <w:r w:rsidR="00705289" w:rsidRPr="00783571">
        <w:rPr>
          <w:lang w:val="en-US"/>
        </w:rPr>
        <w:tab/>
        <w:t>(7.18)</w:t>
      </w:r>
    </w:p>
    <w:p w14:paraId="7C8EA884" w14:textId="6C412068" w:rsidR="004A1C14" w:rsidRPr="00783571" w:rsidRDefault="009535FB" w:rsidP="006A4A25">
      <w:pPr>
        <w:pStyle w:val="equation"/>
        <w:spacing w:after="360"/>
        <w:rPr>
          <w:lang w:val="en-US"/>
        </w:rPr>
      </w:pPr>
      <w:r w:rsidRPr="00783571">
        <w:rPr>
          <w:rFonts w:ascii="Cambria Math" w:hAnsi="Cambria Math"/>
          <w:lang w:val="en-US"/>
        </w:rPr>
        <w:tab/>
      </w:r>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c=24</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H</m:t>
                </m:r>
              </m:e>
              <m:sup>
                <m:r>
                  <w:rPr>
                    <w:rFonts w:ascii="Cambria Math" w:hAnsi="Cambria Math"/>
                    <w:lang w:val="en-US"/>
                  </w:rPr>
                  <m:t>c=19</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c=19</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1-u</m:t>
            </m:r>
          </m:e>
        </m:d>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c=23</m:t>
                </m:r>
              </m:sup>
            </m:sSub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c=25</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w:r w:rsidR="00705289" w:rsidRPr="00783571">
        <w:rPr>
          <w:rFonts w:ascii="Cambria Math" w:hAnsi="Cambria Math"/>
          <w:lang w:val="en-US"/>
        </w:rPr>
        <w:tab/>
      </w:r>
      <m:oMath>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ε</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c=24</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p</m:t>
                </m:r>
              </m:sub>
              <m:sup>
                <m:r>
                  <w:rPr>
                    <w:rFonts w:ascii="Cambria Math" w:hAnsi="Cambria Math"/>
                    <w:lang w:val="en-US"/>
                  </w:rPr>
                  <m:t>c=24</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c=24</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c=24</m:t>
            </m:r>
          </m:sup>
        </m:sSubSup>
        <m:d>
          <m:dPr>
            <m:ctrlPr>
              <w:rPr>
                <w:rFonts w:ascii="Cambria Math" w:hAnsi="Cambria Math"/>
                <w:i/>
                <w:lang w:val="en-US"/>
              </w:rPr>
            </m:ctrlPr>
          </m:dPr>
          <m:e>
            <m:r>
              <w:rPr>
                <w:rFonts w:ascii="Cambria Math" w:hAnsi="Cambria Math"/>
                <w:lang w:val="en-US"/>
              </w:rPr>
              <m:t>t</m:t>
            </m:r>
          </m:e>
        </m:d>
      </m:oMath>
      <w:r w:rsidR="00705289" w:rsidRPr="00783571">
        <w:rPr>
          <w:rFonts w:ascii="Cambria Math" w:hAnsi="Cambria Math"/>
          <w:lang w:val="en-US"/>
        </w:rPr>
        <w:tab/>
      </w:r>
      <w:r w:rsidR="00705289" w:rsidRPr="00783571">
        <w:rPr>
          <w:lang w:val="en-US"/>
        </w:rPr>
        <w:t>(7.19)</w:t>
      </w:r>
    </w:p>
    <w:p w14:paraId="4F516170" w14:textId="2B8733D2" w:rsidR="00530191" w:rsidRPr="00783571" w:rsidRDefault="000F17E7" w:rsidP="006A4A25">
      <w:pPr>
        <w:pStyle w:val="equation"/>
        <w:tabs>
          <w:tab w:val="left" w:pos="1350"/>
        </w:tabs>
        <w:spacing w:after="360"/>
        <w:rPr>
          <w:lang w:val="en-US"/>
        </w:rPr>
      </w:pPr>
      <m:oMathPara>
        <m:oMath>
          <m:f>
            <m:fPr>
              <m:ctrlPr>
                <w:rPr>
                  <w:rFonts w:ascii="Cambria Math" w:hAnsi="Cambria Math"/>
                  <w:i/>
                  <w:lang w:val="en-US"/>
                </w:rPr>
              </m:ctrlPr>
            </m:fPr>
            <m:num>
              <m:sSubSup>
                <m:sSubSupPr>
                  <m:ctrlPr>
                    <w:rPr>
                      <w:rFonts w:ascii="Cambria Math" w:hAnsi="Cambria Math"/>
                      <w:i/>
                      <w:lang w:val="en-US"/>
                    </w:rPr>
                  </m:ctrlPr>
                </m:sSubSupPr>
                <m:e>
                  <m:r>
                    <w:rPr>
                      <w:rFonts w:ascii="Cambria Math" w:hAnsi="Cambria Math"/>
                      <w:lang w:val="en-US"/>
                    </w:rPr>
                    <m:t>dX</m:t>
                  </m:r>
                </m:e>
                <m:sub>
                  <m:r>
                    <w:rPr>
                      <w:rFonts w:ascii="Cambria Math" w:hAnsi="Cambria Math"/>
                      <w:lang w:val="en-US"/>
                    </w:rPr>
                    <m:t>p</m:t>
                  </m:r>
                </m:sub>
                <m:sup>
                  <m:r>
                    <w:rPr>
                      <w:rFonts w:ascii="Cambria Math" w:hAnsi="Cambria Math"/>
                      <w:lang w:val="en-US"/>
                    </w:rPr>
                    <m:t>c=25</m:t>
                  </m:r>
                </m:sup>
              </m:sSubSup>
              <m:d>
                <m:dPr>
                  <m:ctrlPr>
                    <w:rPr>
                      <w:rFonts w:ascii="Cambria Math" w:hAnsi="Cambria Math"/>
                      <w:i/>
                      <w:lang w:val="en-US"/>
                    </w:rPr>
                  </m:ctrlPr>
                </m:dPr>
                <m:e>
                  <m:r>
                    <w:rPr>
                      <w:rFonts w:ascii="Cambria Math" w:hAnsi="Cambria Math"/>
                      <w:lang w:val="en-US"/>
                    </w:rPr>
                    <m:t>t</m:t>
                  </m:r>
                </m:e>
              </m:d>
            </m:num>
            <m:den>
              <m:r>
                <w:rPr>
                  <w:rFonts w:ascii="Cambria Math" w:hAnsi="Cambria Math"/>
                  <w:lang w:val="en-US"/>
                </w:rPr>
                <m:t>dt</m:t>
              </m:r>
            </m:den>
          </m:f>
          <m:r>
            <w:rPr>
              <w:rFonts w:ascii="Cambria Math" w:hAnsi="Cambria Math"/>
              <w:lang w:val="en-US"/>
            </w:rPr>
            <m:t>=</m:t>
          </m:r>
          <m:d>
            <m:dPr>
              <m:begChr m:val="["/>
              <m:endChr m:val="]"/>
              <m:ctrlPr>
                <w:rPr>
                  <w:rFonts w:ascii="Cambria Math" w:hAnsi="Cambria Math"/>
                  <w:i/>
                  <w:lang w:val="en-US"/>
                </w:rPr>
              </m:ctrlPr>
            </m:dPr>
            <m:e>
              <m:sSup>
                <m:sSupPr>
                  <m:ctrlPr>
                    <w:rPr>
                      <w:rFonts w:ascii="Cambria Math" w:hAnsi="Cambria Math"/>
                      <w:i/>
                      <w:lang w:val="en-US"/>
                    </w:rPr>
                  </m:ctrlPr>
                </m:sSupPr>
                <m:e>
                  <m:r>
                    <w:rPr>
                      <w:rFonts w:ascii="Cambria Math" w:hAnsi="Cambria Math"/>
                      <w:lang w:val="en-US"/>
                    </w:rPr>
                    <m:t>B</m:t>
                  </m:r>
                </m:e>
                <m:sup>
                  <m:r>
                    <w:rPr>
                      <w:rFonts w:ascii="Cambria Math" w:hAnsi="Cambria Math"/>
                      <w:lang w:val="en-US"/>
                    </w:rPr>
                    <m:t>c=20</m:t>
                  </m:r>
                </m:sup>
              </m:s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c=20</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r>
                <w:rPr>
                  <w:rFonts w:ascii="Cambria Math" w:hAnsi="Cambria Math"/>
                  <w:lang w:val="en-US"/>
                </w:rPr>
                <m:t>u</m:t>
              </m:r>
            </m:e>
          </m:d>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γ</m:t>
                  </m:r>
                </m:e>
                <m:sub>
                  <m:r>
                    <w:rPr>
                      <w:rFonts w:ascii="Cambria Math" w:hAnsi="Cambria Math"/>
                      <w:lang w:val="en-US"/>
                    </w:rPr>
                    <m:t>p</m:t>
                  </m:r>
                </m:sub>
                <m:sup>
                  <m:r>
                    <w:rPr>
                      <w:rFonts w:ascii="Cambria Math" w:hAnsi="Cambria Math"/>
                      <w:lang w:val="en-US"/>
                    </w:rPr>
                    <m:t>c=23</m:t>
                  </m:r>
                </m:sup>
              </m:sSubSup>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c=23</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ζ</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c=24</m:t>
              </m:r>
            </m:sup>
          </m:sSubSup>
          <m:d>
            <m:dPr>
              <m:ctrlPr>
                <w:rPr>
                  <w:rFonts w:ascii="Cambria Math" w:hAnsi="Cambria Math"/>
                  <w:i/>
                  <w:lang w:val="en-US"/>
                </w:rPr>
              </m:ctrlPr>
            </m:dPr>
            <m:e>
              <m:r>
                <w:rPr>
                  <w:rFonts w:ascii="Cambria Math" w:hAnsi="Cambria Math"/>
                  <w:lang w:val="en-US"/>
                </w:rPr>
                <m:t>t</m:t>
              </m:r>
            </m:e>
          </m:d>
          <m:r>
            <m:rPr>
              <m:sty m:val="p"/>
            </m:rPr>
            <w:rPr>
              <w:rFonts w:ascii="Cambria Math" w:hAnsi="Cambria Math"/>
              <w:lang w:val="en-US"/>
            </w:rPr>
            <w:br/>
          </m:r>
        </m:oMath>
      </m:oMathPara>
      <w:r w:rsidR="006A4A25" w:rsidRPr="00783571">
        <w:rPr>
          <w:rFonts w:ascii="Cambria Math" w:hAnsi="Cambria Math"/>
          <w:lang w:val="en-US"/>
        </w:rPr>
        <w:tab/>
      </w:r>
      <w:r w:rsidR="00530191" w:rsidRPr="00783571">
        <w:rPr>
          <w:rFonts w:ascii="Cambria Math" w:hAnsi="Cambria Math"/>
          <w:lang w:val="en-US"/>
        </w:rPr>
        <w:tab/>
      </w:r>
      <m:oMath>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η</m:t>
                </m:r>
              </m:e>
              <m:sub>
                <m:r>
                  <w:rPr>
                    <w:rFonts w:ascii="Cambria Math" w:hAnsi="Cambria Math"/>
                    <w:lang w:val="en-US"/>
                  </w:rPr>
                  <m:t>p</m:t>
                </m:r>
              </m:sub>
            </m:sSub>
            <m:d>
              <m:dPr>
                <m:ctrlPr>
                  <w:rPr>
                    <w:rFonts w:ascii="Cambria Math" w:hAnsi="Cambria Math"/>
                    <w:i/>
                    <w:lang w:val="en-US"/>
                  </w:rPr>
                </m:ctrlPr>
              </m:dPr>
              <m:e>
                <m:r>
                  <w:rPr>
                    <w:rFonts w:ascii="Cambria Math" w:hAnsi="Cambria Math"/>
                    <w:lang w:val="en-US"/>
                  </w:rPr>
                  <m:t>t</m:t>
                </m:r>
              </m:e>
            </m:d>
            <m:r>
              <w:rPr>
                <w:rFonts w:ascii="Cambria Math" w:hAnsi="Cambria Math"/>
                <w:lang w:val="en-US"/>
              </w:rPr>
              <m:t>+</m:t>
            </m:r>
            <m:r>
              <m:rPr>
                <m:sty m:val="p"/>
              </m:rPr>
              <w:rPr>
                <w:rFonts w:ascii="Cambria Math" w:hAnsi="Cambria Math"/>
                <w:position w:val="-6"/>
                <w:lang w:val="en-US"/>
              </w:rPr>
              <w:object w:dxaOrig="520" w:dyaOrig="320" w14:anchorId="30FA3187">
                <v:shape id="_x0000_i1082" type="#_x0000_t75" style="width:28.5pt;height:14.25pt" o:ole="">
                  <v:imagedata r:id="rId136" o:title=""/>
                </v:shape>
                <o:OLEObject Type="Embed" ProgID="Equation.3" ShapeID="_x0000_i1082" DrawAspect="Content" ObjectID="_1584261724" r:id="rId137"/>
              </w:object>
            </m:r>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σ</m:t>
                </m:r>
              </m:e>
              <m:sub>
                <m:r>
                  <w:rPr>
                    <w:rFonts w:ascii="Cambria Math" w:hAnsi="Cambria Math"/>
                    <w:lang w:val="en-US"/>
                  </w:rPr>
                  <m:t>p</m:t>
                </m:r>
              </m:sub>
              <m:sup>
                <m:r>
                  <w:rPr>
                    <w:rFonts w:ascii="Cambria Math" w:hAnsi="Cambria Math"/>
                    <w:lang w:val="en-US"/>
                  </w:rPr>
                  <m:t>c=25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c=25</m:t>
            </m:r>
          </m:sup>
        </m:sSubSup>
        <m:d>
          <m:dPr>
            <m:ctrlPr>
              <w:rPr>
                <w:rFonts w:ascii="Cambria Math" w:hAnsi="Cambria Math"/>
                <w:i/>
                <w:lang w:val="en-US"/>
              </w:rPr>
            </m:ctrlPr>
          </m:dPr>
          <m:e>
            <m:r>
              <w:rPr>
                <w:rFonts w:ascii="Cambria Math" w:hAnsi="Cambria Math"/>
                <w:lang w:val="en-US"/>
              </w:rPr>
              <m:t>t</m:t>
            </m:r>
          </m:e>
        </m:d>
        <m:r>
          <w:rPr>
            <w:rFonts w:ascii="Cambria Math" w:hAnsi="Cambria Math"/>
            <w:lang w:val="en-US"/>
          </w:rPr>
          <m:t>+</m:t>
        </m:r>
        <m:d>
          <m:dPr>
            <m:begChr m:val="["/>
            <m:endChr m:val="]"/>
            <m:ctrlPr>
              <w:rPr>
                <w:rFonts w:ascii="Cambria Math" w:hAnsi="Cambria Math"/>
                <w:i/>
                <w:lang w:val="en-US"/>
              </w:rPr>
            </m:ctrlPr>
          </m:dPr>
          <m:e>
            <m:sSubSup>
              <m:sSubSupPr>
                <m:ctrlPr>
                  <w:rPr>
                    <w:rFonts w:ascii="Cambria Math" w:hAnsi="Cambria Math"/>
                    <w:i/>
                    <w:lang w:val="en-US"/>
                  </w:rPr>
                </m:ctrlPr>
              </m:sSubSupPr>
              <m:e>
                <m:r>
                  <w:rPr>
                    <w:rFonts w:ascii="Cambria Math" w:hAnsi="Cambria Math"/>
                    <w:lang w:val="en-US"/>
                  </w:rPr>
                  <m:t>δ</m:t>
                </m:r>
              </m:e>
              <m:sub>
                <m:r>
                  <w:rPr>
                    <w:rFonts w:ascii="Cambria Math" w:hAnsi="Cambria Math"/>
                    <w:lang w:val="en-US"/>
                  </w:rPr>
                  <m:t>p</m:t>
                </m:r>
              </m:sub>
              <m:sup>
                <m:r>
                  <w:rPr>
                    <w:rFonts w:ascii="Cambria Math" w:hAnsi="Cambria Math"/>
                    <w:lang w:val="en-US"/>
                  </w:rPr>
                  <m:t>+</m:t>
                </m:r>
              </m:sup>
            </m:sSubSup>
          </m:e>
        </m:d>
        <m:sSubSup>
          <m:sSubSupPr>
            <m:ctrlPr>
              <w:rPr>
                <w:rFonts w:ascii="Cambria Math" w:hAnsi="Cambria Math"/>
                <w:i/>
                <w:lang w:val="en-US"/>
              </w:rPr>
            </m:ctrlPr>
          </m:sSubSupPr>
          <m:e>
            <m:r>
              <w:rPr>
                <w:rFonts w:ascii="Cambria Math" w:hAnsi="Cambria Math"/>
                <w:lang w:val="en-US"/>
              </w:rPr>
              <m:t>X</m:t>
            </m:r>
          </m:e>
          <m:sub>
            <m:r>
              <w:rPr>
                <w:rFonts w:ascii="Cambria Math" w:hAnsi="Cambria Math"/>
                <w:lang w:val="en-US"/>
              </w:rPr>
              <m:t>p-1</m:t>
            </m:r>
          </m:sub>
          <m:sup>
            <m:r>
              <w:rPr>
                <w:rFonts w:ascii="Cambria Math" w:hAnsi="Cambria Math"/>
                <w:lang w:val="en-US"/>
              </w:rPr>
              <m:t>c=25</m:t>
            </m:r>
          </m:sup>
        </m:sSubSup>
        <m:r>
          <w:rPr>
            <w:rFonts w:ascii="Cambria Math" w:hAnsi="Cambria Math"/>
            <w:lang w:val="en-US"/>
          </w:rPr>
          <m:t>(t)</m:t>
        </m:r>
      </m:oMath>
      <w:r w:rsidR="00530191" w:rsidRPr="00783571">
        <w:rPr>
          <w:rFonts w:ascii="Cambria Math" w:hAnsi="Cambria Math"/>
          <w:lang w:val="en-US"/>
        </w:rPr>
        <w:tab/>
      </w:r>
      <w:r w:rsidR="00530191" w:rsidRPr="00783571">
        <w:rPr>
          <w:lang w:val="en-US"/>
        </w:rPr>
        <w:t>(7.20)</w:t>
      </w:r>
    </w:p>
    <w:p w14:paraId="4931E6F7" w14:textId="77777777" w:rsidR="000443D0" w:rsidRPr="00783571" w:rsidRDefault="000443D0" w:rsidP="000443D0">
      <w:pPr>
        <w:pStyle w:val="Heading2"/>
      </w:pPr>
      <w:bookmarkStart w:id="90" w:name="_Toc510104467"/>
      <w:r w:rsidRPr="00783571">
        <w:t>Absorbing States</w:t>
      </w:r>
      <w:bookmarkEnd w:id="90"/>
    </w:p>
    <w:p w14:paraId="1A765F22" w14:textId="00C25B94" w:rsidR="000443D0" w:rsidRPr="00783571" w:rsidRDefault="00341EDC" w:rsidP="000723F7">
      <w:pPr>
        <w:pStyle w:val="BodyText"/>
      </w:pPr>
      <w:r w:rsidRPr="00783571">
        <w:t>The model’s absorbing states</w:t>
      </w:r>
      <w:r w:rsidR="000443D0" w:rsidRPr="00783571">
        <w:t xml:space="preserve"> (</w:t>
      </w:r>
      <w:r w:rsidR="000443D0" w:rsidRPr="00783571">
        <w:rPr>
          <w:i/>
          <w:iCs/>
        </w:rPr>
        <w:t>c</w:t>
      </w:r>
      <w:r w:rsidR="000443D0" w:rsidRPr="00783571">
        <w:t> = 2</w:t>
      </w:r>
      <w:r w:rsidR="00540431" w:rsidRPr="00783571">
        <w:t>6</w:t>
      </w:r>
      <w:r w:rsidR="000443D0" w:rsidRPr="00783571">
        <w:t xml:space="preserve"> to 2</w:t>
      </w:r>
      <w:r w:rsidR="00540431" w:rsidRPr="00783571">
        <w:t>8</w:t>
      </w:r>
      <w:r w:rsidR="000443D0" w:rsidRPr="00783571">
        <w:t xml:space="preserve">) </w:t>
      </w:r>
      <w:r w:rsidRPr="00783571">
        <w:t>are compartments that hold individuals who have stopped being actively followed because they have died or have aged out of the population aged 13</w:t>
      </w:r>
      <w:r w:rsidR="00D66442" w:rsidRPr="00783571">
        <w:t xml:space="preserve"> to </w:t>
      </w:r>
      <w:r w:rsidRPr="00783571">
        <w:t xml:space="preserve">64. The number of individuals by subpopulation </w:t>
      </w:r>
      <w:r w:rsidRPr="00783571">
        <w:rPr>
          <w:i/>
        </w:rPr>
        <w:t>p</w:t>
      </w:r>
      <w:r w:rsidRPr="00783571">
        <w:t xml:space="preserve"> in the absorbing states</w:t>
      </w:r>
      <w:r w:rsidR="000443D0" w:rsidRPr="00783571">
        <w:t xml:space="preserve"> are determined by </w:t>
      </w:r>
      <w:r w:rsidR="00AD43DB" w:rsidRPr="00783571">
        <w:t>Equations (7.21</w:t>
      </w:r>
      <w:r w:rsidR="000443D0" w:rsidRPr="00783571">
        <w:t>) through (7.</w:t>
      </w:r>
      <w:r w:rsidR="00AD43DB" w:rsidRPr="00783571">
        <w:t>23</w:t>
      </w:r>
      <w:r w:rsidR="000443D0" w:rsidRPr="00783571">
        <w:t xml:space="preserve">), respectively. Transitions that increase the values include aging out of the population, death from AIDS, </w:t>
      </w:r>
      <w:r w:rsidR="000723F7" w:rsidRPr="00783571">
        <w:t xml:space="preserve">and </w:t>
      </w:r>
      <w:r w:rsidR="000443D0" w:rsidRPr="00783571">
        <w:t xml:space="preserve">death from causes other than AIDS. </w:t>
      </w:r>
      <w:r w:rsidR="00D66442" w:rsidRPr="00783571">
        <w:t>N</w:t>
      </w:r>
      <w:r w:rsidR="000443D0" w:rsidRPr="00783571">
        <w:t xml:space="preserve">o transitions decrease the </w:t>
      </w:r>
      <w:r w:rsidRPr="00783571">
        <w:t>number of individuals in these states</w:t>
      </w:r>
      <w:r w:rsidR="000443D0" w:rsidRPr="00783571">
        <w:t>.</w:t>
      </w:r>
    </w:p>
    <w:p w14:paraId="181AA2C2" w14:textId="25A07947" w:rsidR="0001709F" w:rsidRPr="00783571" w:rsidRDefault="0001709F" w:rsidP="00054580">
      <w:pPr>
        <w:pStyle w:val="equation"/>
        <w:spacing w:after="240" w:line="240" w:lineRule="atLeast"/>
        <w:rPr>
          <w:lang w:val="en-US"/>
        </w:rPr>
      </w:pPr>
      <w:r w:rsidRPr="00783571">
        <w:rPr>
          <w:rFonts w:ascii="Cambria Math" w:hAnsi="Cambria Math"/>
          <w:lang w:val="en-US"/>
        </w:rPr>
        <w:tab/>
      </w:r>
      <w:r w:rsidR="00DC6416" w:rsidRPr="00783571">
        <w:rPr>
          <w:rFonts w:ascii="Cambria Math" w:hAnsi="Cambria Math"/>
          <w:position w:val="-30"/>
          <w:lang w:val="en-US"/>
        </w:rPr>
        <w:object w:dxaOrig="4540" w:dyaOrig="780" w14:anchorId="5ECBC688">
          <v:shape id="_x0000_i1083" type="#_x0000_t75" style="width:230.25pt;height:36pt" o:ole="">
            <v:imagedata r:id="rId138" o:title=""/>
          </v:shape>
          <o:OLEObject Type="Embed" ProgID="Equation.3" ShapeID="_x0000_i1083" DrawAspect="Content" ObjectID="_1584261725" r:id="rId139"/>
        </w:object>
      </w:r>
      <w:r w:rsidRPr="00783571">
        <w:rPr>
          <w:rFonts w:ascii="Cambria Math" w:hAnsi="Cambria Math"/>
          <w:lang w:val="en-US"/>
        </w:rPr>
        <w:tab/>
      </w:r>
      <w:r w:rsidRPr="00783571">
        <w:rPr>
          <w:lang w:val="en-US"/>
        </w:rPr>
        <w:t>(7.21)</w:t>
      </w:r>
    </w:p>
    <w:p w14:paraId="0BE8E4C6" w14:textId="2987B666" w:rsidR="000E5D98" w:rsidRPr="00783571" w:rsidRDefault="000E5D98" w:rsidP="00054580">
      <w:pPr>
        <w:pStyle w:val="equation"/>
        <w:spacing w:after="240" w:line="240" w:lineRule="atLeast"/>
        <w:rPr>
          <w:lang w:val="en-US"/>
        </w:rPr>
      </w:pPr>
      <w:r w:rsidRPr="00783571">
        <w:rPr>
          <w:rFonts w:ascii="Cambria Math" w:hAnsi="Cambria Math"/>
          <w:lang w:val="en-US"/>
        </w:rPr>
        <w:tab/>
      </w:r>
      <w:r w:rsidR="00DC6416" w:rsidRPr="00783571">
        <w:rPr>
          <w:rFonts w:ascii="Cambria Math" w:hAnsi="Cambria Math"/>
          <w:position w:val="-30"/>
          <w:lang w:val="en-US"/>
        </w:rPr>
        <w:object w:dxaOrig="2840" w:dyaOrig="780" w14:anchorId="009D3CDA">
          <v:shape id="_x0000_i1084" type="#_x0000_t75" style="width:2in;height:36pt" o:ole="">
            <v:imagedata r:id="rId140" o:title=""/>
          </v:shape>
          <o:OLEObject Type="Embed" ProgID="Equation.3" ShapeID="_x0000_i1084" DrawAspect="Content" ObjectID="_1584261726" r:id="rId141"/>
        </w:object>
      </w:r>
      <w:r w:rsidRPr="00783571">
        <w:rPr>
          <w:rFonts w:ascii="Cambria Math" w:hAnsi="Cambria Math"/>
          <w:lang w:val="en-US"/>
        </w:rPr>
        <w:tab/>
      </w:r>
      <w:r w:rsidRPr="00783571">
        <w:rPr>
          <w:lang w:val="en-US"/>
        </w:rPr>
        <w:t>(7.22)</w:t>
      </w:r>
    </w:p>
    <w:p w14:paraId="642F8FDD" w14:textId="5AA302D0" w:rsidR="000443D0" w:rsidRPr="00783571" w:rsidRDefault="00377E93" w:rsidP="00054580">
      <w:pPr>
        <w:pStyle w:val="equation"/>
        <w:spacing w:after="240" w:line="240" w:lineRule="atLeast"/>
        <w:rPr>
          <w:lang w:val="en-US"/>
        </w:rPr>
      </w:pPr>
      <w:r w:rsidRPr="00783571">
        <w:rPr>
          <w:lang w:val="en-US"/>
        </w:rPr>
        <w:tab/>
      </w:r>
      <w:r w:rsidR="00717EC2" w:rsidRPr="00783571">
        <w:rPr>
          <w:position w:val="-28"/>
          <w:lang w:val="en-US"/>
        </w:rPr>
        <w:object w:dxaOrig="2200" w:dyaOrig="720" w14:anchorId="54732F25">
          <v:shape id="_x0000_i1085" type="#_x0000_t75" style="width:108pt;height:36pt" o:ole="">
            <v:imagedata r:id="rId142" o:title=""/>
          </v:shape>
          <o:OLEObject Type="Embed" ProgID="Equation.3" ShapeID="_x0000_i1085" DrawAspect="Content" ObjectID="_1584261727" r:id="rId143"/>
        </w:object>
      </w:r>
      <w:r w:rsidRPr="00783571">
        <w:rPr>
          <w:lang w:val="en-US"/>
        </w:rPr>
        <w:tab/>
        <w:t>(7</w:t>
      </w:r>
      <w:r w:rsidR="00AD43DB" w:rsidRPr="00783571">
        <w:rPr>
          <w:lang w:val="en-US"/>
        </w:rPr>
        <w:t>.23)</w:t>
      </w:r>
    </w:p>
    <w:p w14:paraId="0CE9196B" w14:textId="77777777" w:rsidR="00F1655F" w:rsidRPr="00783571" w:rsidRDefault="00F1655F" w:rsidP="00F1655F">
      <w:pPr>
        <w:pStyle w:val="BodyText"/>
      </w:pPr>
    </w:p>
    <w:p w14:paraId="487A0A47" w14:textId="77777777" w:rsidR="00F1655F" w:rsidRPr="00783571" w:rsidRDefault="00F1655F" w:rsidP="00540431">
      <w:pPr>
        <w:pStyle w:val="ESHeading1"/>
        <w:tabs>
          <w:tab w:val="center" w:pos="5040"/>
          <w:tab w:val="right" w:pos="9360"/>
        </w:tabs>
        <w:jc w:val="left"/>
        <w:sectPr w:rsidR="00F1655F" w:rsidRPr="00783571" w:rsidSect="00315F8D">
          <w:headerReference w:type="default" r:id="rId144"/>
          <w:footerReference w:type="even" r:id="rId145"/>
          <w:footerReference w:type="default" r:id="rId146"/>
          <w:pgSz w:w="12240" w:h="15840" w:code="1"/>
          <w:pgMar w:top="1440" w:right="1440" w:bottom="1440" w:left="1440" w:header="720" w:footer="720" w:gutter="0"/>
          <w:pgNumType w:start="1" w:chapStyle="1"/>
          <w:cols w:space="720"/>
          <w:titlePg/>
          <w:docGrid w:linePitch="360"/>
        </w:sectPr>
      </w:pPr>
    </w:p>
    <w:p w14:paraId="17D84892" w14:textId="0CF1EBD9" w:rsidR="00937B71" w:rsidRPr="00783571" w:rsidRDefault="00937B71" w:rsidP="004E2DC3">
      <w:pPr>
        <w:pStyle w:val="Heading1"/>
      </w:pPr>
      <w:bookmarkStart w:id="91" w:name="_Toc510104468"/>
      <w:bookmarkStart w:id="92" w:name="_Toc398293130"/>
      <w:r w:rsidRPr="00783571">
        <w:t>Interventions</w:t>
      </w:r>
      <w:r w:rsidR="00F470E8" w:rsidRPr="00783571">
        <w:t xml:space="preserve"> </w:t>
      </w:r>
      <w:r w:rsidR="00830830" w:rsidRPr="00783571">
        <w:t>and Optimization of A</w:t>
      </w:r>
      <w:r w:rsidR="004E2DC3" w:rsidRPr="00783571">
        <w:t>llocations to Interventions</w:t>
      </w:r>
      <w:bookmarkEnd w:id="91"/>
    </w:p>
    <w:p w14:paraId="5F64B64B" w14:textId="32F00147" w:rsidR="00937B71" w:rsidRPr="00783571" w:rsidRDefault="00F470E8" w:rsidP="001B7864">
      <w:pPr>
        <w:pStyle w:val="BodyText"/>
      </w:pPr>
      <w:r w:rsidRPr="00783571">
        <w:t xml:space="preserve">When the allocation-based method is applied for calculating progression along the </w:t>
      </w:r>
      <w:r w:rsidR="003F2DC6" w:rsidRPr="00783571">
        <w:t>care continuum</w:t>
      </w:r>
      <w:r w:rsidRPr="00783571">
        <w:t>, t</w:t>
      </w:r>
      <w:r w:rsidR="00937B71" w:rsidRPr="00783571">
        <w:t>he model considers</w:t>
      </w:r>
      <w:r w:rsidR="00784CC9" w:rsidRPr="00783571">
        <w:t xml:space="preserve"> the following </w:t>
      </w:r>
      <w:r w:rsidR="001B7864" w:rsidRPr="00783571">
        <w:t xml:space="preserve">13 </w:t>
      </w:r>
      <w:r w:rsidR="00784CC9" w:rsidRPr="00783571">
        <w:t>interventions in</w:t>
      </w:r>
      <w:r w:rsidR="00937B71" w:rsidRPr="00783571">
        <w:t xml:space="preserve"> </w:t>
      </w:r>
      <w:r w:rsidR="00784CC9" w:rsidRPr="00783571">
        <w:t xml:space="preserve">five </w:t>
      </w:r>
      <w:r w:rsidR="00937B71" w:rsidRPr="00783571">
        <w:t>categories, each aimed at increasing</w:t>
      </w:r>
      <w:r w:rsidR="00784CC9" w:rsidRPr="00783571">
        <w:t xml:space="preserve"> or maintaining</w:t>
      </w:r>
      <w:r w:rsidR="00937B71" w:rsidRPr="00783571">
        <w:t xml:space="preserve"> progression along the HIV </w:t>
      </w:r>
      <w:r w:rsidR="003F2DC6" w:rsidRPr="00783571">
        <w:t>care continuum</w:t>
      </w:r>
      <w:r w:rsidR="00937B71" w:rsidRPr="00783571">
        <w:t>:</w:t>
      </w:r>
    </w:p>
    <w:p w14:paraId="35B2505C" w14:textId="77777777" w:rsidR="00937B71" w:rsidRPr="00783571" w:rsidRDefault="00937B71" w:rsidP="00937B71">
      <w:pPr>
        <w:pStyle w:val="bullets"/>
      </w:pPr>
      <w:r w:rsidRPr="00783571">
        <w:t>Testing</w:t>
      </w:r>
    </w:p>
    <w:p w14:paraId="338F5AB5" w14:textId="64006F5E" w:rsidR="00DC6416" w:rsidRPr="00783571" w:rsidRDefault="00DC6416" w:rsidP="00313E65">
      <w:pPr>
        <w:pStyle w:val="bullets-2ndlevel"/>
      </w:pPr>
      <w:r w:rsidRPr="00783571">
        <w:t>High-risk HETs</w:t>
      </w:r>
    </w:p>
    <w:p w14:paraId="70FE39E8" w14:textId="1C46A3FF" w:rsidR="00DC6416" w:rsidRPr="00783571" w:rsidRDefault="00DC6416" w:rsidP="00313E65">
      <w:pPr>
        <w:pStyle w:val="bullets-2ndlevel"/>
      </w:pPr>
      <w:r w:rsidRPr="00783571">
        <w:t>Low-risk HETs</w:t>
      </w:r>
    </w:p>
    <w:p w14:paraId="7FBD4D2D" w14:textId="0446CE1F" w:rsidR="00DC6416" w:rsidRPr="00783571" w:rsidRDefault="00DC6416" w:rsidP="00313E65">
      <w:pPr>
        <w:pStyle w:val="bullets-2ndlevel"/>
      </w:pPr>
      <w:r w:rsidRPr="00783571">
        <w:t>High-risk MSM</w:t>
      </w:r>
    </w:p>
    <w:p w14:paraId="5D0E2FA6" w14:textId="580E5081" w:rsidR="00DC6416" w:rsidRPr="00783571" w:rsidRDefault="00DC6416" w:rsidP="00313E65">
      <w:pPr>
        <w:pStyle w:val="bullets-2ndlevel"/>
      </w:pPr>
      <w:r w:rsidRPr="00783571">
        <w:t>Low-risk MSM</w:t>
      </w:r>
    </w:p>
    <w:p w14:paraId="2B5E346F" w14:textId="383337F6" w:rsidR="00DC6416" w:rsidRPr="00783571" w:rsidRDefault="00DC6416" w:rsidP="00313E65">
      <w:pPr>
        <w:pStyle w:val="bullets-2ndlevel"/>
      </w:pPr>
      <w:r w:rsidRPr="00783571">
        <w:t>PWID</w:t>
      </w:r>
    </w:p>
    <w:p w14:paraId="406B5E2A" w14:textId="02F00E28" w:rsidR="001F5372" w:rsidRPr="00783571" w:rsidRDefault="00937B71" w:rsidP="00937B71">
      <w:pPr>
        <w:pStyle w:val="bullets"/>
      </w:pPr>
      <w:r w:rsidRPr="00783571">
        <w:t xml:space="preserve">Linkage to </w:t>
      </w:r>
      <w:r w:rsidR="003C0141" w:rsidRPr="00783571">
        <w:t xml:space="preserve">HIV </w:t>
      </w:r>
      <w:r w:rsidRPr="00783571">
        <w:t>care</w:t>
      </w:r>
    </w:p>
    <w:p w14:paraId="14C1AF98" w14:textId="6754EF40" w:rsidR="00937B71" w:rsidRPr="00783571" w:rsidRDefault="00DC6416" w:rsidP="00313E65">
      <w:pPr>
        <w:pStyle w:val="bullets-2ndlevel"/>
      </w:pPr>
      <w:r w:rsidRPr="00783571">
        <w:t xml:space="preserve">At </w:t>
      </w:r>
      <w:r w:rsidR="00937B71" w:rsidRPr="00783571">
        <w:t>diagnosis</w:t>
      </w:r>
    </w:p>
    <w:p w14:paraId="29E2873F" w14:textId="7888247B" w:rsidR="00FA7603" w:rsidRPr="00783571" w:rsidRDefault="00DC6416" w:rsidP="00313E65">
      <w:pPr>
        <w:pStyle w:val="bullets-2ndlevel"/>
      </w:pPr>
      <w:r w:rsidRPr="00783571">
        <w:t>A</w:t>
      </w:r>
      <w:r w:rsidR="00FA7603" w:rsidRPr="00783571">
        <w:t>fter diagnosis</w:t>
      </w:r>
    </w:p>
    <w:p w14:paraId="3835AE5B" w14:textId="7E6EACFA" w:rsidR="00FA7603" w:rsidRPr="00783571" w:rsidRDefault="00FA7603" w:rsidP="00937B71">
      <w:pPr>
        <w:pStyle w:val="bullets"/>
      </w:pPr>
      <w:r w:rsidRPr="00783571">
        <w:t>ART prescription</w:t>
      </w:r>
    </w:p>
    <w:p w14:paraId="4332EFE2" w14:textId="77777777" w:rsidR="001F5372" w:rsidRPr="00783571" w:rsidRDefault="00937B71" w:rsidP="00937B71">
      <w:pPr>
        <w:pStyle w:val="bullets"/>
      </w:pPr>
      <w:r w:rsidRPr="00783571">
        <w:t>ART adherence</w:t>
      </w:r>
    </w:p>
    <w:p w14:paraId="657A0959" w14:textId="2D92803E" w:rsidR="00937B71" w:rsidRPr="00783571" w:rsidRDefault="00DC6416" w:rsidP="00313E65">
      <w:pPr>
        <w:pStyle w:val="bullets-2ndlevel"/>
      </w:pPr>
      <w:r w:rsidRPr="00783571">
        <w:t>T</w:t>
      </w:r>
      <w:r w:rsidR="00FA7603" w:rsidRPr="00783571">
        <w:t xml:space="preserve">o </w:t>
      </w:r>
      <w:r w:rsidRPr="00783571">
        <w:t>become</w:t>
      </w:r>
      <w:r w:rsidR="00FA7603" w:rsidRPr="00783571">
        <w:t xml:space="preserve"> VLS</w:t>
      </w:r>
      <w:r w:rsidRPr="00783571">
        <w:t xml:space="preserve"> if </w:t>
      </w:r>
      <w:r w:rsidR="000965E6" w:rsidRPr="00783571">
        <w:t>prescribed ART</w:t>
      </w:r>
      <w:r w:rsidRPr="00783571">
        <w:t xml:space="preserve"> and not VLS</w:t>
      </w:r>
    </w:p>
    <w:p w14:paraId="1604A8F3" w14:textId="452E7DCD" w:rsidR="00FA7603" w:rsidRPr="00783571" w:rsidRDefault="00DC6416" w:rsidP="00313E65">
      <w:pPr>
        <w:pStyle w:val="bullets-2ndlevel"/>
      </w:pPr>
      <w:r w:rsidRPr="00783571">
        <w:t>T</w:t>
      </w:r>
      <w:r w:rsidR="00FA7603" w:rsidRPr="00783571">
        <w:t xml:space="preserve">o </w:t>
      </w:r>
      <w:r w:rsidRPr="00783571">
        <w:t>remain</w:t>
      </w:r>
      <w:r w:rsidR="00FA7603" w:rsidRPr="00783571">
        <w:t xml:space="preserve"> VLS</w:t>
      </w:r>
    </w:p>
    <w:p w14:paraId="1953CAC2" w14:textId="77777777" w:rsidR="001F5372" w:rsidRPr="00783571" w:rsidRDefault="00937B71" w:rsidP="00937B71">
      <w:pPr>
        <w:pStyle w:val="bullets"/>
      </w:pPr>
      <w:r w:rsidRPr="00783571">
        <w:t>PrEP</w:t>
      </w:r>
    </w:p>
    <w:p w14:paraId="15C57ED7" w14:textId="14298EB1" w:rsidR="00937B71" w:rsidRPr="00783571" w:rsidRDefault="00784CC9" w:rsidP="00313E65">
      <w:pPr>
        <w:pStyle w:val="bullets-2ndlevel"/>
      </w:pPr>
      <w:r w:rsidRPr="00783571">
        <w:t>High-risk HETs</w:t>
      </w:r>
    </w:p>
    <w:p w14:paraId="164531CE" w14:textId="65F6A7D8" w:rsidR="00784CC9" w:rsidRPr="00783571" w:rsidRDefault="00784CC9" w:rsidP="00313E65">
      <w:pPr>
        <w:pStyle w:val="bullets-2ndlevel"/>
      </w:pPr>
      <w:r w:rsidRPr="00783571">
        <w:t>High-risk MSM</w:t>
      </w:r>
    </w:p>
    <w:p w14:paraId="140D86BC" w14:textId="42920999" w:rsidR="00784CC9" w:rsidRPr="00783571" w:rsidRDefault="00784CC9" w:rsidP="00313E65">
      <w:pPr>
        <w:pStyle w:val="bullets-2ndlevel"/>
      </w:pPr>
      <w:r w:rsidRPr="00783571">
        <w:t>PWID</w:t>
      </w:r>
    </w:p>
    <w:p w14:paraId="0EAE6452" w14:textId="5E0C2A36" w:rsidR="00937B71" w:rsidRPr="00783571" w:rsidRDefault="00937B71" w:rsidP="00937B71">
      <w:pPr>
        <w:pStyle w:val="Heading2"/>
      </w:pPr>
      <w:bookmarkStart w:id="93" w:name="_Toc510104469"/>
      <w:r w:rsidRPr="00783571">
        <w:t xml:space="preserve">Intervention </w:t>
      </w:r>
      <w:r w:rsidR="00D66442" w:rsidRPr="00783571">
        <w:t>C</w:t>
      </w:r>
      <w:r w:rsidRPr="00783571">
        <w:t xml:space="preserve">osts and </w:t>
      </w:r>
      <w:r w:rsidR="00D66442" w:rsidRPr="00783571">
        <w:t>E</w:t>
      </w:r>
      <w:r w:rsidRPr="00783571">
        <w:t>ffects</w:t>
      </w:r>
      <w:bookmarkEnd w:id="93"/>
    </w:p>
    <w:p w14:paraId="534B4F9E" w14:textId="625D376D" w:rsidR="00937B71" w:rsidRPr="00783571" w:rsidRDefault="00F470E8" w:rsidP="001B7864">
      <w:pPr>
        <w:pStyle w:val="BodyText"/>
      </w:pPr>
      <w:r w:rsidRPr="00783571">
        <w:t>If the model is using allocation-based progression, t</w:t>
      </w:r>
      <w:r w:rsidR="00937B71" w:rsidRPr="00783571">
        <w:t>he allocation of funding to interventions affects the rates of progression</w:t>
      </w:r>
      <w:r w:rsidRPr="00783571">
        <w:t xml:space="preserve"> </w:t>
      </w:r>
      <w:r w:rsidR="00937B71" w:rsidRPr="00783571">
        <w:t>through the model’s compartments for the observed population</w:t>
      </w:r>
      <w:r w:rsidRPr="00783571">
        <w:t xml:space="preserve"> in </w:t>
      </w:r>
      <w:r w:rsidR="00784CC9" w:rsidRPr="00783571">
        <w:t>the third time period</w:t>
      </w:r>
      <w:r w:rsidRPr="00783571">
        <w:t xml:space="preserve">, as described in </w:t>
      </w:r>
      <w:r w:rsidR="00CA2896" w:rsidRPr="00783571">
        <w:t>Section </w:t>
      </w:r>
      <w:r w:rsidRPr="00783571">
        <w:t>5.4.1</w:t>
      </w:r>
      <w:r w:rsidR="00937B71" w:rsidRPr="00783571">
        <w:t xml:space="preserve">. </w:t>
      </w:r>
      <w:r w:rsidR="00814158" w:rsidRPr="00783571">
        <w:t>Table </w:t>
      </w:r>
      <w:r w:rsidR="00871E69" w:rsidRPr="00783571">
        <w:t>8.</w:t>
      </w:r>
      <w:r w:rsidR="00937B71" w:rsidRPr="00783571">
        <w:t>1 lists the effects of allocating funds to each intervention</w:t>
      </w:r>
      <w:r w:rsidR="00C320F6" w:rsidRPr="00783571">
        <w:t xml:space="preserve"> and</w:t>
      </w:r>
      <w:r w:rsidR="00937B71" w:rsidRPr="00783571">
        <w:t xml:space="preserve"> the eligible populations and costs of each. </w:t>
      </w:r>
      <w:r w:rsidR="00CA2896" w:rsidRPr="00783571">
        <w:t>Section </w:t>
      </w:r>
      <w:r w:rsidR="00937B71" w:rsidRPr="00783571">
        <w:t xml:space="preserve">5.4.1 describes in detail allocation-based progression and specifically how allocation of funds to an intervention affects progression. </w:t>
      </w:r>
      <w:r w:rsidR="00814158" w:rsidRPr="00783571">
        <w:t>Table </w:t>
      </w:r>
      <w:r w:rsidR="00871E69" w:rsidRPr="00783571">
        <w:t>8.</w:t>
      </w:r>
      <w:r w:rsidR="00937B71" w:rsidRPr="00783571">
        <w:t>2 lists key model inputs pertaining to the interventions.</w:t>
      </w:r>
    </w:p>
    <w:p w14:paraId="6695F581" w14:textId="2A07F181" w:rsidR="00E57F46" w:rsidRPr="00783571" w:rsidRDefault="00E57F46" w:rsidP="00E57F46">
      <w:pPr>
        <w:pStyle w:val="TableTitle"/>
      </w:pPr>
      <w:bookmarkStart w:id="94" w:name="_Toc510104039"/>
      <w:r w:rsidRPr="00783571">
        <w:t>Table 8.1.</w:t>
      </w:r>
      <w:r w:rsidRPr="00783571">
        <w:tab/>
        <w:t>Eligible Populations, Costs, and Effects of Each Category of Interventions</w:t>
      </w:r>
      <w:bookmarkEnd w:id="94"/>
    </w:p>
    <w:tbl>
      <w:tblPr>
        <w:tblW w:w="9504" w:type="dxa"/>
        <w:tblLayout w:type="fixed"/>
        <w:tblCellMar>
          <w:left w:w="115" w:type="dxa"/>
          <w:right w:w="115" w:type="dxa"/>
        </w:tblCellMar>
        <w:tblLook w:val="04A0" w:firstRow="1" w:lastRow="0" w:firstColumn="1" w:lastColumn="0" w:noHBand="0" w:noVBand="1"/>
      </w:tblPr>
      <w:tblGrid>
        <w:gridCol w:w="1492"/>
        <w:gridCol w:w="1747"/>
        <w:gridCol w:w="1943"/>
        <w:gridCol w:w="1800"/>
        <w:gridCol w:w="2522"/>
      </w:tblGrid>
      <w:tr w:rsidR="007B6B33" w:rsidRPr="00783571" w14:paraId="30DDF167" w14:textId="77777777" w:rsidTr="00260D8A">
        <w:trPr>
          <w:cantSplit/>
          <w:tblHeader/>
        </w:trPr>
        <w:tc>
          <w:tcPr>
            <w:tcW w:w="1492" w:type="dxa"/>
            <w:tcBorders>
              <w:top w:val="single" w:sz="12" w:space="0" w:color="000000" w:themeColor="text1"/>
              <w:bottom w:val="single" w:sz="6" w:space="0" w:color="000000" w:themeColor="text1"/>
            </w:tcBorders>
            <w:vAlign w:val="bottom"/>
          </w:tcPr>
          <w:p w14:paraId="4077821E" w14:textId="77777777" w:rsidR="007B6B33" w:rsidRPr="00783571" w:rsidRDefault="007B6B33" w:rsidP="007B6B33">
            <w:pPr>
              <w:pStyle w:val="TableHeaders"/>
              <w:keepNext/>
            </w:pPr>
          </w:p>
        </w:tc>
        <w:tc>
          <w:tcPr>
            <w:tcW w:w="1747" w:type="dxa"/>
            <w:tcBorders>
              <w:top w:val="single" w:sz="12" w:space="0" w:color="000000" w:themeColor="text1"/>
              <w:bottom w:val="single" w:sz="6" w:space="0" w:color="000000" w:themeColor="text1"/>
            </w:tcBorders>
            <w:vAlign w:val="bottom"/>
          </w:tcPr>
          <w:p w14:paraId="43C79715" w14:textId="7901C782" w:rsidR="007B6B33" w:rsidRPr="00783571" w:rsidRDefault="000400FE" w:rsidP="007B6B33">
            <w:pPr>
              <w:pStyle w:val="TableHeaders"/>
              <w:keepNext/>
            </w:pPr>
            <w:r w:rsidRPr="00783571">
              <w:t xml:space="preserve">Population </w:t>
            </w:r>
            <w:r w:rsidR="00807C26" w:rsidRPr="00783571">
              <w:t xml:space="preserve">Eligible </w:t>
            </w:r>
            <w:r w:rsidRPr="00783571">
              <w:t xml:space="preserve">to </w:t>
            </w:r>
            <w:r w:rsidR="00807C26" w:rsidRPr="00783571">
              <w:t>Receive Intervention</w:t>
            </w:r>
          </w:p>
        </w:tc>
        <w:tc>
          <w:tcPr>
            <w:tcW w:w="1943" w:type="dxa"/>
            <w:tcBorders>
              <w:top w:val="single" w:sz="12" w:space="0" w:color="000000" w:themeColor="text1"/>
              <w:bottom w:val="single" w:sz="6" w:space="0" w:color="000000" w:themeColor="text1"/>
            </w:tcBorders>
            <w:vAlign w:val="bottom"/>
          </w:tcPr>
          <w:p w14:paraId="5AFBE6D4" w14:textId="1A3F448D" w:rsidR="007B6B33" w:rsidRPr="00783571" w:rsidRDefault="000400FE" w:rsidP="007B6B33">
            <w:pPr>
              <w:pStyle w:val="TableHeaders"/>
              <w:keepNext/>
            </w:pPr>
            <w:r w:rsidRPr="00783571">
              <w:t xml:space="preserve">Rate or </w:t>
            </w:r>
            <w:r w:rsidR="00807C26" w:rsidRPr="00783571">
              <w:t xml:space="preserve">Probability </w:t>
            </w:r>
            <w:r w:rsidRPr="00783571">
              <w:t xml:space="preserve">and </w:t>
            </w:r>
            <w:r w:rsidR="00807C26" w:rsidRPr="00783571">
              <w:t>Time Period Directly Affected by Interven</w:t>
            </w:r>
            <w:r w:rsidRPr="00783571">
              <w:t>tion</w:t>
            </w:r>
          </w:p>
        </w:tc>
        <w:tc>
          <w:tcPr>
            <w:tcW w:w="1800" w:type="dxa"/>
            <w:tcBorders>
              <w:top w:val="single" w:sz="12" w:space="0" w:color="000000" w:themeColor="text1"/>
              <w:bottom w:val="single" w:sz="6" w:space="0" w:color="000000" w:themeColor="text1"/>
            </w:tcBorders>
            <w:vAlign w:val="bottom"/>
          </w:tcPr>
          <w:p w14:paraId="0CD349EE" w14:textId="2AB5F11A" w:rsidR="007B6B33" w:rsidRPr="00783571" w:rsidRDefault="000400FE" w:rsidP="007B6B33">
            <w:pPr>
              <w:pStyle w:val="TableHeaders"/>
              <w:keepNext/>
            </w:pPr>
            <w:r w:rsidRPr="00783571">
              <w:t xml:space="preserve">Per-person </w:t>
            </w:r>
            <w:r w:rsidR="00807C26" w:rsidRPr="00783571">
              <w:t xml:space="preserve">Cost </w:t>
            </w:r>
            <w:r w:rsidRPr="00783571">
              <w:t xml:space="preserve">of </w:t>
            </w:r>
            <w:r w:rsidR="00807C26" w:rsidRPr="00783571">
              <w:t>Implementing Each Intervention</w:t>
            </w:r>
          </w:p>
        </w:tc>
        <w:tc>
          <w:tcPr>
            <w:tcW w:w="2522" w:type="dxa"/>
            <w:tcBorders>
              <w:top w:val="single" w:sz="12" w:space="0" w:color="000000" w:themeColor="text1"/>
              <w:bottom w:val="single" w:sz="6" w:space="0" w:color="000000" w:themeColor="text1"/>
            </w:tcBorders>
            <w:vAlign w:val="bottom"/>
          </w:tcPr>
          <w:p w14:paraId="20C7ED0E" w14:textId="7FC4E8D7" w:rsidR="007B6B33" w:rsidRPr="00783571" w:rsidRDefault="000400FE" w:rsidP="007B6B33">
            <w:pPr>
              <w:pStyle w:val="TableHeaders"/>
              <w:keepNext/>
            </w:pPr>
            <w:r w:rsidRPr="00783571">
              <w:t xml:space="preserve">Effect of </w:t>
            </w:r>
            <w:r w:rsidR="00807C26" w:rsidRPr="00783571">
              <w:t xml:space="preserve">Allocating Funds </w:t>
            </w:r>
            <w:r w:rsidRPr="00783571">
              <w:t xml:space="preserve">for </w:t>
            </w:r>
            <w:r w:rsidR="00807C26" w:rsidRPr="00783571">
              <w:t>One Unit</w:t>
            </w:r>
            <w:r w:rsidRPr="00783571">
              <w:t xml:space="preserve"> of </w:t>
            </w:r>
            <w:r w:rsidR="00807C26" w:rsidRPr="00783571">
              <w:t>Intervention</w:t>
            </w:r>
          </w:p>
        </w:tc>
      </w:tr>
      <w:tr w:rsidR="000400FE" w:rsidRPr="00783571" w14:paraId="36A20BB7" w14:textId="77777777" w:rsidTr="00260D8A">
        <w:trPr>
          <w:cantSplit/>
        </w:trPr>
        <w:tc>
          <w:tcPr>
            <w:tcW w:w="1492" w:type="dxa"/>
            <w:tcBorders>
              <w:top w:val="single" w:sz="6" w:space="0" w:color="000000" w:themeColor="text1"/>
              <w:bottom w:val="single" w:sz="6" w:space="0" w:color="808080" w:themeColor="background1" w:themeShade="80"/>
            </w:tcBorders>
          </w:tcPr>
          <w:p w14:paraId="4D82C28D" w14:textId="1E8BD613" w:rsidR="000400FE" w:rsidRPr="00783571" w:rsidRDefault="000400FE" w:rsidP="007B6B33">
            <w:pPr>
              <w:pStyle w:val="TableText"/>
            </w:pPr>
            <w:r w:rsidRPr="00783571">
              <w:t>Testing</w:t>
            </w:r>
          </w:p>
        </w:tc>
        <w:tc>
          <w:tcPr>
            <w:tcW w:w="1747" w:type="dxa"/>
            <w:tcBorders>
              <w:top w:val="single" w:sz="6" w:space="0" w:color="000000" w:themeColor="text1"/>
              <w:bottom w:val="single" w:sz="6" w:space="0" w:color="808080" w:themeColor="background1" w:themeShade="80"/>
            </w:tcBorders>
          </w:tcPr>
          <w:p w14:paraId="2C6E75AA" w14:textId="363BC159" w:rsidR="000400FE" w:rsidRPr="00783571" w:rsidRDefault="000400FE" w:rsidP="007B6B33">
            <w:pPr>
              <w:pStyle w:val="TableText"/>
            </w:pPr>
            <w:r w:rsidRPr="00783571">
              <w:t>All uninfected individuals and undiagnosed infected PLWH</w:t>
            </w:r>
          </w:p>
        </w:tc>
        <w:tc>
          <w:tcPr>
            <w:tcW w:w="1943" w:type="dxa"/>
            <w:tcBorders>
              <w:top w:val="single" w:sz="6" w:space="0" w:color="000000" w:themeColor="text1"/>
              <w:bottom w:val="single" w:sz="6" w:space="0" w:color="808080" w:themeColor="background1" w:themeShade="80"/>
            </w:tcBorders>
          </w:tcPr>
          <w:p w14:paraId="24A4B774" w14:textId="39D7500F" w:rsidR="000400FE" w:rsidRPr="00783571" w:rsidRDefault="000400FE" w:rsidP="007B6B33">
            <w:pPr>
              <w:pStyle w:val="TableText"/>
            </w:pPr>
            <w:r w:rsidRPr="00783571">
              <w:t>Annual testing rate, which affects diagnosis rate</w:t>
            </w:r>
            <w:r w:rsidR="00784CC9" w:rsidRPr="00783571">
              <w:t xml:space="preserve"> of undiagnosed PLWH</w:t>
            </w:r>
            <w:r w:rsidRPr="00783571">
              <w:t>, in each year over the time horizon</w:t>
            </w:r>
          </w:p>
        </w:tc>
        <w:tc>
          <w:tcPr>
            <w:tcW w:w="1800" w:type="dxa"/>
            <w:tcBorders>
              <w:top w:val="single" w:sz="6" w:space="0" w:color="000000" w:themeColor="text1"/>
              <w:bottom w:val="single" w:sz="6" w:space="0" w:color="808080" w:themeColor="background1" w:themeShade="80"/>
            </w:tcBorders>
          </w:tcPr>
          <w:p w14:paraId="09E25F32" w14:textId="0C48DAEC" w:rsidR="00784CC9" w:rsidRPr="00783571" w:rsidRDefault="00784CC9" w:rsidP="00784CC9">
            <w:pPr>
              <w:pStyle w:val="TableText"/>
            </w:pPr>
            <w:r w:rsidRPr="00783571">
              <w:t xml:space="preserve">Uninfected individuals: Cost of testing and notification of an </w:t>
            </w:r>
            <w:r w:rsidR="005F5C70" w:rsidRPr="00783571">
              <w:t>HIV-uninfected</w:t>
            </w:r>
            <w:r w:rsidRPr="00783571">
              <w:t xml:space="preserve"> person</w:t>
            </w:r>
          </w:p>
          <w:p w14:paraId="5E1E958F" w14:textId="74495897" w:rsidR="000400FE" w:rsidRPr="00783571" w:rsidRDefault="00784CC9" w:rsidP="00784CC9">
            <w:pPr>
              <w:pStyle w:val="TableText"/>
            </w:pPr>
            <w:r w:rsidRPr="00783571">
              <w:t xml:space="preserve">Infected and undiagnosed individuals: Cost of testing and notification of an </w:t>
            </w:r>
            <w:r w:rsidR="005F5C70" w:rsidRPr="00783571">
              <w:t>HIV-infected</w:t>
            </w:r>
            <w:r w:rsidRPr="00783571">
              <w:t xml:space="preserve"> individual</w:t>
            </w:r>
          </w:p>
        </w:tc>
        <w:tc>
          <w:tcPr>
            <w:tcW w:w="2522" w:type="dxa"/>
            <w:tcBorders>
              <w:top w:val="single" w:sz="6" w:space="0" w:color="000000" w:themeColor="text1"/>
              <w:bottom w:val="single" w:sz="6" w:space="0" w:color="808080" w:themeColor="background1" w:themeShade="80"/>
            </w:tcBorders>
          </w:tcPr>
          <w:p w14:paraId="565C8689" w14:textId="41D4D90F" w:rsidR="000400FE" w:rsidRPr="00783571" w:rsidRDefault="000400FE" w:rsidP="007B6B33">
            <w:pPr>
              <w:pStyle w:val="TableText"/>
            </w:pPr>
            <w:r w:rsidRPr="00783571">
              <w:t>Test and notify one undiagnosed PLWH</w:t>
            </w:r>
          </w:p>
        </w:tc>
      </w:tr>
      <w:tr w:rsidR="000400FE" w:rsidRPr="00783571" w14:paraId="1616C002" w14:textId="77777777" w:rsidTr="00260D8A">
        <w:trPr>
          <w:cantSplit/>
        </w:trPr>
        <w:tc>
          <w:tcPr>
            <w:tcW w:w="1492" w:type="dxa"/>
            <w:tcBorders>
              <w:top w:val="single" w:sz="6" w:space="0" w:color="808080" w:themeColor="background1" w:themeShade="80"/>
              <w:bottom w:val="single" w:sz="6" w:space="0" w:color="808080" w:themeColor="background1" w:themeShade="80"/>
            </w:tcBorders>
          </w:tcPr>
          <w:p w14:paraId="01A82C13" w14:textId="00BACDD7" w:rsidR="000400FE" w:rsidRPr="00783571" w:rsidRDefault="000400FE" w:rsidP="007B6B33">
            <w:pPr>
              <w:pStyle w:val="TableText"/>
            </w:pPr>
            <w:r w:rsidRPr="00783571">
              <w:t xml:space="preserve">Linkage </w:t>
            </w:r>
            <w:r w:rsidR="00696657" w:rsidRPr="00783571">
              <w:t>t</w:t>
            </w:r>
            <w:r w:rsidRPr="00783571">
              <w:t xml:space="preserve">o </w:t>
            </w:r>
            <w:r w:rsidR="003C0141" w:rsidRPr="00783571">
              <w:t xml:space="preserve">HIV </w:t>
            </w:r>
            <w:r w:rsidR="001B7864" w:rsidRPr="00783571">
              <w:t>care at diagnosis</w:t>
            </w:r>
          </w:p>
        </w:tc>
        <w:tc>
          <w:tcPr>
            <w:tcW w:w="1747" w:type="dxa"/>
            <w:tcBorders>
              <w:top w:val="single" w:sz="6" w:space="0" w:color="808080" w:themeColor="background1" w:themeShade="80"/>
              <w:bottom w:val="single" w:sz="6" w:space="0" w:color="808080" w:themeColor="background1" w:themeShade="80"/>
            </w:tcBorders>
          </w:tcPr>
          <w:p w14:paraId="2BAF780C" w14:textId="79AAB570" w:rsidR="000400FE" w:rsidRPr="00783571" w:rsidRDefault="000400FE" w:rsidP="007B6B33">
            <w:pPr>
              <w:pStyle w:val="TableText"/>
            </w:pPr>
            <w:r w:rsidRPr="00783571">
              <w:t>Newly diagnosed PLWH</w:t>
            </w:r>
          </w:p>
        </w:tc>
        <w:tc>
          <w:tcPr>
            <w:tcW w:w="1943" w:type="dxa"/>
            <w:tcBorders>
              <w:top w:val="single" w:sz="6" w:space="0" w:color="808080" w:themeColor="background1" w:themeShade="80"/>
              <w:bottom w:val="single" w:sz="6" w:space="0" w:color="808080" w:themeColor="background1" w:themeShade="80"/>
            </w:tcBorders>
          </w:tcPr>
          <w:p w14:paraId="059D1F1C" w14:textId="7773C34D" w:rsidR="000400FE" w:rsidRPr="00783571" w:rsidRDefault="00784CC9" w:rsidP="007B6B33">
            <w:pPr>
              <w:pStyle w:val="TableText"/>
            </w:pPr>
            <w:r w:rsidRPr="00783571">
              <w:t xml:space="preserve">Probability of linkage to </w:t>
            </w:r>
            <w:r w:rsidR="003C0141" w:rsidRPr="00783571">
              <w:t xml:space="preserve">HIV </w:t>
            </w:r>
            <w:r w:rsidRPr="00783571">
              <w:t xml:space="preserve">care at diagnosis, which affects rate of linkage to </w:t>
            </w:r>
            <w:r w:rsidR="003C0141" w:rsidRPr="00783571">
              <w:t>HIV</w:t>
            </w:r>
            <w:r w:rsidR="00C16CB0" w:rsidRPr="00783571">
              <w:t xml:space="preserve"> </w:t>
            </w:r>
            <w:r w:rsidRPr="00783571">
              <w:t>care at diagnosis (model row 1 to 3) and rate of diagnosis without linkage (row 1 to 2), in each year over</w:t>
            </w:r>
            <w:r w:rsidRPr="00783571" w:rsidDel="00784CC9">
              <w:t xml:space="preserve"> </w:t>
            </w:r>
            <w:r w:rsidR="000400FE" w:rsidRPr="00783571">
              <w:t>the time horizon</w:t>
            </w:r>
          </w:p>
        </w:tc>
        <w:tc>
          <w:tcPr>
            <w:tcW w:w="1800" w:type="dxa"/>
            <w:tcBorders>
              <w:top w:val="single" w:sz="6" w:space="0" w:color="808080" w:themeColor="background1" w:themeShade="80"/>
              <w:bottom w:val="single" w:sz="6" w:space="0" w:color="808080" w:themeColor="background1" w:themeShade="80"/>
            </w:tcBorders>
          </w:tcPr>
          <w:p w14:paraId="77BF1D5E" w14:textId="5B17F091" w:rsidR="000400FE" w:rsidRPr="00783571" w:rsidRDefault="000400FE" w:rsidP="007B6B33">
            <w:pPr>
              <w:pStyle w:val="TableText"/>
            </w:pPr>
            <w:r w:rsidRPr="00783571">
              <w:t>Cost to effectively link one additional individual to care</w:t>
            </w:r>
            <w:r w:rsidR="00C5597F" w:rsidRPr="00783571">
              <w:t xml:space="preserve"> at diagnosis</w:t>
            </w:r>
          </w:p>
        </w:tc>
        <w:tc>
          <w:tcPr>
            <w:tcW w:w="2522" w:type="dxa"/>
            <w:tcBorders>
              <w:top w:val="single" w:sz="6" w:space="0" w:color="808080" w:themeColor="background1" w:themeShade="80"/>
              <w:bottom w:val="single" w:sz="6" w:space="0" w:color="808080" w:themeColor="background1" w:themeShade="80"/>
            </w:tcBorders>
          </w:tcPr>
          <w:p w14:paraId="1D210057" w14:textId="0F5E93A2" w:rsidR="000400FE" w:rsidRPr="00783571" w:rsidRDefault="000400FE" w:rsidP="007B6B33">
            <w:pPr>
              <w:pStyle w:val="TableText"/>
            </w:pPr>
            <w:r w:rsidRPr="00783571">
              <w:t>Link an additional newly diagnosed individual to care</w:t>
            </w:r>
          </w:p>
        </w:tc>
      </w:tr>
      <w:tr w:rsidR="000400FE" w:rsidRPr="00783571" w14:paraId="442FD1C1" w14:textId="77777777" w:rsidTr="00260D8A">
        <w:trPr>
          <w:cantSplit/>
        </w:trPr>
        <w:tc>
          <w:tcPr>
            <w:tcW w:w="1492" w:type="dxa"/>
            <w:tcBorders>
              <w:top w:val="single" w:sz="6" w:space="0" w:color="808080" w:themeColor="background1" w:themeShade="80"/>
              <w:bottom w:val="single" w:sz="6" w:space="0" w:color="808080" w:themeColor="background1" w:themeShade="80"/>
            </w:tcBorders>
          </w:tcPr>
          <w:p w14:paraId="01D0BB43" w14:textId="125E224D" w:rsidR="000400FE" w:rsidRPr="00783571" w:rsidRDefault="000400FE" w:rsidP="007B6B33">
            <w:pPr>
              <w:pStyle w:val="TableText"/>
            </w:pPr>
            <w:r w:rsidRPr="00783571">
              <w:t xml:space="preserve">Linkage to </w:t>
            </w:r>
            <w:r w:rsidR="003C0141" w:rsidRPr="00783571">
              <w:t xml:space="preserve">HIV </w:t>
            </w:r>
            <w:r w:rsidR="001B7864" w:rsidRPr="00783571">
              <w:t>care</w:t>
            </w:r>
            <w:r w:rsidR="00696657" w:rsidRPr="00783571">
              <w:t xml:space="preserve"> later</w:t>
            </w:r>
            <w:r w:rsidR="001B7864" w:rsidRPr="00783571">
              <w:t xml:space="preserve"> after diagnosis</w:t>
            </w:r>
          </w:p>
        </w:tc>
        <w:tc>
          <w:tcPr>
            <w:tcW w:w="1747" w:type="dxa"/>
            <w:tcBorders>
              <w:top w:val="single" w:sz="6" w:space="0" w:color="808080" w:themeColor="background1" w:themeShade="80"/>
              <w:bottom w:val="single" w:sz="6" w:space="0" w:color="808080" w:themeColor="background1" w:themeShade="80"/>
            </w:tcBorders>
          </w:tcPr>
          <w:p w14:paraId="3FACA519" w14:textId="6AD6E74C" w:rsidR="000400FE" w:rsidRPr="00783571" w:rsidRDefault="00C5597F" w:rsidP="007B6B33">
            <w:pPr>
              <w:pStyle w:val="TableText"/>
            </w:pPr>
            <w:r w:rsidRPr="00783571">
              <w:t xml:space="preserve">Diagnosed PLWH not </w:t>
            </w:r>
            <w:r w:rsidR="00E54CEC" w:rsidRPr="00783571">
              <w:t xml:space="preserve">currently </w:t>
            </w:r>
            <w:r w:rsidR="009E34D9" w:rsidRPr="00783571">
              <w:t>linked to HIV care</w:t>
            </w:r>
          </w:p>
        </w:tc>
        <w:tc>
          <w:tcPr>
            <w:tcW w:w="1943" w:type="dxa"/>
            <w:tcBorders>
              <w:top w:val="single" w:sz="6" w:space="0" w:color="808080" w:themeColor="background1" w:themeShade="80"/>
              <w:bottom w:val="single" w:sz="6" w:space="0" w:color="808080" w:themeColor="background1" w:themeShade="80"/>
            </w:tcBorders>
          </w:tcPr>
          <w:p w14:paraId="5D468CEB" w14:textId="4C5B1E52" w:rsidR="000400FE" w:rsidRPr="00783571" w:rsidRDefault="00A968F8" w:rsidP="007B6B33">
            <w:pPr>
              <w:pStyle w:val="TableText"/>
            </w:pPr>
            <w:r w:rsidRPr="00783571">
              <w:t xml:space="preserve">Rate of linkage to </w:t>
            </w:r>
            <w:r w:rsidR="003C0141" w:rsidRPr="00783571">
              <w:t xml:space="preserve">HIV </w:t>
            </w:r>
            <w:r w:rsidRPr="00783571">
              <w:t>care (from aware stage)</w:t>
            </w:r>
            <w:r w:rsidR="00C5597F" w:rsidRPr="00783571">
              <w:t>, in each year over the time horizon</w:t>
            </w:r>
          </w:p>
        </w:tc>
        <w:tc>
          <w:tcPr>
            <w:tcW w:w="1800" w:type="dxa"/>
            <w:tcBorders>
              <w:top w:val="single" w:sz="6" w:space="0" w:color="808080" w:themeColor="background1" w:themeShade="80"/>
              <w:bottom w:val="single" w:sz="6" w:space="0" w:color="808080" w:themeColor="background1" w:themeShade="80"/>
            </w:tcBorders>
          </w:tcPr>
          <w:p w14:paraId="7699063C" w14:textId="60135302" w:rsidR="000400FE" w:rsidRPr="00783571" w:rsidRDefault="00C5597F" w:rsidP="007B6B33">
            <w:pPr>
              <w:pStyle w:val="TableText"/>
            </w:pPr>
            <w:r w:rsidRPr="00783571">
              <w:t>Cost to effectively link one additional individual to care</w:t>
            </w:r>
            <w:r w:rsidR="00E54CEC" w:rsidRPr="00783571">
              <w:t xml:space="preserve"> at a time point beyond initial</w:t>
            </w:r>
            <w:r w:rsidRPr="00783571">
              <w:t xml:space="preserve"> diagnosis</w:t>
            </w:r>
          </w:p>
        </w:tc>
        <w:tc>
          <w:tcPr>
            <w:tcW w:w="2522" w:type="dxa"/>
            <w:tcBorders>
              <w:top w:val="single" w:sz="6" w:space="0" w:color="808080" w:themeColor="background1" w:themeShade="80"/>
              <w:bottom w:val="single" w:sz="6" w:space="0" w:color="808080" w:themeColor="background1" w:themeShade="80"/>
            </w:tcBorders>
          </w:tcPr>
          <w:p w14:paraId="67911718" w14:textId="630C521B" w:rsidR="000400FE" w:rsidRPr="00783571" w:rsidRDefault="00630625" w:rsidP="007B6B33">
            <w:pPr>
              <w:pStyle w:val="TableText"/>
            </w:pPr>
            <w:r w:rsidRPr="00783571">
              <w:t>Link an additional individual to care</w:t>
            </w:r>
          </w:p>
        </w:tc>
      </w:tr>
      <w:tr w:rsidR="000400FE" w:rsidRPr="00783571" w14:paraId="56262667" w14:textId="77777777" w:rsidTr="00260D8A">
        <w:trPr>
          <w:cantSplit/>
        </w:trPr>
        <w:tc>
          <w:tcPr>
            <w:tcW w:w="1492" w:type="dxa"/>
            <w:tcBorders>
              <w:top w:val="single" w:sz="6" w:space="0" w:color="808080" w:themeColor="background1" w:themeShade="80"/>
              <w:bottom w:val="single" w:sz="6" w:space="0" w:color="808080" w:themeColor="background1" w:themeShade="80"/>
            </w:tcBorders>
          </w:tcPr>
          <w:p w14:paraId="798EB160" w14:textId="17A3586D" w:rsidR="000400FE" w:rsidRPr="00783571" w:rsidRDefault="001B7864" w:rsidP="007B6B33">
            <w:pPr>
              <w:pStyle w:val="TableText"/>
            </w:pPr>
            <w:r w:rsidRPr="00783571">
              <w:t>ART p</w:t>
            </w:r>
            <w:r w:rsidR="000400FE" w:rsidRPr="00783571">
              <w:t>rescription</w:t>
            </w:r>
          </w:p>
        </w:tc>
        <w:tc>
          <w:tcPr>
            <w:tcW w:w="1747" w:type="dxa"/>
            <w:tcBorders>
              <w:top w:val="single" w:sz="6" w:space="0" w:color="808080" w:themeColor="background1" w:themeShade="80"/>
              <w:bottom w:val="single" w:sz="6" w:space="0" w:color="808080" w:themeColor="background1" w:themeShade="80"/>
            </w:tcBorders>
          </w:tcPr>
          <w:p w14:paraId="7237AF07" w14:textId="6B302DB5" w:rsidR="000400FE" w:rsidRPr="00783571" w:rsidRDefault="00C5597F" w:rsidP="00A968F8">
            <w:pPr>
              <w:pStyle w:val="TableText"/>
            </w:pPr>
            <w:r w:rsidRPr="00783571">
              <w:t xml:space="preserve">PLWH </w:t>
            </w:r>
            <w:r w:rsidR="009E34D9" w:rsidRPr="00783571">
              <w:t>linked to HIV care</w:t>
            </w:r>
            <w:r w:rsidRPr="00783571">
              <w:t xml:space="preserve"> </w:t>
            </w:r>
          </w:p>
        </w:tc>
        <w:tc>
          <w:tcPr>
            <w:tcW w:w="1943" w:type="dxa"/>
            <w:tcBorders>
              <w:top w:val="single" w:sz="6" w:space="0" w:color="808080" w:themeColor="background1" w:themeShade="80"/>
              <w:bottom w:val="single" w:sz="6" w:space="0" w:color="808080" w:themeColor="background1" w:themeShade="80"/>
            </w:tcBorders>
          </w:tcPr>
          <w:p w14:paraId="5D4282D2" w14:textId="6AB6C034" w:rsidR="000400FE" w:rsidRPr="00783571" w:rsidRDefault="00630625" w:rsidP="007B6B33">
            <w:pPr>
              <w:pStyle w:val="TableText"/>
            </w:pPr>
            <w:r w:rsidRPr="00783571">
              <w:t>Rate of ART prescription in each year over the time horizon</w:t>
            </w:r>
          </w:p>
        </w:tc>
        <w:tc>
          <w:tcPr>
            <w:tcW w:w="1800" w:type="dxa"/>
            <w:tcBorders>
              <w:top w:val="single" w:sz="6" w:space="0" w:color="808080" w:themeColor="background1" w:themeShade="80"/>
              <w:bottom w:val="single" w:sz="6" w:space="0" w:color="808080" w:themeColor="background1" w:themeShade="80"/>
            </w:tcBorders>
          </w:tcPr>
          <w:p w14:paraId="5BA1A60D" w14:textId="68AC8482" w:rsidR="000400FE" w:rsidRPr="00783571" w:rsidRDefault="00630625" w:rsidP="007B6B33">
            <w:pPr>
              <w:pStyle w:val="TableText"/>
            </w:pPr>
            <w:r w:rsidRPr="00783571">
              <w:t>Cost to effectively prescribe ART to an additional individual</w:t>
            </w:r>
          </w:p>
        </w:tc>
        <w:tc>
          <w:tcPr>
            <w:tcW w:w="2522" w:type="dxa"/>
            <w:tcBorders>
              <w:top w:val="single" w:sz="6" w:space="0" w:color="808080" w:themeColor="background1" w:themeShade="80"/>
              <w:bottom w:val="single" w:sz="6" w:space="0" w:color="808080" w:themeColor="background1" w:themeShade="80"/>
            </w:tcBorders>
          </w:tcPr>
          <w:p w14:paraId="48EA0DF4" w14:textId="329ABF20" w:rsidR="000400FE" w:rsidRPr="00783571" w:rsidRDefault="00630625" w:rsidP="007B6B33">
            <w:pPr>
              <w:pStyle w:val="TableText"/>
            </w:pPr>
            <w:r w:rsidRPr="00783571">
              <w:t>Prescribe ART for one additional individual</w:t>
            </w:r>
          </w:p>
        </w:tc>
      </w:tr>
      <w:tr w:rsidR="000400FE" w:rsidRPr="00783571" w14:paraId="33502D0B" w14:textId="77777777" w:rsidTr="00260D8A">
        <w:trPr>
          <w:cantSplit/>
        </w:trPr>
        <w:tc>
          <w:tcPr>
            <w:tcW w:w="1492" w:type="dxa"/>
            <w:tcBorders>
              <w:top w:val="single" w:sz="6" w:space="0" w:color="808080" w:themeColor="background1" w:themeShade="80"/>
              <w:bottom w:val="single" w:sz="6" w:space="0" w:color="808080" w:themeColor="background1" w:themeShade="80"/>
            </w:tcBorders>
          </w:tcPr>
          <w:p w14:paraId="79800F3A" w14:textId="0A6156CA" w:rsidR="000400FE" w:rsidRPr="00783571" w:rsidRDefault="000400FE" w:rsidP="00A968F8">
            <w:pPr>
              <w:pStyle w:val="TableText"/>
            </w:pPr>
            <w:r w:rsidRPr="00783571">
              <w:t>ART adherence</w:t>
            </w:r>
            <w:r w:rsidR="00C5597F" w:rsidRPr="00783571">
              <w:t xml:space="preserve"> (</w:t>
            </w:r>
            <w:r w:rsidR="00A968F8" w:rsidRPr="00783571">
              <w:t>to remain VLS</w:t>
            </w:r>
            <w:r w:rsidR="00C5597F" w:rsidRPr="00783571">
              <w:t>)</w:t>
            </w:r>
          </w:p>
        </w:tc>
        <w:tc>
          <w:tcPr>
            <w:tcW w:w="1747" w:type="dxa"/>
            <w:tcBorders>
              <w:top w:val="single" w:sz="6" w:space="0" w:color="808080" w:themeColor="background1" w:themeShade="80"/>
              <w:bottom w:val="single" w:sz="6" w:space="0" w:color="808080" w:themeColor="background1" w:themeShade="80"/>
            </w:tcBorders>
          </w:tcPr>
          <w:p w14:paraId="40D50D92" w14:textId="4EE5C8FE" w:rsidR="000400FE" w:rsidRPr="00783571" w:rsidRDefault="000400FE" w:rsidP="007B6B33">
            <w:pPr>
              <w:pStyle w:val="TableText"/>
            </w:pPr>
            <w:r w:rsidRPr="00783571">
              <w:t>PLWH who are VLS</w:t>
            </w:r>
          </w:p>
        </w:tc>
        <w:tc>
          <w:tcPr>
            <w:tcW w:w="1943" w:type="dxa"/>
            <w:tcBorders>
              <w:top w:val="single" w:sz="6" w:space="0" w:color="808080" w:themeColor="background1" w:themeShade="80"/>
              <w:bottom w:val="single" w:sz="6" w:space="0" w:color="808080" w:themeColor="background1" w:themeShade="80"/>
            </w:tcBorders>
          </w:tcPr>
          <w:p w14:paraId="48766A49" w14:textId="4BE58E37" w:rsidR="000400FE" w:rsidRPr="00783571" w:rsidRDefault="000400FE" w:rsidP="00A968F8">
            <w:pPr>
              <w:pStyle w:val="TableText"/>
            </w:pPr>
            <w:r w:rsidRPr="00783571">
              <w:t xml:space="preserve">Rate of </w:t>
            </w:r>
            <w:r w:rsidR="00A968F8" w:rsidRPr="00783571">
              <w:t>departure from</w:t>
            </w:r>
            <w:r w:rsidRPr="00783571">
              <w:t xml:space="preserve"> VLS</w:t>
            </w:r>
            <w:r w:rsidRPr="00783571" w:rsidDel="00983A4A">
              <w:t xml:space="preserve"> </w:t>
            </w:r>
            <w:r w:rsidRPr="00783571">
              <w:t>in each year over the time horizon</w:t>
            </w:r>
          </w:p>
        </w:tc>
        <w:tc>
          <w:tcPr>
            <w:tcW w:w="1800" w:type="dxa"/>
            <w:tcBorders>
              <w:top w:val="single" w:sz="6" w:space="0" w:color="808080" w:themeColor="background1" w:themeShade="80"/>
              <w:bottom w:val="single" w:sz="6" w:space="0" w:color="808080" w:themeColor="background1" w:themeShade="80"/>
            </w:tcBorders>
          </w:tcPr>
          <w:p w14:paraId="01D860F8" w14:textId="3C570FD1" w:rsidR="000400FE" w:rsidRPr="00783571" w:rsidRDefault="00630625" w:rsidP="007B6B33">
            <w:pPr>
              <w:pStyle w:val="TableText"/>
            </w:pPr>
            <w:r w:rsidRPr="00783571">
              <w:t>Cost to effectively maintain one additional person as VLS</w:t>
            </w:r>
          </w:p>
        </w:tc>
        <w:tc>
          <w:tcPr>
            <w:tcW w:w="2522" w:type="dxa"/>
            <w:tcBorders>
              <w:top w:val="single" w:sz="6" w:space="0" w:color="808080" w:themeColor="background1" w:themeShade="80"/>
              <w:bottom w:val="single" w:sz="6" w:space="0" w:color="808080" w:themeColor="background1" w:themeShade="80"/>
            </w:tcBorders>
          </w:tcPr>
          <w:p w14:paraId="650CB387" w14:textId="5EA2C120" w:rsidR="000400FE" w:rsidRPr="00783571" w:rsidRDefault="000400FE" w:rsidP="007B6B33">
            <w:pPr>
              <w:pStyle w:val="TableText"/>
            </w:pPr>
            <w:r w:rsidRPr="00783571">
              <w:t>Prevent one individual from losing VLS</w:t>
            </w:r>
          </w:p>
        </w:tc>
      </w:tr>
    </w:tbl>
    <w:p w14:paraId="39020AF2" w14:textId="446953F2" w:rsidR="00807C26" w:rsidRPr="00783571" w:rsidRDefault="00807C26" w:rsidP="00807C26">
      <w:pPr>
        <w:pStyle w:val="Tablecont"/>
      </w:pPr>
      <w:r w:rsidRPr="00783571">
        <w:t>(continued)</w:t>
      </w:r>
    </w:p>
    <w:p w14:paraId="00791EB8" w14:textId="09913B8F" w:rsidR="00807C26" w:rsidRPr="00783571" w:rsidRDefault="00807C26" w:rsidP="00807C26">
      <w:pPr>
        <w:pStyle w:val="TableTitlecont"/>
      </w:pPr>
      <w:r w:rsidRPr="00783571">
        <w:t>Table 8.1.</w:t>
      </w:r>
      <w:r w:rsidRPr="00783571">
        <w:tab/>
        <w:t>Eligible Populations, Costs, and Effects of Each Category of Interventions (continued)</w:t>
      </w:r>
    </w:p>
    <w:tbl>
      <w:tblPr>
        <w:tblW w:w="9504" w:type="dxa"/>
        <w:tblLayout w:type="fixed"/>
        <w:tblCellMar>
          <w:left w:w="115" w:type="dxa"/>
          <w:right w:w="115" w:type="dxa"/>
        </w:tblCellMar>
        <w:tblLook w:val="04A0" w:firstRow="1" w:lastRow="0" w:firstColumn="1" w:lastColumn="0" w:noHBand="0" w:noVBand="1"/>
      </w:tblPr>
      <w:tblGrid>
        <w:gridCol w:w="1492"/>
        <w:gridCol w:w="1747"/>
        <w:gridCol w:w="1943"/>
        <w:gridCol w:w="1800"/>
        <w:gridCol w:w="2522"/>
      </w:tblGrid>
      <w:tr w:rsidR="00807C26" w:rsidRPr="00783571" w14:paraId="3CF53508" w14:textId="77777777" w:rsidTr="00260D8A">
        <w:trPr>
          <w:cantSplit/>
          <w:tblHeader/>
        </w:trPr>
        <w:tc>
          <w:tcPr>
            <w:tcW w:w="1492" w:type="dxa"/>
            <w:tcBorders>
              <w:top w:val="single" w:sz="12" w:space="0" w:color="000000" w:themeColor="text1"/>
              <w:bottom w:val="single" w:sz="6" w:space="0" w:color="000000" w:themeColor="text1"/>
            </w:tcBorders>
            <w:vAlign w:val="bottom"/>
          </w:tcPr>
          <w:p w14:paraId="419C36A9" w14:textId="77777777" w:rsidR="00807C26" w:rsidRPr="00783571" w:rsidRDefault="00807C26" w:rsidP="00871E69">
            <w:pPr>
              <w:pStyle w:val="TableHeaders"/>
              <w:keepNext/>
            </w:pPr>
          </w:p>
        </w:tc>
        <w:tc>
          <w:tcPr>
            <w:tcW w:w="1747" w:type="dxa"/>
            <w:tcBorders>
              <w:top w:val="single" w:sz="12" w:space="0" w:color="000000" w:themeColor="text1"/>
              <w:bottom w:val="single" w:sz="6" w:space="0" w:color="000000" w:themeColor="text1"/>
            </w:tcBorders>
            <w:vAlign w:val="bottom"/>
          </w:tcPr>
          <w:p w14:paraId="20E9C59E" w14:textId="77777777" w:rsidR="00807C26" w:rsidRPr="00783571" w:rsidRDefault="00807C26" w:rsidP="00871E69">
            <w:pPr>
              <w:pStyle w:val="TableHeaders"/>
              <w:keepNext/>
            </w:pPr>
            <w:r w:rsidRPr="00783571">
              <w:t>Population Eligible to Receive Intervention</w:t>
            </w:r>
          </w:p>
        </w:tc>
        <w:tc>
          <w:tcPr>
            <w:tcW w:w="1943" w:type="dxa"/>
            <w:tcBorders>
              <w:top w:val="single" w:sz="12" w:space="0" w:color="000000" w:themeColor="text1"/>
              <w:bottom w:val="single" w:sz="6" w:space="0" w:color="000000" w:themeColor="text1"/>
            </w:tcBorders>
            <w:vAlign w:val="bottom"/>
          </w:tcPr>
          <w:p w14:paraId="434F03A2" w14:textId="77777777" w:rsidR="00807C26" w:rsidRPr="00783571" w:rsidRDefault="00807C26" w:rsidP="00871E69">
            <w:pPr>
              <w:pStyle w:val="TableHeaders"/>
              <w:keepNext/>
            </w:pPr>
            <w:r w:rsidRPr="00783571">
              <w:t>Rate or Probability and Time Period Directly Affected by Intervention</w:t>
            </w:r>
          </w:p>
        </w:tc>
        <w:tc>
          <w:tcPr>
            <w:tcW w:w="1800" w:type="dxa"/>
            <w:tcBorders>
              <w:top w:val="single" w:sz="12" w:space="0" w:color="000000" w:themeColor="text1"/>
              <w:bottom w:val="single" w:sz="6" w:space="0" w:color="000000" w:themeColor="text1"/>
            </w:tcBorders>
            <w:vAlign w:val="bottom"/>
          </w:tcPr>
          <w:p w14:paraId="494B3165" w14:textId="77777777" w:rsidR="00807C26" w:rsidRPr="00783571" w:rsidRDefault="00807C26" w:rsidP="00871E69">
            <w:pPr>
              <w:pStyle w:val="TableHeaders"/>
              <w:keepNext/>
            </w:pPr>
            <w:r w:rsidRPr="00783571">
              <w:t>Per-person Cost of Implementing Each Intervention</w:t>
            </w:r>
          </w:p>
        </w:tc>
        <w:tc>
          <w:tcPr>
            <w:tcW w:w="2522" w:type="dxa"/>
            <w:tcBorders>
              <w:top w:val="single" w:sz="12" w:space="0" w:color="000000" w:themeColor="text1"/>
              <w:bottom w:val="single" w:sz="6" w:space="0" w:color="000000" w:themeColor="text1"/>
            </w:tcBorders>
            <w:vAlign w:val="bottom"/>
          </w:tcPr>
          <w:p w14:paraId="64B2DDD6" w14:textId="77777777" w:rsidR="00807C26" w:rsidRPr="00783571" w:rsidRDefault="00807C26" w:rsidP="00871E69">
            <w:pPr>
              <w:pStyle w:val="TableHeaders"/>
              <w:keepNext/>
            </w:pPr>
            <w:r w:rsidRPr="00783571">
              <w:t>Effect of Allocating Funds for One Unit of Intervention</w:t>
            </w:r>
          </w:p>
        </w:tc>
      </w:tr>
      <w:tr w:rsidR="000400FE" w:rsidRPr="00783571" w14:paraId="5E4D3B8E" w14:textId="77777777" w:rsidTr="00260D8A">
        <w:trPr>
          <w:cantSplit/>
        </w:trPr>
        <w:tc>
          <w:tcPr>
            <w:tcW w:w="1492" w:type="dxa"/>
            <w:tcBorders>
              <w:top w:val="single" w:sz="6" w:space="0" w:color="808080" w:themeColor="background1" w:themeShade="80"/>
              <w:bottom w:val="single" w:sz="6" w:space="0" w:color="808080" w:themeColor="background1" w:themeShade="80"/>
            </w:tcBorders>
          </w:tcPr>
          <w:p w14:paraId="45E980F7" w14:textId="5BAAA783" w:rsidR="000400FE" w:rsidRPr="00783571" w:rsidRDefault="000400FE" w:rsidP="00A968F8">
            <w:pPr>
              <w:pStyle w:val="TableText"/>
            </w:pPr>
            <w:r w:rsidRPr="00783571">
              <w:t>ART adherence</w:t>
            </w:r>
            <w:r w:rsidR="00C5597F" w:rsidRPr="00783571">
              <w:t xml:space="preserve"> (</w:t>
            </w:r>
            <w:r w:rsidR="00A968F8" w:rsidRPr="00783571">
              <w:t>to become VLS if ART- not-VLS</w:t>
            </w:r>
            <w:r w:rsidR="00C5597F" w:rsidRPr="00783571">
              <w:t>)</w:t>
            </w:r>
          </w:p>
        </w:tc>
        <w:tc>
          <w:tcPr>
            <w:tcW w:w="1747" w:type="dxa"/>
            <w:tcBorders>
              <w:top w:val="single" w:sz="6" w:space="0" w:color="808080" w:themeColor="background1" w:themeShade="80"/>
              <w:bottom w:val="single" w:sz="6" w:space="0" w:color="808080" w:themeColor="background1" w:themeShade="80"/>
            </w:tcBorders>
          </w:tcPr>
          <w:p w14:paraId="2A0553C1" w14:textId="5294C903" w:rsidR="000400FE" w:rsidRPr="00783571" w:rsidRDefault="00C5597F" w:rsidP="007B6B33">
            <w:pPr>
              <w:pStyle w:val="TableText"/>
            </w:pPr>
            <w:r w:rsidRPr="00783571">
              <w:t xml:space="preserve">PLWH who are </w:t>
            </w:r>
            <w:r w:rsidR="000965E6" w:rsidRPr="00783571">
              <w:t>prescribed ART</w:t>
            </w:r>
            <w:r w:rsidRPr="00783571">
              <w:t xml:space="preserve"> but not VLS</w:t>
            </w:r>
          </w:p>
        </w:tc>
        <w:tc>
          <w:tcPr>
            <w:tcW w:w="1943" w:type="dxa"/>
            <w:tcBorders>
              <w:top w:val="single" w:sz="6" w:space="0" w:color="808080" w:themeColor="background1" w:themeShade="80"/>
              <w:bottom w:val="single" w:sz="6" w:space="0" w:color="808080" w:themeColor="background1" w:themeShade="80"/>
            </w:tcBorders>
          </w:tcPr>
          <w:p w14:paraId="296AECA7" w14:textId="29764E19" w:rsidR="000400FE" w:rsidRPr="00783571" w:rsidRDefault="00630625" w:rsidP="00A968F8">
            <w:pPr>
              <w:pStyle w:val="TableText"/>
            </w:pPr>
            <w:r w:rsidRPr="00783571">
              <w:t xml:space="preserve">Rate to VLS if ART </w:t>
            </w:r>
            <w:r w:rsidR="00A968F8" w:rsidRPr="00783571">
              <w:t>–</w:t>
            </w:r>
            <w:r w:rsidRPr="00783571">
              <w:t>not</w:t>
            </w:r>
            <w:r w:rsidR="00A968F8" w:rsidRPr="00783571">
              <w:t>-</w:t>
            </w:r>
            <w:r w:rsidRPr="00783571">
              <w:t>VLS in each year over the time horizon</w:t>
            </w:r>
          </w:p>
        </w:tc>
        <w:tc>
          <w:tcPr>
            <w:tcW w:w="1800" w:type="dxa"/>
            <w:tcBorders>
              <w:top w:val="single" w:sz="6" w:space="0" w:color="808080" w:themeColor="background1" w:themeShade="80"/>
              <w:bottom w:val="single" w:sz="6" w:space="0" w:color="808080" w:themeColor="background1" w:themeShade="80"/>
            </w:tcBorders>
          </w:tcPr>
          <w:p w14:paraId="06059ED5" w14:textId="4EB85B55" w:rsidR="000400FE" w:rsidRPr="00783571" w:rsidRDefault="00630625" w:rsidP="007B6B33">
            <w:pPr>
              <w:pStyle w:val="TableText"/>
            </w:pPr>
            <w:r w:rsidRPr="00783571">
              <w:t>Cost to effectively transition one individual from ART</w:t>
            </w:r>
            <w:r w:rsidR="00A968F8" w:rsidRPr="00783571">
              <w:t>-</w:t>
            </w:r>
            <w:r w:rsidRPr="00783571">
              <w:t>not</w:t>
            </w:r>
            <w:r w:rsidR="00A968F8" w:rsidRPr="00783571">
              <w:t>-</w:t>
            </w:r>
            <w:r w:rsidRPr="00783571">
              <w:t>VLS to VLS</w:t>
            </w:r>
          </w:p>
        </w:tc>
        <w:tc>
          <w:tcPr>
            <w:tcW w:w="2522" w:type="dxa"/>
            <w:tcBorders>
              <w:top w:val="single" w:sz="6" w:space="0" w:color="808080" w:themeColor="background1" w:themeShade="80"/>
              <w:bottom w:val="single" w:sz="6" w:space="0" w:color="808080" w:themeColor="background1" w:themeShade="80"/>
            </w:tcBorders>
          </w:tcPr>
          <w:p w14:paraId="20AB14E4" w14:textId="2B40F07D" w:rsidR="000400FE" w:rsidRPr="00783571" w:rsidRDefault="00630625" w:rsidP="00A968F8">
            <w:pPr>
              <w:pStyle w:val="TableText"/>
            </w:pPr>
            <w:r w:rsidRPr="00783571">
              <w:t>Transition one individual who was ART</w:t>
            </w:r>
            <w:r w:rsidR="00A968F8" w:rsidRPr="00783571">
              <w:t>-</w:t>
            </w:r>
            <w:r w:rsidRPr="00783571">
              <w:t>not</w:t>
            </w:r>
            <w:r w:rsidR="00A968F8" w:rsidRPr="00783571">
              <w:t>-</w:t>
            </w:r>
            <w:r w:rsidRPr="00783571">
              <w:t>VLS to VLS</w:t>
            </w:r>
          </w:p>
        </w:tc>
      </w:tr>
      <w:tr w:rsidR="000400FE" w:rsidRPr="00783571" w14:paraId="35EFFE8B" w14:textId="77777777" w:rsidTr="00260D8A">
        <w:trPr>
          <w:cantSplit/>
        </w:trPr>
        <w:tc>
          <w:tcPr>
            <w:tcW w:w="1492" w:type="dxa"/>
            <w:tcBorders>
              <w:top w:val="single" w:sz="6" w:space="0" w:color="808080" w:themeColor="background1" w:themeShade="80"/>
              <w:bottom w:val="single" w:sz="12" w:space="0" w:color="000000" w:themeColor="text1"/>
            </w:tcBorders>
          </w:tcPr>
          <w:p w14:paraId="0E11B5EB" w14:textId="30700D28" w:rsidR="000400FE" w:rsidRPr="00783571" w:rsidRDefault="000400FE" w:rsidP="007B6B33">
            <w:pPr>
              <w:pStyle w:val="TableText"/>
            </w:pPr>
            <w:r w:rsidRPr="00783571">
              <w:t>PrEP</w:t>
            </w:r>
          </w:p>
        </w:tc>
        <w:tc>
          <w:tcPr>
            <w:tcW w:w="1747" w:type="dxa"/>
            <w:tcBorders>
              <w:top w:val="single" w:sz="6" w:space="0" w:color="808080" w:themeColor="background1" w:themeShade="80"/>
              <w:bottom w:val="single" w:sz="12" w:space="0" w:color="000000" w:themeColor="text1"/>
            </w:tcBorders>
          </w:tcPr>
          <w:p w14:paraId="587CB2E4" w14:textId="221E4E7A" w:rsidR="000400FE" w:rsidRPr="00783571" w:rsidRDefault="00A968F8" w:rsidP="00A968F8">
            <w:pPr>
              <w:pStyle w:val="TableText"/>
            </w:pPr>
            <w:r w:rsidRPr="00783571">
              <w:t>Uninfected h</w:t>
            </w:r>
            <w:r w:rsidR="000400FE" w:rsidRPr="00783571">
              <w:t>igh-risk HETs, high-risk MSM, and PWID</w:t>
            </w:r>
          </w:p>
        </w:tc>
        <w:tc>
          <w:tcPr>
            <w:tcW w:w="1943" w:type="dxa"/>
            <w:tcBorders>
              <w:top w:val="single" w:sz="6" w:space="0" w:color="808080" w:themeColor="background1" w:themeShade="80"/>
              <w:bottom w:val="single" w:sz="12" w:space="0" w:color="000000" w:themeColor="text1"/>
            </w:tcBorders>
          </w:tcPr>
          <w:p w14:paraId="02EC535D" w14:textId="023F0923" w:rsidR="000400FE" w:rsidRPr="00783571" w:rsidRDefault="00A968F8" w:rsidP="000400FE">
            <w:pPr>
              <w:pStyle w:val="TableText"/>
            </w:pPr>
            <w:r w:rsidRPr="00783571">
              <w:t>First year of third time period</w:t>
            </w:r>
            <w:r w:rsidR="000400FE" w:rsidRPr="00783571">
              <w:t>: PrEP initiation rate</w:t>
            </w:r>
          </w:p>
          <w:p w14:paraId="3F46C5C4" w14:textId="526C2F45" w:rsidR="000400FE" w:rsidRPr="00783571" w:rsidRDefault="00A968F8" w:rsidP="000400FE">
            <w:pPr>
              <w:pStyle w:val="TableText"/>
            </w:pPr>
            <w:r w:rsidRPr="00783571">
              <w:t>Remaining years of third time period</w:t>
            </w:r>
            <w:r w:rsidR="000400FE" w:rsidRPr="00783571">
              <w:t>: No direct effects</w:t>
            </w:r>
          </w:p>
          <w:p w14:paraId="42E7A959" w14:textId="781BA49A" w:rsidR="000400FE" w:rsidRPr="00783571" w:rsidRDefault="000400FE" w:rsidP="00A16C51">
            <w:pPr>
              <w:pStyle w:val="TableText"/>
            </w:pPr>
            <w:r w:rsidRPr="00783571">
              <w:t xml:space="preserve">(Effect is in </w:t>
            </w:r>
            <w:r w:rsidR="00A16C51" w:rsidRPr="00783571">
              <w:t>first year of the third time period</w:t>
            </w:r>
            <w:r w:rsidRPr="00783571">
              <w:t xml:space="preserve"> only because costs will be incurred to maintain the individual on PrEP in following years)</w:t>
            </w:r>
          </w:p>
        </w:tc>
        <w:tc>
          <w:tcPr>
            <w:tcW w:w="1800" w:type="dxa"/>
            <w:tcBorders>
              <w:top w:val="single" w:sz="6" w:space="0" w:color="808080" w:themeColor="background1" w:themeShade="80"/>
              <w:bottom w:val="single" w:sz="12" w:space="0" w:color="000000" w:themeColor="text1"/>
            </w:tcBorders>
          </w:tcPr>
          <w:p w14:paraId="4C5890FA" w14:textId="33002614" w:rsidR="000400FE" w:rsidRPr="00783571" w:rsidRDefault="000400FE" w:rsidP="007B6B33">
            <w:pPr>
              <w:pStyle w:val="TableText"/>
            </w:pPr>
            <w:r w:rsidRPr="00783571">
              <w:t>Annual cost for drugs, screening, and monitoring per PrEP participant</w:t>
            </w:r>
          </w:p>
        </w:tc>
        <w:tc>
          <w:tcPr>
            <w:tcW w:w="2522" w:type="dxa"/>
            <w:tcBorders>
              <w:top w:val="single" w:sz="6" w:space="0" w:color="808080" w:themeColor="background1" w:themeShade="80"/>
              <w:bottom w:val="single" w:sz="12" w:space="0" w:color="000000" w:themeColor="text1"/>
            </w:tcBorders>
          </w:tcPr>
          <w:p w14:paraId="6784E8E5" w14:textId="4500A0EE" w:rsidR="000400FE" w:rsidRPr="00783571" w:rsidRDefault="00A968F8" w:rsidP="000400FE">
            <w:pPr>
              <w:pStyle w:val="TableText"/>
            </w:pPr>
            <w:r w:rsidRPr="00783571">
              <w:t>First year of third time period</w:t>
            </w:r>
            <w:r w:rsidR="000400FE" w:rsidRPr="00783571">
              <w:t>: Initiate PrEP for one additional eligible individual; PrEP is associated with a reduction in infection rates</w:t>
            </w:r>
          </w:p>
          <w:p w14:paraId="7CBE91E5" w14:textId="6045BC92" w:rsidR="000400FE" w:rsidRPr="00783571" w:rsidRDefault="00A968F8" w:rsidP="00A16C51">
            <w:pPr>
              <w:pStyle w:val="TableText"/>
            </w:pPr>
            <w:r w:rsidRPr="00783571">
              <w:t>Remaining years of third time period</w:t>
            </w:r>
            <w:r w:rsidR="000400FE" w:rsidRPr="00783571">
              <w:t xml:space="preserve">: No direct effects. Costs cover continued PrEP provision for individual who initiated in </w:t>
            </w:r>
            <w:r w:rsidR="00A16C51" w:rsidRPr="00783571">
              <w:t>first year of third time period</w:t>
            </w:r>
            <w:r w:rsidR="000400FE" w:rsidRPr="00783571">
              <w:t>.</w:t>
            </w:r>
          </w:p>
        </w:tc>
      </w:tr>
    </w:tbl>
    <w:p w14:paraId="109C1251" w14:textId="16EA4700" w:rsidR="007B6B33" w:rsidRPr="00783571" w:rsidRDefault="007B6B33" w:rsidP="007B6B33">
      <w:pPr>
        <w:pStyle w:val="Source1"/>
      </w:pPr>
      <w:r w:rsidRPr="00783571">
        <w:t>Note: ART = antiretroviral therapy, HET = heterosexual, MSM = men who have sex with men, PLWH = people living with HIV, PWID = people who inject drugs, PrEP = pre-exposure prophylaxis treatment, VLS = viral load suppress</w:t>
      </w:r>
      <w:r w:rsidR="00A968F8" w:rsidRPr="00783571">
        <w:t>ed</w:t>
      </w:r>
    </w:p>
    <w:p w14:paraId="195BE29F" w14:textId="77777777" w:rsidR="0046162D" w:rsidRPr="00783571" w:rsidRDefault="0046162D">
      <w:pPr>
        <w:rPr>
          <w:b/>
        </w:rPr>
      </w:pPr>
      <w:r w:rsidRPr="00783571">
        <w:br w:type="page"/>
      </w:r>
    </w:p>
    <w:p w14:paraId="71A282AB" w14:textId="60402F1A" w:rsidR="00937B71" w:rsidRPr="00783571" w:rsidRDefault="004F4E6D" w:rsidP="00D66442">
      <w:pPr>
        <w:pStyle w:val="TableTitle"/>
      </w:pPr>
      <w:bookmarkStart w:id="95" w:name="_Toc510104040"/>
      <w:r w:rsidRPr="00783571">
        <w:t>Table 8.</w:t>
      </w:r>
      <w:r w:rsidR="00937B71" w:rsidRPr="00783571">
        <w:t>2</w:t>
      </w:r>
      <w:r w:rsidR="00E57F46" w:rsidRPr="00783571">
        <w:t>.</w:t>
      </w:r>
      <w:r w:rsidR="00E57F46" w:rsidRPr="00783571">
        <w:tab/>
      </w:r>
      <w:r w:rsidR="00937B71" w:rsidRPr="00783571">
        <w:t xml:space="preserve">Values and </w:t>
      </w:r>
      <w:r w:rsidR="00D66442" w:rsidRPr="00783571">
        <w:t>S</w:t>
      </w:r>
      <w:r w:rsidR="00937B71" w:rsidRPr="00783571">
        <w:t xml:space="preserve">ources for </w:t>
      </w:r>
      <w:r w:rsidR="00D66442" w:rsidRPr="00783571">
        <w:t>K</w:t>
      </w:r>
      <w:r w:rsidR="00937B71" w:rsidRPr="00783571">
        <w:t xml:space="preserve">ey </w:t>
      </w:r>
      <w:r w:rsidR="00D66442" w:rsidRPr="00783571">
        <w:t>I</w:t>
      </w:r>
      <w:r w:rsidR="00937B71" w:rsidRPr="00783571">
        <w:t xml:space="preserve">nputs </w:t>
      </w:r>
      <w:r w:rsidR="00D66442" w:rsidRPr="00783571">
        <w:t>S</w:t>
      </w:r>
      <w:r w:rsidR="00937B71" w:rsidRPr="00783571">
        <w:t xml:space="preserve">pecific to </w:t>
      </w:r>
      <w:r w:rsidR="00D66442" w:rsidRPr="00783571">
        <w:t>I</w:t>
      </w:r>
      <w:r w:rsidR="00937B71" w:rsidRPr="00783571">
        <w:t>nterventions</w:t>
      </w:r>
      <w:bookmarkEnd w:id="95"/>
    </w:p>
    <w:tbl>
      <w:tblPr>
        <w:tblW w:w="9504" w:type="dxa"/>
        <w:tblBorders>
          <w:top w:val="single" w:sz="12" w:space="0" w:color="auto"/>
          <w:bottom w:val="single" w:sz="12" w:space="0" w:color="auto"/>
          <w:insideH w:val="single" w:sz="6" w:space="0" w:color="808080" w:themeColor="background1" w:themeShade="80"/>
        </w:tblBorders>
        <w:tblLayout w:type="fixed"/>
        <w:tblCellMar>
          <w:left w:w="58" w:type="dxa"/>
          <w:right w:w="58" w:type="dxa"/>
        </w:tblCellMar>
        <w:tblLook w:val="04A0" w:firstRow="1" w:lastRow="0" w:firstColumn="1" w:lastColumn="0" w:noHBand="0" w:noVBand="1"/>
      </w:tblPr>
      <w:tblGrid>
        <w:gridCol w:w="2185"/>
        <w:gridCol w:w="1808"/>
        <w:gridCol w:w="2242"/>
        <w:gridCol w:w="3269"/>
      </w:tblGrid>
      <w:tr w:rsidR="00937B71" w:rsidRPr="00783571" w14:paraId="3A973E20" w14:textId="77777777" w:rsidTr="00260D8A">
        <w:trPr>
          <w:cantSplit/>
        </w:trPr>
        <w:tc>
          <w:tcPr>
            <w:tcW w:w="3993" w:type="dxa"/>
            <w:gridSpan w:val="2"/>
            <w:tcBorders>
              <w:top w:val="single" w:sz="12" w:space="0" w:color="auto"/>
              <w:bottom w:val="single" w:sz="6" w:space="0" w:color="auto"/>
            </w:tcBorders>
          </w:tcPr>
          <w:p w14:paraId="027BC4E6" w14:textId="77777777" w:rsidR="00937B71" w:rsidRPr="00783571" w:rsidRDefault="00937B71" w:rsidP="00E57F46">
            <w:pPr>
              <w:pStyle w:val="TableHeaders"/>
              <w:keepNext/>
            </w:pPr>
            <w:r w:rsidRPr="00783571">
              <w:t>Input</w:t>
            </w:r>
          </w:p>
        </w:tc>
        <w:tc>
          <w:tcPr>
            <w:tcW w:w="2242" w:type="dxa"/>
            <w:tcBorders>
              <w:top w:val="single" w:sz="12" w:space="0" w:color="auto"/>
              <w:bottom w:val="single" w:sz="6" w:space="0" w:color="auto"/>
            </w:tcBorders>
          </w:tcPr>
          <w:p w14:paraId="613D58E2" w14:textId="77777777" w:rsidR="00937B71" w:rsidRPr="00783571" w:rsidRDefault="00937B71" w:rsidP="00E57F46">
            <w:pPr>
              <w:pStyle w:val="TableHeaders"/>
              <w:keepNext/>
            </w:pPr>
            <w:r w:rsidRPr="00783571">
              <w:t>Value</w:t>
            </w:r>
          </w:p>
        </w:tc>
        <w:tc>
          <w:tcPr>
            <w:tcW w:w="3269" w:type="dxa"/>
            <w:tcBorders>
              <w:top w:val="single" w:sz="12" w:space="0" w:color="auto"/>
              <w:bottom w:val="single" w:sz="6" w:space="0" w:color="auto"/>
            </w:tcBorders>
          </w:tcPr>
          <w:p w14:paraId="0987D230" w14:textId="77777777" w:rsidR="00937B71" w:rsidRPr="00783571" w:rsidRDefault="00937B71" w:rsidP="00E57F46">
            <w:pPr>
              <w:pStyle w:val="TableHeaders"/>
              <w:keepNext/>
            </w:pPr>
            <w:r w:rsidRPr="00783571">
              <w:t>Source</w:t>
            </w:r>
          </w:p>
        </w:tc>
      </w:tr>
      <w:tr w:rsidR="00937B71" w:rsidRPr="00783571" w14:paraId="5C78A124" w14:textId="77777777" w:rsidTr="00260D8A">
        <w:trPr>
          <w:cantSplit/>
        </w:trPr>
        <w:tc>
          <w:tcPr>
            <w:tcW w:w="2185" w:type="dxa"/>
            <w:vMerge w:val="restart"/>
            <w:tcBorders>
              <w:top w:val="single" w:sz="6" w:space="0" w:color="auto"/>
              <w:bottom w:val="single" w:sz="6" w:space="0" w:color="auto"/>
            </w:tcBorders>
          </w:tcPr>
          <w:p w14:paraId="57371E6D" w14:textId="439FC135" w:rsidR="00937B71" w:rsidRPr="00783571" w:rsidRDefault="00937B71" w:rsidP="00E57F46">
            <w:pPr>
              <w:pStyle w:val="TableText"/>
            </w:pPr>
            <w:r w:rsidRPr="00783571">
              <w:t>Per-person cost of implementing each intervention incurred by the agency funding the intervention</w:t>
            </w:r>
            <w:r w:rsidR="00B03270" w:rsidRPr="00783571">
              <w:rPr>
                <w:vertAlign w:val="superscript"/>
              </w:rPr>
              <w:t>a</w:t>
            </w:r>
          </w:p>
        </w:tc>
        <w:tc>
          <w:tcPr>
            <w:tcW w:w="1808" w:type="dxa"/>
            <w:tcBorders>
              <w:top w:val="single" w:sz="6" w:space="0" w:color="auto"/>
            </w:tcBorders>
          </w:tcPr>
          <w:p w14:paraId="78971C67" w14:textId="77777777" w:rsidR="00937B71" w:rsidRPr="00783571" w:rsidRDefault="00937B71" w:rsidP="00E57F46">
            <w:pPr>
              <w:pStyle w:val="TableText"/>
            </w:pPr>
            <w:r w:rsidRPr="00783571">
              <w:t xml:space="preserve">Testing </w:t>
            </w:r>
          </w:p>
        </w:tc>
        <w:tc>
          <w:tcPr>
            <w:tcW w:w="2242" w:type="dxa"/>
            <w:tcBorders>
              <w:top w:val="single" w:sz="6" w:space="0" w:color="auto"/>
            </w:tcBorders>
          </w:tcPr>
          <w:p w14:paraId="478BAC32" w14:textId="5B3997F5" w:rsidR="00937B71" w:rsidRPr="00783571" w:rsidRDefault="0005328A" w:rsidP="00C16CB0">
            <w:pPr>
              <w:pStyle w:val="TableText"/>
            </w:pPr>
            <w:r w:rsidRPr="00783571">
              <w:t>$23,420 (2015$) per effectively diagnosed HIV-infected person</w:t>
            </w:r>
          </w:p>
        </w:tc>
        <w:tc>
          <w:tcPr>
            <w:tcW w:w="3269" w:type="dxa"/>
            <w:tcBorders>
              <w:top w:val="single" w:sz="6" w:space="0" w:color="auto"/>
            </w:tcBorders>
          </w:tcPr>
          <w:p w14:paraId="06574181" w14:textId="11B8FABB" w:rsidR="00937B71" w:rsidRPr="00783571" w:rsidRDefault="005B3F71" w:rsidP="00C16CB0">
            <w:pPr>
              <w:pStyle w:val="TableText"/>
            </w:pPr>
            <w:r w:rsidRPr="00783571">
              <w:t>Dynamically calculated in model</w:t>
            </w:r>
            <w:r w:rsidR="00B03270" w:rsidRPr="00783571">
              <w:rPr>
                <w:vertAlign w:val="superscript"/>
              </w:rPr>
              <w:t>b</w:t>
            </w:r>
            <w:r w:rsidR="00225D32" w:rsidRPr="00783571">
              <w:t xml:space="preserve"> </w:t>
            </w:r>
          </w:p>
        </w:tc>
      </w:tr>
      <w:tr w:rsidR="00937B71" w:rsidRPr="00783571" w14:paraId="343C47CA" w14:textId="77777777" w:rsidTr="00260D8A">
        <w:trPr>
          <w:cantSplit/>
        </w:trPr>
        <w:tc>
          <w:tcPr>
            <w:tcW w:w="2185" w:type="dxa"/>
            <w:vMerge/>
            <w:tcBorders>
              <w:top w:val="single" w:sz="6" w:space="0" w:color="808080" w:themeColor="background1" w:themeShade="80"/>
              <w:bottom w:val="single" w:sz="6" w:space="0" w:color="auto"/>
            </w:tcBorders>
          </w:tcPr>
          <w:p w14:paraId="1ACAD386" w14:textId="77777777" w:rsidR="00937B71" w:rsidRPr="00783571" w:rsidRDefault="00937B71" w:rsidP="003F5E49">
            <w:pPr>
              <w:pStyle w:val="Tabletext0"/>
              <w:ind w:left="108"/>
              <w:rPr>
                <w:b/>
                <w:bCs/>
                <w:szCs w:val="22"/>
              </w:rPr>
            </w:pPr>
          </w:p>
        </w:tc>
        <w:tc>
          <w:tcPr>
            <w:tcW w:w="1808" w:type="dxa"/>
          </w:tcPr>
          <w:p w14:paraId="72216F4D" w14:textId="77777777" w:rsidR="00937B71" w:rsidRPr="00783571" w:rsidRDefault="00937B71" w:rsidP="00E57F46">
            <w:pPr>
              <w:pStyle w:val="TableText"/>
            </w:pPr>
            <w:r w:rsidRPr="00783571">
              <w:t>LTC at diagnosis</w:t>
            </w:r>
          </w:p>
        </w:tc>
        <w:tc>
          <w:tcPr>
            <w:tcW w:w="2242" w:type="dxa"/>
          </w:tcPr>
          <w:p w14:paraId="07B7E2F3" w14:textId="44B71251" w:rsidR="00937B71" w:rsidRPr="00783571" w:rsidRDefault="00937B71" w:rsidP="007D4FD4">
            <w:pPr>
              <w:pStyle w:val="TableText"/>
            </w:pPr>
            <w:r w:rsidRPr="00783571">
              <w:t>$5</w:t>
            </w:r>
            <w:r w:rsidR="0005328A" w:rsidRPr="00783571">
              <w:t>3</w:t>
            </w:r>
            <w:r w:rsidRPr="00783571">
              <w:t>9 (2002$)</w:t>
            </w:r>
          </w:p>
        </w:tc>
        <w:tc>
          <w:tcPr>
            <w:tcW w:w="3269" w:type="dxa"/>
          </w:tcPr>
          <w:p w14:paraId="348A2F10" w14:textId="37F86851" w:rsidR="00937B71" w:rsidRPr="00783571" w:rsidRDefault="00937B71" w:rsidP="001B7864">
            <w:pPr>
              <w:pStyle w:val="TableText"/>
            </w:pPr>
            <w:r w:rsidRPr="00783571">
              <w:t xml:space="preserve">Gardner et al. </w:t>
            </w:r>
            <w:r w:rsidR="001B7864" w:rsidRPr="00783571">
              <w:t>(</w:t>
            </w:r>
            <w:r w:rsidRPr="00783571">
              <w:t>2005</w:t>
            </w:r>
            <w:r w:rsidR="001B7864" w:rsidRPr="00783571">
              <w:t>)</w:t>
            </w:r>
            <w:r w:rsidR="0005328A" w:rsidRPr="00783571">
              <w:t>; reduced intervention cost by 10% to remove overhead costs (i.e., assumed that 10% of intervention cost was due to overhead)</w:t>
            </w:r>
          </w:p>
        </w:tc>
      </w:tr>
      <w:tr w:rsidR="00551FDB" w:rsidRPr="00783571" w14:paraId="31FD9CB8" w14:textId="77777777" w:rsidTr="00260D8A">
        <w:trPr>
          <w:cantSplit/>
        </w:trPr>
        <w:tc>
          <w:tcPr>
            <w:tcW w:w="2185" w:type="dxa"/>
            <w:vMerge/>
            <w:tcBorders>
              <w:top w:val="single" w:sz="6" w:space="0" w:color="808080" w:themeColor="background1" w:themeShade="80"/>
              <w:bottom w:val="single" w:sz="6" w:space="0" w:color="auto"/>
            </w:tcBorders>
          </w:tcPr>
          <w:p w14:paraId="012AA787" w14:textId="77777777" w:rsidR="00551FDB" w:rsidRPr="00783571" w:rsidRDefault="00551FDB" w:rsidP="003F5E49">
            <w:pPr>
              <w:pStyle w:val="Tabletext0"/>
              <w:ind w:left="108"/>
              <w:rPr>
                <w:b/>
                <w:bCs/>
                <w:szCs w:val="22"/>
              </w:rPr>
            </w:pPr>
          </w:p>
        </w:tc>
        <w:tc>
          <w:tcPr>
            <w:tcW w:w="1808" w:type="dxa"/>
          </w:tcPr>
          <w:p w14:paraId="5C6986C9" w14:textId="69721E4D" w:rsidR="00551FDB" w:rsidRPr="00783571" w:rsidRDefault="00551FDB" w:rsidP="00E57F46">
            <w:pPr>
              <w:pStyle w:val="TableText"/>
            </w:pPr>
            <w:r w:rsidRPr="00783571">
              <w:t>LTC after diagnosis</w:t>
            </w:r>
          </w:p>
        </w:tc>
        <w:tc>
          <w:tcPr>
            <w:tcW w:w="2242" w:type="dxa"/>
          </w:tcPr>
          <w:p w14:paraId="5764B552" w14:textId="5895E44F" w:rsidR="00551FDB" w:rsidRPr="00783571" w:rsidRDefault="00551FDB" w:rsidP="001B7864">
            <w:pPr>
              <w:pStyle w:val="TableText"/>
            </w:pPr>
            <w:r w:rsidRPr="00783571">
              <w:t>$</w:t>
            </w:r>
            <w:r w:rsidR="0005328A" w:rsidRPr="00783571">
              <w:t>1,078</w:t>
            </w:r>
            <w:r w:rsidRPr="00783571">
              <w:t xml:space="preserve"> (2002$)</w:t>
            </w:r>
          </w:p>
        </w:tc>
        <w:tc>
          <w:tcPr>
            <w:tcW w:w="3269" w:type="dxa"/>
          </w:tcPr>
          <w:p w14:paraId="4D8CEA19" w14:textId="7D0D644B" w:rsidR="00551FDB" w:rsidRPr="00783571" w:rsidRDefault="00551FDB" w:rsidP="00551FDB">
            <w:pPr>
              <w:pStyle w:val="TableText"/>
            </w:pPr>
            <w:r w:rsidRPr="00783571">
              <w:t xml:space="preserve">Source not identified. Assumed that the cost is </w:t>
            </w:r>
            <w:r w:rsidR="0005328A" w:rsidRPr="00783571">
              <w:t>twice as much as</w:t>
            </w:r>
            <w:r w:rsidRPr="00783571">
              <w:t xml:space="preserve"> the cost of LTC at diagnosis, due to the fact that linking individuals who are not already in communication with or present at a provider (like they are at diagnosis) will be harder to link to care.</w:t>
            </w:r>
          </w:p>
        </w:tc>
      </w:tr>
      <w:tr w:rsidR="00551FDB" w:rsidRPr="00783571" w14:paraId="713B7F12" w14:textId="77777777" w:rsidTr="00260D8A">
        <w:trPr>
          <w:cantSplit/>
        </w:trPr>
        <w:tc>
          <w:tcPr>
            <w:tcW w:w="2185" w:type="dxa"/>
            <w:vMerge/>
            <w:tcBorders>
              <w:top w:val="single" w:sz="6" w:space="0" w:color="808080" w:themeColor="background1" w:themeShade="80"/>
              <w:bottom w:val="single" w:sz="6" w:space="0" w:color="auto"/>
            </w:tcBorders>
          </w:tcPr>
          <w:p w14:paraId="136D717C" w14:textId="77777777" w:rsidR="00551FDB" w:rsidRPr="00783571" w:rsidRDefault="00551FDB" w:rsidP="003F5E49">
            <w:pPr>
              <w:pStyle w:val="Tabletext0"/>
              <w:ind w:left="108"/>
              <w:rPr>
                <w:b/>
                <w:bCs/>
                <w:szCs w:val="22"/>
              </w:rPr>
            </w:pPr>
          </w:p>
        </w:tc>
        <w:tc>
          <w:tcPr>
            <w:tcW w:w="1808" w:type="dxa"/>
          </w:tcPr>
          <w:p w14:paraId="68A7700C" w14:textId="29E941D5" w:rsidR="00551FDB" w:rsidRPr="00783571" w:rsidRDefault="00551FDB" w:rsidP="00E57F46">
            <w:pPr>
              <w:pStyle w:val="TableText"/>
            </w:pPr>
            <w:r w:rsidRPr="00783571">
              <w:t>ART prescription</w:t>
            </w:r>
          </w:p>
        </w:tc>
        <w:tc>
          <w:tcPr>
            <w:tcW w:w="2242" w:type="dxa"/>
          </w:tcPr>
          <w:p w14:paraId="7A825991" w14:textId="14BBE1F9" w:rsidR="00551FDB" w:rsidRPr="00783571" w:rsidRDefault="004518A6" w:rsidP="007D4FD4">
            <w:pPr>
              <w:pStyle w:val="TableText"/>
            </w:pPr>
            <w:r w:rsidRPr="00783571">
              <w:t>$5</w:t>
            </w:r>
            <w:r w:rsidR="0005328A" w:rsidRPr="00783571">
              <w:t>3</w:t>
            </w:r>
            <w:r w:rsidRPr="00783571">
              <w:t>9 (2002$)</w:t>
            </w:r>
          </w:p>
        </w:tc>
        <w:tc>
          <w:tcPr>
            <w:tcW w:w="3269" w:type="dxa"/>
          </w:tcPr>
          <w:p w14:paraId="75B30E60" w14:textId="716E006A" w:rsidR="00551FDB" w:rsidRPr="00783571" w:rsidRDefault="004518A6" w:rsidP="004518A6">
            <w:pPr>
              <w:pStyle w:val="TableText"/>
            </w:pPr>
            <w:r w:rsidRPr="00783571">
              <w:t>Source not identified. Assumed that the costs are the same as LTC at diagnosis since the processes both similarly involve engaging PLWH in the next level of care.</w:t>
            </w:r>
          </w:p>
        </w:tc>
      </w:tr>
      <w:tr w:rsidR="00937B71" w:rsidRPr="00783571" w14:paraId="4F038C41" w14:textId="77777777" w:rsidTr="00260D8A">
        <w:trPr>
          <w:cantSplit/>
        </w:trPr>
        <w:tc>
          <w:tcPr>
            <w:tcW w:w="2185" w:type="dxa"/>
            <w:vMerge/>
            <w:tcBorders>
              <w:top w:val="single" w:sz="6" w:space="0" w:color="808080" w:themeColor="background1" w:themeShade="80"/>
              <w:bottom w:val="single" w:sz="6" w:space="0" w:color="auto"/>
            </w:tcBorders>
          </w:tcPr>
          <w:p w14:paraId="079AD519" w14:textId="77777777" w:rsidR="00937B71" w:rsidRPr="00783571" w:rsidRDefault="00937B71" w:rsidP="003F5E49">
            <w:pPr>
              <w:pStyle w:val="Tabletext0"/>
              <w:ind w:left="108"/>
              <w:rPr>
                <w:b/>
                <w:bCs/>
                <w:szCs w:val="22"/>
              </w:rPr>
            </w:pPr>
          </w:p>
        </w:tc>
        <w:tc>
          <w:tcPr>
            <w:tcW w:w="1808" w:type="dxa"/>
            <w:tcBorders>
              <w:bottom w:val="single" w:sz="6" w:space="0" w:color="808080" w:themeColor="background1" w:themeShade="80"/>
            </w:tcBorders>
          </w:tcPr>
          <w:p w14:paraId="59EDC2D9" w14:textId="27B96D32" w:rsidR="00937B71" w:rsidRPr="00783571" w:rsidRDefault="004518A6" w:rsidP="004518A6">
            <w:pPr>
              <w:pStyle w:val="TableText"/>
            </w:pPr>
            <w:r w:rsidRPr="00783571">
              <w:t xml:space="preserve">All </w:t>
            </w:r>
            <w:r w:rsidR="00937B71" w:rsidRPr="00783571">
              <w:t>ART adherence</w:t>
            </w:r>
            <w:r w:rsidRPr="00783571">
              <w:t xml:space="preserve"> interventions</w:t>
            </w:r>
            <w:r w:rsidR="00551FDB" w:rsidRPr="00783571">
              <w:t xml:space="preserve"> </w:t>
            </w:r>
          </w:p>
        </w:tc>
        <w:tc>
          <w:tcPr>
            <w:tcW w:w="2242" w:type="dxa"/>
            <w:tcBorders>
              <w:bottom w:val="single" w:sz="6" w:space="0" w:color="808080" w:themeColor="background1" w:themeShade="80"/>
            </w:tcBorders>
          </w:tcPr>
          <w:p w14:paraId="187D382E" w14:textId="7DBF31EB" w:rsidR="00937B71" w:rsidRPr="00783571" w:rsidRDefault="00E57F46" w:rsidP="007D4FD4">
            <w:pPr>
              <w:pStyle w:val="TableText"/>
            </w:pPr>
            <w:r w:rsidRPr="00783571">
              <w:t>$2,447 (2002$)</w:t>
            </w:r>
          </w:p>
        </w:tc>
        <w:tc>
          <w:tcPr>
            <w:tcW w:w="3269" w:type="dxa"/>
            <w:tcBorders>
              <w:bottom w:val="single" w:sz="6" w:space="0" w:color="808080" w:themeColor="background1" w:themeShade="80"/>
            </w:tcBorders>
          </w:tcPr>
          <w:p w14:paraId="16E0F429" w14:textId="66511D2D" w:rsidR="00937B71" w:rsidRPr="00783571" w:rsidRDefault="00937B71" w:rsidP="00E57F46">
            <w:pPr>
              <w:pStyle w:val="TableText"/>
              <w:rPr>
                <w:color w:val="000000"/>
              </w:rPr>
            </w:pPr>
            <w:r w:rsidRPr="00783571">
              <w:t xml:space="preserve">Calculated based on Schackman et al., 2005 and assumption of 17% effectiveness </w:t>
            </w:r>
            <w:r w:rsidR="00F470E8" w:rsidRPr="00783571">
              <w:t>(Friedberg et al.</w:t>
            </w:r>
            <w:r w:rsidR="00D66442" w:rsidRPr="00783571">
              <w:t>,</w:t>
            </w:r>
            <w:r w:rsidR="00F470E8" w:rsidRPr="00783571">
              <w:t xml:space="preserve"> 2006; Barnett et al.</w:t>
            </w:r>
            <w:r w:rsidR="00D66442" w:rsidRPr="00783571">
              <w:t>,</w:t>
            </w:r>
            <w:r w:rsidR="00F470E8" w:rsidRPr="00783571">
              <w:t xml:space="preserve"> 2009)</w:t>
            </w:r>
            <w:r w:rsidRPr="00783571">
              <w:t xml:space="preserve"> (</w:t>
            </w:r>
            <w:r w:rsidRPr="00783571">
              <w:rPr>
                <w:color w:val="000000"/>
              </w:rPr>
              <w:t xml:space="preserve">$34.69 * 12 / 0.17) </w:t>
            </w:r>
          </w:p>
        </w:tc>
      </w:tr>
      <w:tr w:rsidR="00937B71" w:rsidRPr="00783571" w14:paraId="7815E5E5" w14:textId="77777777" w:rsidTr="00260D8A">
        <w:trPr>
          <w:cantSplit/>
        </w:trPr>
        <w:tc>
          <w:tcPr>
            <w:tcW w:w="2185" w:type="dxa"/>
            <w:vMerge/>
            <w:tcBorders>
              <w:top w:val="single" w:sz="6" w:space="0" w:color="808080" w:themeColor="background1" w:themeShade="80"/>
              <w:bottom w:val="single" w:sz="6" w:space="0" w:color="808080" w:themeColor="background1" w:themeShade="80"/>
            </w:tcBorders>
          </w:tcPr>
          <w:p w14:paraId="56287EC4" w14:textId="77777777" w:rsidR="00937B71" w:rsidRPr="00783571" w:rsidRDefault="00937B71" w:rsidP="003F5E49">
            <w:pPr>
              <w:pStyle w:val="Tabletext0"/>
              <w:ind w:left="108"/>
              <w:rPr>
                <w:b/>
                <w:bCs/>
                <w:szCs w:val="22"/>
              </w:rPr>
            </w:pPr>
          </w:p>
        </w:tc>
        <w:tc>
          <w:tcPr>
            <w:tcW w:w="1808" w:type="dxa"/>
            <w:tcBorders>
              <w:top w:val="single" w:sz="6" w:space="0" w:color="808080" w:themeColor="background1" w:themeShade="80"/>
              <w:bottom w:val="single" w:sz="6" w:space="0" w:color="808080" w:themeColor="background1" w:themeShade="80"/>
            </w:tcBorders>
          </w:tcPr>
          <w:p w14:paraId="6A940748" w14:textId="77777777" w:rsidR="00937B71" w:rsidRPr="00783571" w:rsidRDefault="00937B71" w:rsidP="00E57F46">
            <w:pPr>
              <w:pStyle w:val="TableText"/>
            </w:pPr>
            <w:r w:rsidRPr="00783571">
              <w:t>PrEP</w:t>
            </w:r>
          </w:p>
        </w:tc>
        <w:tc>
          <w:tcPr>
            <w:tcW w:w="2242" w:type="dxa"/>
            <w:tcBorders>
              <w:top w:val="single" w:sz="6" w:space="0" w:color="808080" w:themeColor="background1" w:themeShade="80"/>
              <w:bottom w:val="single" w:sz="6" w:space="0" w:color="808080" w:themeColor="background1" w:themeShade="80"/>
            </w:tcBorders>
          </w:tcPr>
          <w:p w14:paraId="2F2D451F" w14:textId="57F28628" w:rsidR="00937B71" w:rsidRPr="00783571" w:rsidRDefault="00937B71" w:rsidP="007D4FD4">
            <w:pPr>
              <w:pStyle w:val="TableText"/>
              <w:rPr>
                <w:color w:val="000000"/>
              </w:rPr>
            </w:pPr>
            <w:r w:rsidRPr="00783571">
              <w:rPr>
                <w:color w:val="000000"/>
              </w:rPr>
              <w:t>$</w:t>
            </w:r>
            <w:r w:rsidR="00E57F46" w:rsidRPr="00783571">
              <w:rPr>
                <w:color w:val="000000"/>
              </w:rPr>
              <w:t>1</w:t>
            </w:r>
            <w:r w:rsidR="0005328A" w:rsidRPr="00783571">
              <w:rPr>
                <w:color w:val="000000"/>
              </w:rPr>
              <w:t>7,450</w:t>
            </w:r>
            <w:r w:rsidR="00E57F46" w:rsidRPr="00783571">
              <w:rPr>
                <w:color w:val="000000"/>
              </w:rPr>
              <w:t xml:space="preserve"> (201</w:t>
            </w:r>
            <w:r w:rsidR="0005328A" w:rsidRPr="00783571">
              <w:rPr>
                <w:color w:val="000000"/>
              </w:rPr>
              <w:t>5</w:t>
            </w:r>
            <w:r w:rsidR="00E57F46" w:rsidRPr="00783571">
              <w:rPr>
                <w:color w:val="000000"/>
              </w:rPr>
              <w:t>$)</w:t>
            </w:r>
            <w:r w:rsidR="008C6D01" w:rsidRPr="00783571">
              <w:rPr>
                <w:color w:val="000000"/>
                <w:vertAlign w:val="superscript"/>
              </w:rPr>
              <w:t>c</w:t>
            </w:r>
          </w:p>
        </w:tc>
        <w:tc>
          <w:tcPr>
            <w:tcW w:w="3269" w:type="dxa"/>
            <w:tcBorders>
              <w:top w:val="single" w:sz="6" w:space="0" w:color="808080" w:themeColor="background1" w:themeShade="80"/>
              <w:bottom w:val="single" w:sz="6" w:space="0" w:color="808080" w:themeColor="background1" w:themeShade="80"/>
            </w:tcBorders>
          </w:tcPr>
          <w:p w14:paraId="76C17E44" w14:textId="567F40BE" w:rsidR="00937B71" w:rsidRPr="00783571" w:rsidRDefault="00937B71" w:rsidP="00E57F46">
            <w:pPr>
              <w:pStyle w:val="TableText"/>
              <w:rPr>
                <w:color w:val="000000"/>
              </w:rPr>
            </w:pPr>
            <w:r w:rsidRPr="00783571">
              <w:rPr>
                <w:color w:val="000000"/>
              </w:rPr>
              <w:t>$</w:t>
            </w:r>
            <w:r w:rsidR="0005328A" w:rsidRPr="00783571">
              <w:rPr>
                <w:color w:val="000000"/>
              </w:rPr>
              <w:t>15,975</w:t>
            </w:r>
            <w:r w:rsidRPr="00783571">
              <w:rPr>
                <w:color w:val="000000"/>
              </w:rPr>
              <w:t xml:space="preserve"> annual drug costs (</w:t>
            </w:r>
            <w:r w:rsidR="00B2449E" w:rsidRPr="00783571">
              <w:t>Truven Health Analytics</w:t>
            </w:r>
            <w:r w:rsidR="00D66442" w:rsidRPr="00783571">
              <w:rPr>
                <w:color w:val="000000"/>
              </w:rPr>
              <w:t>,</w:t>
            </w:r>
            <w:r w:rsidRPr="00783571">
              <w:rPr>
                <w:color w:val="000000"/>
              </w:rPr>
              <w:t xml:space="preserve"> 201</w:t>
            </w:r>
            <w:r w:rsidR="0005328A" w:rsidRPr="00783571">
              <w:rPr>
                <w:color w:val="000000"/>
              </w:rPr>
              <w:t>7</w:t>
            </w:r>
            <w:r w:rsidRPr="00783571">
              <w:rPr>
                <w:color w:val="000000"/>
              </w:rPr>
              <w:t>; Gebo et al., 2010) + $1,4</w:t>
            </w:r>
            <w:r w:rsidR="0005328A" w:rsidRPr="00783571">
              <w:rPr>
                <w:color w:val="000000"/>
              </w:rPr>
              <w:t>75</w:t>
            </w:r>
            <w:r w:rsidRPr="00783571">
              <w:rPr>
                <w:color w:val="000000"/>
              </w:rPr>
              <w:t xml:space="preserve"> screening and monitoring costs (Desai et al., 2008)</w:t>
            </w:r>
          </w:p>
        </w:tc>
      </w:tr>
      <w:tr w:rsidR="008A678D" w:rsidRPr="00783571" w14:paraId="4C2D699C" w14:textId="77777777" w:rsidTr="00260D8A">
        <w:trPr>
          <w:cantSplit/>
        </w:trPr>
        <w:tc>
          <w:tcPr>
            <w:tcW w:w="2185" w:type="dxa"/>
            <w:vMerge w:val="restart"/>
          </w:tcPr>
          <w:p w14:paraId="50D445C0" w14:textId="77777777" w:rsidR="008A678D" w:rsidRPr="00783571" w:rsidRDefault="008A678D" w:rsidP="00786484">
            <w:pPr>
              <w:pStyle w:val="TableText"/>
            </w:pPr>
            <w:r w:rsidRPr="00783571">
              <w:t>Maximum percentage of eligible individuals for which intervention can be effective</w:t>
            </w:r>
            <w:r w:rsidRPr="00783571">
              <w:rPr>
                <w:rFonts w:ascii="Calibri" w:hAnsi="Calibri"/>
                <w:vertAlign w:val="superscript"/>
              </w:rPr>
              <w:t>b</w:t>
            </w:r>
          </w:p>
        </w:tc>
        <w:tc>
          <w:tcPr>
            <w:tcW w:w="1808" w:type="dxa"/>
          </w:tcPr>
          <w:p w14:paraId="7A84C976" w14:textId="77777777" w:rsidR="008A678D" w:rsidRPr="00783571" w:rsidRDefault="008A678D" w:rsidP="00786484">
            <w:pPr>
              <w:pStyle w:val="TableText"/>
              <w:rPr>
                <w:color w:val="000000"/>
              </w:rPr>
            </w:pPr>
            <w:r w:rsidRPr="00783571">
              <w:rPr>
                <w:color w:val="000000"/>
              </w:rPr>
              <w:t>Testing</w:t>
            </w:r>
          </w:p>
        </w:tc>
        <w:tc>
          <w:tcPr>
            <w:tcW w:w="2242" w:type="dxa"/>
          </w:tcPr>
          <w:p w14:paraId="5331B797" w14:textId="77777777" w:rsidR="008A678D" w:rsidRPr="00783571" w:rsidRDefault="008A678D" w:rsidP="00786484">
            <w:pPr>
              <w:pStyle w:val="TableText"/>
            </w:pPr>
            <w:r w:rsidRPr="00783571">
              <w:t>85%</w:t>
            </w:r>
          </w:p>
        </w:tc>
        <w:tc>
          <w:tcPr>
            <w:tcW w:w="3269" w:type="dxa"/>
          </w:tcPr>
          <w:p w14:paraId="355D0249" w14:textId="77777777" w:rsidR="008A678D" w:rsidRPr="00783571" w:rsidRDefault="008A678D" w:rsidP="00786484">
            <w:pPr>
              <w:pStyle w:val="TableText"/>
            </w:pPr>
            <w:r w:rsidRPr="00783571">
              <w:t>Assumed</w:t>
            </w:r>
          </w:p>
        </w:tc>
      </w:tr>
      <w:tr w:rsidR="008A678D" w:rsidRPr="00783571" w14:paraId="2C9FC094" w14:textId="77777777" w:rsidTr="00260D8A">
        <w:trPr>
          <w:cantSplit/>
        </w:trPr>
        <w:tc>
          <w:tcPr>
            <w:tcW w:w="2185" w:type="dxa"/>
            <w:vMerge/>
          </w:tcPr>
          <w:p w14:paraId="05395D44" w14:textId="77777777" w:rsidR="008A678D" w:rsidRPr="00783571" w:rsidRDefault="008A678D" w:rsidP="00786484">
            <w:pPr>
              <w:pStyle w:val="TableText"/>
              <w:rPr>
                <w:bCs/>
                <w:szCs w:val="22"/>
              </w:rPr>
            </w:pPr>
          </w:p>
        </w:tc>
        <w:tc>
          <w:tcPr>
            <w:tcW w:w="1808" w:type="dxa"/>
          </w:tcPr>
          <w:p w14:paraId="04BBBA25" w14:textId="77777777" w:rsidR="008A678D" w:rsidRPr="00783571" w:rsidRDefault="008A678D" w:rsidP="00786484">
            <w:pPr>
              <w:pStyle w:val="TableText"/>
              <w:rPr>
                <w:szCs w:val="22"/>
              </w:rPr>
            </w:pPr>
            <w:r w:rsidRPr="00783571">
              <w:rPr>
                <w:szCs w:val="22"/>
              </w:rPr>
              <w:t>LTC at diagnosis</w:t>
            </w:r>
          </w:p>
        </w:tc>
        <w:tc>
          <w:tcPr>
            <w:tcW w:w="2242" w:type="dxa"/>
          </w:tcPr>
          <w:p w14:paraId="30E0D903" w14:textId="77777777" w:rsidR="008A678D" w:rsidRPr="00783571" w:rsidRDefault="008A678D" w:rsidP="00786484">
            <w:pPr>
              <w:pStyle w:val="TableText"/>
              <w:rPr>
                <w:szCs w:val="22"/>
              </w:rPr>
            </w:pPr>
            <w:r w:rsidRPr="00783571">
              <w:rPr>
                <w:szCs w:val="22"/>
              </w:rPr>
              <w:t>90%</w:t>
            </w:r>
          </w:p>
        </w:tc>
        <w:tc>
          <w:tcPr>
            <w:tcW w:w="3269" w:type="dxa"/>
          </w:tcPr>
          <w:p w14:paraId="3CF20B14" w14:textId="77777777" w:rsidR="008A678D" w:rsidRPr="00783571" w:rsidRDefault="008A678D" w:rsidP="00786484">
            <w:pPr>
              <w:pStyle w:val="TableText"/>
              <w:rPr>
                <w:szCs w:val="22"/>
              </w:rPr>
            </w:pPr>
            <w:r w:rsidRPr="00783571">
              <w:rPr>
                <w:szCs w:val="22"/>
              </w:rPr>
              <w:t>Assumed</w:t>
            </w:r>
          </w:p>
        </w:tc>
      </w:tr>
      <w:tr w:rsidR="008A678D" w:rsidRPr="00783571" w14:paraId="7FF6C973" w14:textId="77777777" w:rsidTr="00260D8A">
        <w:trPr>
          <w:cantSplit/>
        </w:trPr>
        <w:tc>
          <w:tcPr>
            <w:tcW w:w="2185" w:type="dxa"/>
            <w:vMerge/>
          </w:tcPr>
          <w:p w14:paraId="07ABBE18" w14:textId="77777777" w:rsidR="008A678D" w:rsidRPr="00783571" w:rsidRDefault="008A678D" w:rsidP="00786484">
            <w:pPr>
              <w:pStyle w:val="TableText"/>
              <w:rPr>
                <w:bCs/>
                <w:szCs w:val="22"/>
              </w:rPr>
            </w:pPr>
          </w:p>
        </w:tc>
        <w:tc>
          <w:tcPr>
            <w:tcW w:w="1808" w:type="dxa"/>
          </w:tcPr>
          <w:p w14:paraId="62A84767" w14:textId="77777777" w:rsidR="008A678D" w:rsidRPr="00783571" w:rsidRDefault="008A678D" w:rsidP="00786484">
            <w:pPr>
              <w:pStyle w:val="TableText"/>
              <w:rPr>
                <w:szCs w:val="22"/>
              </w:rPr>
            </w:pPr>
            <w:r w:rsidRPr="00783571">
              <w:rPr>
                <w:szCs w:val="22"/>
              </w:rPr>
              <w:t>LTC after diagnosis</w:t>
            </w:r>
          </w:p>
        </w:tc>
        <w:tc>
          <w:tcPr>
            <w:tcW w:w="2242" w:type="dxa"/>
          </w:tcPr>
          <w:p w14:paraId="6CC82C75" w14:textId="77777777" w:rsidR="008A678D" w:rsidRPr="00783571" w:rsidRDefault="008A678D" w:rsidP="00786484">
            <w:pPr>
              <w:pStyle w:val="TableText"/>
              <w:rPr>
                <w:szCs w:val="22"/>
              </w:rPr>
            </w:pPr>
            <w:r w:rsidRPr="00783571">
              <w:rPr>
                <w:szCs w:val="22"/>
              </w:rPr>
              <w:t>70%</w:t>
            </w:r>
          </w:p>
        </w:tc>
        <w:tc>
          <w:tcPr>
            <w:tcW w:w="3269" w:type="dxa"/>
          </w:tcPr>
          <w:p w14:paraId="565E6FE0" w14:textId="77777777" w:rsidR="008A678D" w:rsidRPr="00783571" w:rsidRDefault="008A678D" w:rsidP="00786484">
            <w:pPr>
              <w:pStyle w:val="TableText"/>
              <w:rPr>
                <w:szCs w:val="22"/>
              </w:rPr>
            </w:pPr>
            <w:r w:rsidRPr="00783571">
              <w:rPr>
                <w:szCs w:val="22"/>
              </w:rPr>
              <w:t>Assumed</w:t>
            </w:r>
          </w:p>
        </w:tc>
      </w:tr>
      <w:tr w:rsidR="008A678D" w:rsidRPr="00783571" w14:paraId="34C7A5E4" w14:textId="77777777" w:rsidTr="00260D8A">
        <w:trPr>
          <w:cantSplit/>
        </w:trPr>
        <w:tc>
          <w:tcPr>
            <w:tcW w:w="2185" w:type="dxa"/>
            <w:vMerge/>
          </w:tcPr>
          <w:p w14:paraId="399B4241" w14:textId="77777777" w:rsidR="008A678D" w:rsidRPr="00783571" w:rsidRDefault="008A678D" w:rsidP="00786484">
            <w:pPr>
              <w:pStyle w:val="TableText"/>
              <w:rPr>
                <w:bCs/>
                <w:szCs w:val="22"/>
              </w:rPr>
            </w:pPr>
          </w:p>
        </w:tc>
        <w:tc>
          <w:tcPr>
            <w:tcW w:w="1808" w:type="dxa"/>
          </w:tcPr>
          <w:p w14:paraId="14498CA9" w14:textId="77777777" w:rsidR="008A678D" w:rsidRPr="00783571" w:rsidRDefault="008A678D" w:rsidP="00786484">
            <w:pPr>
              <w:pStyle w:val="TableText"/>
              <w:rPr>
                <w:szCs w:val="22"/>
              </w:rPr>
            </w:pPr>
            <w:r w:rsidRPr="00783571">
              <w:rPr>
                <w:szCs w:val="22"/>
              </w:rPr>
              <w:t>ART prescription</w:t>
            </w:r>
          </w:p>
        </w:tc>
        <w:tc>
          <w:tcPr>
            <w:tcW w:w="2242" w:type="dxa"/>
          </w:tcPr>
          <w:p w14:paraId="64A5E916" w14:textId="77777777" w:rsidR="008A678D" w:rsidRPr="00783571" w:rsidRDefault="008A678D" w:rsidP="00786484">
            <w:pPr>
              <w:pStyle w:val="TableText"/>
              <w:rPr>
                <w:szCs w:val="22"/>
              </w:rPr>
            </w:pPr>
            <w:r w:rsidRPr="00783571">
              <w:rPr>
                <w:szCs w:val="22"/>
              </w:rPr>
              <w:t>85%</w:t>
            </w:r>
          </w:p>
        </w:tc>
        <w:tc>
          <w:tcPr>
            <w:tcW w:w="3269" w:type="dxa"/>
          </w:tcPr>
          <w:p w14:paraId="4BEBEBF3" w14:textId="77777777" w:rsidR="008A678D" w:rsidRPr="00783571" w:rsidRDefault="008A678D" w:rsidP="00786484">
            <w:pPr>
              <w:pStyle w:val="TableText"/>
              <w:rPr>
                <w:szCs w:val="22"/>
              </w:rPr>
            </w:pPr>
            <w:r w:rsidRPr="00783571">
              <w:rPr>
                <w:szCs w:val="22"/>
              </w:rPr>
              <w:t>Assumed</w:t>
            </w:r>
          </w:p>
        </w:tc>
      </w:tr>
      <w:tr w:rsidR="008A678D" w:rsidRPr="00783571" w14:paraId="4923AB51" w14:textId="77777777" w:rsidTr="00260D8A">
        <w:trPr>
          <w:cantSplit/>
        </w:trPr>
        <w:tc>
          <w:tcPr>
            <w:tcW w:w="2185" w:type="dxa"/>
            <w:vMerge/>
          </w:tcPr>
          <w:p w14:paraId="6A33E2C8" w14:textId="77777777" w:rsidR="008A678D" w:rsidRPr="00783571" w:rsidRDefault="008A678D" w:rsidP="00786484">
            <w:pPr>
              <w:pStyle w:val="TableText"/>
              <w:rPr>
                <w:bCs/>
                <w:szCs w:val="22"/>
              </w:rPr>
            </w:pPr>
          </w:p>
        </w:tc>
        <w:tc>
          <w:tcPr>
            <w:tcW w:w="1808" w:type="dxa"/>
            <w:tcBorders>
              <w:bottom w:val="single" w:sz="6" w:space="0" w:color="808080" w:themeColor="background1" w:themeShade="80"/>
            </w:tcBorders>
          </w:tcPr>
          <w:p w14:paraId="63901362" w14:textId="77777777" w:rsidR="008A678D" w:rsidRPr="00783571" w:rsidRDefault="008A678D" w:rsidP="00786484">
            <w:pPr>
              <w:pStyle w:val="TableText"/>
              <w:rPr>
                <w:szCs w:val="22"/>
              </w:rPr>
            </w:pPr>
            <w:r w:rsidRPr="00783571">
              <w:rPr>
                <w:szCs w:val="22"/>
              </w:rPr>
              <w:t>ART adherence</w:t>
            </w:r>
          </w:p>
        </w:tc>
        <w:tc>
          <w:tcPr>
            <w:tcW w:w="2242" w:type="dxa"/>
            <w:tcBorders>
              <w:bottom w:val="single" w:sz="6" w:space="0" w:color="808080" w:themeColor="background1" w:themeShade="80"/>
            </w:tcBorders>
          </w:tcPr>
          <w:p w14:paraId="294472B1" w14:textId="77777777" w:rsidR="008A678D" w:rsidRPr="00783571" w:rsidRDefault="008A678D" w:rsidP="00786484">
            <w:pPr>
              <w:pStyle w:val="TableText"/>
              <w:rPr>
                <w:szCs w:val="22"/>
              </w:rPr>
            </w:pPr>
            <w:r w:rsidRPr="00783571">
              <w:rPr>
                <w:szCs w:val="22"/>
              </w:rPr>
              <w:t>85%</w:t>
            </w:r>
          </w:p>
        </w:tc>
        <w:tc>
          <w:tcPr>
            <w:tcW w:w="3269" w:type="dxa"/>
            <w:tcBorders>
              <w:bottom w:val="single" w:sz="6" w:space="0" w:color="808080" w:themeColor="background1" w:themeShade="80"/>
            </w:tcBorders>
          </w:tcPr>
          <w:p w14:paraId="41F0ACD8" w14:textId="77777777" w:rsidR="008A678D" w:rsidRPr="00783571" w:rsidRDefault="008A678D" w:rsidP="00786484">
            <w:pPr>
              <w:pStyle w:val="TableText"/>
              <w:rPr>
                <w:szCs w:val="22"/>
              </w:rPr>
            </w:pPr>
            <w:r w:rsidRPr="00783571">
              <w:rPr>
                <w:szCs w:val="22"/>
              </w:rPr>
              <w:t>Assumed</w:t>
            </w:r>
          </w:p>
        </w:tc>
      </w:tr>
      <w:tr w:rsidR="008A678D" w:rsidRPr="00783571" w14:paraId="66DFD334" w14:textId="77777777" w:rsidTr="00260D8A">
        <w:trPr>
          <w:cantSplit/>
        </w:trPr>
        <w:tc>
          <w:tcPr>
            <w:tcW w:w="2185" w:type="dxa"/>
            <w:vMerge/>
            <w:tcBorders>
              <w:bottom w:val="single" w:sz="6" w:space="0" w:color="808080" w:themeColor="background1" w:themeShade="80"/>
            </w:tcBorders>
          </w:tcPr>
          <w:p w14:paraId="78701BE3" w14:textId="77777777" w:rsidR="008A678D" w:rsidRPr="00783571" w:rsidRDefault="008A678D" w:rsidP="00786484">
            <w:pPr>
              <w:pStyle w:val="TableText"/>
              <w:rPr>
                <w:bCs/>
                <w:szCs w:val="22"/>
              </w:rPr>
            </w:pPr>
          </w:p>
        </w:tc>
        <w:tc>
          <w:tcPr>
            <w:tcW w:w="1808" w:type="dxa"/>
            <w:tcBorders>
              <w:top w:val="single" w:sz="6" w:space="0" w:color="808080" w:themeColor="background1" w:themeShade="80"/>
              <w:bottom w:val="single" w:sz="6" w:space="0" w:color="808080" w:themeColor="background1" w:themeShade="80"/>
            </w:tcBorders>
          </w:tcPr>
          <w:p w14:paraId="7FEACF05" w14:textId="77777777" w:rsidR="008A678D" w:rsidRPr="00783571" w:rsidRDefault="008A678D" w:rsidP="00786484">
            <w:pPr>
              <w:pStyle w:val="TableText"/>
              <w:rPr>
                <w:szCs w:val="22"/>
              </w:rPr>
            </w:pPr>
            <w:r w:rsidRPr="00783571">
              <w:rPr>
                <w:szCs w:val="22"/>
              </w:rPr>
              <w:t>PrEP</w:t>
            </w:r>
          </w:p>
        </w:tc>
        <w:tc>
          <w:tcPr>
            <w:tcW w:w="2242" w:type="dxa"/>
            <w:tcBorders>
              <w:top w:val="single" w:sz="6" w:space="0" w:color="808080" w:themeColor="background1" w:themeShade="80"/>
              <w:bottom w:val="single" w:sz="6" w:space="0" w:color="808080" w:themeColor="background1" w:themeShade="80"/>
            </w:tcBorders>
          </w:tcPr>
          <w:p w14:paraId="6E14E0E2" w14:textId="77777777" w:rsidR="008A678D" w:rsidRPr="00783571" w:rsidRDefault="008A678D" w:rsidP="00786484">
            <w:pPr>
              <w:pStyle w:val="TableText"/>
              <w:rPr>
                <w:szCs w:val="22"/>
              </w:rPr>
            </w:pPr>
            <w:r w:rsidRPr="00783571">
              <w:rPr>
                <w:szCs w:val="22"/>
              </w:rPr>
              <w:t>90%</w:t>
            </w:r>
          </w:p>
        </w:tc>
        <w:tc>
          <w:tcPr>
            <w:tcW w:w="3269" w:type="dxa"/>
            <w:tcBorders>
              <w:top w:val="single" w:sz="6" w:space="0" w:color="808080" w:themeColor="background1" w:themeShade="80"/>
              <w:bottom w:val="single" w:sz="6" w:space="0" w:color="808080" w:themeColor="background1" w:themeShade="80"/>
            </w:tcBorders>
          </w:tcPr>
          <w:p w14:paraId="320437DC" w14:textId="77777777" w:rsidR="008A678D" w:rsidRPr="00783571" w:rsidRDefault="008A678D" w:rsidP="00786484">
            <w:pPr>
              <w:pStyle w:val="TableText"/>
              <w:rPr>
                <w:szCs w:val="22"/>
              </w:rPr>
            </w:pPr>
            <w:r w:rsidRPr="00783571">
              <w:rPr>
                <w:szCs w:val="22"/>
              </w:rPr>
              <w:t>Assumed</w:t>
            </w:r>
          </w:p>
        </w:tc>
      </w:tr>
    </w:tbl>
    <w:p w14:paraId="64AEFDFD" w14:textId="304640D2" w:rsidR="00807C26" w:rsidRPr="00783571" w:rsidRDefault="00807C26" w:rsidP="00807C26">
      <w:pPr>
        <w:pStyle w:val="Tablecont"/>
      </w:pPr>
      <w:r w:rsidRPr="00783571">
        <w:t>(continued)</w:t>
      </w:r>
    </w:p>
    <w:p w14:paraId="64B31527" w14:textId="77777777" w:rsidR="0046162D" w:rsidRPr="00783571" w:rsidRDefault="0046162D">
      <w:pPr>
        <w:rPr>
          <w:b/>
        </w:rPr>
      </w:pPr>
      <w:bookmarkStart w:id="96" w:name="_Toc462140644"/>
      <w:r w:rsidRPr="00783571">
        <w:br w:type="page"/>
      </w:r>
    </w:p>
    <w:p w14:paraId="07976978" w14:textId="78E783AA" w:rsidR="00807C26" w:rsidRPr="00783571" w:rsidRDefault="00807C26" w:rsidP="00741472">
      <w:pPr>
        <w:pStyle w:val="TableTitlecont"/>
      </w:pPr>
      <w:r w:rsidRPr="00783571">
        <w:t>Table 8.2.</w:t>
      </w:r>
      <w:r w:rsidRPr="00783571">
        <w:tab/>
        <w:t>Values and Sources for Key Inputs Specific to Interventions (continued)</w:t>
      </w:r>
      <w:bookmarkEnd w:id="96"/>
    </w:p>
    <w:tbl>
      <w:tblPr>
        <w:tblW w:w="9504" w:type="dxa"/>
        <w:tblBorders>
          <w:top w:val="single" w:sz="12" w:space="0" w:color="auto"/>
          <w:bottom w:val="single" w:sz="12" w:space="0" w:color="auto"/>
          <w:insideH w:val="single" w:sz="6" w:space="0" w:color="808080" w:themeColor="background1" w:themeShade="80"/>
        </w:tblBorders>
        <w:tblLayout w:type="fixed"/>
        <w:tblCellMar>
          <w:left w:w="58" w:type="dxa"/>
          <w:right w:w="58" w:type="dxa"/>
        </w:tblCellMar>
        <w:tblLook w:val="04A0" w:firstRow="1" w:lastRow="0" w:firstColumn="1" w:lastColumn="0" w:noHBand="0" w:noVBand="1"/>
      </w:tblPr>
      <w:tblGrid>
        <w:gridCol w:w="2185"/>
        <w:gridCol w:w="905"/>
        <w:gridCol w:w="903"/>
        <w:gridCol w:w="2242"/>
        <w:gridCol w:w="3269"/>
      </w:tblGrid>
      <w:tr w:rsidR="00807C26" w:rsidRPr="00783571" w14:paraId="5A05028D" w14:textId="77777777" w:rsidTr="00260D8A">
        <w:trPr>
          <w:cantSplit/>
        </w:trPr>
        <w:tc>
          <w:tcPr>
            <w:tcW w:w="3993" w:type="dxa"/>
            <w:gridSpan w:val="3"/>
            <w:tcBorders>
              <w:top w:val="single" w:sz="12" w:space="0" w:color="auto"/>
              <w:bottom w:val="single" w:sz="6" w:space="0" w:color="auto"/>
            </w:tcBorders>
          </w:tcPr>
          <w:p w14:paraId="56B5C934" w14:textId="77777777" w:rsidR="00807C26" w:rsidRPr="00783571" w:rsidRDefault="00807C26" w:rsidP="00871E69">
            <w:pPr>
              <w:pStyle w:val="TableHeaders"/>
              <w:keepNext/>
            </w:pPr>
            <w:r w:rsidRPr="00783571">
              <w:t>Input</w:t>
            </w:r>
          </w:p>
        </w:tc>
        <w:tc>
          <w:tcPr>
            <w:tcW w:w="2242" w:type="dxa"/>
            <w:tcBorders>
              <w:top w:val="single" w:sz="12" w:space="0" w:color="auto"/>
              <w:bottom w:val="single" w:sz="6" w:space="0" w:color="auto"/>
            </w:tcBorders>
          </w:tcPr>
          <w:p w14:paraId="16F4BAF7" w14:textId="77777777" w:rsidR="00807C26" w:rsidRPr="00783571" w:rsidRDefault="00807C26" w:rsidP="00871E69">
            <w:pPr>
              <w:pStyle w:val="TableHeaders"/>
              <w:keepNext/>
            </w:pPr>
            <w:r w:rsidRPr="00783571">
              <w:t>Value</w:t>
            </w:r>
          </w:p>
        </w:tc>
        <w:tc>
          <w:tcPr>
            <w:tcW w:w="3269" w:type="dxa"/>
            <w:tcBorders>
              <w:top w:val="single" w:sz="12" w:space="0" w:color="auto"/>
              <w:bottom w:val="single" w:sz="6" w:space="0" w:color="auto"/>
            </w:tcBorders>
          </w:tcPr>
          <w:p w14:paraId="45B55EDC" w14:textId="77777777" w:rsidR="00807C26" w:rsidRPr="00783571" w:rsidRDefault="00807C26" w:rsidP="00871E69">
            <w:pPr>
              <w:pStyle w:val="TableHeaders"/>
              <w:keepNext/>
            </w:pPr>
            <w:r w:rsidRPr="00783571">
              <w:t>Source</w:t>
            </w:r>
          </w:p>
        </w:tc>
      </w:tr>
      <w:tr w:rsidR="00357513" w:rsidRPr="00783571" w14:paraId="4A4576A4" w14:textId="77777777" w:rsidTr="00260D8A">
        <w:trPr>
          <w:cantSplit/>
        </w:trPr>
        <w:tc>
          <w:tcPr>
            <w:tcW w:w="2185" w:type="dxa"/>
            <w:vMerge w:val="restart"/>
          </w:tcPr>
          <w:p w14:paraId="44A7F7B2" w14:textId="5E80AAF7" w:rsidR="00357513" w:rsidRPr="00783571" w:rsidRDefault="00357513" w:rsidP="006B7FB3">
            <w:pPr>
              <w:pStyle w:val="TableText"/>
            </w:pPr>
            <w:r w:rsidRPr="00783571">
              <w:t>Current societal funding to intervention</w:t>
            </w:r>
            <w:r w:rsidR="00A968F8" w:rsidRPr="00783571">
              <w:t>s</w:t>
            </w:r>
            <w:r w:rsidRPr="00783571">
              <w:t xml:space="preserve"> (in millions), by targeted subpopulation</w:t>
            </w:r>
          </w:p>
        </w:tc>
        <w:tc>
          <w:tcPr>
            <w:tcW w:w="905" w:type="dxa"/>
            <w:vMerge w:val="restart"/>
          </w:tcPr>
          <w:p w14:paraId="7AD633A3" w14:textId="77777777" w:rsidR="00357513" w:rsidRPr="00783571" w:rsidRDefault="00357513" w:rsidP="00E57F46">
            <w:pPr>
              <w:pStyle w:val="TableText"/>
              <w:rPr>
                <w:color w:val="000000"/>
              </w:rPr>
            </w:pPr>
            <w:r w:rsidRPr="00783571">
              <w:rPr>
                <w:color w:val="000000"/>
              </w:rPr>
              <w:t>Testing</w:t>
            </w:r>
          </w:p>
        </w:tc>
        <w:tc>
          <w:tcPr>
            <w:tcW w:w="903" w:type="dxa"/>
          </w:tcPr>
          <w:p w14:paraId="0687FB77" w14:textId="77777777" w:rsidR="00357513" w:rsidRPr="00783571" w:rsidRDefault="00357513" w:rsidP="00E57F46">
            <w:pPr>
              <w:pStyle w:val="TableText"/>
              <w:rPr>
                <w:color w:val="000000"/>
              </w:rPr>
            </w:pPr>
            <w:r w:rsidRPr="00783571">
              <w:rPr>
                <w:color w:val="000000"/>
              </w:rPr>
              <w:t>HETs</w:t>
            </w:r>
          </w:p>
        </w:tc>
        <w:tc>
          <w:tcPr>
            <w:tcW w:w="2242" w:type="dxa"/>
          </w:tcPr>
          <w:p w14:paraId="51A7239D" w14:textId="597439B6" w:rsidR="00357513" w:rsidRPr="00783571" w:rsidRDefault="00357513" w:rsidP="00734E85">
            <w:pPr>
              <w:pStyle w:val="TableText"/>
            </w:pPr>
            <w:r w:rsidRPr="00783571">
              <w:t>Low-risk: $250.0</w:t>
            </w:r>
          </w:p>
          <w:p w14:paraId="29C6B277" w14:textId="452A95BD" w:rsidR="00357513" w:rsidRPr="00783571" w:rsidRDefault="00357513" w:rsidP="00734E85">
            <w:pPr>
              <w:pStyle w:val="TableText"/>
              <w:rPr>
                <w:color w:val="000000"/>
              </w:rPr>
            </w:pPr>
            <w:r w:rsidRPr="00783571">
              <w:t>High-risk: $15.8</w:t>
            </w:r>
          </w:p>
        </w:tc>
        <w:tc>
          <w:tcPr>
            <w:tcW w:w="3269" w:type="dxa"/>
            <w:vMerge w:val="restart"/>
          </w:tcPr>
          <w:p w14:paraId="5641F87D" w14:textId="5FE7D8EB" w:rsidR="00357513" w:rsidRPr="00783571" w:rsidRDefault="00357513" w:rsidP="005E0BB7">
            <w:pPr>
              <w:pStyle w:val="TableText"/>
              <w:rPr>
                <w:color w:val="000000"/>
              </w:rPr>
            </w:pPr>
            <w:r w:rsidRPr="00783571">
              <w:t xml:space="preserve">Back-calculated based on unit costs of each interventions to create rates of progression that lead to distributions across the </w:t>
            </w:r>
            <w:r w:rsidR="003F2DC6" w:rsidRPr="00783571">
              <w:t>care continuum</w:t>
            </w:r>
            <w:r w:rsidRPr="00783571">
              <w:t xml:space="preserve"> that match published literature (calibration of model to these distributions explained in </w:t>
            </w:r>
            <w:r w:rsidR="00CA2896" w:rsidRPr="00783571">
              <w:t>Section </w:t>
            </w:r>
            <w:r w:rsidRPr="00783571">
              <w:t>10.1).</w:t>
            </w:r>
          </w:p>
          <w:p w14:paraId="46B9357A" w14:textId="4FC6B803" w:rsidR="00357513" w:rsidRPr="00783571" w:rsidRDefault="00357513" w:rsidP="00E57F46">
            <w:pPr>
              <w:pStyle w:val="TableText"/>
              <w:rPr>
                <w:color w:val="000000"/>
              </w:rPr>
            </w:pPr>
          </w:p>
        </w:tc>
      </w:tr>
      <w:tr w:rsidR="00357513" w:rsidRPr="00783571" w14:paraId="7E8E0F47" w14:textId="77777777" w:rsidTr="00260D8A">
        <w:trPr>
          <w:cantSplit/>
        </w:trPr>
        <w:tc>
          <w:tcPr>
            <w:tcW w:w="2185" w:type="dxa"/>
            <w:vMerge/>
          </w:tcPr>
          <w:p w14:paraId="65E54BF1" w14:textId="77777777" w:rsidR="00357513" w:rsidRPr="00783571" w:rsidRDefault="00357513" w:rsidP="00E57F46">
            <w:pPr>
              <w:pStyle w:val="TableText"/>
            </w:pPr>
          </w:p>
        </w:tc>
        <w:tc>
          <w:tcPr>
            <w:tcW w:w="905" w:type="dxa"/>
            <w:vMerge/>
          </w:tcPr>
          <w:p w14:paraId="289F38A4" w14:textId="77777777" w:rsidR="00357513" w:rsidRPr="00783571" w:rsidRDefault="00357513" w:rsidP="00E57F46">
            <w:pPr>
              <w:pStyle w:val="TableText"/>
              <w:rPr>
                <w:color w:val="000000"/>
              </w:rPr>
            </w:pPr>
          </w:p>
        </w:tc>
        <w:tc>
          <w:tcPr>
            <w:tcW w:w="903" w:type="dxa"/>
          </w:tcPr>
          <w:p w14:paraId="7F4CA81E" w14:textId="77777777" w:rsidR="00357513" w:rsidRPr="00783571" w:rsidRDefault="00357513" w:rsidP="00E57F46">
            <w:pPr>
              <w:pStyle w:val="TableText"/>
              <w:rPr>
                <w:color w:val="000000"/>
              </w:rPr>
            </w:pPr>
            <w:r w:rsidRPr="00783571">
              <w:rPr>
                <w:color w:val="000000"/>
              </w:rPr>
              <w:t>MSM</w:t>
            </w:r>
          </w:p>
        </w:tc>
        <w:tc>
          <w:tcPr>
            <w:tcW w:w="2242" w:type="dxa"/>
          </w:tcPr>
          <w:p w14:paraId="0EE72BBA" w14:textId="5528F44B" w:rsidR="00357513" w:rsidRPr="00783571" w:rsidRDefault="00357513" w:rsidP="00734E85">
            <w:pPr>
              <w:pStyle w:val="TableText"/>
            </w:pPr>
            <w:r w:rsidRPr="00783571">
              <w:t>Low-risk: $3.7</w:t>
            </w:r>
          </w:p>
          <w:p w14:paraId="3ADA7E1C" w14:textId="7F31D2B5" w:rsidR="00357513" w:rsidRPr="00783571" w:rsidRDefault="00357513" w:rsidP="00734E85">
            <w:pPr>
              <w:pStyle w:val="TableText"/>
              <w:rPr>
                <w:color w:val="000000"/>
              </w:rPr>
            </w:pPr>
            <w:r w:rsidRPr="00783571">
              <w:t>High-risk: $7.5</w:t>
            </w:r>
          </w:p>
        </w:tc>
        <w:tc>
          <w:tcPr>
            <w:tcW w:w="3269" w:type="dxa"/>
            <w:vMerge/>
          </w:tcPr>
          <w:p w14:paraId="6B24D1B5" w14:textId="687471E3" w:rsidR="00357513" w:rsidRPr="00783571" w:rsidRDefault="00357513" w:rsidP="00E57F46">
            <w:pPr>
              <w:pStyle w:val="TableText"/>
              <w:rPr>
                <w:color w:val="000000"/>
              </w:rPr>
            </w:pPr>
          </w:p>
        </w:tc>
      </w:tr>
      <w:tr w:rsidR="00357513" w:rsidRPr="00783571" w14:paraId="57A67854" w14:textId="77777777" w:rsidTr="00260D8A">
        <w:trPr>
          <w:cantSplit/>
        </w:trPr>
        <w:tc>
          <w:tcPr>
            <w:tcW w:w="2185" w:type="dxa"/>
            <w:vMerge/>
          </w:tcPr>
          <w:p w14:paraId="2AED00AB" w14:textId="77777777" w:rsidR="00357513" w:rsidRPr="00783571" w:rsidRDefault="00357513" w:rsidP="00E57F46">
            <w:pPr>
              <w:pStyle w:val="TableText"/>
            </w:pPr>
          </w:p>
        </w:tc>
        <w:tc>
          <w:tcPr>
            <w:tcW w:w="905" w:type="dxa"/>
            <w:vMerge/>
          </w:tcPr>
          <w:p w14:paraId="613F6CEC" w14:textId="77777777" w:rsidR="00357513" w:rsidRPr="00783571" w:rsidRDefault="00357513" w:rsidP="00E57F46">
            <w:pPr>
              <w:pStyle w:val="TableText"/>
              <w:rPr>
                <w:color w:val="000000"/>
              </w:rPr>
            </w:pPr>
          </w:p>
        </w:tc>
        <w:tc>
          <w:tcPr>
            <w:tcW w:w="903" w:type="dxa"/>
          </w:tcPr>
          <w:p w14:paraId="59427A8A" w14:textId="77777777" w:rsidR="00357513" w:rsidRPr="00783571" w:rsidRDefault="00357513" w:rsidP="00E57F46">
            <w:pPr>
              <w:pStyle w:val="TableText"/>
              <w:rPr>
                <w:color w:val="000000"/>
              </w:rPr>
            </w:pPr>
            <w:r w:rsidRPr="00783571">
              <w:rPr>
                <w:color w:val="000000"/>
              </w:rPr>
              <w:t>PWID</w:t>
            </w:r>
          </w:p>
        </w:tc>
        <w:tc>
          <w:tcPr>
            <w:tcW w:w="2242" w:type="dxa"/>
          </w:tcPr>
          <w:p w14:paraId="6663F40B" w14:textId="49C46336" w:rsidR="00357513" w:rsidRPr="00783571" w:rsidRDefault="00357513" w:rsidP="00E57F46">
            <w:pPr>
              <w:pStyle w:val="TableText"/>
              <w:rPr>
                <w:color w:val="000000"/>
              </w:rPr>
            </w:pPr>
            <w:r w:rsidRPr="00783571">
              <w:rPr>
                <w:color w:val="000000"/>
              </w:rPr>
              <w:t>$1.2</w:t>
            </w:r>
          </w:p>
        </w:tc>
        <w:tc>
          <w:tcPr>
            <w:tcW w:w="3269" w:type="dxa"/>
            <w:vMerge/>
          </w:tcPr>
          <w:p w14:paraId="23964A20" w14:textId="140FC2F0" w:rsidR="00357513" w:rsidRPr="00783571" w:rsidRDefault="00357513" w:rsidP="00E57F46">
            <w:pPr>
              <w:pStyle w:val="TableText"/>
              <w:rPr>
                <w:color w:val="000000"/>
              </w:rPr>
            </w:pPr>
          </w:p>
        </w:tc>
      </w:tr>
      <w:tr w:rsidR="00357513" w:rsidRPr="00783571" w14:paraId="7733F712" w14:textId="77777777" w:rsidTr="00260D8A">
        <w:trPr>
          <w:cantSplit/>
        </w:trPr>
        <w:tc>
          <w:tcPr>
            <w:tcW w:w="2185" w:type="dxa"/>
            <w:vMerge/>
          </w:tcPr>
          <w:p w14:paraId="28630C07" w14:textId="77777777" w:rsidR="00357513" w:rsidRPr="00783571" w:rsidRDefault="00357513" w:rsidP="00E57F46">
            <w:pPr>
              <w:pStyle w:val="TableText"/>
              <w:rPr>
                <w:bCs/>
                <w:szCs w:val="22"/>
              </w:rPr>
            </w:pPr>
          </w:p>
        </w:tc>
        <w:tc>
          <w:tcPr>
            <w:tcW w:w="1808" w:type="dxa"/>
            <w:gridSpan w:val="2"/>
          </w:tcPr>
          <w:p w14:paraId="7AD13664" w14:textId="77777777" w:rsidR="00357513" w:rsidRPr="00783571" w:rsidRDefault="00357513" w:rsidP="00E57F46">
            <w:pPr>
              <w:pStyle w:val="TableText"/>
              <w:rPr>
                <w:szCs w:val="22"/>
              </w:rPr>
            </w:pPr>
            <w:r w:rsidRPr="00783571">
              <w:rPr>
                <w:szCs w:val="22"/>
              </w:rPr>
              <w:t>LTC at diagnosis</w:t>
            </w:r>
          </w:p>
        </w:tc>
        <w:tc>
          <w:tcPr>
            <w:tcW w:w="2242" w:type="dxa"/>
          </w:tcPr>
          <w:p w14:paraId="47208FF7" w14:textId="3B9B32BC" w:rsidR="00357513" w:rsidRPr="00783571" w:rsidRDefault="00357513" w:rsidP="00E57F46">
            <w:pPr>
              <w:pStyle w:val="TableText"/>
              <w:rPr>
                <w:szCs w:val="22"/>
              </w:rPr>
            </w:pPr>
            <w:r w:rsidRPr="00783571">
              <w:rPr>
                <w:color w:val="000000"/>
                <w:szCs w:val="22"/>
              </w:rPr>
              <w:t>$11.6</w:t>
            </w:r>
          </w:p>
        </w:tc>
        <w:tc>
          <w:tcPr>
            <w:tcW w:w="3269" w:type="dxa"/>
            <w:vMerge/>
          </w:tcPr>
          <w:p w14:paraId="473FD750" w14:textId="5E0F6300" w:rsidR="00357513" w:rsidRPr="00783571" w:rsidRDefault="00357513" w:rsidP="00E57F46">
            <w:pPr>
              <w:pStyle w:val="TableText"/>
              <w:rPr>
                <w:szCs w:val="22"/>
              </w:rPr>
            </w:pPr>
          </w:p>
        </w:tc>
      </w:tr>
      <w:tr w:rsidR="00357513" w:rsidRPr="00783571" w14:paraId="370F5666" w14:textId="77777777" w:rsidTr="00260D8A">
        <w:trPr>
          <w:cantSplit/>
        </w:trPr>
        <w:tc>
          <w:tcPr>
            <w:tcW w:w="2185" w:type="dxa"/>
            <w:vMerge/>
          </w:tcPr>
          <w:p w14:paraId="31B65AB5" w14:textId="77777777" w:rsidR="00357513" w:rsidRPr="00783571" w:rsidRDefault="00357513" w:rsidP="00E57F46">
            <w:pPr>
              <w:pStyle w:val="TableText"/>
              <w:rPr>
                <w:bCs/>
                <w:szCs w:val="22"/>
              </w:rPr>
            </w:pPr>
          </w:p>
        </w:tc>
        <w:tc>
          <w:tcPr>
            <w:tcW w:w="1808" w:type="dxa"/>
            <w:gridSpan w:val="2"/>
          </w:tcPr>
          <w:p w14:paraId="3BC2B1D0" w14:textId="6272616B" w:rsidR="00357513" w:rsidRPr="00783571" w:rsidRDefault="00357513" w:rsidP="00E57F46">
            <w:pPr>
              <w:pStyle w:val="TableText"/>
              <w:rPr>
                <w:szCs w:val="22"/>
              </w:rPr>
            </w:pPr>
            <w:r w:rsidRPr="00783571">
              <w:rPr>
                <w:szCs w:val="22"/>
              </w:rPr>
              <w:t>LTC after diagnosis</w:t>
            </w:r>
          </w:p>
        </w:tc>
        <w:tc>
          <w:tcPr>
            <w:tcW w:w="2242" w:type="dxa"/>
          </w:tcPr>
          <w:p w14:paraId="372C4D28" w14:textId="28DDE466" w:rsidR="00357513" w:rsidRPr="00783571" w:rsidRDefault="00357513" w:rsidP="00E57F46">
            <w:pPr>
              <w:pStyle w:val="TableText"/>
              <w:rPr>
                <w:color w:val="000000"/>
                <w:szCs w:val="22"/>
              </w:rPr>
            </w:pPr>
            <w:r w:rsidRPr="00783571">
              <w:rPr>
                <w:color w:val="000000"/>
                <w:szCs w:val="22"/>
              </w:rPr>
              <w:t>$28.8</w:t>
            </w:r>
          </w:p>
        </w:tc>
        <w:tc>
          <w:tcPr>
            <w:tcW w:w="3269" w:type="dxa"/>
            <w:vMerge/>
          </w:tcPr>
          <w:p w14:paraId="3998D425" w14:textId="48F3CAC5" w:rsidR="00357513" w:rsidRPr="00783571" w:rsidRDefault="00357513" w:rsidP="00E57F46">
            <w:pPr>
              <w:pStyle w:val="TableText"/>
              <w:rPr>
                <w:szCs w:val="22"/>
              </w:rPr>
            </w:pPr>
          </w:p>
        </w:tc>
      </w:tr>
      <w:tr w:rsidR="00357513" w:rsidRPr="00783571" w14:paraId="35461B4B" w14:textId="77777777" w:rsidTr="00260D8A">
        <w:trPr>
          <w:cantSplit/>
        </w:trPr>
        <w:tc>
          <w:tcPr>
            <w:tcW w:w="2185" w:type="dxa"/>
            <w:vMerge/>
          </w:tcPr>
          <w:p w14:paraId="3A514248" w14:textId="77777777" w:rsidR="00357513" w:rsidRPr="00783571" w:rsidRDefault="00357513" w:rsidP="00E57F46">
            <w:pPr>
              <w:pStyle w:val="TableText"/>
              <w:rPr>
                <w:bCs/>
                <w:szCs w:val="22"/>
              </w:rPr>
            </w:pPr>
          </w:p>
        </w:tc>
        <w:tc>
          <w:tcPr>
            <w:tcW w:w="1808" w:type="dxa"/>
            <w:gridSpan w:val="2"/>
          </w:tcPr>
          <w:p w14:paraId="5A688814" w14:textId="10D3C410" w:rsidR="00357513" w:rsidRPr="00783571" w:rsidRDefault="00357513" w:rsidP="00E57F46">
            <w:pPr>
              <w:pStyle w:val="TableText"/>
              <w:rPr>
                <w:szCs w:val="22"/>
              </w:rPr>
            </w:pPr>
            <w:r w:rsidRPr="00783571">
              <w:rPr>
                <w:szCs w:val="22"/>
              </w:rPr>
              <w:t>ART prescription</w:t>
            </w:r>
          </w:p>
        </w:tc>
        <w:tc>
          <w:tcPr>
            <w:tcW w:w="2242" w:type="dxa"/>
          </w:tcPr>
          <w:p w14:paraId="7739472C" w14:textId="175B8C6F" w:rsidR="00357513" w:rsidRPr="00783571" w:rsidRDefault="00357513" w:rsidP="00E57F46">
            <w:pPr>
              <w:pStyle w:val="TableText"/>
              <w:rPr>
                <w:color w:val="000000"/>
                <w:szCs w:val="22"/>
              </w:rPr>
            </w:pPr>
            <w:r w:rsidRPr="00783571">
              <w:rPr>
                <w:color w:val="000000"/>
                <w:szCs w:val="22"/>
              </w:rPr>
              <w:t>$64.8</w:t>
            </w:r>
          </w:p>
        </w:tc>
        <w:tc>
          <w:tcPr>
            <w:tcW w:w="3269" w:type="dxa"/>
            <w:vMerge/>
          </w:tcPr>
          <w:p w14:paraId="6B6C5001" w14:textId="0D8D218C" w:rsidR="00357513" w:rsidRPr="00783571" w:rsidRDefault="00357513" w:rsidP="00E57F46">
            <w:pPr>
              <w:pStyle w:val="TableText"/>
              <w:rPr>
                <w:szCs w:val="22"/>
              </w:rPr>
            </w:pPr>
          </w:p>
        </w:tc>
      </w:tr>
      <w:tr w:rsidR="00357513" w:rsidRPr="00783571" w14:paraId="771933D1" w14:textId="77777777" w:rsidTr="00260D8A">
        <w:trPr>
          <w:cantSplit/>
        </w:trPr>
        <w:tc>
          <w:tcPr>
            <w:tcW w:w="2185" w:type="dxa"/>
            <w:vMerge/>
          </w:tcPr>
          <w:p w14:paraId="7BD9A95A" w14:textId="77777777" w:rsidR="00357513" w:rsidRPr="00783571" w:rsidRDefault="00357513" w:rsidP="00E57F46">
            <w:pPr>
              <w:pStyle w:val="TableText"/>
              <w:rPr>
                <w:bCs/>
                <w:szCs w:val="22"/>
              </w:rPr>
            </w:pPr>
          </w:p>
        </w:tc>
        <w:tc>
          <w:tcPr>
            <w:tcW w:w="1808" w:type="dxa"/>
            <w:gridSpan w:val="2"/>
          </w:tcPr>
          <w:p w14:paraId="6842CFB0" w14:textId="38715C9E" w:rsidR="00357513" w:rsidRPr="00783571" w:rsidRDefault="00357513" w:rsidP="00E57F46">
            <w:pPr>
              <w:pStyle w:val="TableText"/>
              <w:rPr>
                <w:szCs w:val="22"/>
              </w:rPr>
            </w:pPr>
            <w:r w:rsidRPr="00783571">
              <w:rPr>
                <w:szCs w:val="22"/>
              </w:rPr>
              <w:t>ART adherence (to remain VLS)</w:t>
            </w:r>
          </w:p>
        </w:tc>
        <w:tc>
          <w:tcPr>
            <w:tcW w:w="2242" w:type="dxa"/>
          </w:tcPr>
          <w:p w14:paraId="662685A7" w14:textId="00991D23" w:rsidR="00357513" w:rsidRPr="00783571" w:rsidRDefault="00357513" w:rsidP="00E57F46">
            <w:pPr>
              <w:pStyle w:val="TableText"/>
              <w:rPr>
                <w:color w:val="000000"/>
                <w:szCs w:val="22"/>
              </w:rPr>
            </w:pPr>
            <w:r w:rsidRPr="00783571">
              <w:rPr>
                <w:color w:val="000000"/>
                <w:szCs w:val="22"/>
              </w:rPr>
              <w:t>$0.4</w:t>
            </w:r>
          </w:p>
        </w:tc>
        <w:tc>
          <w:tcPr>
            <w:tcW w:w="3269" w:type="dxa"/>
            <w:vMerge/>
          </w:tcPr>
          <w:p w14:paraId="6EE23507" w14:textId="2C0C9B41" w:rsidR="00357513" w:rsidRPr="00783571" w:rsidRDefault="00357513" w:rsidP="00E57F46">
            <w:pPr>
              <w:pStyle w:val="TableText"/>
              <w:rPr>
                <w:szCs w:val="22"/>
              </w:rPr>
            </w:pPr>
          </w:p>
        </w:tc>
      </w:tr>
      <w:tr w:rsidR="00357513" w:rsidRPr="00783571" w14:paraId="76F6E49B" w14:textId="77777777" w:rsidTr="00260D8A">
        <w:trPr>
          <w:cantSplit/>
        </w:trPr>
        <w:tc>
          <w:tcPr>
            <w:tcW w:w="2185" w:type="dxa"/>
            <w:vMerge/>
          </w:tcPr>
          <w:p w14:paraId="1F9A53AB" w14:textId="77777777" w:rsidR="00357513" w:rsidRPr="00783571" w:rsidRDefault="00357513" w:rsidP="00E57F46">
            <w:pPr>
              <w:pStyle w:val="TableText"/>
              <w:rPr>
                <w:bCs/>
                <w:szCs w:val="22"/>
              </w:rPr>
            </w:pPr>
          </w:p>
        </w:tc>
        <w:tc>
          <w:tcPr>
            <w:tcW w:w="1808" w:type="dxa"/>
            <w:gridSpan w:val="2"/>
          </w:tcPr>
          <w:p w14:paraId="7E8890C6" w14:textId="1CE5D6E2" w:rsidR="00357513" w:rsidRPr="00783571" w:rsidRDefault="00357513" w:rsidP="00E57F46">
            <w:pPr>
              <w:pStyle w:val="TableText"/>
              <w:rPr>
                <w:szCs w:val="22"/>
              </w:rPr>
            </w:pPr>
            <w:r w:rsidRPr="00783571">
              <w:rPr>
                <w:szCs w:val="22"/>
              </w:rPr>
              <w:t>ART adherence (to become VLS)</w:t>
            </w:r>
          </w:p>
        </w:tc>
        <w:tc>
          <w:tcPr>
            <w:tcW w:w="2242" w:type="dxa"/>
          </w:tcPr>
          <w:p w14:paraId="5826EAF9" w14:textId="03500FA9" w:rsidR="00357513" w:rsidRPr="00783571" w:rsidRDefault="00357513" w:rsidP="00E57F46">
            <w:pPr>
              <w:pStyle w:val="TableText"/>
              <w:rPr>
                <w:szCs w:val="22"/>
              </w:rPr>
            </w:pPr>
            <w:r w:rsidRPr="00783571">
              <w:rPr>
                <w:color w:val="000000"/>
                <w:szCs w:val="22"/>
              </w:rPr>
              <w:t>$270.0</w:t>
            </w:r>
          </w:p>
        </w:tc>
        <w:tc>
          <w:tcPr>
            <w:tcW w:w="3269" w:type="dxa"/>
            <w:vMerge/>
          </w:tcPr>
          <w:p w14:paraId="681133A3" w14:textId="49157675" w:rsidR="00357513" w:rsidRPr="00783571" w:rsidRDefault="00357513" w:rsidP="00E57F46">
            <w:pPr>
              <w:pStyle w:val="TableText"/>
              <w:rPr>
                <w:szCs w:val="22"/>
              </w:rPr>
            </w:pPr>
          </w:p>
        </w:tc>
      </w:tr>
      <w:tr w:rsidR="00357513" w:rsidRPr="00783571" w14:paraId="47F19DAD" w14:textId="77777777" w:rsidTr="00260D8A">
        <w:trPr>
          <w:cantSplit/>
        </w:trPr>
        <w:tc>
          <w:tcPr>
            <w:tcW w:w="2185" w:type="dxa"/>
            <w:vMerge/>
          </w:tcPr>
          <w:p w14:paraId="78ACF9D4" w14:textId="77777777" w:rsidR="00357513" w:rsidRPr="00783571" w:rsidRDefault="00357513" w:rsidP="00E57F46">
            <w:pPr>
              <w:pStyle w:val="TableText"/>
              <w:rPr>
                <w:bCs/>
                <w:szCs w:val="22"/>
              </w:rPr>
            </w:pPr>
          </w:p>
        </w:tc>
        <w:tc>
          <w:tcPr>
            <w:tcW w:w="905" w:type="dxa"/>
            <w:vMerge w:val="restart"/>
          </w:tcPr>
          <w:p w14:paraId="1EF92D08" w14:textId="77777777" w:rsidR="00357513" w:rsidRPr="00783571" w:rsidRDefault="00357513" w:rsidP="00E57F46">
            <w:pPr>
              <w:pStyle w:val="TableText"/>
              <w:rPr>
                <w:szCs w:val="22"/>
              </w:rPr>
            </w:pPr>
            <w:r w:rsidRPr="00783571">
              <w:rPr>
                <w:szCs w:val="22"/>
              </w:rPr>
              <w:t>PrEP</w:t>
            </w:r>
          </w:p>
        </w:tc>
        <w:tc>
          <w:tcPr>
            <w:tcW w:w="903" w:type="dxa"/>
          </w:tcPr>
          <w:p w14:paraId="58415EDA" w14:textId="77777777" w:rsidR="00357513" w:rsidRPr="00783571" w:rsidRDefault="00357513" w:rsidP="00E57F46">
            <w:pPr>
              <w:pStyle w:val="TableText"/>
              <w:rPr>
                <w:szCs w:val="22"/>
              </w:rPr>
            </w:pPr>
            <w:r w:rsidRPr="00783571">
              <w:rPr>
                <w:color w:val="000000"/>
                <w:szCs w:val="22"/>
              </w:rPr>
              <w:t>HETs</w:t>
            </w:r>
          </w:p>
        </w:tc>
        <w:tc>
          <w:tcPr>
            <w:tcW w:w="2242" w:type="dxa"/>
            <w:vMerge w:val="restart"/>
          </w:tcPr>
          <w:p w14:paraId="5EE0ADF4" w14:textId="77777777" w:rsidR="00357513" w:rsidRPr="00783571" w:rsidRDefault="00357513" w:rsidP="00E57F46">
            <w:pPr>
              <w:pStyle w:val="TableText"/>
              <w:rPr>
                <w:szCs w:val="22"/>
              </w:rPr>
            </w:pPr>
            <w:r w:rsidRPr="00783571">
              <w:rPr>
                <w:color w:val="000000"/>
                <w:szCs w:val="22"/>
              </w:rPr>
              <w:t>$0</w:t>
            </w:r>
          </w:p>
        </w:tc>
        <w:tc>
          <w:tcPr>
            <w:tcW w:w="3269" w:type="dxa"/>
            <w:vMerge/>
          </w:tcPr>
          <w:p w14:paraId="6C7E64E5" w14:textId="585B9A54" w:rsidR="00357513" w:rsidRPr="00783571" w:rsidRDefault="00357513" w:rsidP="00E57F46">
            <w:pPr>
              <w:pStyle w:val="TableText"/>
              <w:rPr>
                <w:szCs w:val="22"/>
              </w:rPr>
            </w:pPr>
          </w:p>
        </w:tc>
      </w:tr>
      <w:tr w:rsidR="00357513" w:rsidRPr="00783571" w14:paraId="6CEDEF33" w14:textId="77777777" w:rsidTr="00260D8A">
        <w:trPr>
          <w:cantSplit/>
        </w:trPr>
        <w:tc>
          <w:tcPr>
            <w:tcW w:w="2185" w:type="dxa"/>
            <w:vMerge/>
          </w:tcPr>
          <w:p w14:paraId="1B3AD2B0" w14:textId="77777777" w:rsidR="00357513" w:rsidRPr="00783571" w:rsidRDefault="00357513" w:rsidP="003F5E49">
            <w:pPr>
              <w:pStyle w:val="Tabletext0"/>
              <w:ind w:left="108"/>
              <w:rPr>
                <w:b/>
                <w:bCs/>
                <w:szCs w:val="22"/>
              </w:rPr>
            </w:pPr>
          </w:p>
        </w:tc>
        <w:tc>
          <w:tcPr>
            <w:tcW w:w="905" w:type="dxa"/>
            <w:vMerge/>
          </w:tcPr>
          <w:p w14:paraId="3AB15F70" w14:textId="77777777" w:rsidR="00357513" w:rsidRPr="00783571" w:rsidRDefault="00357513" w:rsidP="003F5E49">
            <w:pPr>
              <w:pStyle w:val="Tabletext0"/>
              <w:ind w:left="90"/>
              <w:rPr>
                <w:szCs w:val="22"/>
              </w:rPr>
            </w:pPr>
          </w:p>
        </w:tc>
        <w:tc>
          <w:tcPr>
            <w:tcW w:w="903" w:type="dxa"/>
          </w:tcPr>
          <w:p w14:paraId="41A719B0" w14:textId="77777777" w:rsidR="00357513" w:rsidRPr="00783571" w:rsidRDefault="00357513" w:rsidP="00E57F46">
            <w:pPr>
              <w:pStyle w:val="TableText"/>
            </w:pPr>
            <w:r w:rsidRPr="00783571">
              <w:t>MSM</w:t>
            </w:r>
          </w:p>
        </w:tc>
        <w:tc>
          <w:tcPr>
            <w:tcW w:w="2242" w:type="dxa"/>
            <w:vMerge/>
          </w:tcPr>
          <w:p w14:paraId="42915226" w14:textId="77777777" w:rsidR="00357513" w:rsidRPr="00783571" w:rsidRDefault="00357513" w:rsidP="003F5E49">
            <w:pPr>
              <w:pStyle w:val="Tabletext0"/>
              <w:ind w:left="90"/>
              <w:rPr>
                <w:color w:val="000000"/>
                <w:szCs w:val="22"/>
              </w:rPr>
            </w:pPr>
          </w:p>
        </w:tc>
        <w:tc>
          <w:tcPr>
            <w:tcW w:w="3269" w:type="dxa"/>
            <w:vMerge/>
          </w:tcPr>
          <w:p w14:paraId="5C095425" w14:textId="77777777" w:rsidR="00357513" w:rsidRPr="00783571" w:rsidRDefault="00357513" w:rsidP="003F5E49">
            <w:pPr>
              <w:pStyle w:val="Tabletext0"/>
              <w:ind w:left="90"/>
              <w:rPr>
                <w:color w:val="000000"/>
                <w:szCs w:val="22"/>
              </w:rPr>
            </w:pPr>
          </w:p>
        </w:tc>
      </w:tr>
      <w:tr w:rsidR="00357513" w:rsidRPr="00783571" w14:paraId="229F0DD0" w14:textId="77777777" w:rsidTr="00260D8A">
        <w:trPr>
          <w:cantSplit/>
        </w:trPr>
        <w:tc>
          <w:tcPr>
            <w:tcW w:w="2185" w:type="dxa"/>
            <w:vMerge/>
          </w:tcPr>
          <w:p w14:paraId="7EFE569C" w14:textId="77777777" w:rsidR="00357513" w:rsidRPr="00783571" w:rsidRDefault="00357513" w:rsidP="003F5E49">
            <w:pPr>
              <w:pStyle w:val="Tabletext0"/>
              <w:ind w:left="108"/>
              <w:rPr>
                <w:b/>
                <w:bCs/>
                <w:szCs w:val="22"/>
              </w:rPr>
            </w:pPr>
          </w:p>
        </w:tc>
        <w:tc>
          <w:tcPr>
            <w:tcW w:w="905" w:type="dxa"/>
            <w:vMerge/>
          </w:tcPr>
          <w:p w14:paraId="7E4D8BD7" w14:textId="77777777" w:rsidR="00357513" w:rsidRPr="00783571" w:rsidRDefault="00357513" w:rsidP="003F5E49">
            <w:pPr>
              <w:pStyle w:val="Tabletext0"/>
              <w:ind w:left="90"/>
              <w:rPr>
                <w:szCs w:val="22"/>
              </w:rPr>
            </w:pPr>
          </w:p>
        </w:tc>
        <w:tc>
          <w:tcPr>
            <w:tcW w:w="903" w:type="dxa"/>
          </w:tcPr>
          <w:p w14:paraId="7FFAA9F8" w14:textId="77777777" w:rsidR="00357513" w:rsidRPr="00783571" w:rsidRDefault="00357513" w:rsidP="00E57F46">
            <w:pPr>
              <w:pStyle w:val="TableText"/>
            </w:pPr>
            <w:r w:rsidRPr="00783571">
              <w:t>PWID</w:t>
            </w:r>
          </w:p>
        </w:tc>
        <w:tc>
          <w:tcPr>
            <w:tcW w:w="2242" w:type="dxa"/>
            <w:vMerge/>
          </w:tcPr>
          <w:p w14:paraId="4E577A77" w14:textId="77777777" w:rsidR="00357513" w:rsidRPr="00783571" w:rsidRDefault="00357513" w:rsidP="003F5E49">
            <w:pPr>
              <w:pStyle w:val="Tabletext0"/>
              <w:ind w:left="90"/>
              <w:rPr>
                <w:color w:val="000000"/>
                <w:szCs w:val="22"/>
              </w:rPr>
            </w:pPr>
          </w:p>
        </w:tc>
        <w:tc>
          <w:tcPr>
            <w:tcW w:w="3269" w:type="dxa"/>
            <w:vMerge/>
          </w:tcPr>
          <w:p w14:paraId="0D020C50" w14:textId="77777777" w:rsidR="00357513" w:rsidRPr="00783571" w:rsidRDefault="00357513" w:rsidP="003F5E49">
            <w:pPr>
              <w:pStyle w:val="Tabletext0"/>
              <w:ind w:left="90"/>
              <w:rPr>
                <w:color w:val="000000"/>
                <w:szCs w:val="22"/>
              </w:rPr>
            </w:pPr>
          </w:p>
        </w:tc>
      </w:tr>
    </w:tbl>
    <w:p w14:paraId="2EAF6602" w14:textId="431235BB" w:rsidR="008F1692" w:rsidRPr="00783571" w:rsidRDefault="008F1692" w:rsidP="00017038">
      <w:pPr>
        <w:pStyle w:val="Source2"/>
      </w:pPr>
      <w:r w:rsidRPr="00783571">
        <w:t>Note: ART</w:t>
      </w:r>
      <w:r w:rsidR="00E628BE" w:rsidRPr="00783571">
        <w:t> = </w:t>
      </w:r>
      <w:r w:rsidRPr="00783571">
        <w:t>antiretroviral therapy, HET</w:t>
      </w:r>
      <w:r w:rsidR="00E628BE" w:rsidRPr="00783571">
        <w:t> = </w:t>
      </w:r>
      <w:r w:rsidRPr="00783571">
        <w:t>heterosexual, LTC</w:t>
      </w:r>
      <w:r w:rsidR="00E628BE" w:rsidRPr="00783571">
        <w:t> = </w:t>
      </w:r>
      <w:r w:rsidRPr="00783571">
        <w:t xml:space="preserve">linkage to </w:t>
      </w:r>
      <w:r w:rsidR="003C0141" w:rsidRPr="00783571">
        <w:t xml:space="preserve">HIV </w:t>
      </w:r>
      <w:r w:rsidRPr="00783571">
        <w:t>care, MSM</w:t>
      </w:r>
      <w:r w:rsidR="00E628BE" w:rsidRPr="00783571">
        <w:t> = </w:t>
      </w:r>
      <w:r w:rsidRPr="00783571">
        <w:t>men who have sex with men, PLWH</w:t>
      </w:r>
      <w:r w:rsidR="00E628BE" w:rsidRPr="00783571">
        <w:t> = </w:t>
      </w:r>
      <w:r w:rsidR="00EF3A64" w:rsidRPr="00783571">
        <w:t xml:space="preserve">people </w:t>
      </w:r>
      <w:r w:rsidRPr="00783571">
        <w:t>living with HIV, PrEP</w:t>
      </w:r>
      <w:r w:rsidR="00E628BE" w:rsidRPr="00783571">
        <w:t> = </w:t>
      </w:r>
      <w:r w:rsidRPr="00783571">
        <w:t>pre-exposure prophylaxis treatment, PWID</w:t>
      </w:r>
      <w:r w:rsidR="00E628BE" w:rsidRPr="00783571">
        <w:t> = </w:t>
      </w:r>
      <w:r w:rsidRPr="00783571">
        <w:t>people who inject drugs, QALY</w:t>
      </w:r>
      <w:r w:rsidR="00E628BE" w:rsidRPr="00783571">
        <w:t> = </w:t>
      </w:r>
      <w:r w:rsidRPr="00783571">
        <w:t xml:space="preserve">quality-adjusted </w:t>
      </w:r>
      <w:r w:rsidR="00EF3A64" w:rsidRPr="00783571">
        <w:t>life-year</w:t>
      </w:r>
      <w:r w:rsidRPr="00783571">
        <w:t xml:space="preserve">, </w:t>
      </w:r>
      <w:r w:rsidR="00734E85" w:rsidRPr="00783571">
        <w:t>r/e = race/ethnicity</w:t>
      </w:r>
    </w:p>
    <w:p w14:paraId="1C6553F7" w14:textId="77777777" w:rsidR="005B3F71" w:rsidRPr="00783571" w:rsidRDefault="005B3F71" w:rsidP="00017038">
      <w:pPr>
        <w:pStyle w:val="Source3"/>
      </w:pPr>
      <w:r w:rsidRPr="00783571">
        <w:rPr>
          <w:vertAlign w:val="superscript"/>
        </w:rPr>
        <w:t>a</w:t>
      </w:r>
      <w:r w:rsidRPr="00783571">
        <w:t xml:space="preserve"> We assumed that intervention costs were independent of the level of reach and constant per person. All costs were converted to 2015$ in the calculation of economic outcomes.</w:t>
      </w:r>
    </w:p>
    <w:p w14:paraId="7652DBCE" w14:textId="6946115E" w:rsidR="005B3F71" w:rsidRPr="00783571" w:rsidRDefault="005B3F71" w:rsidP="00017038">
      <w:pPr>
        <w:pStyle w:val="Source3"/>
      </w:pPr>
      <w:r w:rsidRPr="00783571">
        <w:rPr>
          <w:vertAlign w:val="superscript"/>
        </w:rPr>
        <w:t xml:space="preserve">b </w:t>
      </w:r>
      <w:r w:rsidRPr="00783571">
        <w:t>Dynamically calculated in HOPE model</w:t>
      </w:r>
      <w:r w:rsidR="002A6F9D" w:rsidRPr="00783571">
        <w:t xml:space="preserve"> under the estimated current</w:t>
      </w:r>
      <w:r w:rsidR="00F21DBF" w:rsidRPr="00783571">
        <w:t xml:space="preserve"> societal funding to testing interventions</w:t>
      </w:r>
      <w:r w:rsidRPr="00783571">
        <w:t xml:space="preserve"> based on test sensitivity, which varies by test type and HIV status (Pilcher et al. (2013); Hutchinson et al. (2013), which cites Chavez et al. (2011) (4G) and Pandori et al. (2009) (3G); Feibig et al. (2003); OraQuick ADVANCE: Rapid HIV-1/2 Antibody Test package insert); percentage of tests rapid vs. conventional (assumed); HIV prevalence in tested population (dynamically calculated in the model); test costs and notification costs</w:t>
      </w:r>
      <w:r w:rsidR="00B03270" w:rsidRPr="00783571">
        <w:t>, as reported in detail in Sections 9.2.1 and 9.2.2</w:t>
      </w:r>
      <w:r w:rsidRPr="00783571">
        <w:t xml:space="preserve"> (Hutchinson et al. (2011, 2013); Pinkerton et al. (2010); Farnham et al. (2008); Shrestha et al. (2008)). Includes cost of testing all HIV-negative and HIV-infected individuals per diagnosed HIV-infected PLWH. This cost varied slightly over time since HIV prevalence in the tested population changed over time; the value reported is the average cost in 201</w:t>
      </w:r>
      <w:r w:rsidR="008C6D01" w:rsidRPr="00783571">
        <w:t>7</w:t>
      </w:r>
      <w:r w:rsidRPr="00783571">
        <w:t>.</w:t>
      </w:r>
    </w:p>
    <w:p w14:paraId="72F4F316" w14:textId="07D69A65" w:rsidR="005B3F71" w:rsidRPr="00783571" w:rsidRDefault="008C6D01" w:rsidP="00017038">
      <w:pPr>
        <w:pStyle w:val="Source4"/>
      </w:pPr>
      <w:r w:rsidRPr="00783571">
        <w:rPr>
          <w:color w:val="000000"/>
          <w:vertAlign w:val="superscript"/>
        </w:rPr>
        <w:t>c</w:t>
      </w:r>
      <w:r w:rsidR="005B3F71" w:rsidRPr="00783571">
        <w:rPr>
          <w:color w:val="000000"/>
        </w:rPr>
        <w:t xml:space="preserve"> </w:t>
      </w:r>
      <w:r w:rsidR="005B3F71" w:rsidRPr="00783571">
        <w:t xml:space="preserve">Allocations to PrEP result in increased PrEP initiation in the first year (2017), but no further increases in initiation in later years over the time horizon. Those allocations are instead assumed to pay for continued years of maintenance on PrEP for those who initiated in 2017. This method implicitly assumes that each individual </w:t>
      </w:r>
      <w:r w:rsidR="00A158C0" w:rsidRPr="00783571">
        <w:t xml:space="preserve">who </w:t>
      </w:r>
      <w:r w:rsidR="005B3F71" w:rsidRPr="00783571">
        <w:t>initiates PrEP stays on PrEP for the entire model time horizon.</w:t>
      </w:r>
    </w:p>
    <w:p w14:paraId="01E062CE" w14:textId="77777777" w:rsidR="00260D8A" w:rsidRPr="00783571" w:rsidRDefault="00260D8A" w:rsidP="00260D8A">
      <w:pPr>
        <w:pStyle w:val="Source2"/>
      </w:pPr>
    </w:p>
    <w:p w14:paraId="7C48356C" w14:textId="77777777" w:rsidR="008A678D" w:rsidRPr="00783571" w:rsidRDefault="008A678D" w:rsidP="00260D8A">
      <w:pPr>
        <w:pStyle w:val="Source2"/>
        <w:rPr>
          <w:vertAlign w:val="superscript"/>
        </w:rPr>
      </w:pPr>
      <w:r w:rsidRPr="00783571">
        <w:rPr>
          <w:vertAlign w:val="superscript"/>
        </w:rPr>
        <w:br w:type="page"/>
      </w:r>
    </w:p>
    <w:p w14:paraId="71ADEA70" w14:textId="77777777" w:rsidR="00807C26" w:rsidRPr="00783571" w:rsidRDefault="00807C26" w:rsidP="00A158C0">
      <w:pPr>
        <w:pStyle w:val="BodyText"/>
      </w:pPr>
      <w:r w:rsidRPr="00783571">
        <w:t>These methods apply the following key assumptions:</w:t>
      </w:r>
    </w:p>
    <w:p w14:paraId="3807AFEB" w14:textId="77777777" w:rsidR="00807C26" w:rsidRPr="00783571" w:rsidRDefault="00807C26" w:rsidP="00807C26">
      <w:pPr>
        <w:pStyle w:val="bullets"/>
        <w:keepNext/>
        <w:keepLines/>
      </w:pPr>
      <w:r w:rsidRPr="00783571">
        <w:t>Annual allocations to interventions are constant over the observed time horizon.</w:t>
      </w:r>
    </w:p>
    <w:p w14:paraId="19F48D23" w14:textId="77777777" w:rsidR="00807C26" w:rsidRPr="00783571" w:rsidRDefault="00807C26" w:rsidP="00807C26">
      <w:pPr>
        <w:pStyle w:val="bullets"/>
        <w:keepNext/>
        <w:keepLines/>
      </w:pPr>
      <w:r w:rsidRPr="00783571">
        <w:t>Intervention costs and effects are both independent of the level of reach and constant per person.</w:t>
      </w:r>
    </w:p>
    <w:p w14:paraId="55D7251F" w14:textId="1C3B3070" w:rsidR="00807C26" w:rsidRPr="00783571" w:rsidRDefault="00807C26" w:rsidP="00807C26">
      <w:pPr>
        <w:pStyle w:val="bullets"/>
        <w:keepNext/>
        <w:keepLines/>
      </w:pPr>
      <w:r w:rsidRPr="00783571">
        <w:t xml:space="preserve">Each intervention funded by the allocation is implemented at the same rate with all eligible individuals to whom it is targeted. Therefore, all individuals eligible for an intervention are equally likely to receive that intervention (e.g., all people who are </w:t>
      </w:r>
      <w:r w:rsidR="009E34D9" w:rsidRPr="00783571">
        <w:t>linked to HIV care</w:t>
      </w:r>
      <w:r w:rsidRPr="00783571">
        <w:t xml:space="preserve"> and not </w:t>
      </w:r>
      <w:r w:rsidR="000965E6" w:rsidRPr="00783571">
        <w:t>prescribed ART</w:t>
      </w:r>
      <w:r w:rsidRPr="00783571">
        <w:t xml:space="preserve"> are equally likely to receive the ART prescription intervention, regardless of disease stage, race, or other factors).</w:t>
      </w:r>
    </w:p>
    <w:p w14:paraId="39B7F2F3" w14:textId="00B5FEDF" w:rsidR="00807C26" w:rsidRPr="00783571" w:rsidRDefault="00807C26" w:rsidP="00807C26">
      <w:pPr>
        <w:pStyle w:val="bullets"/>
      </w:pPr>
      <w:r w:rsidRPr="00783571">
        <w:t>Allocations to PrEP result in increased PrEP initiation in the first year of the third time period, but no further increases in initiation in later years over the time horizon. Those allocations are instead assumed to pay for continued years of maintenance on PrEP for those who initiated in that first year. The model implicitly assumes that each individual who initiates PrEP stays on PrEP for the entire model time horizon.</w:t>
      </w:r>
    </w:p>
    <w:p w14:paraId="60F02233" w14:textId="77777777" w:rsidR="00807C26" w:rsidRPr="00783571" w:rsidRDefault="00807C26" w:rsidP="00807C26">
      <w:pPr>
        <w:pStyle w:val="bullets"/>
      </w:pPr>
      <w:r w:rsidRPr="00783571">
        <w:t>The effect of allocating funds to an intervention over a year is estimated based on the number of individuals eligible for that intervention at the beginning of the year, which implicitly assumes that the number eligible is stable over that year. If the number eligible actually decreases over the year, the effect of the intervention will be less than projected; and vice versa for increases in the number eligible. Historical observation of the model has demonstrated that the error due to this assumption is negligible.</w:t>
      </w:r>
    </w:p>
    <w:p w14:paraId="775CFB21" w14:textId="6DC975A5" w:rsidR="00807C26" w:rsidRPr="00783571" w:rsidRDefault="00807C26" w:rsidP="00807C26">
      <w:pPr>
        <w:pStyle w:val="bullets"/>
      </w:pPr>
      <w:r w:rsidRPr="00783571">
        <w:t xml:space="preserve">Allocation of funds to PrEP reduces the risk of infection among susceptible individuals which, in turn, reduces the incidence of new infections. Allocation to continuum interventions redistributes HIV-infected individuals across model states so that more are farther along the </w:t>
      </w:r>
      <w:r w:rsidR="003F2DC6" w:rsidRPr="00783571">
        <w:t>care continuum</w:t>
      </w:r>
      <w:r w:rsidRPr="00783571">
        <w:t>; as a result, the risk of PLWH infecting susceptible individuals declines, which ultimately also reduces incidence.</w:t>
      </w:r>
    </w:p>
    <w:p w14:paraId="7916C655" w14:textId="7AE25E8A" w:rsidR="006E7B11" w:rsidRPr="00783571" w:rsidRDefault="006E7B11" w:rsidP="00A158C0">
      <w:pPr>
        <w:pStyle w:val="Heading2"/>
      </w:pPr>
      <w:bookmarkStart w:id="97" w:name="_Toc493755200"/>
      <w:bookmarkStart w:id="98" w:name="_Toc510104470"/>
      <w:bookmarkEnd w:id="97"/>
      <w:r w:rsidRPr="00783571">
        <w:t xml:space="preserve">Optimization of </w:t>
      </w:r>
      <w:r w:rsidR="00981931" w:rsidRPr="00783571">
        <w:t xml:space="preserve">Funding </w:t>
      </w:r>
      <w:r w:rsidRPr="00783571">
        <w:t>Allocations to Interventions</w:t>
      </w:r>
      <w:bookmarkEnd w:id="98"/>
    </w:p>
    <w:p w14:paraId="4C74D271" w14:textId="4515A131" w:rsidR="000B5EEA" w:rsidRPr="00783571" w:rsidRDefault="00943E84" w:rsidP="00A158C0">
      <w:pPr>
        <w:pStyle w:val="BodyText"/>
      </w:pPr>
      <w:r w:rsidRPr="00783571">
        <w:t xml:space="preserve">When selected, the HOPE </w:t>
      </w:r>
      <w:r w:rsidR="00A158C0" w:rsidRPr="00783571">
        <w:t>M</w:t>
      </w:r>
      <w:r w:rsidRPr="00783571">
        <w:t xml:space="preserve">odel can be run to optimize allocation </w:t>
      </w:r>
      <w:r w:rsidR="00E244B6" w:rsidRPr="00783571">
        <w:t xml:space="preserve">of funding to the interventions. </w:t>
      </w:r>
      <w:r w:rsidR="000B5EEA" w:rsidRPr="00783571">
        <w:t xml:space="preserve">Based on user selections, the model </w:t>
      </w:r>
      <w:r w:rsidR="00A75DB2" w:rsidRPr="00783571">
        <w:t>optimizes allocation</w:t>
      </w:r>
      <w:r w:rsidR="000B5EEA" w:rsidRPr="00783571">
        <w:t xml:space="preserve"> funding to the 13 interventions </w:t>
      </w:r>
      <w:r w:rsidR="000747D6" w:rsidRPr="00783571">
        <w:t>to either m</w:t>
      </w:r>
      <w:r w:rsidR="000B5EEA" w:rsidRPr="00783571">
        <w:t>inimize total new HIV infections over the selected time horizon</w:t>
      </w:r>
      <w:r w:rsidR="000747D6" w:rsidRPr="00783571">
        <w:t xml:space="preserve"> or m</w:t>
      </w:r>
      <w:r w:rsidR="000B5EEA" w:rsidRPr="00783571">
        <w:t>aximize QALYs over the selected time horizon.</w:t>
      </w:r>
    </w:p>
    <w:p w14:paraId="3BFE02AA" w14:textId="77777777" w:rsidR="0016571A" w:rsidRPr="00783571" w:rsidRDefault="000747D6">
      <w:pPr>
        <w:pStyle w:val="BodyText"/>
      </w:pPr>
      <w:r w:rsidRPr="00783571">
        <w:t>Optimization algorithms in the</w:t>
      </w:r>
      <w:r w:rsidR="00D215DE" w:rsidRPr="00783571">
        <w:t xml:space="preserve"> MATLAB Optimization Toolbox </w:t>
      </w:r>
      <w:r w:rsidRPr="00783571">
        <w:t>are then</w:t>
      </w:r>
      <w:r w:rsidR="00D215DE" w:rsidRPr="00783571">
        <w:t xml:space="preserve"> used to determine the distribution of </w:t>
      </w:r>
      <w:r w:rsidRPr="00783571">
        <w:t>the specified budget</w:t>
      </w:r>
      <w:r w:rsidR="00D215DE" w:rsidRPr="00783571">
        <w:t xml:space="preserve"> that most efficiently achieves the selected objective.</w:t>
      </w:r>
    </w:p>
    <w:p w14:paraId="23533734" w14:textId="5E6AA30D" w:rsidR="00404F40" w:rsidRPr="00783571" w:rsidRDefault="00404F40" w:rsidP="00A158C0">
      <w:pPr>
        <w:pStyle w:val="BodyText"/>
      </w:pPr>
      <w:r w:rsidRPr="00783571">
        <w:t xml:space="preserve">The HOPE </w:t>
      </w:r>
      <w:r w:rsidR="00A158C0" w:rsidRPr="00783571">
        <w:t>M</w:t>
      </w:r>
      <w:r w:rsidRPr="00783571">
        <w:t xml:space="preserve">odel’s optimization process ensures that sufficient funding is available from the allocation to cover the provision of treatment and medical care for the entire HIV-infected population. This is accomplished by dynamically calculating the average annual treatment costs over the time horizon and only considering allocations to continuum and PrEP interventions that, together with the resulting treatment costs, sum to no more than the </w:t>
      </w:r>
      <w:r w:rsidR="00981931" w:rsidRPr="00783571">
        <w:t xml:space="preserve">total </w:t>
      </w:r>
      <w:r w:rsidRPr="00783571">
        <w:t>budget.</w:t>
      </w:r>
    </w:p>
    <w:p w14:paraId="37CD4084" w14:textId="77777777" w:rsidR="00A75DB2" w:rsidRPr="00783571" w:rsidRDefault="00A75DB2" w:rsidP="00A158C0"/>
    <w:p w14:paraId="5804DDE6" w14:textId="77777777" w:rsidR="00A75DB2" w:rsidRPr="00783571" w:rsidRDefault="00A75DB2" w:rsidP="00A158C0">
      <w:pPr>
        <w:sectPr w:rsidR="00A75DB2" w:rsidRPr="00783571" w:rsidSect="00D869AD">
          <w:headerReference w:type="default" r:id="rId147"/>
          <w:type w:val="oddPage"/>
          <w:pgSz w:w="12240" w:h="15840" w:code="1"/>
          <w:pgMar w:top="1440" w:right="1440" w:bottom="1440" w:left="1440" w:header="720" w:footer="720" w:gutter="0"/>
          <w:pgNumType w:start="1" w:chapStyle="1"/>
          <w:cols w:space="720"/>
          <w:titlePg/>
          <w:docGrid w:linePitch="360"/>
        </w:sectPr>
      </w:pPr>
    </w:p>
    <w:p w14:paraId="262E6435" w14:textId="4ED1FDA4" w:rsidR="0013329F" w:rsidRPr="00783571" w:rsidRDefault="0013329F" w:rsidP="0013329F">
      <w:pPr>
        <w:pStyle w:val="Heading1"/>
      </w:pPr>
      <w:bookmarkStart w:id="99" w:name="_Toc510104471"/>
      <w:r w:rsidRPr="00783571">
        <w:t>Additional Details Pertaining to the Analysis Conducted in this Manuscript</w:t>
      </w:r>
      <w:bookmarkEnd w:id="99"/>
    </w:p>
    <w:p w14:paraId="5DEEFFC1" w14:textId="797FBC40" w:rsidR="0013329F" w:rsidRPr="00783571" w:rsidRDefault="0013329F" w:rsidP="00CC1DD7">
      <w:pPr>
        <w:pStyle w:val="BodyText"/>
      </w:pPr>
      <w:r w:rsidRPr="00783571">
        <w:t xml:space="preserve">This section provides </w:t>
      </w:r>
      <w:r w:rsidR="00EA3420" w:rsidRPr="00783571">
        <w:t xml:space="preserve">the </w:t>
      </w:r>
      <w:r w:rsidR="00C96D72" w:rsidRPr="00783571">
        <w:t xml:space="preserve">methods and </w:t>
      </w:r>
      <w:r w:rsidR="00EA3420" w:rsidRPr="00783571">
        <w:t xml:space="preserve">results of </w:t>
      </w:r>
      <w:r w:rsidR="00C96D72" w:rsidRPr="00783571">
        <w:t>supplementary</w:t>
      </w:r>
      <w:r w:rsidR="00EA3420" w:rsidRPr="00783571">
        <w:t xml:space="preserve"> </w:t>
      </w:r>
      <w:r w:rsidR="0084020D" w:rsidRPr="00783571">
        <w:t xml:space="preserve">scenario </w:t>
      </w:r>
      <w:r w:rsidR="00EA3420" w:rsidRPr="00783571">
        <w:t>analyses</w:t>
      </w:r>
      <w:r w:rsidR="00903B31" w:rsidRPr="00783571">
        <w:t xml:space="preserve"> </w:t>
      </w:r>
      <w:r w:rsidR="00EA3420" w:rsidRPr="00783571">
        <w:t>for</w:t>
      </w:r>
      <w:r w:rsidR="00903B31" w:rsidRPr="00783571">
        <w:t xml:space="preserve"> the manuscript entitled “</w:t>
      </w:r>
      <w:r w:rsidR="005732F9" w:rsidRPr="00783571">
        <w:t>Impact of Improved HIV Care and Treatment and Implementing PrEP in the United States, 2016</w:t>
      </w:r>
      <w:r w:rsidR="00467910" w:rsidRPr="00783571">
        <w:t>–</w:t>
      </w:r>
      <w:r w:rsidR="005732F9" w:rsidRPr="00783571">
        <w:t>2020</w:t>
      </w:r>
      <w:r w:rsidR="00903B31" w:rsidRPr="00783571">
        <w:t>”</w:t>
      </w:r>
      <w:r w:rsidR="00CC1DD7" w:rsidRPr="00783571">
        <w:t xml:space="preserve"> that were not otherwise presented in the manuscript text.</w:t>
      </w:r>
    </w:p>
    <w:p w14:paraId="2918CDE8" w14:textId="355DB766" w:rsidR="006E2CD0" w:rsidRPr="00783571" w:rsidRDefault="008626F4" w:rsidP="006E2CD0">
      <w:pPr>
        <w:pStyle w:val="Heading2"/>
      </w:pPr>
      <w:bookmarkStart w:id="100" w:name="_Toc510104472"/>
      <w:r w:rsidRPr="00783571">
        <w:t xml:space="preserve">Effects of </w:t>
      </w:r>
      <w:r w:rsidR="00A45C0E" w:rsidRPr="00783571">
        <w:t xml:space="preserve">Varying </w:t>
      </w:r>
      <w:r w:rsidR="006E2CD0" w:rsidRPr="00783571">
        <w:t>P</w:t>
      </w:r>
      <w:r w:rsidR="00DA32DF" w:rsidRPr="00783571">
        <w:t>r</w:t>
      </w:r>
      <w:r w:rsidR="006E2CD0" w:rsidRPr="00783571">
        <w:t xml:space="preserve">EP </w:t>
      </w:r>
      <w:r w:rsidR="00A45C0E" w:rsidRPr="00783571">
        <w:t>Efficacy</w:t>
      </w:r>
      <w:r w:rsidRPr="00783571">
        <w:t xml:space="preserve">, </w:t>
      </w:r>
      <w:r w:rsidR="00A45C0E" w:rsidRPr="00783571">
        <w:t>Coverage</w:t>
      </w:r>
      <w:r w:rsidRPr="00783571">
        <w:t xml:space="preserve">, and </w:t>
      </w:r>
      <w:r w:rsidR="00A45C0E" w:rsidRPr="00783571">
        <w:t xml:space="preserve">Dropout Rates </w:t>
      </w:r>
      <w:r w:rsidRPr="00783571">
        <w:t xml:space="preserve">on HIV </w:t>
      </w:r>
      <w:r w:rsidR="00A45C0E" w:rsidRPr="00783571">
        <w:t xml:space="preserve">Incidence When Current Care Continuum </w:t>
      </w:r>
      <w:r w:rsidR="00EA3D9D" w:rsidRPr="00783571">
        <w:t xml:space="preserve">Levels Were </w:t>
      </w:r>
      <w:r w:rsidR="00A45C0E" w:rsidRPr="00783571">
        <w:t>Maintained</w:t>
      </w:r>
      <w:bookmarkEnd w:id="100"/>
    </w:p>
    <w:p w14:paraId="4609B240" w14:textId="093067A6" w:rsidR="0016571A" w:rsidRPr="00783571" w:rsidRDefault="008626F4" w:rsidP="006E2CD0">
      <w:pPr>
        <w:pStyle w:val="BodyText"/>
      </w:pPr>
      <w:r w:rsidRPr="00783571">
        <w:t>We considered</w:t>
      </w:r>
      <w:r w:rsidR="00C96D72" w:rsidRPr="00783571">
        <w:t xml:space="preserve"> additional </w:t>
      </w:r>
      <w:r w:rsidRPr="00783571">
        <w:t>scenarios in which PrEP efficacy, coverage, and dropout ra</w:t>
      </w:r>
      <w:r w:rsidR="00C96D72" w:rsidRPr="00783571">
        <w:t xml:space="preserve">tes were varied from their base </w:t>
      </w:r>
      <w:r w:rsidRPr="00783571">
        <w:t>case values and observed HIV incidence by transmission risk group and overall</w:t>
      </w:r>
      <w:r w:rsidR="00C96D72" w:rsidRPr="00783571">
        <w:t xml:space="preserve">; the base </w:t>
      </w:r>
      <w:r w:rsidR="002D64FE" w:rsidRPr="00783571">
        <w:t xml:space="preserve">case care continuum </w:t>
      </w:r>
      <w:r w:rsidR="00BF2117" w:rsidRPr="00783571">
        <w:t xml:space="preserve">levels </w:t>
      </w:r>
      <w:r w:rsidR="002D64FE" w:rsidRPr="00783571">
        <w:t>w</w:t>
      </w:r>
      <w:r w:rsidR="00BF2117" w:rsidRPr="00783571">
        <w:t>ere</w:t>
      </w:r>
      <w:r w:rsidR="002D64FE" w:rsidRPr="00783571">
        <w:t xml:space="preserve"> assumed for these scenarios</w:t>
      </w:r>
      <w:r w:rsidRPr="00783571">
        <w:t>.</w:t>
      </w:r>
      <w:r w:rsidR="00E83C68" w:rsidRPr="00783571">
        <w:t xml:space="preserve"> Those scenarios were then compared to observe how the marginal impact of PrEP on incidence was impacted by variations of these parameters.</w:t>
      </w:r>
    </w:p>
    <w:p w14:paraId="0F8D8103" w14:textId="7D81064A" w:rsidR="006E2CD0" w:rsidRPr="00783571" w:rsidRDefault="008626F4" w:rsidP="006E2CD0">
      <w:pPr>
        <w:pStyle w:val="BodyText"/>
      </w:pPr>
      <w:r w:rsidRPr="00783571">
        <w:t>We found that t</w:t>
      </w:r>
      <w:r w:rsidR="006E2CD0" w:rsidRPr="00783571">
        <w:t xml:space="preserve">he marginal benefit of PrEP increased with increasing efficacy and coverage </w:t>
      </w:r>
      <w:r w:rsidR="00A45C0E" w:rsidRPr="00783571">
        <w:t>(</w:t>
      </w:r>
      <w:r w:rsidR="00814158" w:rsidRPr="00783571">
        <w:t>Table </w:t>
      </w:r>
      <w:r w:rsidR="00F821CB" w:rsidRPr="00783571">
        <w:t>9.1</w:t>
      </w:r>
      <w:r w:rsidR="006E2CD0" w:rsidRPr="00783571">
        <w:t>).</w:t>
      </w:r>
      <w:r w:rsidR="00CE4221" w:rsidRPr="00783571">
        <w:t xml:space="preserve"> </w:t>
      </w:r>
      <w:r w:rsidR="006E2CD0" w:rsidRPr="00783571">
        <w:t xml:space="preserve">When </w:t>
      </w:r>
      <w:r w:rsidR="00815A40" w:rsidRPr="00783571">
        <w:t xml:space="preserve">the </w:t>
      </w:r>
      <w:r w:rsidR="006E2CD0" w:rsidRPr="00783571">
        <w:t xml:space="preserve">current levels of </w:t>
      </w:r>
      <w:r w:rsidR="00815A40" w:rsidRPr="00783571">
        <w:t xml:space="preserve">the </w:t>
      </w:r>
      <w:r w:rsidR="006E2CD0" w:rsidRPr="00783571">
        <w:t>HIV care continuum were maintained and PrEP efficacy</w:t>
      </w:r>
      <w:r w:rsidR="00815A40" w:rsidRPr="00783571">
        <w:t xml:space="preserve"> was </w:t>
      </w:r>
      <w:r w:rsidR="006E2CD0" w:rsidRPr="00783571">
        <w:t xml:space="preserve">set at its lower bound, base case, and upper bound, the corresponding marginal benefit of PrEP in preventing additional cases of HIV was 11.6%, 18.1%, and 22.3%, respectively. When </w:t>
      </w:r>
      <w:r w:rsidR="00815A40" w:rsidRPr="00783571">
        <w:t xml:space="preserve">the </w:t>
      </w:r>
      <w:r w:rsidR="006E2CD0" w:rsidRPr="00783571">
        <w:t xml:space="preserve">current levels of </w:t>
      </w:r>
      <w:r w:rsidR="00815A40" w:rsidRPr="00783571">
        <w:t xml:space="preserve">the </w:t>
      </w:r>
      <w:r w:rsidR="006E2CD0" w:rsidRPr="00783571">
        <w:t>HIV care continuum were maintained and the proportion covered among those eligible was set at the lower bound, base case, and upper bound, the marginal benefit of PrEP was 9.2%, 18.1%, and 26.6%, respectively.</w:t>
      </w:r>
    </w:p>
    <w:p w14:paraId="429B0703" w14:textId="76B423CB" w:rsidR="006E2CD0" w:rsidRDefault="00E83C68" w:rsidP="006E2CD0">
      <w:pPr>
        <w:pStyle w:val="BodyText"/>
      </w:pPr>
      <w:r w:rsidRPr="00783571">
        <w:t>We also found that t</w:t>
      </w:r>
      <w:r w:rsidR="006E2CD0" w:rsidRPr="00783571">
        <w:t xml:space="preserve">he marginal benefit of PrEP decreased as the annual rate of dropping off of PrEP increased. When the current levels of </w:t>
      </w:r>
      <w:r w:rsidR="00815A40" w:rsidRPr="00783571">
        <w:t xml:space="preserve">the </w:t>
      </w:r>
      <w:r w:rsidR="006E2CD0" w:rsidRPr="00783571">
        <w:t xml:space="preserve">HIV care continuum were maintained and PrEP dropout probabilities were 5%, 20%, and 50%, the marginal benefit of PrEP was 16.4%, 12.1% and 6.4%, respectively, in contrast with the 18.1% marginal benefit of PrEP for the scenario when the dropout probability was zero. We performed this analysis for all risk groups. Our calculations showed that the marginal benefit of PrEP would decrease from 25.2% to 9.0% for MSM as the dropout probability increased from </w:t>
      </w:r>
      <w:r w:rsidR="007A0769" w:rsidRPr="00783571">
        <w:t xml:space="preserve">0% </w:t>
      </w:r>
      <w:r w:rsidR="006E2CD0" w:rsidRPr="00783571">
        <w:t>to 50%. The corresponding decrease in marginal benefit of PrEP was from 6.2% to 2.2% for HETs and from 5.0% to 1.7% for PWID.</w:t>
      </w:r>
    </w:p>
    <w:p w14:paraId="7D89FBFD" w14:textId="77777777" w:rsidR="00842C4F" w:rsidRPr="00842C4F" w:rsidRDefault="00842C4F" w:rsidP="00842C4F">
      <w:pPr>
        <w:spacing w:before="100" w:beforeAutospacing="1" w:after="100" w:afterAutospacing="1" w:line="320" w:lineRule="exact"/>
        <w:rPr>
          <w:b/>
          <w:color w:val="333333"/>
          <w:u w:val="single"/>
        </w:rPr>
      </w:pPr>
      <w:r w:rsidRPr="00842C4F">
        <w:rPr>
          <w:color w:val="333333"/>
        </w:rPr>
        <w:t>The effects of adherence, coverage, and dropout are interrelated because they all affect the ability of PrEP to prevent HIV infection. However, each issue calls for a different programmatic approach—whether to encourage more complete adherence among those already prescribed PrEP, to expand coverage to more persons eligible for PrEP, or to support continuing with PrEP at a given adherence level, and not dropping out. Because of the different implications for program implementation, we explored all three in scenario analyses.</w:t>
      </w:r>
    </w:p>
    <w:p w14:paraId="77CE17DB" w14:textId="77777777" w:rsidR="00842C4F" w:rsidRPr="00783571" w:rsidRDefault="00842C4F" w:rsidP="006E2CD0">
      <w:pPr>
        <w:pStyle w:val="BodyText"/>
      </w:pPr>
    </w:p>
    <w:p w14:paraId="1D72F1D7" w14:textId="3E07593B" w:rsidR="00343C2E" w:rsidRPr="00783571" w:rsidRDefault="00343C2E" w:rsidP="00343C2E">
      <w:pPr>
        <w:pStyle w:val="TableTitle"/>
        <w:rPr>
          <w:vertAlign w:val="superscript"/>
        </w:rPr>
      </w:pPr>
      <w:bookmarkStart w:id="101" w:name="_Toc510104041"/>
      <w:r w:rsidRPr="00783571">
        <w:t>Table 9.1</w:t>
      </w:r>
      <w:r w:rsidRPr="00783571">
        <w:tab/>
        <w:t xml:space="preserve">Cumulative </w:t>
      </w:r>
      <w:r w:rsidR="00E83C68" w:rsidRPr="00783571">
        <w:t xml:space="preserve">HIV </w:t>
      </w:r>
      <w:r w:rsidR="00377525" w:rsidRPr="00783571">
        <w:t xml:space="preserve">Incidence </w:t>
      </w:r>
      <w:r w:rsidR="00E83C68" w:rsidRPr="00783571">
        <w:t>in</w:t>
      </w:r>
      <w:r w:rsidRPr="00783571">
        <w:t xml:space="preserve"> 2016</w:t>
      </w:r>
      <w:r w:rsidR="00377525" w:rsidRPr="00783571">
        <w:t>–20</w:t>
      </w:r>
      <w:r w:rsidRPr="00783571">
        <w:t xml:space="preserve">20 and the </w:t>
      </w:r>
      <w:r w:rsidR="00377525" w:rsidRPr="00783571">
        <w:t xml:space="preserve">Marginal Benefit </w:t>
      </w:r>
      <w:r w:rsidRPr="00783571">
        <w:t xml:space="preserve">of </w:t>
      </w:r>
      <w:r w:rsidR="00377525" w:rsidRPr="00783571">
        <w:t xml:space="preserve">Delivering </w:t>
      </w:r>
      <w:r w:rsidRPr="00783571">
        <w:t xml:space="preserve">PrEP as PrEP </w:t>
      </w:r>
      <w:r w:rsidR="00377525" w:rsidRPr="00783571">
        <w:t>Parameters Were Varied</w:t>
      </w:r>
      <w:r w:rsidRPr="00783571">
        <w:rPr>
          <w:vertAlign w:val="superscript"/>
        </w:rPr>
        <w:t>a, b</w:t>
      </w:r>
      <w:bookmarkEnd w:id="101"/>
    </w:p>
    <w:tbl>
      <w:tblPr>
        <w:tblStyle w:val="TableFormat4"/>
        <w:tblW w:w="9350" w:type="dxa"/>
        <w:tblLayout w:type="fixed"/>
        <w:tblLook w:val="04A0" w:firstRow="1" w:lastRow="0" w:firstColumn="1" w:lastColumn="0" w:noHBand="0" w:noVBand="1"/>
      </w:tblPr>
      <w:tblGrid>
        <w:gridCol w:w="1796"/>
        <w:gridCol w:w="1889"/>
        <w:gridCol w:w="1980"/>
        <w:gridCol w:w="1890"/>
        <w:gridCol w:w="1795"/>
      </w:tblGrid>
      <w:tr w:rsidR="00343C2E" w:rsidRPr="00783571" w14:paraId="15F494D5" w14:textId="77777777" w:rsidTr="00814158">
        <w:trPr>
          <w:cnfStyle w:val="100000000000" w:firstRow="1" w:lastRow="0" w:firstColumn="0" w:lastColumn="0" w:oddVBand="0" w:evenVBand="0" w:oddHBand="0" w:evenHBand="0" w:firstRowFirstColumn="0" w:firstRowLastColumn="0" w:lastRowFirstColumn="0" w:lastRowLastColumn="0"/>
          <w:tblHeader/>
        </w:trPr>
        <w:tc>
          <w:tcPr>
            <w:tcW w:w="1796" w:type="dxa"/>
            <w:vAlign w:val="bottom"/>
          </w:tcPr>
          <w:p w14:paraId="6C24DA48" w14:textId="5E3518BC" w:rsidR="00343C2E" w:rsidRPr="00783571" w:rsidRDefault="00343C2E" w:rsidP="00A45C0E">
            <w:pPr>
              <w:pStyle w:val="TableHeaders"/>
              <w:keepNext/>
            </w:pPr>
          </w:p>
        </w:tc>
        <w:tc>
          <w:tcPr>
            <w:tcW w:w="1889" w:type="dxa"/>
            <w:vAlign w:val="bottom"/>
          </w:tcPr>
          <w:p w14:paraId="5CD6EBDF" w14:textId="77777777" w:rsidR="00343C2E" w:rsidRPr="00783571" w:rsidRDefault="00343C2E" w:rsidP="00A45C0E">
            <w:pPr>
              <w:pStyle w:val="TableHeaders"/>
              <w:keepNext/>
            </w:pPr>
            <w:r w:rsidRPr="00783571">
              <w:t>MSM</w:t>
            </w:r>
          </w:p>
        </w:tc>
        <w:tc>
          <w:tcPr>
            <w:tcW w:w="1980" w:type="dxa"/>
            <w:vAlign w:val="bottom"/>
          </w:tcPr>
          <w:p w14:paraId="3C23C39F" w14:textId="77777777" w:rsidR="00343C2E" w:rsidRPr="00783571" w:rsidRDefault="00343C2E" w:rsidP="00A45C0E">
            <w:pPr>
              <w:pStyle w:val="TableHeaders"/>
              <w:keepNext/>
            </w:pPr>
            <w:r w:rsidRPr="00783571">
              <w:t>HET</w:t>
            </w:r>
          </w:p>
        </w:tc>
        <w:tc>
          <w:tcPr>
            <w:tcW w:w="1890" w:type="dxa"/>
            <w:vAlign w:val="bottom"/>
          </w:tcPr>
          <w:p w14:paraId="43147D08" w14:textId="77777777" w:rsidR="00343C2E" w:rsidRPr="00783571" w:rsidRDefault="00343C2E" w:rsidP="00A45C0E">
            <w:pPr>
              <w:pStyle w:val="TableHeaders"/>
              <w:keepNext/>
            </w:pPr>
            <w:r w:rsidRPr="00783571">
              <w:t>PWID</w:t>
            </w:r>
          </w:p>
        </w:tc>
        <w:tc>
          <w:tcPr>
            <w:tcW w:w="1795" w:type="dxa"/>
            <w:vAlign w:val="bottom"/>
          </w:tcPr>
          <w:p w14:paraId="040D86AF" w14:textId="77777777" w:rsidR="00343C2E" w:rsidRPr="00783571" w:rsidRDefault="00343C2E" w:rsidP="00A45C0E">
            <w:pPr>
              <w:pStyle w:val="TableHeaders"/>
              <w:keepNext/>
            </w:pPr>
            <w:r w:rsidRPr="00783571">
              <w:t>Total</w:t>
            </w:r>
          </w:p>
        </w:tc>
      </w:tr>
      <w:tr w:rsidR="00A45C0E" w:rsidRPr="00783571" w14:paraId="1055CCAF" w14:textId="77777777" w:rsidTr="00814158">
        <w:trPr>
          <w:cnfStyle w:val="100000000000" w:firstRow="1" w:lastRow="0" w:firstColumn="0" w:lastColumn="0" w:oddVBand="0" w:evenVBand="0" w:oddHBand="0" w:evenHBand="0" w:firstRowFirstColumn="0" w:firstRowLastColumn="0" w:lastRowFirstColumn="0" w:lastRowLastColumn="0"/>
          <w:tblHeader/>
        </w:trPr>
        <w:tc>
          <w:tcPr>
            <w:tcW w:w="9350" w:type="dxa"/>
            <w:gridSpan w:val="5"/>
            <w:tcBorders>
              <w:top w:val="single" w:sz="6" w:space="0" w:color="auto"/>
              <w:bottom w:val="nil"/>
            </w:tcBorders>
            <w:vAlign w:val="bottom"/>
          </w:tcPr>
          <w:p w14:paraId="1BB1D56F" w14:textId="77777777" w:rsidR="00A45C0E" w:rsidRPr="00783571" w:rsidRDefault="00A45C0E" w:rsidP="00A45C0E">
            <w:pPr>
              <w:pStyle w:val="TableText"/>
              <w:rPr>
                <w:b/>
              </w:rPr>
            </w:pPr>
            <w:r w:rsidRPr="00783571">
              <w:rPr>
                <w:b/>
              </w:rPr>
              <w:t>Varying efficacy (coverage and dropout rate set to base case)</w:t>
            </w:r>
          </w:p>
        </w:tc>
      </w:tr>
      <w:tr w:rsidR="00814158" w:rsidRPr="00783571" w14:paraId="5DFDD2DC" w14:textId="77777777" w:rsidTr="00814158">
        <w:tc>
          <w:tcPr>
            <w:tcW w:w="1796" w:type="dxa"/>
            <w:tcBorders>
              <w:top w:val="nil"/>
            </w:tcBorders>
          </w:tcPr>
          <w:p w14:paraId="5DC74F59" w14:textId="4FE03147" w:rsidR="00814158" w:rsidRPr="00783571" w:rsidRDefault="00814158" w:rsidP="00814158">
            <w:pPr>
              <w:pStyle w:val="TableText"/>
              <w:keepNext/>
            </w:pPr>
            <w:r w:rsidRPr="00783571">
              <w:t>Efficacy</w:t>
            </w:r>
          </w:p>
        </w:tc>
        <w:tc>
          <w:tcPr>
            <w:tcW w:w="1889" w:type="dxa"/>
            <w:tcBorders>
              <w:top w:val="nil"/>
            </w:tcBorders>
          </w:tcPr>
          <w:p w14:paraId="423BE02D" w14:textId="77777777" w:rsidR="00814158" w:rsidRPr="00783571" w:rsidRDefault="00814158" w:rsidP="00814158">
            <w:pPr>
              <w:pStyle w:val="TableText"/>
              <w:keepNext/>
              <w:jc w:val="center"/>
            </w:pPr>
          </w:p>
        </w:tc>
        <w:tc>
          <w:tcPr>
            <w:tcW w:w="1980" w:type="dxa"/>
            <w:tcBorders>
              <w:top w:val="nil"/>
            </w:tcBorders>
          </w:tcPr>
          <w:p w14:paraId="0E13E5D5" w14:textId="77777777" w:rsidR="00814158" w:rsidRPr="00783571" w:rsidRDefault="00814158" w:rsidP="00814158">
            <w:pPr>
              <w:pStyle w:val="TableText"/>
              <w:keepNext/>
              <w:jc w:val="center"/>
            </w:pPr>
          </w:p>
        </w:tc>
        <w:tc>
          <w:tcPr>
            <w:tcW w:w="1890" w:type="dxa"/>
            <w:tcBorders>
              <w:top w:val="nil"/>
            </w:tcBorders>
          </w:tcPr>
          <w:p w14:paraId="2C64DACC" w14:textId="77777777" w:rsidR="00814158" w:rsidRPr="00783571" w:rsidRDefault="00814158" w:rsidP="00814158">
            <w:pPr>
              <w:pStyle w:val="TableText"/>
              <w:keepNext/>
              <w:jc w:val="center"/>
            </w:pPr>
          </w:p>
        </w:tc>
        <w:tc>
          <w:tcPr>
            <w:tcW w:w="1795" w:type="dxa"/>
            <w:tcBorders>
              <w:top w:val="nil"/>
            </w:tcBorders>
          </w:tcPr>
          <w:p w14:paraId="342A835A" w14:textId="77777777" w:rsidR="00814158" w:rsidRPr="00783571" w:rsidRDefault="00814158" w:rsidP="00814158">
            <w:pPr>
              <w:pStyle w:val="TableText"/>
              <w:keepNext/>
              <w:jc w:val="center"/>
            </w:pPr>
          </w:p>
        </w:tc>
      </w:tr>
      <w:tr w:rsidR="00343C2E" w:rsidRPr="00783571" w14:paraId="38D73607" w14:textId="77777777" w:rsidTr="00A45C0E">
        <w:tc>
          <w:tcPr>
            <w:tcW w:w="1796" w:type="dxa"/>
          </w:tcPr>
          <w:p w14:paraId="62FE7E20" w14:textId="4F66AF88" w:rsidR="00343C2E" w:rsidRPr="00783571" w:rsidRDefault="00343C2E" w:rsidP="00A45C0E">
            <w:pPr>
              <w:pStyle w:val="TableTextIndent1"/>
              <w:keepNext/>
            </w:pPr>
            <w:r w:rsidRPr="00783571">
              <w:t xml:space="preserve">Lower </w:t>
            </w:r>
            <w:r w:rsidR="003643EE" w:rsidRPr="00783571">
              <w:t>b</w:t>
            </w:r>
            <w:r w:rsidRPr="00783571">
              <w:t>ound</w:t>
            </w:r>
          </w:p>
        </w:tc>
        <w:tc>
          <w:tcPr>
            <w:tcW w:w="1889" w:type="dxa"/>
          </w:tcPr>
          <w:p w14:paraId="330F6A07" w14:textId="51962FF7" w:rsidR="00343C2E" w:rsidRPr="00783571" w:rsidRDefault="00343C2E" w:rsidP="00814158">
            <w:pPr>
              <w:pStyle w:val="TableText"/>
              <w:keepNext/>
              <w:jc w:val="center"/>
            </w:pPr>
            <w:r w:rsidRPr="00783571">
              <w:t>85,847</w:t>
            </w:r>
            <w:r w:rsidR="00814158" w:rsidRPr="00783571">
              <w:br/>
            </w:r>
            <w:r w:rsidRPr="00783571">
              <w:t>(16.2%)</w:t>
            </w:r>
          </w:p>
        </w:tc>
        <w:tc>
          <w:tcPr>
            <w:tcW w:w="1980" w:type="dxa"/>
          </w:tcPr>
          <w:p w14:paraId="095B5ACF" w14:textId="115A48DA" w:rsidR="00343C2E" w:rsidRPr="00783571" w:rsidRDefault="00343C2E" w:rsidP="00814158">
            <w:pPr>
              <w:pStyle w:val="TableText"/>
              <w:keepNext/>
              <w:jc w:val="center"/>
            </w:pPr>
            <w:r w:rsidRPr="00783571">
              <w:t>41,156</w:t>
            </w:r>
            <w:r w:rsidR="00814158" w:rsidRPr="00783571">
              <w:br/>
            </w:r>
            <w:r w:rsidRPr="00783571">
              <w:t>(4.7%)</w:t>
            </w:r>
          </w:p>
        </w:tc>
        <w:tc>
          <w:tcPr>
            <w:tcW w:w="1890" w:type="dxa"/>
          </w:tcPr>
          <w:p w14:paraId="6847B7B9" w14:textId="64F7A2FA" w:rsidR="00343C2E" w:rsidRPr="00783571" w:rsidRDefault="00343C2E" w:rsidP="00814158">
            <w:pPr>
              <w:pStyle w:val="TableText"/>
              <w:keepNext/>
              <w:jc w:val="center"/>
            </w:pPr>
            <w:r w:rsidRPr="00783571">
              <w:t>16,462</w:t>
            </w:r>
            <w:r w:rsidR="00814158" w:rsidRPr="00783571">
              <w:br/>
            </w:r>
            <w:r w:rsidRPr="00783571">
              <w:t>(1.3%)</w:t>
            </w:r>
          </w:p>
        </w:tc>
        <w:tc>
          <w:tcPr>
            <w:tcW w:w="1795" w:type="dxa"/>
          </w:tcPr>
          <w:p w14:paraId="5DF5C6C4" w14:textId="5A32CA58" w:rsidR="00343C2E" w:rsidRPr="00783571" w:rsidRDefault="00343C2E" w:rsidP="00814158">
            <w:pPr>
              <w:pStyle w:val="TableText"/>
              <w:keepNext/>
              <w:jc w:val="center"/>
            </w:pPr>
            <w:r w:rsidRPr="00783571">
              <w:t>143,466</w:t>
            </w:r>
            <w:r w:rsidR="00814158" w:rsidRPr="00783571">
              <w:br/>
            </w:r>
            <w:r w:rsidRPr="00783571">
              <w:t>(11.6%)</w:t>
            </w:r>
          </w:p>
        </w:tc>
      </w:tr>
      <w:tr w:rsidR="00343C2E" w:rsidRPr="00783571" w14:paraId="12974894" w14:textId="77777777" w:rsidTr="00A45C0E">
        <w:tc>
          <w:tcPr>
            <w:tcW w:w="1796" w:type="dxa"/>
          </w:tcPr>
          <w:p w14:paraId="334088CE" w14:textId="4E3F762F" w:rsidR="00343C2E" w:rsidRPr="00783571" w:rsidRDefault="00C96D72" w:rsidP="00A45C0E">
            <w:pPr>
              <w:pStyle w:val="TableTextIndent1"/>
              <w:keepNext/>
            </w:pPr>
            <w:r w:rsidRPr="00783571">
              <w:t>Base case</w:t>
            </w:r>
          </w:p>
        </w:tc>
        <w:tc>
          <w:tcPr>
            <w:tcW w:w="1889" w:type="dxa"/>
          </w:tcPr>
          <w:p w14:paraId="4E913F5E" w14:textId="42B2CB3E" w:rsidR="00343C2E" w:rsidRPr="00783571" w:rsidRDefault="00343C2E" w:rsidP="00814158">
            <w:pPr>
              <w:pStyle w:val="TableText"/>
              <w:keepNext/>
              <w:jc w:val="center"/>
            </w:pPr>
            <w:r w:rsidRPr="00783571">
              <w:t>76,562</w:t>
            </w:r>
            <w:r w:rsidR="00814158" w:rsidRPr="00783571">
              <w:br/>
            </w:r>
            <w:r w:rsidRPr="00783571">
              <w:t>(25.2%)</w:t>
            </w:r>
          </w:p>
        </w:tc>
        <w:tc>
          <w:tcPr>
            <w:tcW w:w="1980" w:type="dxa"/>
          </w:tcPr>
          <w:p w14:paraId="6195737A" w14:textId="7E889AD2" w:rsidR="00343C2E" w:rsidRPr="00783571" w:rsidRDefault="00343C2E" w:rsidP="00814158">
            <w:pPr>
              <w:pStyle w:val="TableText"/>
              <w:keepNext/>
              <w:jc w:val="center"/>
            </w:pPr>
            <w:r w:rsidRPr="00783571">
              <w:t>40,473</w:t>
            </w:r>
            <w:r w:rsidR="00814158" w:rsidRPr="00783571">
              <w:br/>
            </w:r>
            <w:r w:rsidRPr="00783571">
              <w:t>(6.2%)</w:t>
            </w:r>
          </w:p>
        </w:tc>
        <w:tc>
          <w:tcPr>
            <w:tcW w:w="1890" w:type="dxa"/>
          </w:tcPr>
          <w:p w14:paraId="5561DEEE" w14:textId="592E0FF5" w:rsidR="00343C2E" w:rsidRPr="00783571" w:rsidRDefault="00343C2E" w:rsidP="00814158">
            <w:pPr>
              <w:pStyle w:val="TableText"/>
              <w:keepNext/>
              <w:jc w:val="center"/>
            </w:pPr>
            <w:r w:rsidRPr="00783571">
              <w:t>15,849</w:t>
            </w:r>
            <w:r w:rsidR="00814158" w:rsidRPr="00783571">
              <w:br/>
            </w:r>
            <w:r w:rsidRPr="00783571">
              <w:t>(5.0%)</w:t>
            </w:r>
          </w:p>
        </w:tc>
        <w:tc>
          <w:tcPr>
            <w:tcW w:w="1795" w:type="dxa"/>
          </w:tcPr>
          <w:p w14:paraId="1ACBAC22" w14:textId="24BBAE58" w:rsidR="00343C2E" w:rsidRPr="00783571" w:rsidRDefault="00343C2E" w:rsidP="00814158">
            <w:pPr>
              <w:pStyle w:val="TableText"/>
              <w:keepNext/>
              <w:jc w:val="center"/>
            </w:pPr>
            <w:r w:rsidRPr="00783571">
              <w:t>132,833</w:t>
            </w:r>
            <w:r w:rsidR="00814158" w:rsidRPr="00783571">
              <w:br/>
            </w:r>
            <w:r w:rsidRPr="00783571">
              <w:t>(18.1%)</w:t>
            </w:r>
          </w:p>
        </w:tc>
      </w:tr>
      <w:tr w:rsidR="00343C2E" w:rsidRPr="00783571" w14:paraId="2C4C4AA2" w14:textId="77777777" w:rsidTr="00A45C0E">
        <w:tc>
          <w:tcPr>
            <w:tcW w:w="1796" w:type="dxa"/>
          </w:tcPr>
          <w:p w14:paraId="50C82065" w14:textId="24559409" w:rsidR="00343C2E" w:rsidRPr="00783571" w:rsidRDefault="00343C2E" w:rsidP="00A45C0E">
            <w:pPr>
              <w:pStyle w:val="TableTextIndent1"/>
              <w:keepNext/>
            </w:pPr>
            <w:r w:rsidRPr="00783571">
              <w:t xml:space="preserve">Upper </w:t>
            </w:r>
            <w:r w:rsidR="003643EE" w:rsidRPr="00783571">
              <w:t>b</w:t>
            </w:r>
            <w:r w:rsidRPr="00783571">
              <w:t>ound</w:t>
            </w:r>
          </w:p>
        </w:tc>
        <w:tc>
          <w:tcPr>
            <w:tcW w:w="1889" w:type="dxa"/>
          </w:tcPr>
          <w:p w14:paraId="27F664C5" w14:textId="1B81F9A7" w:rsidR="00343C2E" w:rsidRPr="00783571" w:rsidRDefault="00343C2E" w:rsidP="00814158">
            <w:pPr>
              <w:pStyle w:val="TableText"/>
              <w:keepNext/>
              <w:jc w:val="center"/>
            </w:pPr>
            <w:r w:rsidRPr="00783571">
              <w:t>70,539</w:t>
            </w:r>
            <w:r w:rsidR="00814158" w:rsidRPr="00783571">
              <w:br/>
            </w:r>
            <w:r w:rsidRPr="00783571">
              <w:t>(31.1%)</w:t>
            </w:r>
          </w:p>
        </w:tc>
        <w:tc>
          <w:tcPr>
            <w:tcW w:w="1980" w:type="dxa"/>
          </w:tcPr>
          <w:p w14:paraId="263FC156" w14:textId="18F484C2" w:rsidR="00343C2E" w:rsidRPr="00783571" w:rsidRDefault="00343C2E" w:rsidP="00814158">
            <w:pPr>
              <w:pStyle w:val="TableText"/>
              <w:keepNext/>
              <w:jc w:val="center"/>
            </w:pPr>
            <w:r w:rsidRPr="00783571">
              <w:t>39,973</w:t>
            </w:r>
            <w:r w:rsidR="00814158" w:rsidRPr="00783571">
              <w:br/>
            </w:r>
            <w:r w:rsidRPr="00783571">
              <w:t>(7.4%)</w:t>
            </w:r>
          </w:p>
        </w:tc>
        <w:tc>
          <w:tcPr>
            <w:tcW w:w="1890" w:type="dxa"/>
          </w:tcPr>
          <w:p w14:paraId="5C203F07" w14:textId="11BAB89F" w:rsidR="00343C2E" w:rsidRPr="00783571" w:rsidRDefault="00343C2E" w:rsidP="00814158">
            <w:pPr>
              <w:pStyle w:val="TableText"/>
              <w:keepNext/>
              <w:jc w:val="center"/>
            </w:pPr>
            <w:r w:rsidRPr="00783571">
              <w:t>15,516</w:t>
            </w:r>
            <w:r w:rsidR="00814158" w:rsidRPr="00783571">
              <w:br/>
            </w:r>
            <w:r w:rsidRPr="00783571">
              <w:t>(7.0%)</w:t>
            </w:r>
          </w:p>
        </w:tc>
        <w:tc>
          <w:tcPr>
            <w:tcW w:w="1795" w:type="dxa"/>
          </w:tcPr>
          <w:p w14:paraId="245A03B0" w14:textId="48FD8FD1" w:rsidR="00343C2E" w:rsidRPr="00783571" w:rsidRDefault="00343C2E" w:rsidP="00814158">
            <w:pPr>
              <w:pStyle w:val="TableText"/>
              <w:keepNext/>
              <w:jc w:val="center"/>
            </w:pPr>
            <w:r w:rsidRPr="00783571">
              <w:t>126,028</w:t>
            </w:r>
            <w:r w:rsidR="00814158" w:rsidRPr="00783571">
              <w:br/>
            </w:r>
            <w:r w:rsidRPr="00783571">
              <w:t>(22.3%)</w:t>
            </w:r>
          </w:p>
        </w:tc>
      </w:tr>
      <w:tr w:rsidR="00343C2E" w:rsidRPr="00783571" w14:paraId="4A4DF916" w14:textId="77777777" w:rsidTr="00A45C0E">
        <w:tc>
          <w:tcPr>
            <w:tcW w:w="9350" w:type="dxa"/>
            <w:gridSpan w:val="5"/>
          </w:tcPr>
          <w:p w14:paraId="05D7FE93" w14:textId="3742130E" w:rsidR="00343C2E" w:rsidRPr="00783571" w:rsidRDefault="00343C2E" w:rsidP="00A45C0E">
            <w:pPr>
              <w:pStyle w:val="TableText"/>
              <w:keepNext/>
              <w:rPr>
                <w:b/>
              </w:rPr>
            </w:pPr>
            <w:r w:rsidRPr="00783571">
              <w:rPr>
                <w:b/>
              </w:rPr>
              <w:t xml:space="preserve">Varying </w:t>
            </w:r>
            <w:r w:rsidR="003643EE" w:rsidRPr="00783571">
              <w:rPr>
                <w:b/>
              </w:rPr>
              <w:t>coverage (e</w:t>
            </w:r>
            <w:r w:rsidRPr="00783571">
              <w:rPr>
                <w:b/>
              </w:rPr>
              <w:t xml:space="preserve">fficacy and </w:t>
            </w:r>
            <w:r w:rsidR="003643EE" w:rsidRPr="00783571">
              <w:rPr>
                <w:b/>
              </w:rPr>
              <w:t>d</w:t>
            </w:r>
            <w:r w:rsidRPr="00783571">
              <w:rPr>
                <w:b/>
              </w:rPr>
              <w:t xml:space="preserve">ropout </w:t>
            </w:r>
            <w:r w:rsidR="003643EE" w:rsidRPr="00783571">
              <w:rPr>
                <w:b/>
              </w:rPr>
              <w:t xml:space="preserve">rate set to </w:t>
            </w:r>
            <w:r w:rsidR="00C96D72" w:rsidRPr="00783571">
              <w:rPr>
                <w:b/>
              </w:rPr>
              <w:t>base case</w:t>
            </w:r>
            <w:r w:rsidR="003643EE" w:rsidRPr="00783571">
              <w:rPr>
                <w:b/>
              </w:rPr>
              <w:t>)</w:t>
            </w:r>
          </w:p>
        </w:tc>
      </w:tr>
      <w:tr w:rsidR="00343C2E" w:rsidRPr="00783571" w14:paraId="0E9EDE28" w14:textId="77777777" w:rsidTr="00A45C0E">
        <w:tc>
          <w:tcPr>
            <w:tcW w:w="1796" w:type="dxa"/>
          </w:tcPr>
          <w:p w14:paraId="2C5996DD" w14:textId="77777777" w:rsidR="00343C2E" w:rsidRPr="00783571" w:rsidRDefault="00343C2E" w:rsidP="00A45C0E">
            <w:pPr>
              <w:pStyle w:val="TableText"/>
            </w:pPr>
            <w:r w:rsidRPr="00783571">
              <w:t>Coverage</w:t>
            </w:r>
          </w:p>
        </w:tc>
        <w:tc>
          <w:tcPr>
            <w:tcW w:w="1889" w:type="dxa"/>
          </w:tcPr>
          <w:p w14:paraId="03FD55E9" w14:textId="04F98733" w:rsidR="00343C2E" w:rsidRPr="00783571" w:rsidRDefault="00343C2E" w:rsidP="00814158">
            <w:pPr>
              <w:pStyle w:val="TableText"/>
              <w:jc w:val="center"/>
            </w:pPr>
          </w:p>
        </w:tc>
        <w:tc>
          <w:tcPr>
            <w:tcW w:w="1980" w:type="dxa"/>
          </w:tcPr>
          <w:p w14:paraId="28D572E9" w14:textId="2CCB0E8A" w:rsidR="00343C2E" w:rsidRPr="00783571" w:rsidRDefault="00343C2E" w:rsidP="00814158">
            <w:pPr>
              <w:pStyle w:val="TableText"/>
              <w:jc w:val="center"/>
            </w:pPr>
          </w:p>
        </w:tc>
        <w:tc>
          <w:tcPr>
            <w:tcW w:w="1890" w:type="dxa"/>
          </w:tcPr>
          <w:p w14:paraId="1FA60F04" w14:textId="79938E67" w:rsidR="00343C2E" w:rsidRPr="00783571" w:rsidRDefault="00343C2E" w:rsidP="00814158">
            <w:pPr>
              <w:pStyle w:val="TableText"/>
              <w:jc w:val="center"/>
            </w:pPr>
          </w:p>
        </w:tc>
        <w:tc>
          <w:tcPr>
            <w:tcW w:w="1795" w:type="dxa"/>
          </w:tcPr>
          <w:p w14:paraId="409AD309" w14:textId="4897909C" w:rsidR="00343C2E" w:rsidRPr="00783571" w:rsidRDefault="00343C2E" w:rsidP="00814158">
            <w:pPr>
              <w:pStyle w:val="TableText"/>
              <w:jc w:val="center"/>
            </w:pPr>
          </w:p>
        </w:tc>
      </w:tr>
      <w:tr w:rsidR="00343C2E" w:rsidRPr="00783571" w14:paraId="2F7B5EE7" w14:textId="77777777" w:rsidTr="00A45C0E">
        <w:tc>
          <w:tcPr>
            <w:tcW w:w="1796" w:type="dxa"/>
          </w:tcPr>
          <w:p w14:paraId="7FBD6EDB" w14:textId="7F13833C" w:rsidR="00343C2E" w:rsidRPr="00783571" w:rsidRDefault="00343C2E" w:rsidP="00A45C0E">
            <w:pPr>
              <w:pStyle w:val="TableTextIndent1"/>
            </w:pPr>
            <w:r w:rsidRPr="00783571">
              <w:t xml:space="preserve">Lower </w:t>
            </w:r>
            <w:r w:rsidR="003643EE" w:rsidRPr="00783571">
              <w:t>b</w:t>
            </w:r>
            <w:r w:rsidRPr="00783571">
              <w:t>ound</w:t>
            </w:r>
          </w:p>
        </w:tc>
        <w:tc>
          <w:tcPr>
            <w:tcW w:w="1889" w:type="dxa"/>
          </w:tcPr>
          <w:p w14:paraId="00DA492D" w14:textId="1BA93F24" w:rsidR="00343C2E" w:rsidRPr="00783571" w:rsidRDefault="00343C2E" w:rsidP="00814158">
            <w:pPr>
              <w:pStyle w:val="TableText"/>
              <w:jc w:val="center"/>
            </w:pPr>
            <w:r w:rsidRPr="00783571">
              <w:t>89,179</w:t>
            </w:r>
            <w:r w:rsidR="00814158" w:rsidRPr="00783571">
              <w:br/>
            </w:r>
            <w:r w:rsidRPr="00783571">
              <w:t>(12.9%)</w:t>
            </w:r>
          </w:p>
        </w:tc>
        <w:tc>
          <w:tcPr>
            <w:tcW w:w="1980" w:type="dxa"/>
          </w:tcPr>
          <w:p w14:paraId="1D78F7C5" w14:textId="6D5B4C87" w:rsidR="00343C2E" w:rsidRPr="00783571" w:rsidRDefault="00343C2E" w:rsidP="00814158">
            <w:pPr>
              <w:pStyle w:val="TableText"/>
              <w:jc w:val="center"/>
            </w:pPr>
            <w:r w:rsidRPr="00783571">
              <w:t>41,808</w:t>
            </w:r>
            <w:r w:rsidR="00814158" w:rsidRPr="00783571">
              <w:br/>
            </w:r>
            <w:r w:rsidRPr="00783571">
              <w:t>(3.1%)</w:t>
            </w:r>
          </w:p>
        </w:tc>
        <w:tc>
          <w:tcPr>
            <w:tcW w:w="1890" w:type="dxa"/>
          </w:tcPr>
          <w:p w14:paraId="79EDD321" w14:textId="29B8327A" w:rsidR="00343C2E" w:rsidRPr="00783571" w:rsidRDefault="00343C2E" w:rsidP="00814158">
            <w:pPr>
              <w:pStyle w:val="TableText"/>
              <w:jc w:val="center"/>
            </w:pPr>
            <w:r w:rsidRPr="00783571">
              <w:t>16,262</w:t>
            </w:r>
            <w:r w:rsidR="00814158" w:rsidRPr="00783571">
              <w:br/>
            </w:r>
            <w:r w:rsidRPr="00783571">
              <w:t>(2.5%)</w:t>
            </w:r>
          </w:p>
        </w:tc>
        <w:tc>
          <w:tcPr>
            <w:tcW w:w="1795" w:type="dxa"/>
          </w:tcPr>
          <w:p w14:paraId="57714545" w14:textId="7D50D1F3" w:rsidR="00343C2E" w:rsidRPr="00783571" w:rsidRDefault="00343C2E" w:rsidP="00814158">
            <w:pPr>
              <w:pStyle w:val="TableText"/>
              <w:jc w:val="center"/>
            </w:pPr>
            <w:r w:rsidRPr="00783571">
              <w:t>147,249</w:t>
            </w:r>
            <w:r w:rsidR="00814158" w:rsidRPr="00783571">
              <w:br/>
            </w:r>
            <w:r w:rsidRPr="00783571">
              <w:t>(9.2%)</w:t>
            </w:r>
          </w:p>
        </w:tc>
      </w:tr>
      <w:tr w:rsidR="00343C2E" w:rsidRPr="00783571" w14:paraId="1C0D3FF2" w14:textId="77777777" w:rsidTr="00A45C0E">
        <w:tc>
          <w:tcPr>
            <w:tcW w:w="1796" w:type="dxa"/>
          </w:tcPr>
          <w:p w14:paraId="2AF4A0E8" w14:textId="7CFF86F6" w:rsidR="00343C2E" w:rsidRPr="00783571" w:rsidRDefault="00C96D72" w:rsidP="00A45C0E">
            <w:pPr>
              <w:pStyle w:val="TableTextIndent1"/>
            </w:pPr>
            <w:r w:rsidRPr="00783571">
              <w:t>Base case</w:t>
            </w:r>
          </w:p>
        </w:tc>
        <w:tc>
          <w:tcPr>
            <w:tcW w:w="1889" w:type="dxa"/>
          </w:tcPr>
          <w:p w14:paraId="3DA8039A" w14:textId="363CEEEA" w:rsidR="00343C2E" w:rsidRPr="00783571" w:rsidRDefault="00343C2E" w:rsidP="00814158">
            <w:pPr>
              <w:pStyle w:val="TableText"/>
              <w:jc w:val="center"/>
            </w:pPr>
            <w:r w:rsidRPr="00783571">
              <w:t>76,562</w:t>
            </w:r>
            <w:r w:rsidR="00814158" w:rsidRPr="00783571">
              <w:br/>
            </w:r>
            <w:r w:rsidRPr="00783571">
              <w:t>(25.2%)</w:t>
            </w:r>
          </w:p>
        </w:tc>
        <w:tc>
          <w:tcPr>
            <w:tcW w:w="1980" w:type="dxa"/>
          </w:tcPr>
          <w:p w14:paraId="7D257D93" w14:textId="6CEA1B1A" w:rsidR="00343C2E" w:rsidRPr="00783571" w:rsidRDefault="00343C2E" w:rsidP="00814158">
            <w:pPr>
              <w:pStyle w:val="TableText"/>
              <w:jc w:val="center"/>
            </w:pPr>
            <w:r w:rsidRPr="00783571">
              <w:t>40,473</w:t>
            </w:r>
            <w:r w:rsidR="00814158" w:rsidRPr="00783571">
              <w:br/>
            </w:r>
            <w:r w:rsidRPr="00783571">
              <w:t>(6.2%)</w:t>
            </w:r>
          </w:p>
        </w:tc>
        <w:tc>
          <w:tcPr>
            <w:tcW w:w="1890" w:type="dxa"/>
          </w:tcPr>
          <w:p w14:paraId="5D18769F" w14:textId="58C05036" w:rsidR="00343C2E" w:rsidRPr="00783571" w:rsidRDefault="00343C2E" w:rsidP="00814158">
            <w:pPr>
              <w:pStyle w:val="TableText"/>
              <w:jc w:val="center"/>
            </w:pPr>
            <w:r w:rsidRPr="00783571">
              <w:t>15,849</w:t>
            </w:r>
            <w:r w:rsidR="00814158" w:rsidRPr="00783571">
              <w:br/>
            </w:r>
            <w:r w:rsidRPr="00783571">
              <w:t>(5.0%)</w:t>
            </w:r>
          </w:p>
        </w:tc>
        <w:tc>
          <w:tcPr>
            <w:tcW w:w="1795" w:type="dxa"/>
          </w:tcPr>
          <w:p w14:paraId="1E401909" w14:textId="1945E2F4" w:rsidR="00343C2E" w:rsidRPr="00783571" w:rsidRDefault="00343C2E" w:rsidP="00814158">
            <w:pPr>
              <w:pStyle w:val="TableText"/>
              <w:jc w:val="center"/>
            </w:pPr>
            <w:r w:rsidRPr="00783571">
              <w:t>132,833</w:t>
            </w:r>
            <w:r w:rsidR="00814158" w:rsidRPr="00783571">
              <w:br/>
            </w:r>
            <w:r w:rsidRPr="00783571">
              <w:t>(18.1%)</w:t>
            </w:r>
          </w:p>
        </w:tc>
      </w:tr>
      <w:tr w:rsidR="00343C2E" w:rsidRPr="00783571" w14:paraId="1D4B8CA7" w14:textId="77777777" w:rsidTr="00A45C0E">
        <w:tc>
          <w:tcPr>
            <w:tcW w:w="1796" w:type="dxa"/>
          </w:tcPr>
          <w:p w14:paraId="435AD9F1" w14:textId="0CCF12D3" w:rsidR="00343C2E" w:rsidRPr="00783571" w:rsidRDefault="003643EE" w:rsidP="00A45C0E">
            <w:pPr>
              <w:pStyle w:val="TableTextIndent1"/>
            </w:pPr>
            <w:r w:rsidRPr="00783571">
              <w:t>Upper b</w:t>
            </w:r>
            <w:r w:rsidR="00343C2E" w:rsidRPr="00783571">
              <w:t>ound</w:t>
            </w:r>
          </w:p>
        </w:tc>
        <w:tc>
          <w:tcPr>
            <w:tcW w:w="1889" w:type="dxa"/>
          </w:tcPr>
          <w:p w14:paraId="1A5B5E0C" w14:textId="7BB34EDE" w:rsidR="00343C2E" w:rsidRPr="00783571" w:rsidRDefault="00343C2E" w:rsidP="00814158">
            <w:pPr>
              <w:pStyle w:val="TableText"/>
              <w:jc w:val="center"/>
            </w:pPr>
            <w:r w:rsidRPr="00783571">
              <w:t>64,461</w:t>
            </w:r>
            <w:r w:rsidR="00814158" w:rsidRPr="00783571">
              <w:br/>
            </w:r>
            <w:r w:rsidRPr="00783571">
              <w:t>(37.1%)</w:t>
            </w:r>
          </w:p>
        </w:tc>
        <w:tc>
          <w:tcPr>
            <w:tcW w:w="1980" w:type="dxa"/>
          </w:tcPr>
          <w:p w14:paraId="6219CA1F" w14:textId="66246CCF" w:rsidR="00343C2E" w:rsidRPr="00783571" w:rsidRDefault="00343C2E" w:rsidP="00814158">
            <w:pPr>
              <w:pStyle w:val="TableText"/>
              <w:jc w:val="center"/>
            </w:pPr>
            <w:r w:rsidRPr="00783571">
              <w:t>15,439</w:t>
            </w:r>
            <w:r w:rsidR="00814158" w:rsidRPr="00783571">
              <w:br/>
            </w:r>
            <w:r w:rsidRPr="00783571">
              <w:t>(9.3%)</w:t>
            </w:r>
          </w:p>
        </w:tc>
        <w:tc>
          <w:tcPr>
            <w:tcW w:w="1890" w:type="dxa"/>
          </w:tcPr>
          <w:p w14:paraId="549B1B15" w14:textId="1EC31FDA" w:rsidR="00343C2E" w:rsidRPr="00783571" w:rsidRDefault="00343C2E" w:rsidP="00814158">
            <w:pPr>
              <w:pStyle w:val="TableText"/>
              <w:jc w:val="center"/>
            </w:pPr>
            <w:r w:rsidRPr="00783571">
              <w:t>39,161</w:t>
            </w:r>
            <w:r w:rsidR="00814158" w:rsidRPr="00783571">
              <w:br/>
            </w:r>
            <w:r w:rsidRPr="00783571">
              <w:t>(7.4%)</w:t>
            </w:r>
          </w:p>
        </w:tc>
        <w:tc>
          <w:tcPr>
            <w:tcW w:w="1795" w:type="dxa"/>
          </w:tcPr>
          <w:p w14:paraId="69091A87" w14:textId="462B3CC0" w:rsidR="00343C2E" w:rsidRPr="00783571" w:rsidRDefault="00343C2E" w:rsidP="00814158">
            <w:pPr>
              <w:pStyle w:val="TableText"/>
              <w:jc w:val="center"/>
            </w:pPr>
            <w:r w:rsidRPr="00783571">
              <w:t>119,061</w:t>
            </w:r>
            <w:r w:rsidR="00814158" w:rsidRPr="00783571">
              <w:br/>
            </w:r>
            <w:r w:rsidRPr="00783571">
              <w:t>(26.6%)</w:t>
            </w:r>
          </w:p>
        </w:tc>
      </w:tr>
      <w:tr w:rsidR="00343C2E" w:rsidRPr="00783571" w14:paraId="508227E6" w14:textId="77777777" w:rsidTr="00A45C0E">
        <w:tc>
          <w:tcPr>
            <w:tcW w:w="9350" w:type="dxa"/>
            <w:gridSpan w:val="5"/>
          </w:tcPr>
          <w:p w14:paraId="765FB3D0" w14:textId="71E974CA" w:rsidR="00343C2E" w:rsidRPr="00783571" w:rsidRDefault="00343C2E" w:rsidP="00A45C0E">
            <w:pPr>
              <w:pStyle w:val="TableText"/>
              <w:rPr>
                <w:b/>
              </w:rPr>
            </w:pPr>
            <w:r w:rsidRPr="00783571">
              <w:rPr>
                <w:b/>
              </w:rPr>
              <w:t xml:space="preserve">Varying </w:t>
            </w:r>
            <w:r w:rsidR="003643EE" w:rsidRPr="00783571">
              <w:rPr>
                <w:b/>
              </w:rPr>
              <w:t>d</w:t>
            </w:r>
            <w:r w:rsidRPr="00783571">
              <w:rPr>
                <w:b/>
              </w:rPr>
              <w:t xml:space="preserve">ropout </w:t>
            </w:r>
            <w:r w:rsidR="003643EE" w:rsidRPr="00783571">
              <w:rPr>
                <w:b/>
              </w:rPr>
              <w:t>rate (e</w:t>
            </w:r>
            <w:r w:rsidRPr="00783571">
              <w:rPr>
                <w:b/>
              </w:rPr>
              <w:t xml:space="preserve">fficacy and </w:t>
            </w:r>
            <w:r w:rsidR="003643EE" w:rsidRPr="00783571">
              <w:rPr>
                <w:b/>
              </w:rPr>
              <w:t xml:space="preserve">coverage set to </w:t>
            </w:r>
            <w:r w:rsidR="00C96D72" w:rsidRPr="00783571">
              <w:rPr>
                <w:b/>
              </w:rPr>
              <w:t>base case</w:t>
            </w:r>
            <w:r w:rsidR="003643EE" w:rsidRPr="00783571">
              <w:rPr>
                <w:b/>
              </w:rPr>
              <w:t>)</w:t>
            </w:r>
          </w:p>
        </w:tc>
      </w:tr>
      <w:tr w:rsidR="00343C2E" w:rsidRPr="00783571" w14:paraId="3BA8ECCE" w14:textId="77777777" w:rsidTr="00A45C0E">
        <w:tc>
          <w:tcPr>
            <w:tcW w:w="1796" w:type="dxa"/>
          </w:tcPr>
          <w:p w14:paraId="2C418DC7" w14:textId="77777777" w:rsidR="00343C2E" w:rsidRPr="00783571" w:rsidRDefault="00343C2E" w:rsidP="00A45C0E">
            <w:pPr>
              <w:pStyle w:val="TableText"/>
            </w:pPr>
            <w:r w:rsidRPr="00783571">
              <w:t>Dropout Rate</w:t>
            </w:r>
          </w:p>
        </w:tc>
        <w:tc>
          <w:tcPr>
            <w:tcW w:w="1889" w:type="dxa"/>
          </w:tcPr>
          <w:p w14:paraId="69E8E25B" w14:textId="7820C900" w:rsidR="00343C2E" w:rsidRPr="00783571" w:rsidRDefault="00343C2E" w:rsidP="00814158">
            <w:pPr>
              <w:pStyle w:val="TableText"/>
              <w:keepNext/>
              <w:jc w:val="center"/>
            </w:pPr>
          </w:p>
        </w:tc>
        <w:tc>
          <w:tcPr>
            <w:tcW w:w="1980" w:type="dxa"/>
          </w:tcPr>
          <w:p w14:paraId="2640BFCF" w14:textId="4183CB73" w:rsidR="00343C2E" w:rsidRPr="00783571" w:rsidRDefault="00343C2E" w:rsidP="00814158">
            <w:pPr>
              <w:pStyle w:val="TableText"/>
              <w:keepNext/>
              <w:jc w:val="center"/>
            </w:pPr>
          </w:p>
        </w:tc>
        <w:tc>
          <w:tcPr>
            <w:tcW w:w="1890" w:type="dxa"/>
          </w:tcPr>
          <w:p w14:paraId="1D0B409E" w14:textId="1AFB9B5C" w:rsidR="00343C2E" w:rsidRPr="00783571" w:rsidRDefault="00343C2E" w:rsidP="00814158">
            <w:pPr>
              <w:pStyle w:val="TableText"/>
              <w:keepNext/>
              <w:jc w:val="center"/>
            </w:pPr>
          </w:p>
        </w:tc>
        <w:tc>
          <w:tcPr>
            <w:tcW w:w="1795" w:type="dxa"/>
          </w:tcPr>
          <w:p w14:paraId="53BAADC3" w14:textId="7048268B" w:rsidR="00343C2E" w:rsidRPr="00783571" w:rsidRDefault="00343C2E" w:rsidP="00814158">
            <w:pPr>
              <w:pStyle w:val="TableText"/>
              <w:keepNext/>
              <w:jc w:val="center"/>
            </w:pPr>
          </w:p>
        </w:tc>
      </w:tr>
      <w:tr w:rsidR="00343C2E" w:rsidRPr="00783571" w14:paraId="49FA1609" w14:textId="77777777" w:rsidTr="00A45C0E">
        <w:tc>
          <w:tcPr>
            <w:tcW w:w="1796" w:type="dxa"/>
          </w:tcPr>
          <w:p w14:paraId="5A9161F1" w14:textId="77777777" w:rsidR="00343C2E" w:rsidRPr="00783571" w:rsidRDefault="00343C2E" w:rsidP="00A45C0E">
            <w:pPr>
              <w:pStyle w:val="TableTextIndent1"/>
            </w:pPr>
            <w:r w:rsidRPr="00783571">
              <w:t xml:space="preserve">0% </w:t>
            </w:r>
          </w:p>
        </w:tc>
        <w:tc>
          <w:tcPr>
            <w:tcW w:w="1889" w:type="dxa"/>
          </w:tcPr>
          <w:p w14:paraId="127C790B" w14:textId="7EB39E44" w:rsidR="00343C2E" w:rsidRPr="00783571" w:rsidRDefault="00343C2E" w:rsidP="00814158">
            <w:pPr>
              <w:pStyle w:val="TableText"/>
              <w:jc w:val="center"/>
            </w:pPr>
            <w:r w:rsidRPr="00783571">
              <w:t>76,562</w:t>
            </w:r>
            <w:r w:rsidR="00814158" w:rsidRPr="00783571">
              <w:br/>
            </w:r>
            <w:r w:rsidRPr="00783571">
              <w:t>(25.2%)</w:t>
            </w:r>
          </w:p>
        </w:tc>
        <w:tc>
          <w:tcPr>
            <w:tcW w:w="1980" w:type="dxa"/>
          </w:tcPr>
          <w:p w14:paraId="4213D8B0" w14:textId="257EEB5C" w:rsidR="00343C2E" w:rsidRPr="00783571" w:rsidRDefault="00343C2E" w:rsidP="00814158">
            <w:pPr>
              <w:pStyle w:val="TableText"/>
              <w:jc w:val="center"/>
            </w:pPr>
            <w:r w:rsidRPr="00783571">
              <w:t>40,473</w:t>
            </w:r>
            <w:r w:rsidR="00814158" w:rsidRPr="00783571">
              <w:br/>
            </w:r>
            <w:r w:rsidRPr="00783571">
              <w:t>(6.2%)</w:t>
            </w:r>
          </w:p>
        </w:tc>
        <w:tc>
          <w:tcPr>
            <w:tcW w:w="1890" w:type="dxa"/>
          </w:tcPr>
          <w:p w14:paraId="7A715686" w14:textId="24B75733" w:rsidR="00343C2E" w:rsidRPr="00783571" w:rsidRDefault="00343C2E" w:rsidP="00814158">
            <w:pPr>
              <w:pStyle w:val="TableText"/>
              <w:jc w:val="center"/>
            </w:pPr>
            <w:r w:rsidRPr="00783571">
              <w:t>15,849</w:t>
            </w:r>
            <w:r w:rsidR="00814158" w:rsidRPr="00783571">
              <w:br/>
            </w:r>
            <w:r w:rsidRPr="00783571">
              <w:t>(5.0%)</w:t>
            </w:r>
          </w:p>
        </w:tc>
        <w:tc>
          <w:tcPr>
            <w:tcW w:w="1795" w:type="dxa"/>
          </w:tcPr>
          <w:p w14:paraId="5663B3EB" w14:textId="33F9546F" w:rsidR="00343C2E" w:rsidRPr="00783571" w:rsidRDefault="00343C2E" w:rsidP="00814158">
            <w:pPr>
              <w:pStyle w:val="TableText"/>
              <w:jc w:val="center"/>
            </w:pPr>
            <w:r w:rsidRPr="00783571">
              <w:t>132,883</w:t>
            </w:r>
            <w:r w:rsidR="00814158" w:rsidRPr="00783571">
              <w:br/>
            </w:r>
            <w:r w:rsidRPr="00783571">
              <w:t>(18.1%)</w:t>
            </w:r>
          </w:p>
        </w:tc>
      </w:tr>
      <w:tr w:rsidR="00343C2E" w:rsidRPr="00783571" w14:paraId="227165CF" w14:textId="77777777" w:rsidTr="00A45C0E">
        <w:tc>
          <w:tcPr>
            <w:tcW w:w="1796" w:type="dxa"/>
          </w:tcPr>
          <w:p w14:paraId="1A2C450B" w14:textId="77777777" w:rsidR="00343C2E" w:rsidRPr="00783571" w:rsidRDefault="00343C2E" w:rsidP="00A45C0E">
            <w:pPr>
              <w:pStyle w:val="TableTextIndent1"/>
            </w:pPr>
            <w:r w:rsidRPr="00783571">
              <w:t xml:space="preserve">5% </w:t>
            </w:r>
          </w:p>
        </w:tc>
        <w:tc>
          <w:tcPr>
            <w:tcW w:w="1889" w:type="dxa"/>
          </w:tcPr>
          <w:p w14:paraId="47D6CEC6" w14:textId="1CE23275" w:rsidR="00343C2E" w:rsidRPr="00783571" w:rsidRDefault="00343C2E" w:rsidP="00814158">
            <w:pPr>
              <w:pStyle w:val="TableText"/>
              <w:jc w:val="center"/>
            </w:pPr>
            <w:r w:rsidRPr="00783571">
              <w:t>78,962</w:t>
            </w:r>
            <w:r w:rsidR="00814158" w:rsidRPr="00783571">
              <w:br/>
            </w:r>
            <w:r w:rsidRPr="00783571">
              <w:t>(22.9%)</w:t>
            </w:r>
          </w:p>
        </w:tc>
        <w:tc>
          <w:tcPr>
            <w:tcW w:w="1980" w:type="dxa"/>
          </w:tcPr>
          <w:p w14:paraId="7ACA72B5" w14:textId="6E07B26B" w:rsidR="00343C2E" w:rsidRPr="00783571" w:rsidRDefault="00343C2E" w:rsidP="00814158">
            <w:pPr>
              <w:pStyle w:val="TableText"/>
              <w:jc w:val="center"/>
            </w:pPr>
            <w:r w:rsidRPr="00783571">
              <w:t>40,729</w:t>
            </w:r>
            <w:r w:rsidR="00814158" w:rsidRPr="00783571">
              <w:br/>
            </w:r>
            <w:r w:rsidRPr="00783571">
              <w:t>(5.7%)</w:t>
            </w:r>
          </w:p>
        </w:tc>
        <w:tc>
          <w:tcPr>
            <w:tcW w:w="1890" w:type="dxa"/>
          </w:tcPr>
          <w:p w14:paraId="59263D10" w14:textId="7AB31D13" w:rsidR="00343C2E" w:rsidRPr="00783571" w:rsidRDefault="00343C2E" w:rsidP="00814158">
            <w:pPr>
              <w:pStyle w:val="TableText"/>
              <w:jc w:val="center"/>
            </w:pPr>
            <w:r w:rsidRPr="00783571">
              <w:t>15,933</w:t>
            </w:r>
            <w:r w:rsidR="00814158" w:rsidRPr="00783571">
              <w:br/>
            </w:r>
            <w:r w:rsidRPr="00783571">
              <w:t>(4.5%)</w:t>
            </w:r>
          </w:p>
        </w:tc>
        <w:tc>
          <w:tcPr>
            <w:tcW w:w="1795" w:type="dxa"/>
          </w:tcPr>
          <w:p w14:paraId="74880D41" w14:textId="557DFE67" w:rsidR="00343C2E" w:rsidRPr="00783571" w:rsidRDefault="00343C2E" w:rsidP="00814158">
            <w:pPr>
              <w:pStyle w:val="TableText"/>
              <w:jc w:val="center"/>
            </w:pPr>
            <w:r w:rsidRPr="00783571">
              <w:t>135,623</w:t>
            </w:r>
            <w:r w:rsidR="00814158" w:rsidRPr="00783571">
              <w:br/>
            </w:r>
            <w:r w:rsidRPr="00783571">
              <w:t>(16.4%)</w:t>
            </w:r>
          </w:p>
        </w:tc>
      </w:tr>
      <w:tr w:rsidR="00343C2E" w:rsidRPr="00783571" w14:paraId="08715CE7" w14:textId="77777777" w:rsidTr="00A45C0E">
        <w:tc>
          <w:tcPr>
            <w:tcW w:w="1796" w:type="dxa"/>
          </w:tcPr>
          <w:p w14:paraId="735B7EF4" w14:textId="77777777" w:rsidR="00343C2E" w:rsidRPr="00783571" w:rsidRDefault="00343C2E" w:rsidP="00A45C0E">
            <w:pPr>
              <w:pStyle w:val="TableTextIndent1"/>
            </w:pPr>
            <w:r w:rsidRPr="00783571">
              <w:t xml:space="preserve">20% </w:t>
            </w:r>
          </w:p>
        </w:tc>
        <w:tc>
          <w:tcPr>
            <w:tcW w:w="1889" w:type="dxa"/>
          </w:tcPr>
          <w:p w14:paraId="74CFB7CD" w14:textId="183AEA21" w:rsidR="00343C2E" w:rsidRPr="00783571" w:rsidRDefault="00343C2E" w:rsidP="00814158">
            <w:pPr>
              <w:pStyle w:val="TableText"/>
              <w:jc w:val="center"/>
            </w:pPr>
            <w:r w:rsidRPr="00783571">
              <w:t>85,060</w:t>
            </w:r>
            <w:r w:rsidR="00814158" w:rsidRPr="00783571">
              <w:br/>
            </w:r>
            <w:r w:rsidRPr="00783571">
              <w:t>(16.9%)</w:t>
            </w:r>
          </w:p>
        </w:tc>
        <w:tc>
          <w:tcPr>
            <w:tcW w:w="1980" w:type="dxa"/>
          </w:tcPr>
          <w:p w14:paraId="1095F0AA" w14:textId="6745E6DC" w:rsidR="00343C2E" w:rsidRPr="00783571" w:rsidRDefault="00343C2E" w:rsidP="00814158">
            <w:pPr>
              <w:pStyle w:val="TableText"/>
              <w:jc w:val="center"/>
            </w:pPr>
            <w:r w:rsidRPr="00783571">
              <w:t>41,373</w:t>
            </w:r>
            <w:r w:rsidR="00814158" w:rsidRPr="00783571">
              <w:br/>
            </w:r>
            <w:r w:rsidRPr="00783571">
              <w:t>(4.2%)</w:t>
            </w:r>
          </w:p>
        </w:tc>
        <w:tc>
          <w:tcPr>
            <w:tcW w:w="1890" w:type="dxa"/>
          </w:tcPr>
          <w:p w14:paraId="6D519886" w14:textId="135F3301" w:rsidR="00343C2E" w:rsidRPr="00783571" w:rsidRDefault="00343C2E" w:rsidP="00814158">
            <w:pPr>
              <w:pStyle w:val="TableText"/>
              <w:jc w:val="center"/>
            </w:pPr>
            <w:r w:rsidRPr="00783571">
              <w:t>16,138</w:t>
            </w:r>
            <w:r w:rsidR="00814158" w:rsidRPr="00783571">
              <w:br/>
            </w:r>
            <w:r w:rsidRPr="00783571">
              <w:t>(3.2%)</w:t>
            </w:r>
          </w:p>
        </w:tc>
        <w:tc>
          <w:tcPr>
            <w:tcW w:w="1795" w:type="dxa"/>
          </w:tcPr>
          <w:p w14:paraId="56514FDB" w14:textId="17382E47" w:rsidR="00343C2E" w:rsidRPr="00783571" w:rsidRDefault="00343C2E" w:rsidP="00814158">
            <w:pPr>
              <w:pStyle w:val="TableText"/>
              <w:jc w:val="center"/>
            </w:pPr>
            <w:r w:rsidRPr="00783571">
              <w:t>142,571</w:t>
            </w:r>
            <w:r w:rsidR="00814158" w:rsidRPr="00783571">
              <w:br/>
            </w:r>
            <w:r w:rsidRPr="00783571">
              <w:t>(12.1%)</w:t>
            </w:r>
          </w:p>
        </w:tc>
      </w:tr>
      <w:tr w:rsidR="00343C2E" w:rsidRPr="00783571" w14:paraId="1FEB5136" w14:textId="77777777" w:rsidTr="00A45C0E">
        <w:tc>
          <w:tcPr>
            <w:tcW w:w="1796" w:type="dxa"/>
          </w:tcPr>
          <w:p w14:paraId="0005C351" w14:textId="77777777" w:rsidR="00343C2E" w:rsidRPr="00783571" w:rsidRDefault="00343C2E" w:rsidP="00A45C0E">
            <w:pPr>
              <w:pStyle w:val="TableTextIndent1"/>
            </w:pPr>
            <w:r w:rsidRPr="00783571">
              <w:t xml:space="preserve">50% </w:t>
            </w:r>
          </w:p>
        </w:tc>
        <w:tc>
          <w:tcPr>
            <w:tcW w:w="1889" w:type="dxa"/>
          </w:tcPr>
          <w:p w14:paraId="663F7F89" w14:textId="31CEB0EB" w:rsidR="00343C2E" w:rsidRPr="00783571" w:rsidRDefault="00343C2E" w:rsidP="00814158">
            <w:pPr>
              <w:pStyle w:val="TableText"/>
              <w:jc w:val="center"/>
            </w:pPr>
            <w:r w:rsidRPr="00783571">
              <w:t>93,189</w:t>
            </w:r>
            <w:r w:rsidR="00814158" w:rsidRPr="00783571">
              <w:br/>
            </w:r>
            <w:r w:rsidRPr="00783571">
              <w:t>(9.0%)</w:t>
            </w:r>
          </w:p>
        </w:tc>
        <w:tc>
          <w:tcPr>
            <w:tcW w:w="1980" w:type="dxa"/>
          </w:tcPr>
          <w:p w14:paraId="5910AF40" w14:textId="65D1CB49" w:rsidR="00343C2E" w:rsidRPr="00783571" w:rsidRDefault="00343C2E" w:rsidP="00814158">
            <w:pPr>
              <w:pStyle w:val="TableText"/>
              <w:jc w:val="center"/>
            </w:pPr>
            <w:r w:rsidRPr="00783571">
              <w:t>42,213</w:t>
            </w:r>
            <w:r w:rsidR="00814158" w:rsidRPr="00783571">
              <w:br/>
            </w:r>
            <w:r w:rsidRPr="00783571">
              <w:t>(2.2%)</w:t>
            </w:r>
          </w:p>
        </w:tc>
        <w:tc>
          <w:tcPr>
            <w:tcW w:w="1890" w:type="dxa"/>
          </w:tcPr>
          <w:p w14:paraId="18972907" w14:textId="07F919F6" w:rsidR="00343C2E" w:rsidRPr="00783571" w:rsidRDefault="00343C2E" w:rsidP="00814158">
            <w:pPr>
              <w:pStyle w:val="TableText"/>
              <w:jc w:val="center"/>
            </w:pPr>
            <w:r w:rsidRPr="00783571">
              <w:t>16,402</w:t>
            </w:r>
            <w:r w:rsidR="00814158" w:rsidRPr="00783571">
              <w:br/>
            </w:r>
            <w:r w:rsidRPr="00783571">
              <w:t>(1.7%)</w:t>
            </w:r>
          </w:p>
        </w:tc>
        <w:tc>
          <w:tcPr>
            <w:tcW w:w="1795" w:type="dxa"/>
          </w:tcPr>
          <w:p w14:paraId="7B8E5F4F" w14:textId="62E2292A" w:rsidR="00343C2E" w:rsidRPr="00783571" w:rsidRDefault="00343C2E" w:rsidP="00814158">
            <w:pPr>
              <w:pStyle w:val="TableText"/>
              <w:jc w:val="center"/>
            </w:pPr>
            <w:r w:rsidRPr="00783571">
              <w:t>151,811</w:t>
            </w:r>
            <w:r w:rsidR="00814158" w:rsidRPr="00783571">
              <w:br/>
            </w:r>
            <w:r w:rsidRPr="00783571">
              <w:t>(6.4%)</w:t>
            </w:r>
          </w:p>
        </w:tc>
      </w:tr>
    </w:tbl>
    <w:p w14:paraId="389A0ED5" w14:textId="146F1294" w:rsidR="0016571A" w:rsidRPr="00783571" w:rsidRDefault="00343C2E" w:rsidP="00A45C0E">
      <w:pPr>
        <w:pStyle w:val="Source2"/>
      </w:pPr>
      <w:r w:rsidRPr="00783571">
        <w:t xml:space="preserve">HET= heterosexual; </w:t>
      </w:r>
      <w:r w:rsidR="00E67B43" w:rsidRPr="00783571">
        <w:t xml:space="preserve">MSM= men who have sex with men; </w:t>
      </w:r>
      <w:r w:rsidRPr="00783571">
        <w:t xml:space="preserve">PWID= </w:t>
      </w:r>
      <w:r w:rsidR="00E67B43" w:rsidRPr="00783571">
        <w:t xml:space="preserve">people </w:t>
      </w:r>
      <w:r w:rsidRPr="00783571">
        <w:t>who inject drugs</w:t>
      </w:r>
      <w:r w:rsidR="00E67B43" w:rsidRPr="00783571">
        <w:t>.</w:t>
      </w:r>
    </w:p>
    <w:p w14:paraId="3F603F53" w14:textId="759403C8" w:rsidR="0016571A" w:rsidRPr="00783571" w:rsidRDefault="00343C2E" w:rsidP="00A45C0E">
      <w:pPr>
        <w:pStyle w:val="Source3"/>
      </w:pPr>
      <w:r w:rsidRPr="00783571">
        <w:rPr>
          <w:i/>
          <w:vertAlign w:val="superscript"/>
        </w:rPr>
        <w:t xml:space="preserve">a </w:t>
      </w:r>
      <w:r w:rsidRPr="00783571">
        <w:t>Efficacy, coverage</w:t>
      </w:r>
      <w:r w:rsidR="00856DB5" w:rsidRPr="00783571">
        <w:t>,</w:t>
      </w:r>
      <w:r w:rsidRPr="00783571">
        <w:t xml:space="preserve"> and dropout rate of PrEP </w:t>
      </w:r>
      <w:r w:rsidR="003643EE" w:rsidRPr="00783571">
        <w:t>we</w:t>
      </w:r>
      <w:r w:rsidRPr="00783571">
        <w:t xml:space="preserve">re independently varied for the scenario when current care continuum </w:t>
      </w:r>
      <w:r w:rsidR="00856DB5" w:rsidRPr="00783571">
        <w:t xml:space="preserve">levels </w:t>
      </w:r>
      <w:r w:rsidRPr="00783571">
        <w:t>w</w:t>
      </w:r>
      <w:r w:rsidR="00856DB5" w:rsidRPr="00783571">
        <w:t>ere</w:t>
      </w:r>
      <w:r w:rsidRPr="00783571">
        <w:t xml:space="preserve"> maintained.</w:t>
      </w:r>
    </w:p>
    <w:p w14:paraId="3119877C" w14:textId="0531DB3C" w:rsidR="00343C2E" w:rsidRPr="00783571" w:rsidRDefault="00343C2E" w:rsidP="00A45C0E">
      <w:pPr>
        <w:pStyle w:val="Source4"/>
      </w:pPr>
      <w:r w:rsidRPr="00783571">
        <w:rPr>
          <w:vertAlign w:val="superscript"/>
        </w:rPr>
        <w:t xml:space="preserve">b </w:t>
      </w:r>
      <w:r w:rsidRPr="00783571">
        <w:t>The numbers in each cell represent the number</w:t>
      </w:r>
      <w:r w:rsidR="00E67B43" w:rsidRPr="00783571">
        <w:t>s</w:t>
      </w:r>
      <w:r w:rsidRPr="00783571">
        <w:t xml:space="preserve"> of new infections from 2016 to 2020. The numbers in parenthes</w:t>
      </w:r>
      <w:r w:rsidR="00856DB5" w:rsidRPr="00783571">
        <w:t>e</w:t>
      </w:r>
      <w:r w:rsidRPr="00783571">
        <w:t>s represent the corresponding marginal benefit of PrEP (percentage of infections prevented compared to the base case scenario of current continuum</w:t>
      </w:r>
      <w:r w:rsidR="00856DB5" w:rsidRPr="00783571">
        <w:t>-</w:t>
      </w:r>
      <w:r w:rsidRPr="00783571">
        <w:t>of</w:t>
      </w:r>
      <w:r w:rsidR="00856DB5" w:rsidRPr="00783571">
        <w:t>-</w:t>
      </w:r>
      <w:r w:rsidRPr="00783571">
        <w:t>care</w:t>
      </w:r>
      <w:r w:rsidR="00856DB5" w:rsidRPr="00783571">
        <w:t xml:space="preserve"> levels</w:t>
      </w:r>
      <w:r w:rsidRPr="00783571">
        <w:t xml:space="preserve"> without PrEP)</w:t>
      </w:r>
      <w:r w:rsidR="00E67B43" w:rsidRPr="00783571">
        <w:t>.</w:t>
      </w:r>
    </w:p>
    <w:p w14:paraId="07CE0C9F" w14:textId="7E4E20AD" w:rsidR="0016571A" w:rsidRPr="00783571" w:rsidRDefault="00EA3420" w:rsidP="006E2CD0">
      <w:pPr>
        <w:pStyle w:val="Heading2"/>
      </w:pPr>
      <w:bookmarkStart w:id="102" w:name="_Toc510104473"/>
      <w:r w:rsidRPr="00783571">
        <w:t xml:space="preserve">Effects of </w:t>
      </w:r>
      <w:r w:rsidR="00A45C0E" w:rsidRPr="00783571">
        <w:t xml:space="preserve">Varying </w:t>
      </w:r>
      <w:r w:rsidR="006E2CD0" w:rsidRPr="00783571">
        <w:t xml:space="preserve">PrEP </w:t>
      </w:r>
      <w:r w:rsidR="00A45C0E" w:rsidRPr="00783571">
        <w:t xml:space="preserve">Efficacy </w:t>
      </w:r>
      <w:r w:rsidR="006E2CD0" w:rsidRPr="00783571">
        <w:t xml:space="preserve">and </w:t>
      </w:r>
      <w:r w:rsidR="00A45C0E" w:rsidRPr="00783571">
        <w:t>Coverage</w:t>
      </w:r>
      <w:bookmarkEnd w:id="102"/>
    </w:p>
    <w:p w14:paraId="62D8420C" w14:textId="0C03EE4F" w:rsidR="006E2CD0" w:rsidRPr="00783571" w:rsidRDefault="006E2CD0" w:rsidP="006E2CD0">
      <w:pPr>
        <w:pStyle w:val="BodyText"/>
      </w:pPr>
      <w:r w:rsidRPr="00783571">
        <w:t>PrEP coverage is a function of PrEP initiation, dropout</w:t>
      </w:r>
      <w:r w:rsidR="00E67B43" w:rsidRPr="00783571">
        <w:t>,</w:t>
      </w:r>
      <w:r w:rsidRPr="00783571">
        <w:t xml:space="preserve"> and other factors s</w:t>
      </w:r>
      <w:r w:rsidR="00EA3420" w:rsidRPr="00783571">
        <w:t>uch as acquiring HIV and death. W</w:t>
      </w:r>
      <w:r w:rsidRPr="00783571">
        <w:t xml:space="preserve">e </w:t>
      </w:r>
      <w:r w:rsidR="00EA3420" w:rsidRPr="00783571">
        <w:t>adjusted</w:t>
      </w:r>
      <w:r w:rsidRPr="00783571">
        <w:t xml:space="preserve"> the annual rate of initiating PrEP per eligible person to yield the desired coverage level of PrEP</w:t>
      </w:r>
      <w:r w:rsidR="00E67B43" w:rsidRPr="00783571">
        <w:t>,</w:t>
      </w:r>
      <w:r w:rsidR="00890144" w:rsidRPr="00783571">
        <w:t xml:space="preserve"> </w:t>
      </w:r>
      <w:bookmarkStart w:id="103" w:name="_Hlk494806322"/>
      <w:r w:rsidR="00890144" w:rsidRPr="00783571">
        <w:t>both when</w:t>
      </w:r>
      <w:r w:rsidR="00C96D72" w:rsidRPr="00783571">
        <w:t xml:space="preserve"> the base case care continuum </w:t>
      </w:r>
      <w:r w:rsidR="00856DB5" w:rsidRPr="00783571">
        <w:t xml:space="preserve">levels </w:t>
      </w:r>
      <w:r w:rsidR="00C96D72" w:rsidRPr="00783571">
        <w:t>w</w:t>
      </w:r>
      <w:r w:rsidR="00856DB5" w:rsidRPr="00783571">
        <w:t>ere</w:t>
      </w:r>
      <w:r w:rsidR="00C96D72" w:rsidRPr="00783571">
        <w:t xml:space="preserve"> assumed </w:t>
      </w:r>
      <w:r w:rsidR="00890144" w:rsidRPr="00783571">
        <w:t>and when national goals were met</w:t>
      </w:r>
      <w:bookmarkEnd w:id="103"/>
      <w:r w:rsidR="00890144" w:rsidRPr="00783571">
        <w:t>.</w:t>
      </w:r>
    </w:p>
    <w:p w14:paraId="1D6AC3F1" w14:textId="3650B2EA" w:rsidR="006E2CD0" w:rsidRPr="00783571" w:rsidRDefault="006E2CD0" w:rsidP="006E2CD0">
      <w:pPr>
        <w:pStyle w:val="BodyText"/>
      </w:pPr>
      <w:r w:rsidRPr="00783571">
        <w:t>A change in PrEP efficacy resulted in a slight change in coverage levels of PrEP for the same values of PrEP initiation rate</w:t>
      </w:r>
      <w:r w:rsidR="004E5F5F" w:rsidRPr="00783571">
        <w:t xml:space="preserve"> both for the base case care continuum </w:t>
      </w:r>
      <w:r w:rsidR="00856DB5" w:rsidRPr="00783571">
        <w:t xml:space="preserve">levels </w:t>
      </w:r>
      <w:r w:rsidR="004E5F5F" w:rsidRPr="00783571">
        <w:t>and when national goals were met</w:t>
      </w:r>
      <w:r w:rsidRPr="00783571">
        <w:t xml:space="preserve">. Higher efficacy led to a higher coverage of PrEP among the eligible population, given that a more efficacious dose would reduce the size of </w:t>
      </w:r>
      <w:r w:rsidR="00856DB5" w:rsidRPr="00783571">
        <w:t xml:space="preserve">the </w:t>
      </w:r>
      <w:r w:rsidRPr="00783571">
        <w:t>susceptible population, there</w:t>
      </w:r>
      <w:r w:rsidR="004E5F5F" w:rsidRPr="00783571">
        <w:t>by increasing overall coverage</w:t>
      </w:r>
      <w:r w:rsidRPr="00783571">
        <w:t>.</w:t>
      </w:r>
      <w:r w:rsidR="00814158" w:rsidRPr="00783571">
        <w:t xml:space="preserve"> As an example, Figure </w:t>
      </w:r>
      <w:r w:rsidR="004E5F5F" w:rsidRPr="00783571">
        <w:t>9.</w:t>
      </w:r>
      <w:r w:rsidR="00814158" w:rsidRPr="00783571">
        <w:t>1</w:t>
      </w:r>
      <w:r w:rsidR="004E5F5F" w:rsidRPr="00783571">
        <w:t xml:space="preserve"> shows the coverage among MSM for three levels of efficacy for the scenario when current care continuum </w:t>
      </w:r>
      <w:r w:rsidR="00856DB5" w:rsidRPr="00783571">
        <w:t xml:space="preserve">levels </w:t>
      </w:r>
      <w:r w:rsidR="004E5F5F" w:rsidRPr="00783571">
        <w:t>w</w:t>
      </w:r>
      <w:r w:rsidR="00856DB5" w:rsidRPr="00783571">
        <w:t>ere</w:t>
      </w:r>
      <w:r w:rsidR="004E5F5F" w:rsidRPr="00783571">
        <w:t xml:space="preserve"> maintained. The rate of initiation of PrEP per eligible person was the same for the three values of efficacy in this case. For our analysis, we maintained the initial coverage level of PrEP close to the base case values (40% for MSM, and 10% for both </w:t>
      </w:r>
      <w:r w:rsidR="003E37E1" w:rsidRPr="00783571">
        <w:t>high-risk HETs</w:t>
      </w:r>
      <w:r w:rsidR="004E5F5F" w:rsidRPr="00783571">
        <w:t xml:space="preserve"> and PWID) in 2016 for all values of efficacies by adjusting the rate of initiating PrEP per eligible person, when needed</w:t>
      </w:r>
      <w:r w:rsidR="00E132A5" w:rsidRPr="00783571">
        <w:t>.</w:t>
      </w:r>
    </w:p>
    <w:p w14:paraId="7829D7CD" w14:textId="4A6D2096" w:rsidR="00814158" w:rsidRPr="00783571" w:rsidRDefault="00814158" w:rsidP="00814158">
      <w:pPr>
        <w:pStyle w:val="FigureTitle"/>
      </w:pPr>
      <w:bookmarkStart w:id="104" w:name="_Toc498078973"/>
      <w:r w:rsidRPr="00783571">
        <w:t>Figure 9.1.</w:t>
      </w:r>
      <w:r w:rsidRPr="00783571">
        <w:tab/>
        <w:t xml:space="preserve">PrEP Coverage of MSM as a Function of Time for Different Levels of Efficacy for the Scenario When Current Care Continuum </w:t>
      </w:r>
      <w:r w:rsidR="00856DB5" w:rsidRPr="00783571">
        <w:t xml:space="preserve">Levels </w:t>
      </w:r>
      <w:r w:rsidRPr="00783571">
        <w:t>W</w:t>
      </w:r>
      <w:r w:rsidR="00856DB5" w:rsidRPr="00783571">
        <w:t>ere</w:t>
      </w:r>
      <w:r w:rsidRPr="00783571">
        <w:t xml:space="preserve"> Maintained</w:t>
      </w:r>
      <w:bookmarkEnd w:id="104"/>
    </w:p>
    <w:p w14:paraId="7848CB6E" w14:textId="77777777" w:rsidR="00814158" w:rsidRPr="00783571" w:rsidRDefault="00814158" w:rsidP="00814158">
      <w:pPr>
        <w:pStyle w:val="figurewbox"/>
      </w:pPr>
      <w:r w:rsidRPr="00783571">
        <w:rPr>
          <w:noProof/>
        </w:rPr>
        <w:drawing>
          <wp:inline distT="0" distB="0" distL="0" distR="0" wp14:anchorId="2C0E5970" wp14:editId="3D89E971">
            <wp:extent cx="5684520" cy="3177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rotWithShape="1">
                    <a:blip r:embed="rId148">
                      <a:extLst>
                        <a:ext uri="{28A0092B-C50C-407E-A947-70E740481C1C}">
                          <a14:useLocalDpi xmlns:a14="http://schemas.microsoft.com/office/drawing/2010/main" val="0"/>
                        </a:ext>
                      </a:extLst>
                    </a:blip>
                    <a:srcRect l="2051" t="2279" r="2307" b="2733"/>
                    <a:stretch/>
                  </pic:blipFill>
                  <pic:spPr bwMode="auto">
                    <a:xfrm>
                      <a:off x="0" y="0"/>
                      <a:ext cx="5684520" cy="3177540"/>
                    </a:xfrm>
                    <a:prstGeom prst="rect">
                      <a:avLst/>
                    </a:prstGeom>
                    <a:noFill/>
                    <a:ln>
                      <a:noFill/>
                    </a:ln>
                    <a:extLst>
                      <a:ext uri="{53640926-AAD7-44D8-BBD7-CCE9431645EC}">
                        <a14:shadowObscured xmlns:a14="http://schemas.microsoft.com/office/drawing/2010/main"/>
                      </a:ext>
                    </a:extLst>
                  </pic:spPr>
                </pic:pic>
              </a:graphicData>
            </a:graphic>
          </wp:inline>
        </w:drawing>
      </w:r>
    </w:p>
    <w:p w14:paraId="1BB133D3" w14:textId="63B0D627" w:rsidR="00814158" w:rsidRPr="00783571" w:rsidRDefault="00814158" w:rsidP="00814158">
      <w:pPr>
        <w:pStyle w:val="Source1"/>
      </w:pPr>
      <w:r w:rsidRPr="00783571">
        <w:t>MSM = men who have sex with men; PrEP = pre-exposure prophylaxis.</w:t>
      </w:r>
    </w:p>
    <w:p w14:paraId="058CADBF" w14:textId="0CC29FD7" w:rsidR="00F821CB" w:rsidRDefault="006E2CD0" w:rsidP="004A2344">
      <w:pPr>
        <w:pStyle w:val="BodyText"/>
      </w:pPr>
      <w:r w:rsidRPr="00783571">
        <w:t xml:space="preserve">When we held efficacy constant and allowed the coverage level of PrEP to be dynamically determined by the model, the coverage level decreased </w:t>
      </w:r>
      <w:r w:rsidR="003E37E1" w:rsidRPr="00783571">
        <w:t xml:space="preserve">slightly </w:t>
      </w:r>
      <w:r w:rsidRPr="00783571">
        <w:t>with time because the number of people on PrEP decreased and the size of the susceptible population increased</w:t>
      </w:r>
      <w:r w:rsidR="00EA3420" w:rsidRPr="00783571">
        <w:t>.</w:t>
      </w:r>
      <w:r w:rsidR="00890144" w:rsidRPr="00783571">
        <w:t xml:space="preserve"> </w:t>
      </w:r>
      <w:r w:rsidR="004E5F5F" w:rsidRPr="00783571">
        <w:t xml:space="preserve">The decrease in PrEP coverage with time was observed both when the current care continuum </w:t>
      </w:r>
      <w:r w:rsidR="00856DB5" w:rsidRPr="00783571">
        <w:t xml:space="preserve">levels </w:t>
      </w:r>
      <w:r w:rsidR="004E5F5F" w:rsidRPr="00783571">
        <w:t>w</w:t>
      </w:r>
      <w:r w:rsidR="00856DB5" w:rsidRPr="00783571">
        <w:t>ere</w:t>
      </w:r>
      <w:r w:rsidR="004E5F5F" w:rsidRPr="00783571">
        <w:t xml:space="preserve"> maintained and when national goals were met.</w:t>
      </w:r>
      <w:r w:rsidR="00CE4221" w:rsidRPr="00783571">
        <w:t xml:space="preserve"> </w:t>
      </w:r>
      <w:r w:rsidR="00890144" w:rsidRPr="00783571">
        <w:t>As an example, we have shown</w:t>
      </w:r>
      <w:r w:rsidR="00814158" w:rsidRPr="00783571">
        <w:t xml:space="preserve"> in Figure </w:t>
      </w:r>
      <w:r w:rsidR="00461E80" w:rsidRPr="00783571">
        <w:t>9.</w:t>
      </w:r>
      <w:r w:rsidR="00814158" w:rsidRPr="00783571">
        <w:t>1</w:t>
      </w:r>
      <w:r w:rsidR="00890144" w:rsidRPr="00783571">
        <w:t xml:space="preserve"> that</w:t>
      </w:r>
      <w:r w:rsidR="00461E80" w:rsidRPr="00783571">
        <w:t>,</w:t>
      </w:r>
      <w:r w:rsidR="00890144" w:rsidRPr="00783571">
        <w:t xml:space="preserve"> </w:t>
      </w:r>
      <w:r w:rsidR="00461E80" w:rsidRPr="00783571">
        <w:t xml:space="preserve">for the scenario when </w:t>
      </w:r>
      <w:r w:rsidR="00E132A5" w:rsidRPr="00783571">
        <w:t xml:space="preserve">the </w:t>
      </w:r>
      <w:r w:rsidR="00461E80" w:rsidRPr="00783571">
        <w:t xml:space="preserve">current care continuum </w:t>
      </w:r>
      <w:r w:rsidR="00856DB5" w:rsidRPr="00783571">
        <w:t xml:space="preserve">levels </w:t>
      </w:r>
      <w:r w:rsidR="00461E80" w:rsidRPr="00783571">
        <w:t>w</w:t>
      </w:r>
      <w:r w:rsidR="00856DB5" w:rsidRPr="00783571">
        <w:t>ere</w:t>
      </w:r>
      <w:r w:rsidR="00461E80" w:rsidRPr="00783571">
        <w:t xml:space="preserve"> maintained, </w:t>
      </w:r>
      <w:r w:rsidR="00890144" w:rsidRPr="00783571">
        <w:t>the coverage of PrEP among eligible MSM population</w:t>
      </w:r>
      <w:r w:rsidR="00E132A5" w:rsidRPr="00783571">
        <w:t>s</w:t>
      </w:r>
      <w:r w:rsidR="00890144" w:rsidRPr="00783571">
        <w:t xml:space="preserve"> decreased from 40% in 2016 to </w:t>
      </w:r>
      <w:r w:rsidR="00856DB5" w:rsidRPr="00783571">
        <w:t xml:space="preserve">about </w:t>
      </w:r>
      <w:r w:rsidR="00890144" w:rsidRPr="00783571">
        <w:t xml:space="preserve">36% in 2020 for all three values of efficacy. Similar results were also observed for </w:t>
      </w:r>
      <w:r w:rsidR="003E37E1" w:rsidRPr="00783571">
        <w:t>HETs</w:t>
      </w:r>
      <w:r w:rsidR="00890144" w:rsidRPr="00783571">
        <w:t xml:space="preserve"> and PWID, where the coverage of PrEP decreased from 10% in 2016 to </w:t>
      </w:r>
      <w:r w:rsidR="008B064E" w:rsidRPr="00783571">
        <w:t xml:space="preserve">about </w:t>
      </w:r>
      <w:r w:rsidR="00890144" w:rsidRPr="00783571">
        <w:t>9% in 2020 for all three values of efficacy</w:t>
      </w:r>
      <w:r w:rsidR="00461E80" w:rsidRPr="00783571">
        <w:t xml:space="preserve"> (not shown)</w:t>
      </w:r>
      <w:r w:rsidRPr="00783571">
        <w:t>.</w:t>
      </w:r>
    </w:p>
    <w:p w14:paraId="6BDCB37C" w14:textId="1D75B2F4" w:rsidR="004B5FEF" w:rsidRPr="005E57FF" w:rsidRDefault="004B5FEF" w:rsidP="000656E7">
      <w:pPr>
        <w:pStyle w:val="Heading2"/>
        <w:rPr>
          <w:highlight w:val="yellow"/>
        </w:rPr>
      </w:pPr>
      <w:bookmarkStart w:id="105" w:name="_Toc510104474"/>
      <w:r w:rsidRPr="005E57FF">
        <w:rPr>
          <w:highlight w:val="yellow"/>
        </w:rPr>
        <w:t>Partial Achievement of National Goals</w:t>
      </w:r>
      <w:bookmarkEnd w:id="105"/>
    </w:p>
    <w:p w14:paraId="0CDE9B6E" w14:textId="7C3B6200" w:rsidR="004B5FEF" w:rsidRPr="005E57FF" w:rsidRDefault="004B5FEF" w:rsidP="004B5FEF">
      <w:pPr>
        <w:pStyle w:val="BodyText"/>
        <w:rPr>
          <w:highlight w:val="yellow"/>
        </w:rPr>
      </w:pPr>
      <w:r w:rsidRPr="005E57FF">
        <w:rPr>
          <w:highlight w:val="yellow"/>
        </w:rPr>
        <w:t xml:space="preserve">We examined changes in the number of HIV infections from 2016 to 2020 and the marginal benefit of PrEP when national goals were not fully achieved but care and treatment levels were enhanced compared to the current care continuum. We estimated that 90% of PLWH had diagnosed infection, 85% of newly diagnosed persons were linked to care, and 65% of diagnosed PLWH were virally suppressed by 2020 (90/85/65 goals). We first estimated the cumulative incidence for the scenario when these goals were achieved, but PrEP was not implemented. We then repeated the analysis for the scenario when PrEP was also delivered to people at high risk of acquiring HIV. We set the coverage, efficacy, and drop-out values for PrEP at base case values (discussed in detail in the manuscript). </w:t>
      </w:r>
    </w:p>
    <w:p w14:paraId="52FD7658" w14:textId="0D2BA718" w:rsidR="004B5FEF" w:rsidRDefault="004B5FEF" w:rsidP="004B5FEF">
      <w:pPr>
        <w:pStyle w:val="BodyText"/>
      </w:pPr>
      <w:r w:rsidRPr="005E57FF">
        <w:rPr>
          <w:highlight w:val="yellow"/>
        </w:rPr>
        <w:t xml:space="preserve">Our results (Table </w:t>
      </w:r>
      <w:r w:rsidR="00EF1C48" w:rsidRPr="005E57FF">
        <w:rPr>
          <w:highlight w:val="yellow"/>
        </w:rPr>
        <w:t>9.2</w:t>
      </w:r>
      <w:r w:rsidRPr="005E57FF">
        <w:rPr>
          <w:highlight w:val="yellow"/>
        </w:rPr>
        <w:t>) showed that achieving (90/85/65) goals led to a 15.8% reduction in new infections (25,600 cases prevented). Implementing PrEP along with reaching these goals resulted in a 14.8% reduction in new infections (24,010 cases prevented), which is the marginal benefit of PrEP compared to reaching the (90/85/65) goals alone</w:t>
      </w:r>
      <w:r>
        <w:t xml:space="preserve">. </w:t>
      </w:r>
    </w:p>
    <w:p w14:paraId="1E48CA1D" w14:textId="3E19A75C" w:rsidR="004B5FEF" w:rsidRPr="005E57FF" w:rsidRDefault="004B5FEF" w:rsidP="004B5FEF">
      <w:pPr>
        <w:pStyle w:val="TableTitle"/>
        <w:rPr>
          <w:highlight w:val="yellow"/>
          <w:vertAlign w:val="superscript"/>
        </w:rPr>
      </w:pPr>
      <w:bookmarkStart w:id="106" w:name="_Toc510104042"/>
      <w:r w:rsidRPr="005E57FF">
        <w:rPr>
          <w:highlight w:val="yellow"/>
        </w:rPr>
        <w:t>Table 9.2.</w:t>
      </w:r>
      <w:r w:rsidRPr="005E57FF">
        <w:rPr>
          <w:highlight w:val="yellow"/>
        </w:rPr>
        <w:tab/>
        <w:t>Cumulative number of new infections 2016–2020 for varied scenarios</w:t>
      </w:r>
      <w:r w:rsidRPr="005E57FF">
        <w:rPr>
          <w:highlight w:val="yellow"/>
          <w:vertAlign w:val="superscript"/>
        </w:rPr>
        <w:t>a</w:t>
      </w:r>
      <w:bookmarkEnd w:id="106"/>
    </w:p>
    <w:tbl>
      <w:tblPr>
        <w:tblStyle w:val="TableFormat4"/>
        <w:tblW w:w="9360" w:type="dxa"/>
        <w:tblInd w:w="0" w:type="dxa"/>
        <w:tblLayout w:type="fixed"/>
        <w:tblCellMar>
          <w:left w:w="115" w:type="dxa"/>
          <w:right w:w="115" w:type="dxa"/>
        </w:tblCellMar>
        <w:tblLook w:val="04A0" w:firstRow="1" w:lastRow="0" w:firstColumn="1" w:lastColumn="0" w:noHBand="0" w:noVBand="1"/>
      </w:tblPr>
      <w:tblGrid>
        <w:gridCol w:w="1872"/>
        <w:gridCol w:w="1872"/>
        <w:gridCol w:w="1872"/>
        <w:gridCol w:w="1872"/>
        <w:gridCol w:w="1872"/>
      </w:tblGrid>
      <w:tr w:rsidR="00CD0F96" w:rsidRPr="005E57FF" w14:paraId="18481833" w14:textId="77777777" w:rsidTr="000656E7">
        <w:trPr>
          <w:cnfStyle w:val="100000000000" w:firstRow="1" w:lastRow="0" w:firstColumn="0" w:lastColumn="0" w:oddVBand="0" w:evenVBand="0" w:oddHBand="0" w:evenHBand="0" w:firstRowFirstColumn="0" w:firstRowLastColumn="0" w:lastRowFirstColumn="0" w:lastRowLastColumn="0"/>
        </w:trPr>
        <w:tc>
          <w:tcPr>
            <w:tcW w:w="0" w:type="dxa"/>
          </w:tcPr>
          <w:p w14:paraId="0AEBAD35" w14:textId="77777777" w:rsidR="00CD0F96" w:rsidRPr="005E57FF" w:rsidRDefault="00CD0F96" w:rsidP="00D46135">
            <w:pPr>
              <w:pStyle w:val="TableHeaders"/>
              <w:rPr>
                <w:highlight w:val="yellow"/>
              </w:rPr>
            </w:pPr>
            <w:r w:rsidRPr="005E57FF">
              <w:rPr>
                <w:szCs w:val="18"/>
                <w:highlight w:val="yellow"/>
              </w:rPr>
              <w:t>Scenario</w:t>
            </w:r>
          </w:p>
        </w:tc>
        <w:tc>
          <w:tcPr>
            <w:tcW w:w="0" w:type="dxa"/>
            <w:noWrap/>
          </w:tcPr>
          <w:p w14:paraId="0E606EAC" w14:textId="77777777" w:rsidR="00CD0F96" w:rsidRPr="005E57FF" w:rsidRDefault="00CD0F96" w:rsidP="00D46135">
            <w:pPr>
              <w:pStyle w:val="TableHeaders"/>
              <w:rPr>
                <w:highlight w:val="yellow"/>
              </w:rPr>
            </w:pPr>
            <w:r w:rsidRPr="005E57FF">
              <w:rPr>
                <w:highlight w:val="yellow"/>
              </w:rPr>
              <w:t>MSM</w:t>
            </w:r>
          </w:p>
        </w:tc>
        <w:tc>
          <w:tcPr>
            <w:tcW w:w="0" w:type="dxa"/>
          </w:tcPr>
          <w:p w14:paraId="24827A9A" w14:textId="77777777" w:rsidR="00CD0F96" w:rsidRPr="005E57FF" w:rsidRDefault="00CD0F96" w:rsidP="00EF1C48">
            <w:pPr>
              <w:pStyle w:val="TableHeaders"/>
              <w:rPr>
                <w:highlight w:val="yellow"/>
              </w:rPr>
            </w:pPr>
            <w:r w:rsidRPr="005E57FF">
              <w:rPr>
                <w:highlight w:val="yellow"/>
              </w:rPr>
              <w:t>HET</w:t>
            </w:r>
          </w:p>
        </w:tc>
        <w:tc>
          <w:tcPr>
            <w:tcW w:w="0" w:type="dxa"/>
          </w:tcPr>
          <w:p w14:paraId="3CA62FAD" w14:textId="77777777" w:rsidR="00CD0F96" w:rsidRPr="005E57FF" w:rsidRDefault="00CD0F96" w:rsidP="00EF1C48">
            <w:pPr>
              <w:pStyle w:val="TableHeaders"/>
              <w:rPr>
                <w:highlight w:val="yellow"/>
              </w:rPr>
            </w:pPr>
            <w:r w:rsidRPr="005E57FF">
              <w:rPr>
                <w:highlight w:val="yellow"/>
              </w:rPr>
              <w:t>PWID</w:t>
            </w:r>
          </w:p>
        </w:tc>
        <w:tc>
          <w:tcPr>
            <w:tcW w:w="0" w:type="dxa"/>
          </w:tcPr>
          <w:p w14:paraId="4E7FCF7F" w14:textId="77777777" w:rsidR="00CD0F96" w:rsidRPr="005E57FF" w:rsidRDefault="00CD0F96">
            <w:pPr>
              <w:pStyle w:val="TableHeaders"/>
              <w:rPr>
                <w:highlight w:val="yellow"/>
              </w:rPr>
            </w:pPr>
            <w:r w:rsidRPr="005E57FF">
              <w:rPr>
                <w:highlight w:val="yellow"/>
              </w:rPr>
              <w:t>Total</w:t>
            </w:r>
          </w:p>
        </w:tc>
      </w:tr>
      <w:tr w:rsidR="00CD0F96" w:rsidRPr="005E57FF" w14:paraId="66467B4D" w14:textId="77777777" w:rsidTr="000656E7">
        <w:tc>
          <w:tcPr>
            <w:tcW w:w="0" w:type="dxa"/>
            <w:tcBorders>
              <w:top w:val="single" w:sz="6" w:space="0" w:color="auto"/>
              <w:bottom w:val="single" w:sz="6" w:space="0" w:color="808080" w:themeColor="background1" w:themeShade="80"/>
            </w:tcBorders>
          </w:tcPr>
          <w:p w14:paraId="20D526EF" w14:textId="77777777" w:rsidR="00CD0F96" w:rsidRPr="005E57FF" w:rsidRDefault="00CD0F96" w:rsidP="00CD0F96">
            <w:pPr>
              <w:pStyle w:val="TableText"/>
              <w:rPr>
                <w:szCs w:val="18"/>
                <w:highlight w:val="yellow"/>
              </w:rPr>
            </w:pPr>
            <w:r w:rsidRPr="005E57FF">
              <w:rPr>
                <w:highlight w:val="yellow"/>
              </w:rPr>
              <w:t>Current care-continuum levels - no PrEP (base case)</w:t>
            </w:r>
          </w:p>
        </w:tc>
        <w:tc>
          <w:tcPr>
            <w:tcW w:w="0" w:type="dxa"/>
            <w:tcBorders>
              <w:top w:val="single" w:sz="6" w:space="0" w:color="auto"/>
              <w:bottom w:val="single" w:sz="6" w:space="0" w:color="808080" w:themeColor="background1" w:themeShade="80"/>
            </w:tcBorders>
            <w:noWrap/>
          </w:tcPr>
          <w:p w14:paraId="2C436077" w14:textId="3235D5F7" w:rsidR="00CD0F96" w:rsidRPr="005E57FF" w:rsidRDefault="00CD0F96" w:rsidP="00CD0F96">
            <w:pPr>
              <w:pStyle w:val="TableText"/>
              <w:jc w:val="center"/>
              <w:rPr>
                <w:szCs w:val="18"/>
                <w:highlight w:val="yellow"/>
              </w:rPr>
            </w:pPr>
            <w:r w:rsidRPr="005E57FF">
              <w:rPr>
                <w:highlight w:val="yellow"/>
              </w:rPr>
              <w:t>102,410</w:t>
            </w:r>
          </w:p>
        </w:tc>
        <w:tc>
          <w:tcPr>
            <w:tcW w:w="0" w:type="dxa"/>
            <w:tcBorders>
              <w:top w:val="single" w:sz="6" w:space="0" w:color="auto"/>
              <w:bottom w:val="single" w:sz="6" w:space="0" w:color="808080" w:themeColor="background1" w:themeShade="80"/>
            </w:tcBorders>
          </w:tcPr>
          <w:p w14:paraId="2FD86D34" w14:textId="565E3FB1" w:rsidR="00CD0F96" w:rsidRPr="005E57FF" w:rsidRDefault="00CD0F96" w:rsidP="000656E7">
            <w:pPr>
              <w:pStyle w:val="TableText"/>
              <w:jc w:val="center"/>
              <w:rPr>
                <w:szCs w:val="18"/>
                <w:highlight w:val="yellow"/>
              </w:rPr>
            </w:pPr>
            <w:r w:rsidRPr="005E57FF">
              <w:rPr>
                <w:highlight w:val="yellow"/>
              </w:rPr>
              <w:t>43,167</w:t>
            </w:r>
          </w:p>
        </w:tc>
        <w:tc>
          <w:tcPr>
            <w:tcW w:w="0" w:type="dxa"/>
            <w:tcBorders>
              <w:top w:val="single" w:sz="6" w:space="0" w:color="auto"/>
              <w:bottom w:val="single" w:sz="6" w:space="0" w:color="808080" w:themeColor="background1" w:themeShade="80"/>
            </w:tcBorders>
          </w:tcPr>
          <w:p w14:paraId="1CE231AB" w14:textId="78BE56C5" w:rsidR="00CD0F96" w:rsidRPr="005E57FF" w:rsidRDefault="00CD0F96" w:rsidP="000656E7">
            <w:pPr>
              <w:pStyle w:val="TableText"/>
              <w:jc w:val="center"/>
              <w:rPr>
                <w:szCs w:val="18"/>
                <w:highlight w:val="yellow"/>
              </w:rPr>
            </w:pPr>
            <w:r w:rsidRPr="005E57FF">
              <w:rPr>
                <w:highlight w:val="yellow"/>
              </w:rPr>
              <w:t>16,676</w:t>
            </w:r>
          </w:p>
        </w:tc>
        <w:tc>
          <w:tcPr>
            <w:tcW w:w="0" w:type="dxa"/>
            <w:tcBorders>
              <w:top w:val="single" w:sz="6" w:space="0" w:color="auto"/>
              <w:bottom w:val="single" w:sz="6" w:space="0" w:color="808080" w:themeColor="background1" w:themeShade="80"/>
            </w:tcBorders>
          </w:tcPr>
          <w:p w14:paraId="2C98356E" w14:textId="3913ABDE" w:rsidR="00CD0F96" w:rsidRPr="005E57FF" w:rsidRDefault="00CD0F96" w:rsidP="000656E7">
            <w:pPr>
              <w:pStyle w:val="TableText"/>
              <w:jc w:val="center"/>
              <w:rPr>
                <w:szCs w:val="18"/>
                <w:highlight w:val="yellow"/>
              </w:rPr>
            </w:pPr>
            <w:r w:rsidRPr="005E57FF">
              <w:rPr>
                <w:highlight w:val="yellow"/>
              </w:rPr>
              <w:t>162,254</w:t>
            </w:r>
          </w:p>
        </w:tc>
      </w:tr>
      <w:tr w:rsidR="00CD0F96" w:rsidRPr="005E57FF" w14:paraId="44FFD9A7" w14:textId="77777777" w:rsidTr="000656E7">
        <w:tc>
          <w:tcPr>
            <w:tcW w:w="0" w:type="dxa"/>
            <w:tcBorders>
              <w:top w:val="single" w:sz="6" w:space="0" w:color="808080" w:themeColor="background1" w:themeShade="80"/>
              <w:bottom w:val="single" w:sz="6" w:space="0" w:color="808080" w:themeColor="background1" w:themeShade="80"/>
            </w:tcBorders>
          </w:tcPr>
          <w:p w14:paraId="38F5179C" w14:textId="77777777" w:rsidR="00CD0F96" w:rsidRPr="005E57FF" w:rsidRDefault="00CD0F96" w:rsidP="00CD0F96">
            <w:pPr>
              <w:pStyle w:val="TableText"/>
              <w:rPr>
                <w:szCs w:val="18"/>
                <w:highlight w:val="yellow"/>
              </w:rPr>
            </w:pPr>
            <w:r w:rsidRPr="005E57FF">
              <w:rPr>
                <w:highlight w:val="yellow"/>
              </w:rPr>
              <w:t>Goals (90/85/65) achieved - no PrEP</w:t>
            </w:r>
          </w:p>
        </w:tc>
        <w:tc>
          <w:tcPr>
            <w:tcW w:w="0" w:type="dxa"/>
            <w:tcBorders>
              <w:top w:val="single" w:sz="6" w:space="0" w:color="808080" w:themeColor="background1" w:themeShade="80"/>
              <w:bottom w:val="single" w:sz="6" w:space="0" w:color="808080" w:themeColor="background1" w:themeShade="80"/>
            </w:tcBorders>
            <w:noWrap/>
          </w:tcPr>
          <w:p w14:paraId="2D977EF5" w14:textId="42B5377E" w:rsidR="00CD0F96" w:rsidRPr="005E57FF" w:rsidRDefault="00CD0F96" w:rsidP="00CD0F96">
            <w:pPr>
              <w:pStyle w:val="TableText"/>
              <w:jc w:val="center"/>
              <w:rPr>
                <w:szCs w:val="18"/>
                <w:highlight w:val="yellow"/>
              </w:rPr>
            </w:pPr>
            <w:r w:rsidRPr="005E57FF">
              <w:rPr>
                <w:highlight w:val="yellow"/>
              </w:rPr>
              <w:t>84,691</w:t>
            </w:r>
          </w:p>
        </w:tc>
        <w:tc>
          <w:tcPr>
            <w:tcW w:w="0" w:type="dxa"/>
            <w:tcBorders>
              <w:top w:val="single" w:sz="6" w:space="0" w:color="808080" w:themeColor="background1" w:themeShade="80"/>
              <w:bottom w:val="single" w:sz="6" w:space="0" w:color="808080" w:themeColor="background1" w:themeShade="80"/>
            </w:tcBorders>
          </w:tcPr>
          <w:p w14:paraId="27EE5B31" w14:textId="3D1EC06E" w:rsidR="00CD0F96" w:rsidRPr="005E57FF" w:rsidRDefault="00CD0F96" w:rsidP="000656E7">
            <w:pPr>
              <w:pStyle w:val="TableText"/>
              <w:jc w:val="center"/>
              <w:rPr>
                <w:szCs w:val="18"/>
                <w:highlight w:val="yellow"/>
              </w:rPr>
            </w:pPr>
            <w:r w:rsidRPr="005E57FF">
              <w:rPr>
                <w:highlight w:val="yellow"/>
              </w:rPr>
              <w:t>36,781</w:t>
            </w:r>
          </w:p>
        </w:tc>
        <w:tc>
          <w:tcPr>
            <w:tcW w:w="0" w:type="dxa"/>
            <w:tcBorders>
              <w:top w:val="single" w:sz="6" w:space="0" w:color="808080" w:themeColor="background1" w:themeShade="80"/>
              <w:bottom w:val="single" w:sz="6" w:space="0" w:color="808080" w:themeColor="background1" w:themeShade="80"/>
            </w:tcBorders>
          </w:tcPr>
          <w:p w14:paraId="7E2D26A3" w14:textId="5FC905C4" w:rsidR="00CD0F96" w:rsidRPr="005E57FF" w:rsidRDefault="00CD0F96" w:rsidP="000656E7">
            <w:pPr>
              <w:pStyle w:val="TableText"/>
              <w:jc w:val="center"/>
              <w:rPr>
                <w:szCs w:val="18"/>
                <w:highlight w:val="yellow"/>
              </w:rPr>
            </w:pPr>
            <w:r w:rsidRPr="005E57FF">
              <w:rPr>
                <w:highlight w:val="yellow"/>
              </w:rPr>
              <w:t>15,122</w:t>
            </w:r>
          </w:p>
        </w:tc>
        <w:tc>
          <w:tcPr>
            <w:tcW w:w="0" w:type="dxa"/>
            <w:tcBorders>
              <w:top w:val="single" w:sz="6" w:space="0" w:color="808080" w:themeColor="background1" w:themeShade="80"/>
              <w:bottom w:val="single" w:sz="6" w:space="0" w:color="808080" w:themeColor="background1" w:themeShade="80"/>
            </w:tcBorders>
          </w:tcPr>
          <w:p w14:paraId="25303221" w14:textId="3DEF06D2" w:rsidR="00CD0F96" w:rsidRPr="005E57FF" w:rsidRDefault="00CD0F96" w:rsidP="000656E7">
            <w:pPr>
              <w:pStyle w:val="TableText"/>
              <w:jc w:val="center"/>
              <w:rPr>
                <w:szCs w:val="18"/>
                <w:highlight w:val="yellow"/>
              </w:rPr>
            </w:pPr>
            <w:r w:rsidRPr="005E57FF">
              <w:rPr>
                <w:highlight w:val="yellow"/>
              </w:rPr>
              <w:t>136,594</w:t>
            </w:r>
          </w:p>
        </w:tc>
      </w:tr>
      <w:tr w:rsidR="00CD0F96" w:rsidRPr="005E57FF" w14:paraId="41380FE0" w14:textId="77777777" w:rsidTr="000656E7">
        <w:tc>
          <w:tcPr>
            <w:tcW w:w="0" w:type="dxa"/>
            <w:tcBorders>
              <w:top w:val="single" w:sz="6" w:space="0" w:color="808080" w:themeColor="background1" w:themeShade="80"/>
              <w:bottom w:val="single" w:sz="6" w:space="0" w:color="808080" w:themeColor="background1" w:themeShade="80"/>
            </w:tcBorders>
          </w:tcPr>
          <w:p w14:paraId="264DC851" w14:textId="77777777" w:rsidR="00CD0F96" w:rsidRPr="005E57FF" w:rsidRDefault="00CD0F96" w:rsidP="00D46135">
            <w:pPr>
              <w:pStyle w:val="TableText"/>
              <w:rPr>
                <w:szCs w:val="18"/>
                <w:highlight w:val="yellow"/>
              </w:rPr>
            </w:pPr>
            <w:r w:rsidRPr="005E57FF">
              <w:rPr>
                <w:highlight w:val="yellow"/>
              </w:rPr>
              <w:t>HIV infections prevented due to achieving goals</w:t>
            </w:r>
            <w:r w:rsidRPr="005E57FF">
              <w:rPr>
                <w:highlight w:val="yellow"/>
              </w:rPr>
              <w:br/>
              <w:t>(percentage)</w:t>
            </w:r>
          </w:p>
        </w:tc>
        <w:tc>
          <w:tcPr>
            <w:tcW w:w="0" w:type="dxa"/>
            <w:tcBorders>
              <w:top w:val="single" w:sz="6" w:space="0" w:color="808080" w:themeColor="background1" w:themeShade="80"/>
              <w:bottom w:val="single" w:sz="6" w:space="0" w:color="808080" w:themeColor="background1" w:themeShade="80"/>
            </w:tcBorders>
            <w:noWrap/>
          </w:tcPr>
          <w:p w14:paraId="110A8D71" w14:textId="57A04A63" w:rsidR="00CD0F96" w:rsidRPr="005E57FF" w:rsidRDefault="00CD0F96" w:rsidP="00EF1C48">
            <w:pPr>
              <w:pStyle w:val="TableText"/>
              <w:jc w:val="center"/>
              <w:rPr>
                <w:szCs w:val="18"/>
                <w:highlight w:val="yellow"/>
              </w:rPr>
            </w:pPr>
            <w:r w:rsidRPr="005E57FF">
              <w:rPr>
                <w:szCs w:val="18"/>
                <w:highlight w:val="yellow"/>
              </w:rPr>
              <w:t>17,719 (17.3%)</w:t>
            </w:r>
          </w:p>
        </w:tc>
        <w:tc>
          <w:tcPr>
            <w:tcW w:w="0" w:type="dxa"/>
            <w:tcBorders>
              <w:top w:val="single" w:sz="6" w:space="0" w:color="808080" w:themeColor="background1" w:themeShade="80"/>
              <w:bottom w:val="single" w:sz="6" w:space="0" w:color="808080" w:themeColor="background1" w:themeShade="80"/>
            </w:tcBorders>
          </w:tcPr>
          <w:p w14:paraId="5CE0DC80" w14:textId="2E0F7C9B" w:rsidR="00CD0F96" w:rsidRPr="005E57FF" w:rsidRDefault="00CD0F96" w:rsidP="000656E7">
            <w:pPr>
              <w:pStyle w:val="TableText"/>
              <w:jc w:val="center"/>
              <w:rPr>
                <w:szCs w:val="18"/>
                <w:highlight w:val="yellow"/>
              </w:rPr>
            </w:pPr>
            <w:r w:rsidRPr="005E57FF">
              <w:rPr>
                <w:szCs w:val="18"/>
                <w:highlight w:val="yellow"/>
              </w:rPr>
              <w:t xml:space="preserve">6,386 </w:t>
            </w:r>
            <w:r w:rsidRPr="005E57FF">
              <w:rPr>
                <w:szCs w:val="18"/>
                <w:highlight w:val="yellow"/>
              </w:rPr>
              <w:br/>
              <w:t>(14.8%)</w:t>
            </w:r>
          </w:p>
        </w:tc>
        <w:tc>
          <w:tcPr>
            <w:tcW w:w="0" w:type="dxa"/>
            <w:tcBorders>
              <w:top w:val="single" w:sz="6" w:space="0" w:color="808080" w:themeColor="background1" w:themeShade="80"/>
              <w:bottom w:val="single" w:sz="6" w:space="0" w:color="808080" w:themeColor="background1" w:themeShade="80"/>
            </w:tcBorders>
          </w:tcPr>
          <w:p w14:paraId="3977FA09" w14:textId="57A6A7F3" w:rsidR="00CD0F96" w:rsidRPr="005E57FF" w:rsidRDefault="00CD0F96" w:rsidP="000656E7">
            <w:pPr>
              <w:pStyle w:val="TableText"/>
              <w:jc w:val="center"/>
              <w:rPr>
                <w:szCs w:val="18"/>
                <w:highlight w:val="yellow"/>
              </w:rPr>
            </w:pPr>
            <w:r w:rsidRPr="005E57FF">
              <w:rPr>
                <w:szCs w:val="18"/>
                <w:highlight w:val="yellow"/>
              </w:rPr>
              <w:t xml:space="preserve">1,554 </w:t>
            </w:r>
            <w:r w:rsidRPr="005E57FF">
              <w:rPr>
                <w:szCs w:val="18"/>
                <w:highlight w:val="yellow"/>
              </w:rPr>
              <w:br/>
              <w:t>(9.3%)</w:t>
            </w:r>
          </w:p>
        </w:tc>
        <w:tc>
          <w:tcPr>
            <w:tcW w:w="0" w:type="dxa"/>
            <w:tcBorders>
              <w:top w:val="single" w:sz="6" w:space="0" w:color="808080" w:themeColor="background1" w:themeShade="80"/>
              <w:bottom w:val="single" w:sz="6" w:space="0" w:color="808080" w:themeColor="background1" w:themeShade="80"/>
            </w:tcBorders>
          </w:tcPr>
          <w:p w14:paraId="4ABFF573" w14:textId="54011B6F" w:rsidR="00CD0F96" w:rsidRPr="005E57FF" w:rsidRDefault="00CD0F96" w:rsidP="000656E7">
            <w:pPr>
              <w:pStyle w:val="TableText"/>
              <w:jc w:val="center"/>
              <w:rPr>
                <w:szCs w:val="18"/>
                <w:highlight w:val="yellow"/>
              </w:rPr>
            </w:pPr>
            <w:r w:rsidRPr="005E57FF">
              <w:rPr>
                <w:szCs w:val="18"/>
                <w:highlight w:val="yellow"/>
              </w:rPr>
              <w:t xml:space="preserve">25,660 </w:t>
            </w:r>
            <w:r w:rsidRPr="005E57FF">
              <w:rPr>
                <w:szCs w:val="18"/>
                <w:highlight w:val="yellow"/>
              </w:rPr>
              <w:br/>
              <w:t>(15.8%)</w:t>
            </w:r>
          </w:p>
        </w:tc>
      </w:tr>
      <w:tr w:rsidR="00CD0F96" w:rsidRPr="005E57FF" w14:paraId="7F780FC5" w14:textId="77777777" w:rsidTr="000656E7">
        <w:tc>
          <w:tcPr>
            <w:tcW w:w="0" w:type="dxa"/>
            <w:tcBorders>
              <w:top w:val="single" w:sz="6" w:space="0" w:color="808080" w:themeColor="background1" w:themeShade="80"/>
              <w:bottom w:val="single" w:sz="6" w:space="0" w:color="808080" w:themeColor="background1" w:themeShade="80"/>
            </w:tcBorders>
          </w:tcPr>
          <w:p w14:paraId="1EC5C8B6" w14:textId="77777777" w:rsidR="00CD0F96" w:rsidRPr="005E57FF" w:rsidRDefault="00CD0F96" w:rsidP="00CD0F96">
            <w:pPr>
              <w:pStyle w:val="TableText"/>
              <w:rPr>
                <w:highlight w:val="yellow"/>
              </w:rPr>
            </w:pPr>
            <w:r w:rsidRPr="005E57FF">
              <w:rPr>
                <w:highlight w:val="yellow"/>
              </w:rPr>
              <w:t>Goals (90/85/65) achieved - with PrEP</w:t>
            </w:r>
          </w:p>
        </w:tc>
        <w:tc>
          <w:tcPr>
            <w:tcW w:w="0" w:type="dxa"/>
            <w:tcBorders>
              <w:top w:val="single" w:sz="6" w:space="0" w:color="808080" w:themeColor="background1" w:themeShade="80"/>
              <w:bottom w:val="single" w:sz="6" w:space="0" w:color="808080" w:themeColor="background1" w:themeShade="80"/>
            </w:tcBorders>
            <w:noWrap/>
          </w:tcPr>
          <w:p w14:paraId="24B1BAC5" w14:textId="6E05F156" w:rsidR="00CD0F96" w:rsidRPr="005E57FF" w:rsidRDefault="00CD0F96" w:rsidP="00EF1C48">
            <w:pPr>
              <w:pStyle w:val="TableText"/>
              <w:jc w:val="center"/>
              <w:rPr>
                <w:szCs w:val="18"/>
                <w:highlight w:val="yellow"/>
              </w:rPr>
            </w:pPr>
            <w:r w:rsidRPr="005E57FF">
              <w:rPr>
                <w:highlight w:val="yellow"/>
              </w:rPr>
              <w:t>63,704</w:t>
            </w:r>
          </w:p>
        </w:tc>
        <w:tc>
          <w:tcPr>
            <w:tcW w:w="0" w:type="dxa"/>
            <w:tcBorders>
              <w:top w:val="single" w:sz="6" w:space="0" w:color="808080" w:themeColor="background1" w:themeShade="80"/>
              <w:bottom w:val="single" w:sz="6" w:space="0" w:color="808080" w:themeColor="background1" w:themeShade="80"/>
            </w:tcBorders>
          </w:tcPr>
          <w:p w14:paraId="5156EA70" w14:textId="75086474" w:rsidR="00CD0F96" w:rsidRPr="005E57FF" w:rsidRDefault="00CD0F96" w:rsidP="000656E7">
            <w:pPr>
              <w:pStyle w:val="TableText"/>
              <w:jc w:val="center"/>
              <w:rPr>
                <w:szCs w:val="18"/>
                <w:highlight w:val="yellow"/>
              </w:rPr>
            </w:pPr>
            <w:r w:rsidRPr="005E57FF">
              <w:rPr>
                <w:highlight w:val="yellow"/>
              </w:rPr>
              <w:t>34,506</w:t>
            </w:r>
          </w:p>
        </w:tc>
        <w:tc>
          <w:tcPr>
            <w:tcW w:w="0" w:type="dxa"/>
            <w:tcBorders>
              <w:top w:val="single" w:sz="6" w:space="0" w:color="808080" w:themeColor="background1" w:themeShade="80"/>
              <w:bottom w:val="single" w:sz="6" w:space="0" w:color="808080" w:themeColor="background1" w:themeShade="80"/>
            </w:tcBorders>
          </w:tcPr>
          <w:p w14:paraId="0E6CA07C" w14:textId="5E02ABDA" w:rsidR="00CD0F96" w:rsidRPr="005E57FF" w:rsidRDefault="00CD0F96" w:rsidP="000656E7">
            <w:pPr>
              <w:pStyle w:val="TableText"/>
              <w:jc w:val="center"/>
              <w:rPr>
                <w:szCs w:val="18"/>
                <w:highlight w:val="yellow"/>
              </w:rPr>
            </w:pPr>
            <w:r w:rsidRPr="005E57FF">
              <w:rPr>
                <w:highlight w:val="yellow"/>
              </w:rPr>
              <w:t>14,374</w:t>
            </w:r>
          </w:p>
        </w:tc>
        <w:tc>
          <w:tcPr>
            <w:tcW w:w="0" w:type="dxa"/>
            <w:tcBorders>
              <w:top w:val="single" w:sz="6" w:space="0" w:color="808080" w:themeColor="background1" w:themeShade="80"/>
              <w:bottom w:val="single" w:sz="6" w:space="0" w:color="808080" w:themeColor="background1" w:themeShade="80"/>
            </w:tcBorders>
          </w:tcPr>
          <w:p w14:paraId="785567B2" w14:textId="2787B1D3" w:rsidR="00CD0F96" w:rsidRPr="005E57FF" w:rsidRDefault="00CD0F96" w:rsidP="000656E7">
            <w:pPr>
              <w:pStyle w:val="TableText"/>
              <w:jc w:val="center"/>
              <w:rPr>
                <w:szCs w:val="18"/>
                <w:highlight w:val="yellow"/>
              </w:rPr>
            </w:pPr>
            <w:r w:rsidRPr="005E57FF">
              <w:rPr>
                <w:highlight w:val="yellow"/>
              </w:rPr>
              <w:t>112,584</w:t>
            </w:r>
          </w:p>
        </w:tc>
      </w:tr>
      <w:tr w:rsidR="00CD0F96" w:rsidRPr="005E57FF" w14:paraId="628DC684" w14:textId="77777777" w:rsidTr="000656E7">
        <w:tc>
          <w:tcPr>
            <w:tcW w:w="0" w:type="dxa"/>
            <w:tcBorders>
              <w:top w:val="single" w:sz="6" w:space="0" w:color="808080" w:themeColor="background1" w:themeShade="80"/>
              <w:bottom w:val="single" w:sz="6" w:space="0" w:color="808080" w:themeColor="background1" w:themeShade="80"/>
            </w:tcBorders>
          </w:tcPr>
          <w:p w14:paraId="3C01FF5D" w14:textId="77777777" w:rsidR="00CD0F96" w:rsidRPr="005E57FF" w:rsidRDefault="00CD0F96" w:rsidP="00D46135">
            <w:pPr>
              <w:pStyle w:val="TableText"/>
              <w:rPr>
                <w:highlight w:val="yellow"/>
              </w:rPr>
            </w:pPr>
            <w:r w:rsidRPr="005E57FF">
              <w:rPr>
                <w:highlight w:val="yellow"/>
              </w:rPr>
              <w:t>HIV infections prevented due to achieving goals</w:t>
            </w:r>
            <w:r w:rsidRPr="005E57FF">
              <w:rPr>
                <w:highlight w:val="yellow"/>
              </w:rPr>
              <w:br/>
              <w:t>(percentage)</w:t>
            </w:r>
          </w:p>
        </w:tc>
        <w:tc>
          <w:tcPr>
            <w:tcW w:w="0" w:type="dxa"/>
            <w:tcBorders>
              <w:top w:val="single" w:sz="6" w:space="0" w:color="808080" w:themeColor="background1" w:themeShade="80"/>
              <w:bottom w:val="single" w:sz="6" w:space="0" w:color="808080" w:themeColor="background1" w:themeShade="80"/>
            </w:tcBorders>
            <w:noWrap/>
          </w:tcPr>
          <w:p w14:paraId="33AE63EF" w14:textId="526D8F24" w:rsidR="00CD0F96" w:rsidRPr="005E57FF" w:rsidRDefault="00CD0F96" w:rsidP="00EF1C48">
            <w:pPr>
              <w:pStyle w:val="TableText"/>
              <w:jc w:val="center"/>
              <w:rPr>
                <w:szCs w:val="18"/>
                <w:highlight w:val="yellow"/>
              </w:rPr>
            </w:pPr>
            <w:r w:rsidRPr="005E57FF">
              <w:rPr>
                <w:szCs w:val="18"/>
                <w:highlight w:val="yellow"/>
              </w:rPr>
              <w:t>38,706 (37.8%)</w:t>
            </w:r>
          </w:p>
        </w:tc>
        <w:tc>
          <w:tcPr>
            <w:tcW w:w="0" w:type="dxa"/>
            <w:tcBorders>
              <w:top w:val="single" w:sz="6" w:space="0" w:color="808080" w:themeColor="background1" w:themeShade="80"/>
              <w:bottom w:val="single" w:sz="6" w:space="0" w:color="808080" w:themeColor="background1" w:themeShade="80"/>
            </w:tcBorders>
          </w:tcPr>
          <w:p w14:paraId="443C96CC" w14:textId="72C38570" w:rsidR="00CD0F96" w:rsidRPr="005E57FF" w:rsidRDefault="00CD0F96" w:rsidP="000656E7">
            <w:pPr>
              <w:pStyle w:val="TableText"/>
              <w:jc w:val="center"/>
              <w:rPr>
                <w:szCs w:val="18"/>
                <w:highlight w:val="yellow"/>
              </w:rPr>
            </w:pPr>
            <w:r w:rsidRPr="005E57FF">
              <w:rPr>
                <w:szCs w:val="18"/>
                <w:highlight w:val="yellow"/>
              </w:rPr>
              <w:t xml:space="preserve">8,661 </w:t>
            </w:r>
            <w:r w:rsidRPr="005E57FF">
              <w:rPr>
                <w:szCs w:val="18"/>
                <w:highlight w:val="yellow"/>
              </w:rPr>
              <w:br/>
              <w:t>(20.1%)</w:t>
            </w:r>
          </w:p>
        </w:tc>
        <w:tc>
          <w:tcPr>
            <w:tcW w:w="0" w:type="dxa"/>
            <w:tcBorders>
              <w:top w:val="single" w:sz="6" w:space="0" w:color="808080" w:themeColor="background1" w:themeShade="80"/>
              <w:bottom w:val="single" w:sz="6" w:space="0" w:color="808080" w:themeColor="background1" w:themeShade="80"/>
            </w:tcBorders>
          </w:tcPr>
          <w:p w14:paraId="6371FB2E" w14:textId="2A9E033F" w:rsidR="00CD0F96" w:rsidRPr="005E57FF" w:rsidRDefault="00CD0F96" w:rsidP="000656E7">
            <w:pPr>
              <w:pStyle w:val="TableText"/>
              <w:jc w:val="center"/>
              <w:rPr>
                <w:szCs w:val="18"/>
                <w:highlight w:val="yellow"/>
              </w:rPr>
            </w:pPr>
            <w:r w:rsidRPr="005E57FF">
              <w:rPr>
                <w:szCs w:val="18"/>
                <w:highlight w:val="yellow"/>
              </w:rPr>
              <w:t>2,302</w:t>
            </w:r>
            <w:r w:rsidRPr="005E57FF">
              <w:rPr>
                <w:szCs w:val="18"/>
                <w:highlight w:val="yellow"/>
              </w:rPr>
              <w:br/>
              <w:t>(13.8%)</w:t>
            </w:r>
          </w:p>
        </w:tc>
        <w:tc>
          <w:tcPr>
            <w:tcW w:w="0" w:type="dxa"/>
            <w:tcBorders>
              <w:top w:val="single" w:sz="6" w:space="0" w:color="808080" w:themeColor="background1" w:themeShade="80"/>
              <w:bottom w:val="single" w:sz="6" w:space="0" w:color="808080" w:themeColor="background1" w:themeShade="80"/>
            </w:tcBorders>
          </w:tcPr>
          <w:p w14:paraId="26BE0335" w14:textId="64562D64" w:rsidR="00CD0F96" w:rsidRPr="005E57FF" w:rsidRDefault="00EF1C48" w:rsidP="000656E7">
            <w:pPr>
              <w:pStyle w:val="TableText"/>
              <w:jc w:val="center"/>
              <w:rPr>
                <w:szCs w:val="18"/>
                <w:highlight w:val="yellow"/>
              </w:rPr>
            </w:pPr>
            <w:r w:rsidRPr="005E57FF">
              <w:rPr>
                <w:szCs w:val="18"/>
                <w:highlight w:val="yellow"/>
              </w:rPr>
              <w:t>49,670</w:t>
            </w:r>
            <w:r w:rsidRPr="005E57FF">
              <w:rPr>
                <w:szCs w:val="18"/>
                <w:highlight w:val="yellow"/>
              </w:rPr>
              <w:br/>
              <w:t>(30.7%)</w:t>
            </w:r>
          </w:p>
        </w:tc>
      </w:tr>
      <w:tr w:rsidR="00CD0F96" w:rsidRPr="005E57FF" w14:paraId="3F51B3F4" w14:textId="77777777" w:rsidTr="000656E7">
        <w:tc>
          <w:tcPr>
            <w:tcW w:w="0" w:type="dxa"/>
            <w:tcBorders>
              <w:top w:val="single" w:sz="6" w:space="0" w:color="808080" w:themeColor="background1" w:themeShade="80"/>
              <w:bottom w:val="single" w:sz="12" w:space="0" w:color="auto"/>
            </w:tcBorders>
          </w:tcPr>
          <w:p w14:paraId="7405B3FB" w14:textId="77777777" w:rsidR="00CD0F96" w:rsidRPr="005E57FF" w:rsidRDefault="00CD0F96" w:rsidP="00D46135">
            <w:pPr>
              <w:pStyle w:val="TableText"/>
              <w:rPr>
                <w:highlight w:val="yellow"/>
              </w:rPr>
            </w:pPr>
            <w:r w:rsidRPr="005E57FF">
              <w:rPr>
                <w:highlight w:val="yellow"/>
              </w:rPr>
              <w:t>HIV infections prevented due to PrEP</w:t>
            </w:r>
          </w:p>
        </w:tc>
        <w:tc>
          <w:tcPr>
            <w:tcW w:w="0" w:type="dxa"/>
            <w:tcBorders>
              <w:top w:val="single" w:sz="6" w:space="0" w:color="808080" w:themeColor="background1" w:themeShade="80"/>
              <w:bottom w:val="single" w:sz="12" w:space="0" w:color="auto"/>
            </w:tcBorders>
            <w:noWrap/>
          </w:tcPr>
          <w:p w14:paraId="19D691F5" w14:textId="5F8925D2" w:rsidR="00CD0F96" w:rsidRPr="005E57FF" w:rsidRDefault="00EF1C48" w:rsidP="00EF1C48">
            <w:pPr>
              <w:pStyle w:val="TableText"/>
              <w:jc w:val="center"/>
              <w:rPr>
                <w:szCs w:val="18"/>
                <w:highlight w:val="yellow"/>
              </w:rPr>
            </w:pPr>
            <w:r w:rsidRPr="005E57FF">
              <w:rPr>
                <w:szCs w:val="18"/>
                <w:highlight w:val="yellow"/>
              </w:rPr>
              <w:t>20,987</w:t>
            </w:r>
            <w:r w:rsidRPr="005E57FF">
              <w:rPr>
                <w:szCs w:val="18"/>
                <w:highlight w:val="yellow"/>
              </w:rPr>
              <w:br/>
              <w:t>(20.5%)</w:t>
            </w:r>
          </w:p>
        </w:tc>
        <w:tc>
          <w:tcPr>
            <w:tcW w:w="0" w:type="dxa"/>
            <w:tcBorders>
              <w:top w:val="single" w:sz="6" w:space="0" w:color="808080" w:themeColor="background1" w:themeShade="80"/>
              <w:bottom w:val="single" w:sz="12" w:space="0" w:color="auto"/>
            </w:tcBorders>
          </w:tcPr>
          <w:p w14:paraId="57AA1B86" w14:textId="76A2DA69" w:rsidR="00CD0F96" w:rsidRPr="005E57FF" w:rsidRDefault="00EF1C48" w:rsidP="000656E7">
            <w:pPr>
              <w:pStyle w:val="TableText"/>
              <w:jc w:val="center"/>
              <w:rPr>
                <w:szCs w:val="18"/>
                <w:highlight w:val="yellow"/>
              </w:rPr>
            </w:pPr>
            <w:r w:rsidRPr="005E57FF">
              <w:rPr>
                <w:szCs w:val="18"/>
                <w:highlight w:val="yellow"/>
              </w:rPr>
              <w:t>2,275</w:t>
            </w:r>
            <w:r w:rsidRPr="005E57FF">
              <w:rPr>
                <w:szCs w:val="18"/>
                <w:highlight w:val="yellow"/>
              </w:rPr>
              <w:br/>
              <w:t>(5.3%)</w:t>
            </w:r>
          </w:p>
        </w:tc>
        <w:tc>
          <w:tcPr>
            <w:tcW w:w="0" w:type="dxa"/>
            <w:tcBorders>
              <w:top w:val="single" w:sz="6" w:space="0" w:color="808080" w:themeColor="background1" w:themeShade="80"/>
              <w:bottom w:val="single" w:sz="12" w:space="0" w:color="auto"/>
            </w:tcBorders>
          </w:tcPr>
          <w:p w14:paraId="33EED45F" w14:textId="34D5D440" w:rsidR="00CD0F96" w:rsidRPr="005E57FF" w:rsidRDefault="00EF1C48" w:rsidP="000656E7">
            <w:pPr>
              <w:pStyle w:val="TableText"/>
              <w:jc w:val="center"/>
              <w:rPr>
                <w:szCs w:val="18"/>
                <w:highlight w:val="yellow"/>
              </w:rPr>
            </w:pPr>
            <w:r w:rsidRPr="005E57FF">
              <w:rPr>
                <w:szCs w:val="18"/>
                <w:highlight w:val="yellow"/>
              </w:rPr>
              <w:t>748</w:t>
            </w:r>
            <w:r w:rsidRPr="005E57FF">
              <w:rPr>
                <w:szCs w:val="18"/>
                <w:highlight w:val="yellow"/>
              </w:rPr>
              <w:br/>
              <w:t>(4.5%)</w:t>
            </w:r>
          </w:p>
        </w:tc>
        <w:tc>
          <w:tcPr>
            <w:tcW w:w="0" w:type="dxa"/>
            <w:tcBorders>
              <w:top w:val="single" w:sz="6" w:space="0" w:color="808080" w:themeColor="background1" w:themeShade="80"/>
              <w:bottom w:val="single" w:sz="12" w:space="0" w:color="auto"/>
            </w:tcBorders>
          </w:tcPr>
          <w:p w14:paraId="6C56218B" w14:textId="75E92829" w:rsidR="00CD0F96" w:rsidRPr="005E57FF" w:rsidRDefault="00EF1C48" w:rsidP="000656E7">
            <w:pPr>
              <w:pStyle w:val="TableText"/>
              <w:jc w:val="center"/>
              <w:rPr>
                <w:szCs w:val="18"/>
                <w:highlight w:val="yellow"/>
              </w:rPr>
            </w:pPr>
            <w:r w:rsidRPr="005E57FF">
              <w:rPr>
                <w:szCs w:val="18"/>
                <w:highlight w:val="yellow"/>
              </w:rPr>
              <w:t>24,010</w:t>
            </w:r>
            <w:r w:rsidRPr="005E57FF">
              <w:rPr>
                <w:szCs w:val="18"/>
                <w:highlight w:val="yellow"/>
              </w:rPr>
              <w:br/>
              <w:t>(14.8%)</w:t>
            </w:r>
          </w:p>
        </w:tc>
      </w:tr>
    </w:tbl>
    <w:p w14:paraId="2B687398" w14:textId="77777777" w:rsidR="004B5FEF" w:rsidRPr="005E57FF" w:rsidRDefault="004B5FEF" w:rsidP="000656E7">
      <w:pPr>
        <w:pStyle w:val="Source2"/>
        <w:ind w:left="0" w:firstLine="0"/>
        <w:rPr>
          <w:highlight w:val="yellow"/>
        </w:rPr>
      </w:pPr>
      <w:r w:rsidRPr="005E57FF">
        <w:rPr>
          <w:highlight w:val="yellow"/>
        </w:rPr>
        <w:t>MSM= men who have sex with men; HET= heterosexuals; PWID= persons who inject drugs</w:t>
      </w:r>
    </w:p>
    <w:p w14:paraId="47466B1B" w14:textId="46CFC294" w:rsidR="004B5FEF" w:rsidRPr="000656E7" w:rsidRDefault="004B5FEF" w:rsidP="000656E7">
      <w:pPr>
        <w:pStyle w:val="Source2"/>
        <w:rPr>
          <w:vertAlign w:val="superscript"/>
        </w:rPr>
      </w:pPr>
      <w:r w:rsidRPr="005E57FF">
        <w:rPr>
          <w:highlight w:val="yellow"/>
          <w:vertAlign w:val="superscript"/>
        </w:rPr>
        <w:t xml:space="preserve">a </w:t>
      </w:r>
      <w:r w:rsidRPr="005E57FF">
        <w:rPr>
          <w:highlight w:val="yellow"/>
        </w:rPr>
        <w:t>Number and percentage of HIV infections prevented for each scenario with respect to the base case.</w:t>
      </w:r>
    </w:p>
    <w:p w14:paraId="10BF21AA" w14:textId="77777777" w:rsidR="004B5FEF" w:rsidRPr="00783571" w:rsidRDefault="004B5FEF" w:rsidP="004B5FEF">
      <w:pPr>
        <w:pStyle w:val="BodyText"/>
      </w:pPr>
    </w:p>
    <w:p w14:paraId="3A6CA6A0" w14:textId="77777777" w:rsidR="00343C2E" w:rsidRPr="00783571" w:rsidRDefault="00343C2E" w:rsidP="00814158">
      <w:pPr>
        <w:pStyle w:val="BodyText"/>
      </w:pPr>
    </w:p>
    <w:p w14:paraId="4A3FE5CC" w14:textId="393BD1F4" w:rsidR="00CA3CE6" w:rsidRPr="00783571" w:rsidRDefault="00CA3CE6" w:rsidP="00814158">
      <w:pPr>
        <w:pStyle w:val="BodyText"/>
      </w:pPr>
    </w:p>
    <w:p w14:paraId="2CF70591" w14:textId="77777777" w:rsidR="00B447DC" w:rsidRPr="00783571" w:rsidRDefault="00B447DC" w:rsidP="00BE6939">
      <w:pPr>
        <w:pStyle w:val="Source1"/>
        <w:ind w:left="0" w:firstLine="0"/>
        <w:sectPr w:rsidR="00B447DC" w:rsidRPr="00783571" w:rsidSect="008A678D">
          <w:headerReference w:type="default" r:id="rId149"/>
          <w:type w:val="oddPage"/>
          <w:pgSz w:w="12240" w:h="15840" w:code="1"/>
          <w:pgMar w:top="1440" w:right="1440" w:bottom="1440" w:left="1440" w:header="720" w:footer="720" w:gutter="0"/>
          <w:pgNumType w:start="1" w:chapStyle="1"/>
          <w:cols w:space="720"/>
          <w:titlePg/>
          <w:docGrid w:linePitch="360"/>
        </w:sectPr>
      </w:pPr>
    </w:p>
    <w:p w14:paraId="0FAEED27" w14:textId="19721FEF" w:rsidR="00A221B8" w:rsidRPr="00783571" w:rsidRDefault="00072F57" w:rsidP="00072F57">
      <w:pPr>
        <w:pStyle w:val="Heading1"/>
      </w:pPr>
      <w:bookmarkStart w:id="107" w:name="_Toc510104475"/>
      <w:r w:rsidRPr="00783571">
        <w:t>Calculation of Model Outcomes</w:t>
      </w:r>
      <w:bookmarkEnd w:id="107"/>
    </w:p>
    <w:p w14:paraId="44CC98CE" w14:textId="77777777" w:rsidR="00EC715C" w:rsidRPr="00783571" w:rsidRDefault="00EC715C" w:rsidP="00EC715C">
      <w:pPr>
        <w:pStyle w:val="Heading2"/>
      </w:pPr>
      <w:bookmarkStart w:id="108" w:name="_Toc510104476"/>
      <w:r w:rsidRPr="00783571">
        <w:t xml:space="preserve">Health </w:t>
      </w:r>
      <w:r w:rsidR="008A3F21" w:rsidRPr="00783571">
        <w:t>Outcomes</w:t>
      </w:r>
      <w:bookmarkEnd w:id="108"/>
    </w:p>
    <w:p w14:paraId="780EF40B" w14:textId="42F6E737" w:rsidR="00EC715C" w:rsidRPr="00783571" w:rsidRDefault="00EC715C" w:rsidP="00C7117F">
      <w:pPr>
        <w:pStyle w:val="BodyText"/>
      </w:pPr>
      <w:r w:rsidRPr="00783571">
        <w:t xml:space="preserve">In this section, we define the relevant inputs and methods applied in the calculation of the model’s key (non-economic) health outcomes, including </w:t>
      </w:r>
      <w:r w:rsidR="00EF3A64" w:rsidRPr="00783571">
        <w:t>life-year</w:t>
      </w:r>
      <w:r w:rsidRPr="00783571">
        <w:t xml:space="preserve">s, </w:t>
      </w:r>
      <w:r w:rsidR="00C7117F" w:rsidRPr="00783571">
        <w:t xml:space="preserve">quality-adjusted </w:t>
      </w:r>
      <w:r w:rsidR="00EF3A64" w:rsidRPr="00783571">
        <w:t>life-year</w:t>
      </w:r>
      <w:r w:rsidR="00C7117F" w:rsidRPr="00783571">
        <w:t>s (QALYs)</w:t>
      </w:r>
      <w:r w:rsidRPr="00783571">
        <w:t>, HIV incidence</w:t>
      </w:r>
      <w:r w:rsidR="00C7117F" w:rsidRPr="00783571">
        <w:t>, and HIV prevalence</w:t>
      </w:r>
      <w:r w:rsidRPr="00783571">
        <w:t>.</w:t>
      </w:r>
      <w:r w:rsidR="003B42C2" w:rsidRPr="00783571">
        <w:t xml:space="preserve"> Outcomes were collected for each analysis over a defined outcome collection period, which may or may not cover the entire model time horizon.</w:t>
      </w:r>
    </w:p>
    <w:p w14:paraId="70B548B2" w14:textId="77777777" w:rsidR="00EC715C" w:rsidRPr="00783571" w:rsidRDefault="00EC715C" w:rsidP="00EC715C">
      <w:pPr>
        <w:pStyle w:val="Heading3"/>
      </w:pPr>
      <w:bookmarkStart w:id="109" w:name="_Toc510104477"/>
      <w:r w:rsidRPr="00783571">
        <w:t xml:space="preserve">Heath </w:t>
      </w:r>
      <w:r w:rsidR="008A3F21" w:rsidRPr="00783571">
        <w:t>State Utility Inputs</w:t>
      </w:r>
      <w:bookmarkEnd w:id="109"/>
    </w:p>
    <w:p w14:paraId="75B2DADC" w14:textId="0BF24ABB" w:rsidR="00EC715C" w:rsidRPr="00783571" w:rsidRDefault="00EC715C" w:rsidP="00903B31">
      <w:pPr>
        <w:pStyle w:val="BodyText"/>
      </w:pPr>
      <w:r w:rsidRPr="00783571">
        <w:t>The health state utilities vary by HIV status</w:t>
      </w:r>
      <w:r w:rsidRPr="00783571">
        <w:rPr>
          <w:i/>
        </w:rPr>
        <w:t xml:space="preserve"> h </w:t>
      </w:r>
      <w:r w:rsidRPr="00783571">
        <w:t xml:space="preserve">and are provided in </w:t>
      </w:r>
      <w:r w:rsidR="00814158" w:rsidRPr="00783571">
        <w:t>Table </w:t>
      </w:r>
      <w:r w:rsidR="00CC1DD7" w:rsidRPr="00783571">
        <w:t>10.</w:t>
      </w:r>
      <w:r w:rsidRPr="00783571">
        <w:t xml:space="preserve">1. We assumed that the utilities </w:t>
      </w:r>
      <w:r w:rsidR="00C7117F" w:rsidRPr="00783571">
        <w:t>varied solely by HIV status</w:t>
      </w:r>
      <w:r w:rsidRPr="00783571">
        <w:t xml:space="preserve">. The utility values </w:t>
      </w:r>
      <w:r w:rsidR="00C7117F" w:rsidRPr="00783571">
        <w:t>we</w:t>
      </w:r>
      <w:r w:rsidRPr="00783571">
        <w:t xml:space="preserve">re used to calculate </w:t>
      </w:r>
      <w:r w:rsidR="00C7117F" w:rsidRPr="00783571">
        <w:t xml:space="preserve">QALYs. The discount </w:t>
      </w:r>
      <w:r w:rsidR="008F4292" w:rsidRPr="00783571">
        <w:t xml:space="preserve">rates </w:t>
      </w:r>
      <w:r w:rsidR="00C7117F" w:rsidRPr="00783571">
        <w:t xml:space="preserve">applied to QALYs, as well as </w:t>
      </w:r>
      <w:r w:rsidR="00EF3A64" w:rsidRPr="00783571">
        <w:t>life-year</w:t>
      </w:r>
      <w:r w:rsidR="00C7117F" w:rsidRPr="00783571">
        <w:t>s a</w:t>
      </w:r>
      <w:r w:rsidR="00C0054E" w:rsidRPr="00783571">
        <w:t>nd costs, are provided in</w:t>
      </w:r>
      <w:r w:rsidR="00626270" w:rsidRPr="00783571">
        <w:t xml:space="preserve"> </w:t>
      </w:r>
      <w:r w:rsidR="00814158" w:rsidRPr="00783571">
        <w:t>Table </w:t>
      </w:r>
      <w:r w:rsidR="00903B31" w:rsidRPr="00783571">
        <w:t>10</w:t>
      </w:r>
      <w:r w:rsidR="00871E69" w:rsidRPr="00783571">
        <w:t>.</w:t>
      </w:r>
      <w:r w:rsidR="00C7117F" w:rsidRPr="00783571">
        <w:t>2.</w:t>
      </w:r>
    </w:p>
    <w:p w14:paraId="6983100C" w14:textId="080BBA55" w:rsidR="00EC715C" w:rsidRPr="00783571" w:rsidRDefault="00EC715C" w:rsidP="00903B31">
      <w:pPr>
        <w:pStyle w:val="TableTitle"/>
      </w:pPr>
      <w:bookmarkStart w:id="110" w:name="_Toc510104043"/>
      <w:r w:rsidRPr="00783571">
        <w:t xml:space="preserve">Table </w:t>
      </w:r>
      <w:r w:rsidR="00903B31" w:rsidRPr="00783571">
        <w:t>10</w:t>
      </w:r>
      <w:r w:rsidR="00740DFC" w:rsidRPr="00783571">
        <w:t>.</w:t>
      </w:r>
      <w:r w:rsidRPr="00783571">
        <w:t>1</w:t>
      </w:r>
      <w:r w:rsidR="00C0054E" w:rsidRPr="00783571">
        <w:t>.</w:t>
      </w:r>
      <w:r w:rsidR="00C0054E" w:rsidRPr="00783571">
        <w:tab/>
      </w:r>
      <w:r w:rsidRPr="00783571">
        <w:t xml:space="preserve">Utility </w:t>
      </w:r>
      <w:r w:rsidR="00C0054E" w:rsidRPr="00783571">
        <w:t>Inputs</w:t>
      </w:r>
      <w:bookmarkEnd w:id="110"/>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4529"/>
        <w:gridCol w:w="2070"/>
        <w:gridCol w:w="2761"/>
      </w:tblGrid>
      <w:tr w:rsidR="00EC715C" w:rsidRPr="00783571" w14:paraId="5F041E9D" w14:textId="77777777" w:rsidTr="00260D8A">
        <w:trPr>
          <w:cantSplit/>
          <w:tblHeader/>
        </w:trPr>
        <w:tc>
          <w:tcPr>
            <w:tcW w:w="4529" w:type="dxa"/>
            <w:tcBorders>
              <w:top w:val="single" w:sz="12" w:space="0" w:color="000000"/>
              <w:bottom w:val="single" w:sz="6" w:space="0" w:color="auto"/>
            </w:tcBorders>
            <w:shd w:val="clear" w:color="auto" w:fill="auto"/>
            <w:vAlign w:val="bottom"/>
          </w:tcPr>
          <w:p w14:paraId="640B8C60" w14:textId="77777777" w:rsidR="00EC715C" w:rsidRPr="00783571" w:rsidRDefault="00EC715C" w:rsidP="00897DE3">
            <w:pPr>
              <w:pStyle w:val="TableHeaders"/>
            </w:pPr>
            <w:r w:rsidRPr="00783571">
              <w:t>HIV Status</w:t>
            </w:r>
          </w:p>
        </w:tc>
        <w:tc>
          <w:tcPr>
            <w:tcW w:w="2070" w:type="dxa"/>
            <w:tcBorders>
              <w:top w:val="single" w:sz="12" w:space="0" w:color="000000"/>
              <w:bottom w:val="single" w:sz="6" w:space="0" w:color="auto"/>
            </w:tcBorders>
            <w:shd w:val="clear" w:color="auto" w:fill="auto"/>
            <w:noWrap/>
            <w:vAlign w:val="bottom"/>
          </w:tcPr>
          <w:p w14:paraId="2A152DEC" w14:textId="77777777" w:rsidR="00EC715C" w:rsidRPr="00783571" w:rsidRDefault="00EC715C" w:rsidP="00897DE3">
            <w:pPr>
              <w:pStyle w:val="TableHeaders"/>
            </w:pPr>
            <w:r w:rsidRPr="00783571">
              <w:t>Value</w:t>
            </w:r>
          </w:p>
        </w:tc>
        <w:tc>
          <w:tcPr>
            <w:tcW w:w="2761" w:type="dxa"/>
            <w:tcBorders>
              <w:top w:val="single" w:sz="12" w:space="0" w:color="000000"/>
              <w:bottom w:val="single" w:sz="6" w:space="0" w:color="auto"/>
            </w:tcBorders>
            <w:shd w:val="clear" w:color="auto" w:fill="auto"/>
            <w:vAlign w:val="bottom"/>
          </w:tcPr>
          <w:p w14:paraId="098F718F" w14:textId="77777777" w:rsidR="00EC715C" w:rsidRPr="00783571" w:rsidRDefault="00EC715C" w:rsidP="00897DE3">
            <w:pPr>
              <w:pStyle w:val="TableHeaders"/>
            </w:pPr>
            <w:r w:rsidRPr="00783571">
              <w:t>Source</w:t>
            </w:r>
          </w:p>
        </w:tc>
      </w:tr>
      <w:tr w:rsidR="00EC715C" w:rsidRPr="00783571" w14:paraId="26FA8DD4" w14:textId="77777777" w:rsidTr="00260D8A">
        <w:trPr>
          <w:cantSplit/>
        </w:trPr>
        <w:tc>
          <w:tcPr>
            <w:tcW w:w="4529" w:type="dxa"/>
            <w:tcBorders>
              <w:top w:val="single" w:sz="6" w:space="0" w:color="auto"/>
              <w:bottom w:val="single" w:sz="6" w:space="0" w:color="808080" w:themeColor="background1" w:themeShade="80"/>
            </w:tcBorders>
          </w:tcPr>
          <w:p w14:paraId="3C17588F" w14:textId="77777777" w:rsidR="00EC715C" w:rsidRPr="00783571" w:rsidRDefault="00EC715C" w:rsidP="00897DE3">
            <w:pPr>
              <w:pStyle w:val="TableText"/>
              <w:rPr>
                <w:szCs w:val="18"/>
              </w:rPr>
            </w:pPr>
            <w:r w:rsidRPr="00783571">
              <w:rPr>
                <w:szCs w:val="18"/>
              </w:rPr>
              <w:t>Uninfected</w:t>
            </w:r>
          </w:p>
        </w:tc>
        <w:tc>
          <w:tcPr>
            <w:tcW w:w="2070" w:type="dxa"/>
            <w:tcBorders>
              <w:top w:val="single" w:sz="6" w:space="0" w:color="auto"/>
              <w:bottom w:val="single" w:sz="6" w:space="0" w:color="808080" w:themeColor="background1" w:themeShade="80"/>
            </w:tcBorders>
            <w:shd w:val="clear" w:color="auto" w:fill="auto"/>
            <w:noWrap/>
          </w:tcPr>
          <w:p w14:paraId="66AD3286" w14:textId="77777777" w:rsidR="00EC715C" w:rsidRPr="00783571" w:rsidRDefault="00EC715C" w:rsidP="00C0054E">
            <w:pPr>
              <w:pStyle w:val="TableText"/>
              <w:tabs>
                <w:tab w:val="decimal" w:pos="833"/>
              </w:tabs>
              <w:rPr>
                <w:szCs w:val="18"/>
              </w:rPr>
            </w:pPr>
            <w:r w:rsidRPr="00783571">
              <w:rPr>
                <w:szCs w:val="18"/>
              </w:rPr>
              <w:t>1</w:t>
            </w:r>
          </w:p>
        </w:tc>
        <w:tc>
          <w:tcPr>
            <w:tcW w:w="2761" w:type="dxa"/>
            <w:tcBorders>
              <w:top w:val="single" w:sz="6" w:space="0" w:color="auto"/>
              <w:bottom w:val="single" w:sz="6" w:space="0" w:color="808080" w:themeColor="background1" w:themeShade="80"/>
            </w:tcBorders>
          </w:tcPr>
          <w:p w14:paraId="1D7830F3" w14:textId="77777777" w:rsidR="00EC715C" w:rsidRPr="00783571" w:rsidRDefault="00EC715C" w:rsidP="00EC715C">
            <w:pPr>
              <w:pStyle w:val="TableText"/>
              <w:rPr>
                <w:szCs w:val="18"/>
              </w:rPr>
            </w:pPr>
            <w:r w:rsidRPr="00783571">
              <w:rPr>
                <w:szCs w:val="18"/>
              </w:rPr>
              <w:t>Assumed</w:t>
            </w:r>
          </w:p>
        </w:tc>
      </w:tr>
      <w:tr w:rsidR="00EC715C" w:rsidRPr="00783571" w14:paraId="7931475F" w14:textId="77777777" w:rsidTr="00260D8A">
        <w:trPr>
          <w:cantSplit/>
        </w:trPr>
        <w:tc>
          <w:tcPr>
            <w:tcW w:w="4529" w:type="dxa"/>
            <w:tcBorders>
              <w:top w:val="single" w:sz="6" w:space="0" w:color="808080" w:themeColor="background1" w:themeShade="80"/>
              <w:bottom w:val="single" w:sz="6" w:space="0" w:color="808080" w:themeColor="background1" w:themeShade="80"/>
            </w:tcBorders>
          </w:tcPr>
          <w:p w14:paraId="751FD6A7" w14:textId="77777777" w:rsidR="00EC715C" w:rsidRPr="00783571" w:rsidRDefault="00EC715C" w:rsidP="00897DE3">
            <w:pPr>
              <w:pStyle w:val="TableText"/>
              <w:rPr>
                <w:szCs w:val="18"/>
              </w:rPr>
            </w:pPr>
            <w:r w:rsidRPr="00783571">
              <w:rPr>
                <w:szCs w:val="18"/>
              </w:rPr>
              <w:t>Acute</w:t>
            </w:r>
          </w:p>
        </w:tc>
        <w:tc>
          <w:tcPr>
            <w:tcW w:w="2070" w:type="dxa"/>
            <w:tcBorders>
              <w:top w:val="single" w:sz="6" w:space="0" w:color="808080" w:themeColor="background1" w:themeShade="80"/>
              <w:bottom w:val="single" w:sz="6" w:space="0" w:color="808080" w:themeColor="background1" w:themeShade="80"/>
            </w:tcBorders>
            <w:shd w:val="clear" w:color="auto" w:fill="auto"/>
            <w:noWrap/>
          </w:tcPr>
          <w:p w14:paraId="617AC04C" w14:textId="77777777" w:rsidR="00EC715C" w:rsidRPr="00783571" w:rsidRDefault="00EC715C" w:rsidP="00C0054E">
            <w:pPr>
              <w:pStyle w:val="TableText"/>
              <w:tabs>
                <w:tab w:val="decimal" w:pos="833"/>
              </w:tabs>
              <w:rPr>
                <w:szCs w:val="18"/>
              </w:rPr>
            </w:pPr>
            <w:r w:rsidRPr="00783571">
              <w:rPr>
                <w:szCs w:val="18"/>
              </w:rPr>
              <w:t>0.94</w:t>
            </w:r>
          </w:p>
        </w:tc>
        <w:tc>
          <w:tcPr>
            <w:tcW w:w="2761" w:type="dxa"/>
            <w:vMerge w:val="restart"/>
            <w:tcBorders>
              <w:top w:val="single" w:sz="6" w:space="0" w:color="808080" w:themeColor="background1" w:themeShade="80"/>
              <w:bottom w:val="single" w:sz="6" w:space="0" w:color="808080" w:themeColor="background1" w:themeShade="80"/>
            </w:tcBorders>
          </w:tcPr>
          <w:p w14:paraId="3D3018B9" w14:textId="123B661D" w:rsidR="00EC715C" w:rsidRPr="00783571" w:rsidRDefault="00EC715C" w:rsidP="008F1692">
            <w:pPr>
              <w:pStyle w:val="TableText"/>
              <w:rPr>
                <w:szCs w:val="18"/>
              </w:rPr>
            </w:pPr>
            <w:r w:rsidRPr="00783571">
              <w:rPr>
                <w:szCs w:val="18"/>
              </w:rPr>
              <w:t xml:space="preserve">Tengs et al. </w:t>
            </w:r>
            <w:r w:rsidR="008F1692" w:rsidRPr="00783571">
              <w:rPr>
                <w:szCs w:val="18"/>
              </w:rPr>
              <w:t>(</w:t>
            </w:r>
            <w:r w:rsidRPr="00783571">
              <w:rPr>
                <w:szCs w:val="18"/>
              </w:rPr>
              <w:t>2002</w:t>
            </w:r>
            <w:r w:rsidR="008F1692" w:rsidRPr="00783571">
              <w:rPr>
                <w:szCs w:val="18"/>
              </w:rPr>
              <w:t>)</w:t>
            </w:r>
          </w:p>
        </w:tc>
      </w:tr>
      <w:tr w:rsidR="00EC715C" w:rsidRPr="00783571" w14:paraId="17C4782E" w14:textId="77777777" w:rsidTr="00260D8A">
        <w:trPr>
          <w:cantSplit/>
        </w:trPr>
        <w:tc>
          <w:tcPr>
            <w:tcW w:w="4529" w:type="dxa"/>
            <w:tcBorders>
              <w:top w:val="single" w:sz="6" w:space="0" w:color="808080" w:themeColor="background1" w:themeShade="80"/>
              <w:bottom w:val="single" w:sz="6" w:space="0" w:color="808080" w:themeColor="background1" w:themeShade="80"/>
            </w:tcBorders>
          </w:tcPr>
          <w:p w14:paraId="728C035E" w14:textId="77777777" w:rsidR="00EC715C" w:rsidRPr="00783571" w:rsidRDefault="00EC715C" w:rsidP="00897DE3">
            <w:pPr>
              <w:pStyle w:val="TableText"/>
              <w:rPr>
                <w:szCs w:val="18"/>
              </w:rPr>
            </w:pPr>
            <w:r w:rsidRPr="00783571">
              <w:rPr>
                <w:szCs w:val="18"/>
              </w:rPr>
              <w:t>CD4 &gt; 500</w:t>
            </w:r>
          </w:p>
        </w:tc>
        <w:tc>
          <w:tcPr>
            <w:tcW w:w="2070" w:type="dxa"/>
            <w:tcBorders>
              <w:top w:val="single" w:sz="6" w:space="0" w:color="808080" w:themeColor="background1" w:themeShade="80"/>
              <w:bottom w:val="single" w:sz="6" w:space="0" w:color="808080" w:themeColor="background1" w:themeShade="80"/>
            </w:tcBorders>
            <w:shd w:val="clear" w:color="auto" w:fill="auto"/>
            <w:noWrap/>
          </w:tcPr>
          <w:p w14:paraId="006A10BB" w14:textId="77777777" w:rsidR="00EC715C" w:rsidRPr="00783571" w:rsidRDefault="00EC715C" w:rsidP="00C0054E">
            <w:pPr>
              <w:pStyle w:val="TableText"/>
              <w:tabs>
                <w:tab w:val="decimal" w:pos="833"/>
              </w:tabs>
              <w:rPr>
                <w:szCs w:val="18"/>
              </w:rPr>
            </w:pPr>
            <w:r w:rsidRPr="00783571">
              <w:rPr>
                <w:szCs w:val="18"/>
              </w:rPr>
              <w:t>0.94</w:t>
            </w:r>
          </w:p>
        </w:tc>
        <w:tc>
          <w:tcPr>
            <w:tcW w:w="2761" w:type="dxa"/>
            <w:vMerge/>
            <w:tcBorders>
              <w:top w:val="single" w:sz="6" w:space="0" w:color="808080" w:themeColor="background1" w:themeShade="80"/>
              <w:bottom w:val="single" w:sz="6" w:space="0" w:color="808080" w:themeColor="background1" w:themeShade="80"/>
            </w:tcBorders>
          </w:tcPr>
          <w:p w14:paraId="001098D9" w14:textId="77777777" w:rsidR="00EC715C" w:rsidRPr="00783571" w:rsidRDefault="00EC715C" w:rsidP="00897DE3">
            <w:pPr>
              <w:pStyle w:val="TableText"/>
              <w:rPr>
                <w:szCs w:val="18"/>
              </w:rPr>
            </w:pPr>
          </w:p>
        </w:tc>
      </w:tr>
      <w:tr w:rsidR="00EC715C" w:rsidRPr="00783571" w14:paraId="4074E505" w14:textId="77777777" w:rsidTr="00260D8A">
        <w:trPr>
          <w:cantSplit/>
        </w:trPr>
        <w:tc>
          <w:tcPr>
            <w:tcW w:w="4529" w:type="dxa"/>
            <w:tcBorders>
              <w:top w:val="single" w:sz="6" w:space="0" w:color="808080" w:themeColor="background1" w:themeShade="80"/>
              <w:bottom w:val="single" w:sz="6" w:space="0" w:color="808080" w:themeColor="background1" w:themeShade="80"/>
            </w:tcBorders>
          </w:tcPr>
          <w:p w14:paraId="6743364A" w14:textId="0BC91EE2" w:rsidR="00EC715C" w:rsidRPr="00783571" w:rsidRDefault="00EC715C" w:rsidP="008F1692">
            <w:pPr>
              <w:pStyle w:val="TableText"/>
              <w:rPr>
                <w:szCs w:val="18"/>
              </w:rPr>
            </w:pPr>
            <w:r w:rsidRPr="00783571">
              <w:rPr>
                <w:szCs w:val="18"/>
              </w:rPr>
              <w:t>CD4 350</w:t>
            </w:r>
            <w:r w:rsidR="008F1692" w:rsidRPr="00783571">
              <w:rPr>
                <w:szCs w:val="18"/>
              </w:rPr>
              <w:t>–</w:t>
            </w:r>
            <w:r w:rsidRPr="00783571">
              <w:rPr>
                <w:szCs w:val="18"/>
              </w:rPr>
              <w:t>500</w:t>
            </w:r>
          </w:p>
        </w:tc>
        <w:tc>
          <w:tcPr>
            <w:tcW w:w="2070" w:type="dxa"/>
            <w:tcBorders>
              <w:top w:val="single" w:sz="6" w:space="0" w:color="808080" w:themeColor="background1" w:themeShade="80"/>
              <w:bottom w:val="single" w:sz="6" w:space="0" w:color="808080" w:themeColor="background1" w:themeShade="80"/>
            </w:tcBorders>
            <w:shd w:val="clear" w:color="auto" w:fill="auto"/>
            <w:noWrap/>
          </w:tcPr>
          <w:p w14:paraId="1886A3B9" w14:textId="77777777" w:rsidR="00EC715C" w:rsidRPr="00783571" w:rsidRDefault="00EC715C" w:rsidP="00C0054E">
            <w:pPr>
              <w:pStyle w:val="TableText"/>
              <w:tabs>
                <w:tab w:val="decimal" w:pos="833"/>
              </w:tabs>
              <w:rPr>
                <w:szCs w:val="18"/>
              </w:rPr>
            </w:pPr>
            <w:r w:rsidRPr="00783571">
              <w:rPr>
                <w:szCs w:val="18"/>
              </w:rPr>
              <w:t>0.94</w:t>
            </w:r>
          </w:p>
        </w:tc>
        <w:tc>
          <w:tcPr>
            <w:tcW w:w="2761" w:type="dxa"/>
            <w:vMerge/>
            <w:tcBorders>
              <w:top w:val="single" w:sz="6" w:space="0" w:color="808080" w:themeColor="background1" w:themeShade="80"/>
              <w:bottom w:val="single" w:sz="6" w:space="0" w:color="808080" w:themeColor="background1" w:themeShade="80"/>
            </w:tcBorders>
          </w:tcPr>
          <w:p w14:paraId="0043B49F" w14:textId="77777777" w:rsidR="00EC715C" w:rsidRPr="00783571" w:rsidRDefault="00EC715C" w:rsidP="00897DE3">
            <w:pPr>
              <w:pStyle w:val="TableText"/>
              <w:rPr>
                <w:szCs w:val="18"/>
              </w:rPr>
            </w:pPr>
          </w:p>
        </w:tc>
      </w:tr>
      <w:tr w:rsidR="00EC715C" w:rsidRPr="00783571" w14:paraId="17377DE2" w14:textId="77777777" w:rsidTr="00260D8A">
        <w:trPr>
          <w:cantSplit/>
        </w:trPr>
        <w:tc>
          <w:tcPr>
            <w:tcW w:w="4529" w:type="dxa"/>
            <w:tcBorders>
              <w:top w:val="single" w:sz="6" w:space="0" w:color="808080" w:themeColor="background1" w:themeShade="80"/>
              <w:bottom w:val="single" w:sz="6" w:space="0" w:color="808080" w:themeColor="background1" w:themeShade="80"/>
            </w:tcBorders>
          </w:tcPr>
          <w:p w14:paraId="5F82BF91" w14:textId="3DB28E5B" w:rsidR="00EC715C" w:rsidRPr="00783571" w:rsidRDefault="00EC715C" w:rsidP="008F1692">
            <w:pPr>
              <w:pStyle w:val="TableText"/>
              <w:rPr>
                <w:szCs w:val="18"/>
              </w:rPr>
            </w:pPr>
            <w:r w:rsidRPr="00783571">
              <w:rPr>
                <w:szCs w:val="18"/>
              </w:rPr>
              <w:t>CD4 200</w:t>
            </w:r>
            <w:r w:rsidR="008F1692" w:rsidRPr="00783571">
              <w:rPr>
                <w:szCs w:val="18"/>
              </w:rPr>
              <w:t>–</w:t>
            </w:r>
            <w:r w:rsidRPr="00783571">
              <w:rPr>
                <w:szCs w:val="18"/>
              </w:rPr>
              <w:t>350</w:t>
            </w:r>
          </w:p>
        </w:tc>
        <w:tc>
          <w:tcPr>
            <w:tcW w:w="2070" w:type="dxa"/>
            <w:tcBorders>
              <w:top w:val="single" w:sz="6" w:space="0" w:color="808080" w:themeColor="background1" w:themeShade="80"/>
              <w:bottom w:val="single" w:sz="6" w:space="0" w:color="808080" w:themeColor="background1" w:themeShade="80"/>
            </w:tcBorders>
            <w:shd w:val="clear" w:color="auto" w:fill="auto"/>
            <w:noWrap/>
          </w:tcPr>
          <w:p w14:paraId="35FC023B" w14:textId="77777777" w:rsidR="00EC715C" w:rsidRPr="00783571" w:rsidRDefault="00EC715C" w:rsidP="00C0054E">
            <w:pPr>
              <w:pStyle w:val="TableText"/>
              <w:tabs>
                <w:tab w:val="decimal" w:pos="833"/>
              </w:tabs>
              <w:rPr>
                <w:szCs w:val="18"/>
              </w:rPr>
            </w:pPr>
            <w:r w:rsidRPr="00783571">
              <w:rPr>
                <w:szCs w:val="18"/>
              </w:rPr>
              <w:t>0.82</w:t>
            </w:r>
          </w:p>
        </w:tc>
        <w:tc>
          <w:tcPr>
            <w:tcW w:w="2761" w:type="dxa"/>
            <w:vMerge/>
            <w:tcBorders>
              <w:top w:val="single" w:sz="6" w:space="0" w:color="808080" w:themeColor="background1" w:themeShade="80"/>
              <w:bottom w:val="single" w:sz="6" w:space="0" w:color="808080" w:themeColor="background1" w:themeShade="80"/>
            </w:tcBorders>
          </w:tcPr>
          <w:p w14:paraId="1FEE6222" w14:textId="77777777" w:rsidR="00EC715C" w:rsidRPr="00783571" w:rsidRDefault="00EC715C" w:rsidP="00897DE3">
            <w:pPr>
              <w:pStyle w:val="TableText"/>
              <w:rPr>
                <w:szCs w:val="18"/>
              </w:rPr>
            </w:pPr>
          </w:p>
        </w:tc>
      </w:tr>
      <w:tr w:rsidR="00EC715C" w:rsidRPr="00783571" w14:paraId="32B4CA3A" w14:textId="77777777" w:rsidTr="00260D8A">
        <w:trPr>
          <w:cantSplit/>
        </w:trPr>
        <w:tc>
          <w:tcPr>
            <w:tcW w:w="4529" w:type="dxa"/>
            <w:tcBorders>
              <w:top w:val="single" w:sz="6" w:space="0" w:color="808080" w:themeColor="background1" w:themeShade="80"/>
              <w:bottom w:val="single" w:sz="12" w:space="0" w:color="auto"/>
            </w:tcBorders>
          </w:tcPr>
          <w:p w14:paraId="46E4FE2C" w14:textId="77777777" w:rsidR="00EC715C" w:rsidRPr="00783571" w:rsidRDefault="00EC715C" w:rsidP="00897DE3">
            <w:pPr>
              <w:pStyle w:val="TableText"/>
              <w:rPr>
                <w:szCs w:val="18"/>
              </w:rPr>
            </w:pPr>
            <w:r w:rsidRPr="00783571">
              <w:rPr>
                <w:szCs w:val="18"/>
              </w:rPr>
              <w:t>CD4 &lt; 200</w:t>
            </w:r>
          </w:p>
        </w:tc>
        <w:tc>
          <w:tcPr>
            <w:tcW w:w="2070" w:type="dxa"/>
            <w:tcBorders>
              <w:top w:val="single" w:sz="6" w:space="0" w:color="808080" w:themeColor="background1" w:themeShade="80"/>
              <w:bottom w:val="single" w:sz="12" w:space="0" w:color="auto"/>
            </w:tcBorders>
            <w:shd w:val="clear" w:color="auto" w:fill="auto"/>
            <w:noWrap/>
          </w:tcPr>
          <w:p w14:paraId="59F7CB3B" w14:textId="77777777" w:rsidR="00EC715C" w:rsidRPr="00783571" w:rsidRDefault="00EC715C" w:rsidP="00C0054E">
            <w:pPr>
              <w:pStyle w:val="TableText"/>
              <w:tabs>
                <w:tab w:val="decimal" w:pos="833"/>
              </w:tabs>
              <w:rPr>
                <w:szCs w:val="18"/>
              </w:rPr>
            </w:pPr>
            <w:r w:rsidRPr="00783571">
              <w:rPr>
                <w:szCs w:val="18"/>
              </w:rPr>
              <w:t>0.7</w:t>
            </w:r>
          </w:p>
        </w:tc>
        <w:tc>
          <w:tcPr>
            <w:tcW w:w="2761" w:type="dxa"/>
            <w:vMerge/>
            <w:tcBorders>
              <w:top w:val="single" w:sz="6" w:space="0" w:color="808080" w:themeColor="background1" w:themeShade="80"/>
              <w:bottom w:val="single" w:sz="12" w:space="0" w:color="auto"/>
            </w:tcBorders>
          </w:tcPr>
          <w:p w14:paraId="123C69D5" w14:textId="77777777" w:rsidR="00EC715C" w:rsidRPr="00783571" w:rsidRDefault="00EC715C" w:rsidP="00897DE3">
            <w:pPr>
              <w:pStyle w:val="TableText"/>
              <w:rPr>
                <w:szCs w:val="18"/>
              </w:rPr>
            </w:pPr>
          </w:p>
        </w:tc>
      </w:tr>
    </w:tbl>
    <w:p w14:paraId="5CBECF3C" w14:textId="77777777" w:rsidR="00C0054E" w:rsidRPr="00783571" w:rsidRDefault="00C0054E" w:rsidP="00C0054E">
      <w:pPr>
        <w:pStyle w:val="Source1"/>
      </w:pPr>
    </w:p>
    <w:p w14:paraId="1F212B88" w14:textId="09F0FDE6" w:rsidR="00C7117F" w:rsidRPr="00783571" w:rsidRDefault="004F4E6D" w:rsidP="00903B31">
      <w:pPr>
        <w:pStyle w:val="TableTitle"/>
      </w:pPr>
      <w:bookmarkStart w:id="111" w:name="_Toc510104044"/>
      <w:r w:rsidRPr="00783571">
        <w:t xml:space="preserve">Table </w:t>
      </w:r>
      <w:r w:rsidR="00903B31" w:rsidRPr="00783571">
        <w:t>10</w:t>
      </w:r>
      <w:r w:rsidRPr="00783571">
        <w:t>.</w:t>
      </w:r>
      <w:r w:rsidR="00C7117F" w:rsidRPr="00783571">
        <w:t>2</w:t>
      </w:r>
      <w:r w:rsidR="00C0054E" w:rsidRPr="00783571">
        <w:t>.</w:t>
      </w:r>
      <w:r w:rsidR="00C0054E" w:rsidRPr="00783571">
        <w:tab/>
      </w:r>
      <w:r w:rsidR="00C7117F" w:rsidRPr="00783571">
        <w:t xml:space="preserve">Discount </w:t>
      </w:r>
      <w:r w:rsidR="00C0054E" w:rsidRPr="00783571">
        <w:t>Rates</w:t>
      </w:r>
      <w:bookmarkEnd w:id="111"/>
    </w:p>
    <w:tbl>
      <w:tblPr>
        <w:tblStyle w:val="TableFormat4"/>
        <w:tblW w:w="9360" w:type="dxa"/>
        <w:tblInd w:w="0" w:type="dxa"/>
        <w:tblLayout w:type="fixed"/>
        <w:tblCellMar>
          <w:left w:w="115" w:type="dxa"/>
          <w:right w:w="115" w:type="dxa"/>
        </w:tblCellMar>
        <w:tblLook w:val="04A0" w:firstRow="1" w:lastRow="0" w:firstColumn="1" w:lastColumn="0" w:noHBand="0" w:noVBand="1"/>
      </w:tblPr>
      <w:tblGrid>
        <w:gridCol w:w="4514"/>
        <w:gridCol w:w="2115"/>
        <w:gridCol w:w="2731"/>
      </w:tblGrid>
      <w:tr w:rsidR="00C7117F" w:rsidRPr="00783571" w14:paraId="2146E5C3" w14:textId="77777777" w:rsidTr="00260D8A">
        <w:trPr>
          <w:cnfStyle w:val="100000000000" w:firstRow="1" w:lastRow="0" w:firstColumn="0" w:lastColumn="0" w:oddVBand="0" w:evenVBand="0" w:oddHBand="0" w:evenHBand="0" w:firstRowFirstColumn="0" w:firstRowLastColumn="0" w:lastRowFirstColumn="0" w:lastRowLastColumn="0"/>
        </w:trPr>
        <w:tc>
          <w:tcPr>
            <w:tcW w:w="4514" w:type="dxa"/>
          </w:tcPr>
          <w:p w14:paraId="568FC81D" w14:textId="77777777" w:rsidR="00C7117F" w:rsidRPr="00783571" w:rsidRDefault="00C7117F" w:rsidP="00897DE3">
            <w:pPr>
              <w:pStyle w:val="TableHeaders"/>
            </w:pPr>
            <w:r w:rsidRPr="00783571">
              <w:rPr>
                <w:szCs w:val="18"/>
              </w:rPr>
              <w:t xml:space="preserve">Application of </w:t>
            </w:r>
            <w:r w:rsidR="00C0054E" w:rsidRPr="00783571">
              <w:rPr>
                <w:szCs w:val="18"/>
              </w:rPr>
              <w:t>Discounting</w:t>
            </w:r>
          </w:p>
        </w:tc>
        <w:tc>
          <w:tcPr>
            <w:tcW w:w="2115" w:type="dxa"/>
            <w:noWrap/>
          </w:tcPr>
          <w:p w14:paraId="64FCD3DA" w14:textId="77777777" w:rsidR="00C7117F" w:rsidRPr="00783571" w:rsidRDefault="00C7117F" w:rsidP="00897DE3">
            <w:pPr>
              <w:pStyle w:val="TableHeaders"/>
            </w:pPr>
            <w:r w:rsidRPr="00783571">
              <w:t>Value</w:t>
            </w:r>
          </w:p>
        </w:tc>
        <w:tc>
          <w:tcPr>
            <w:tcW w:w="2731" w:type="dxa"/>
          </w:tcPr>
          <w:p w14:paraId="525851CC" w14:textId="77777777" w:rsidR="00C7117F" w:rsidRPr="00783571" w:rsidRDefault="00C7117F" w:rsidP="00897DE3">
            <w:pPr>
              <w:pStyle w:val="TableHeaders"/>
            </w:pPr>
            <w:r w:rsidRPr="00783571">
              <w:t>Source</w:t>
            </w:r>
          </w:p>
        </w:tc>
      </w:tr>
      <w:tr w:rsidR="00C7117F" w:rsidRPr="00783571" w14:paraId="19C50E2F" w14:textId="77777777" w:rsidTr="00260D8A">
        <w:tc>
          <w:tcPr>
            <w:tcW w:w="4514" w:type="dxa"/>
            <w:tcBorders>
              <w:top w:val="single" w:sz="6" w:space="0" w:color="auto"/>
              <w:bottom w:val="single" w:sz="6" w:space="0" w:color="808080" w:themeColor="background1" w:themeShade="80"/>
            </w:tcBorders>
          </w:tcPr>
          <w:p w14:paraId="37E93DD6" w14:textId="77777777" w:rsidR="00C7117F" w:rsidRPr="00783571" w:rsidRDefault="00C7117F" w:rsidP="00897DE3">
            <w:pPr>
              <w:pStyle w:val="TableText"/>
              <w:rPr>
                <w:szCs w:val="18"/>
              </w:rPr>
            </w:pPr>
            <w:r w:rsidRPr="00783571">
              <w:rPr>
                <w:szCs w:val="18"/>
              </w:rPr>
              <w:t>Life-years</w:t>
            </w:r>
          </w:p>
        </w:tc>
        <w:tc>
          <w:tcPr>
            <w:tcW w:w="2115" w:type="dxa"/>
            <w:tcBorders>
              <w:top w:val="single" w:sz="6" w:space="0" w:color="auto"/>
              <w:bottom w:val="single" w:sz="6" w:space="0" w:color="808080" w:themeColor="background1" w:themeShade="80"/>
            </w:tcBorders>
            <w:noWrap/>
          </w:tcPr>
          <w:p w14:paraId="09F605F9" w14:textId="77777777" w:rsidR="00C7117F" w:rsidRPr="00783571" w:rsidRDefault="00C7117F" w:rsidP="00C0054E">
            <w:pPr>
              <w:pStyle w:val="TableText"/>
              <w:jc w:val="center"/>
              <w:rPr>
                <w:szCs w:val="18"/>
              </w:rPr>
            </w:pPr>
            <w:r w:rsidRPr="00783571">
              <w:rPr>
                <w:szCs w:val="18"/>
              </w:rPr>
              <w:t>0.00</w:t>
            </w:r>
          </w:p>
        </w:tc>
        <w:tc>
          <w:tcPr>
            <w:tcW w:w="2731" w:type="dxa"/>
            <w:tcBorders>
              <w:top w:val="single" w:sz="6" w:space="0" w:color="auto"/>
              <w:bottom w:val="single" w:sz="6" w:space="0" w:color="808080" w:themeColor="background1" w:themeShade="80"/>
            </w:tcBorders>
          </w:tcPr>
          <w:p w14:paraId="3E4FE305" w14:textId="77777777" w:rsidR="00C7117F" w:rsidRPr="00783571" w:rsidRDefault="00C7117F" w:rsidP="00897DE3">
            <w:pPr>
              <w:pStyle w:val="TableText"/>
              <w:rPr>
                <w:szCs w:val="18"/>
              </w:rPr>
            </w:pPr>
            <w:r w:rsidRPr="00783571">
              <w:rPr>
                <w:szCs w:val="18"/>
              </w:rPr>
              <w:t>Assumed</w:t>
            </w:r>
          </w:p>
        </w:tc>
      </w:tr>
      <w:tr w:rsidR="00C7117F" w:rsidRPr="00783571" w14:paraId="422EBCAD" w14:textId="77777777" w:rsidTr="00260D8A">
        <w:tc>
          <w:tcPr>
            <w:tcW w:w="4514" w:type="dxa"/>
            <w:tcBorders>
              <w:top w:val="single" w:sz="6" w:space="0" w:color="808080" w:themeColor="background1" w:themeShade="80"/>
              <w:bottom w:val="single" w:sz="6" w:space="0" w:color="808080" w:themeColor="background1" w:themeShade="80"/>
            </w:tcBorders>
          </w:tcPr>
          <w:p w14:paraId="37BDF2F9" w14:textId="77777777" w:rsidR="00C7117F" w:rsidRPr="00783571" w:rsidRDefault="00C7117F" w:rsidP="00897DE3">
            <w:pPr>
              <w:pStyle w:val="TableText"/>
              <w:rPr>
                <w:szCs w:val="18"/>
              </w:rPr>
            </w:pPr>
            <w:r w:rsidRPr="00783571">
              <w:rPr>
                <w:szCs w:val="18"/>
              </w:rPr>
              <w:t>QALYs</w:t>
            </w:r>
          </w:p>
        </w:tc>
        <w:tc>
          <w:tcPr>
            <w:tcW w:w="2115" w:type="dxa"/>
            <w:tcBorders>
              <w:top w:val="single" w:sz="6" w:space="0" w:color="808080" w:themeColor="background1" w:themeShade="80"/>
              <w:bottom w:val="single" w:sz="6" w:space="0" w:color="808080" w:themeColor="background1" w:themeShade="80"/>
            </w:tcBorders>
            <w:noWrap/>
          </w:tcPr>
          <w:p w14:paraId="0D1F0264" w14:textId="77777777" w:rsidR="00C7117F" w:rsidRPr="00783571" w:rsidRDefault="00C7117F" w:rsidP="00C0054E">
            <w:pPr>
              <w:pStyle w:val="TableText"/>
              <w:jc w:val="center"/>
              <w:rPr>
                <w:szCs w:val="18"/>
              </w:rPr>
            </w:pPr>
            <w:r w:rsidRPr="00783571">
              <w:rPr>
                <w:szCs w:val="18"/>
              </w:rPr>
              <w:t>0.03</w:t>
            </w:r>
          </w:p>
        </w:tc>
        <w:tc>
          <w:tcPr>
            <w:tcW w:w="2731" w:type="dxa"/>
            <w:tcBorders>
              <w:top w:val="single" w:sz="6" w:space="0" w:color="808080" w:themeColor="background1" w:themeShade="80"/>
              <w:bottom w:val="single" w:sz="6" w:space="0" w:color="808080" w:themeColor="background1" w:themeShade="80"/>
            </w:tcBorders>
          </w:tcPr>
          <w:p w14:paraId="79AB7830" w14:textId="0D00ED0C" w:rsidR="00C7117F" w:rsidRPr="00783571" w:rsidRDefault="00F05222" w:rsidP="00897DE3">
            <w:pPr>
              <w:pStyle w:val="TableText"/>
              <w:rPr>
                <w:szCs w:val="18"/>
              </w:rPr>
            </w:pPr>
            <w:r w:rsidRPr="00783571">
              <w:rPr>
                <w:szCs w:val="18"/>
              </w:rPr>
              <w:t>Gold et al. (1996)</w:t>
            </w:r>
          </w:p>
        </w:tc>
      </w:tr>
      <w:tr w:rsidR="00C7117F" w:rsidRPr="00783571" w14:paraId="6E0EFF3B" w14:textId="77777777" w:rsidTr="00260D8A">
        <w:tc>
          <w:tcPr>
            <w:tcW w:w="4514" w:type="dxa"/>
            <w:tcBorders>
              <w:top w:val="single" w:sz="6" w:space="0" w:color="808080" w:themeColor="background1" w:themeShade="80"/>
              <w:bottom w:val="single" w:sz="12" w:space="0" w:color="auto"/>
            </w:tcBorders>
          </w:tcPr>
          <w:p w14:paraId="160920C7" w14:textId="77777777" w:rsidR="00C7117F" w:rsidRPr="00783571" w:rsidRDefault="00C7117F" w:rsidP="00897DE3">
            <w:pPr>
              <w:pStyle w:val="TableText"/>
              <w:rPr>
                <w:szCs w:val="18"/>
              </w:rPr>
            </w:pPr>
            <w:r w:rsidRPr="00783571">
              <w:rPr>
                <w:szCs w:val="18"/>
              </w:rPr>
              <w:t>Costs</w:t>
            </w:r>
          </w:p>
        </w:tc>
        <w:tc>
          <w:tcPr>
            <w:tcW w:w="2115" w:type="dxa"/>
            <w:tcBorders>
              <w:top w:val="single" w:sz="6" w:space="0" w:color="808080" w:themeColor="background1" w:themeShade="80"/>
              <w:bottom w:val="single" w:sz="12" w:space="0" w:color="auto"/>
            </w:tcBorders>
            <w:noWrap/>
          </w:tcPr>
          <w:p w14:paraId="773B234B" w14:textId="77777777" w:rsidR="00C7117F" w:rsidRPr="00783571" w:rsidRDefault="00C7117F" w:rsidP="00C0054E">
            <w:pPr>
              <w:pStyle w:val="TableText"/>
              <w:jc w:val="center"/>
              <w:rPr>
                <w:szCs w:val="18"/>
              </w:rPr>
            </w:pPr>
            <w:r w:rsidRPr="00783571">
              <w:rPr>
                <w:szCs w:val="18"/>
              </w:rPr>
              <w:t>0.03</w:t>
            </w:r>
          </w:p>
        </w:tc>
        <w:tc>
          <w:tcPr>
            <w:tcW w:w="2731" w:type="dxa"/>
            <w:tcBorders>
              <w:top w:val="single" w:sz="6" w:space="0" w:color="808080" w:themeColor="background1" w:themeShade="80"/>
              <w:bottom w:val="single" w:sz="12" w:space="0" w:color="auto"/>
            </w:tcBorders>
          </w:tcPr>
          <w:p w14:paraId="32C5EC82" w14:textId="7792A9D7" w:rsidR="00C7117F" w:rsidRPr="00783571" w:rsidRDefault="00F05222" w:rsidP="00897DE3">
            <w:pPr>
              <w:pStyle w:val="TableText"/>
              <w:rPr>
                <w:szCs w:val="18"/>
              </w:rPr>
            </w:pPr>
            <w:r w:rsidRPr="00783571">
              <w:rPr>
                <w:szCs w:val="18"/>
              </w:rPr>
              <w:t>Gold et al. (1996)</w:t>
            </w:r>
          </w:p>
        </w:tc>
      </w:tr>
    </w:tbl>
    <w:p w14:paraId="506269A0" w14:textId="49B717AD" w:rsidR="00C7117F" w:rsidRPr="00783571" w:rsidRDefault="008F1692" w:rsidP="00C0054E">
      <w:pPr>
        <w:pStyle w:val="Source1"/>
      </w:pPr>
      <w:r w:rsidRPr="00783571">
        <w:t xml:space="preserve">Note: </w:t>
      </w:r>
      <w:r w:rsidR="00EE7C4C" w:rsidRPr="00783571">
        <w:t>QALYs = q</w:t>
      </w:r>
      <w:r w:rsidR="00C7117F" w:rsidRPr="00783571">
        <w:t xml:space="preserve">uality-adjusted </w:t>
      </w:r>
      <w:r w:rsidR="00EF3A64" w:rsidRPr="00783571">
        <w:t>life-year</w:t>
      </w:r>
      <w:r w:rsidR="00C7117F" w:rsidRPr="00783571">
        <w:t>s</w:t>
      </w:r>
    </w:p>
    <w:p w14:paraId="6A7B0E3E" w14:textId="77777777" w:rsidR="00C7117F" w:rsidRPr="00783571" w:rsidRDefault="00EC715C" w:rsidP="00C7117F">
      <w:pPr>
        <w:pStyle w:val="Heading3"/>
      </w:pPr>
      <w:bookmarkStart w:id="112" w:name="_Toc510104478"/>
      <w:r w:rsidRPr="00783571">
        <w:t>Calculation of Health Outcomes</w:t>
      </w:r>
      <w:bookmarkEnd w:id="112"/>
    </w:p>
    <w:p w14:paraId="0DDE48AD" w14:textId="27BFBA75" w:rsidR="000F420A" w:rsidRPr="00783571" w:rsidRDefault="00EC715C" w:rsidP="003B42C2">
      <w:pPr>
        <w:pStyle w:val="BodyText"/>
      </w:pPr>
      <w:r w:rsidRPr="00783571">
        <w:t xml:space="preserve">Key health outcomes reported by the model include life-years, </w:t>
      </w:r>
      <w:r w:rsidR="003B42C2" w:rsidRPr="00783571">
        <w:t>QALYs</w:t>
      </w:r>
      <w:r w:rsidRPr="00783571">
        <w:t>, total number of new infections</w:t>
      </w:r>
      <w:r w:rsidR="008F1692" w:rsidRPr="00783571">
        <w:t>,</w:t>
      </w:r>
      <w:r w:rsidRPr="00783571">
        <w:t xml:space="preserve"> and HIV prevalence for all individuals actively moving through the model. They </w:t>
      </w:r>
      <w:r w:rsidR="003B42C2" w:rsidRPr="00783571">
        <w:t>were calculated</w:t>
      </w:r>
      <w:r w:rsidRPr="00783571">
        <w:t xml:space="preserve"> by</w:t>
      </w:r>
      <w:r w:rsidR="003B42C2" w:rsidRPr="00783571">
        <w:t xml:space="preserve"> using</w:t>
      </w:r>
      <w:r w:rsidRPr="00783571">
        <w:t xml:space="preserve"> </w:t>
      </w:r>
      <w:r w:rsidR="003B42C2" w:rsidRPr="00783571">
        <w:t xml:space="preserve">Equations </w:t>
      </w:r>
      <w:r w:rsidR="00903B31" w:rsidRPr="00783571">
        <w:t>(10.</w:t>
      </w:r>
      <w:r w:rsidR="003B42C2" w:rsidRPr="00783571">
        <w:t>1</w:t>
      </w:r>
      <w:r w:rsidR="008B30F8" w:rsidRPr="00783571">
        <w:t>)</w:t>
      </w:r>
      <w:r w:rsidR="003B42C2" w:rsidRPr="00783571">
        <w:t xml:space="preserve"> to </w:t>
      </w:r>
      <w:r w:rsidR="00903B31" w:rsidRPr="00783571">
        <w:t>(10.</w:t>
      </w:r>
      <w:r w:rsidR="003B42C2" w:rsidRPr="00783571">
        <w:t>4</w:t>
      </w:r>
      <w:r w:rsidR="008B30F8" w:rsidRPr="00783571">
        <w:t>)</w:t>
      </w:r>
      <w:r w:rsidR="003B42C2" w:rsidRPr="00783571">
        <w:t>, respectively</w:t>
      </w:r>
      <w:r w:rsidRPr="00783571">
        <w:t>.</w:t>
      </w:r>
    </w:p>
    <w:p w14:paraId="2396DAC2" w14:textId="3B07EC0C" w:rsidR="00EC715C" w:rsidRPr="00783571" w:rsidRDefault="003B42C2" w:rsidP="009C25E0">
      <w:pPr>
        <w:pStyle w:val="equation"/>
        <w:spacing w:after="360"/>
        <w:rPr>
          <w:lang w:val="en-US"/>
        </w:rPr>
      </w:pPr>
      <w:r w:rsidRPr="00783571">
        <w:rPr>
          <w:iCs/>
          <w:lang w:val="en-US"/>
        </w:rPr>
        <w:tab/>
      </w:r>
      <m:oMath>
        <m:r>
          <m:rPr>
            <m:nor/>
          </m:rPr>
          <w:rPr>
            <w:rFonts w:ascii="Cambria Math" w:hAnsi="Cambria Math"/>
            <w:iCs/>
            <w:lang w:val="en-US"/>
          </w:rPr>
          <m:t>L</m:t>
        </m:r>
        <m:r>
          <m:rPr>
            <m:nor/>
          </m:rPr>
          <w:rPr>
            <w:rFonts w:ascii="Cambria Math" w:hAnsi="Cambria Math"/>
            <w:lang w:val="en-US"/>
          </w:rPr>
          <m:t xml:space="preserve"> =</m:t>
        </m:r>
        <m:nary>
          <m:naryPr>
            <m:chr m:val="∑"/>
            <m:limLoc m:val="undOvr"/>
            <m:supHide m:val="1"/>
            <m:ctrlPr>
              <w:rPr>
                <w:rFonts w:ascii="Cambria Math" w:hAnsi="Cambria Math"/>
                <w:lang w:val="en-US"/>
              </w:rPr>
            </m:ctrlPr>
          </m:naryPr>
          <m:sub>
            <m:r>
              <m:rPr>
                <m:nor/>
              </m:rPr>
              <w:rPr>
                <w:rFonts w:ascii="Cambria Math" w:hAnsi="Cambria Math"/>
                <w:iCs/>
                <w:lang w:val="en-US"/>
              </w:rPr>
              <m:t>p</m:t>
            </m:r>
          </m:sub>
          <m:sup/>
          <m:e>
            <m:nary>
              <m:naryPr>
                <m:chr m:val="∑"/>
                <m:limLoc m:val="undOvr"/>
                <m:supHide m:val="1"/>
                <m:ctrlPr>
                  <w:rPr>
                    <w:rFonts w:ascii="Cambria Math" w:hAnsi="Cambria Math"/>
                    <w:lang w:val="en-US"/>
                  </w:rPr>
                </m:ctrlPr>
              </m:naryPr>
              <m:sub>
                <m:r>
                  <m:rPr>
                    <m:nor/>
                  </m:rPr>
                  <w:rPr>
                    <w:rFonts w:ascii="Cambria Math" w:hAnsi="Cambria Math"/>
                    <w:iCs/>
                    <w:lang w:val="en-US"/>
                  </w:rPr>
                  <m:t>t</m:t>
                </m:r>
              </m:sub>
              <m:sup/>
              <m:e>
                <m:nary>
                  <m:naryPr>
                    <m:chr m:val="∑"/>
                    <m:limLoc m:val="undOvr"/>
                    <m:supHide m:val="1"/>
                    <m:ctrlPr>
                      <w:rPr>
                        <w:rFonts w:ascii="Cambria Math" w:hAnsi="Cambria Math"/>
                        <w:lang w:val="en-US"/>
                      </w:rPr>
                    </m:ctrlPr>
                  </m:naryPr>
                  <m:sub>
                    <m:r>
                      <m:rPr>
                        <m:nor/>
                      </m:rPr>
                      <w:rPr>
                        <w:rFonts w:ascii="Cambria Math" w:hAnsi="Cambria Math"/>
                        <w:iCs/>
                        <w:lang w:val="en-US"/>
                      </w:rPr>
                      <m:t>c</m:t>
                    </m:r>
                    <m:r>
                      <m:rPr>
                        <m:nor/>
                      </m:rPr>
                      <w:rPr>
                        <w:rFonts w:ascii="Cambria Math" w:hAnsi="Cambria Math"/>
                        <w:lang w:val="en-US"/>
                      </w:rPr>
                      <m:t>=1:25</m:t>
                    </m:r>
                  </m:sub>
                  <m:sup/>
                  <m:e>
                    <m:d>
                      <m:dPr>
                        <m:ctrlPr>
                          <w:rPr>
                            <w:rFonts w:ascii="Cambria Math" w:hAnsi="Cambria Math"/>
                            <w:lang w:val="en-US"/>
                          </w:rPr>
                        </m:ctrlPr>
                      </m:dPr>
                      <m:e>
                        <m:sSubSup>
                          <m:sSubSupPr>
                            <m:ctrlPr>
                              <w:rPr>
                                <w:rFonts w:ascii="Cambria Math" w:hAnsi="Cambria Math"/>
                                <w:lang w:val="en-US"/>
                              </w:rPr>
                            </m:ctrlPr>
                          </m:sSubSupPr>
                          <m:e>
                            <m:r>
                              <m:rPr>
                                <m:nor/>
                              </m:rPr>
                              <w:rPr>
                                <w:rFonts w:ascii="Cambria Math" w:hAnsi="Cambria Math"/>
                                <w:iCs/>
                                <w:lang w:val="en-US"/>
                              </w:rPr>
                              <m:t>X</m:t>
                            </m:r>
                          </m:e>
                          <m:sub>
                            <m:r>
                              <m:rPr>
                                <m:nor/>
                              </m:rPr>
                              <w:rPr>
                                <w:rFonts w:ascii="Cambria Math" w:hAnsi="Cambria Math"/>
                                <w:iCs/>
                                <w:lang w:val="en-US"/>
                              </w:rPr>
                              <m:t>p</m:t>
                            </m:r>
                          </m:sub>
                          <m:sup>
                            <m:r>
                              <m:rPr>
                                <m:nor/>
                              </m:rPr>
                              <w:rPr>
                                <w:rFonts w:ascii="Cambria Math" w:hAnsi="Cambria Math"/>
                                <w:iCs/>
                                <w:lang w:val="en-US"/>
                              </w:rPr>
                              <m:t>c</m:t>
                            </m:r>
                          </m:sup>
                        </m:sSubSup>
                        <m:d>
                          <m:dPr>
                            <m:ctrlPr>
                              <w:rPr>
                                <w:rFonts w:ascii="Cambria Math" w:hAnsi="Cambria Math"/>
                                <w:lang w:val="en-US"/>
                              </w:rPr>
                            </m:ctrlPr>
                          </m:dPr>
                          <m:e>
                            <m:r>
                              <m:rPr>
                                <m:nor/>
                              </m:rPr>
                              <w:rPr>
                                <w:rFonts w:ascii="Cambria Math" w:hAnsi="Cambria Math"/>
                                <w:iCs/>
                                <w:lang w:val="en-US"/>
                              </w:rPr>
                              <m:t>t</m:t>
                            </m:r>
                          </m:e>
                        </m:d>
                        <m:r>
                          <m:rPr>
                            <m:nor/>
                          </m:rPr>
                          <w:rPr>
                            <w:rFonts w:ascii="Cambria Math" w:hAnsi="Cambria Math"/>
                            <w:lang w:val="en-US"/>
                          </w:rPr>
                          <m:t>*q(t)</m:t>
                        </m:r>
                      </m:e>
                    </m:d>
                  </m:e>
                </m:nary>
              </m:e>
            </m:nary>
          </m:e>
        </m:nary>
      </m:oMath>
      <w:r w:rsidRPr="00783571">
        <w:rPr>
          <w:color w:val="1F497D" w:themeColor="dark2"/>
          <w:lang w:val="en-US"/>
        </w:rPr>
        <w:tab/>
      </w:r>
      <w:r w:rsidR="00903B31" w:rsidRPr="00783571">
        <w:rPr>
          <w:lang w:val="en-US"/>
        </w:rPr>
        <w:t>(10.</w:t>
      </w:r>
      <w:r w:rsidRPr="00783571">
        <w:rPr>
          <w:lang w:val="en-US"/>
        </w:rPr>
        <w:t>1)</w:t>
      </w:r>
    </w:p>
    <w:p w14:paraId="6D530A02" w14:textId="010D3461" w:rsidR="00EC715C" w:rsidRPr="00783571" w:rsidRDefault="003B42C2" w:rsidP="009C25E0">
      <w:pPr>
        <w:pStyle w:val="equation"/>
        <w:spacing w:after="360"/>
        <w:rPr>
          <w:lang w:val="en-US"/>
        </w:rPr>
      </w:pPr>
      <w:r w:rsidRPr="00783571">
        <w:rPr>
          <w:lang w:val="en-US"/>
        </w:rPr>
        <w:tab/>
      </w:r>
      <m:oMath>
        <m:r>
          <m:rPr>
            <m:nor/>
          </m:rPr>
          <w:rPr>
            <w:rFonts w:ascii="Cambria Math" w:hAnsi="Cambria Math"/>
            <w:iCs/>
            <w:lang w:val="en-US"/>
          </w:rPr>
          <m:t>W</m:t>
        </m:r>
        <m:r>
          <m:rPr>
            <m:nor/>
          </m:rPr>
          <w:rPr>
            <w:rFonts w:ascii="Cambria Math" w:hAnsi="Cambria Math"/>
            <w:lang w:val="en-US"/>
          </w:rPr>
          <m:t xml:space="preserve"> = </m:t>
        </m:r>
        <m:nary>
          <m:naryPr>
            <m:chr m:val="∑"/>
            <m:limLoc m:val="undOvr"/>
            <m:supHide m:val="1"/>
            <m:ctrlPr>
              <w:rPr>
                <w:rFonts w:ascii="Cambria Math" w:hAnsi="Cambria Math"/>
                <w:lang w:val="en-US"/>
              </w:rPr>
            </m:ctrlPr>
          </m:naryPr>
          <m:sub>
            <m:r>
              <m:rPr>
                <m:nor/>
              </m:rPr>
              <w:rPr>
                <w:rFonts w:ascii="Cambria Math" w:hAnsi="Cambria Math"/>
                <w:iCs/>
                <w:lang w:val="en-US"/>
              </w:rPr>
              <m:t>p</m:t>
            </m:r>
          </m:sub>
          <m:sup/>
          <m:e>
            <m:nary>
              <m:naryPr>
                <m:chr m:val="∑"/>
                <m:limLoc m:val="undOvr"/>
                <m:supHide m:val="1"/>
                <m:ctrlPr>
                  <w:rPr>
                    <w:rFonts w:ascii="Cambria Math" w:hAnsi="Cambria Math"/>
                    <w:lang w:val="en-US"/>
                  </w:rPr>
                </m:ctrlPr>
              </m:naryPr>
              <m:sub>
                <m:r>
                  <m:rPr>
                    <m:nor/>
                  </m:rPr>
                  <w:rPr>
                    <w:rFonts w:ascii="Cambria Math" w:hAnsi="Cambria Math"/>
                    <w:iCs/>
                    <w:lang w:val="en-US"/>
                  </w:rPr>
                  <m:t>t</m:t>
                </m:r>
              </m:sub>
              <m:sup/>
              <m:e>
                <m:nary>
                  <m:naryPr>
                    <m:chr m:val="∑"/>
                    <m:limLoc m:val="undOvr"/>
                    <m:supHide m:val="1"/>
                    <m:ctrlPr>
                      <w:rPr>
                        <w:rFonts w:ascii="Cambria Math" w:hAnsi="Cambria Math"/>
                        <w:lang w:val="en-US"/>
                      </w:rPr>
                    </m:ctrlPr>
                  </m:naryPr>
                  <m:sub>
                    <m:r>
                      <m:rPr>
                        <m:nor/>
                      </m:rPr>
                      <w:rPr>
                        <w:rFonts w:ascii="Cambria Math" w:hAnsi="Cambria Math"/>
                        <w:iCs/>
                        <w:lang w:val="en-US"/>
                      </w:rPr>
                      <m:t>c</m:t>
                    </m:r>
                    <m:r>
                      <m:rPr>
                        <m:nor/>
                      </m:rPr>
                      <w:rPr>
                        <w:rFonts w:ascii="Cambria Math" w:hAnsi="Cambria Math"/>
                        <w:lang w:val="en-US"/>
                      </w:rPr>
                      <m:t>=1:25</m:t>
                    </m:r>
                  </m:sub>
                  <m:sup/>
                  <m:e>
                    <m:d>
                      <m:dPr>
                        <m:ctrlPr>
                          <w:rPr>
                            <w:rFonts w:ascii="Cambria Math" w:hAnsi="Cambria Math"/>
                            <w:lang w:val="en-US"/>
                          </w:rPr>
                        </m:ctrlPr>
                      </m:dPr>
                      <m:e>
                        <m:sSubSup>
                          <m:sSubSupPr>
                            <m:ctrlPr>
                              <w:rPr>
                                <w:rFonts w:ascii="Cambria Math" w:hAnsi="Cambria Math"/>
                                <w:lang w:val="en-US"/>
                              </w:rPr>
                            </m:ctrlPr>
                          </m:sSubSupPr>
                          <m:e>
                            <m:r>
                              <m:rPr>
                                <m:nor/>
                              </m:rPr>
                              <w:rPr>
                                <w:rFonts w:ascii="Cambria Math" w:hAnsi="Cambria Math"/>
                                <w:iCs/>
                                <w:lang w:val="en-US"/>
                              </w:rPr>
                              <m:t>X</m:t>
                            </m:r>
                          </m:e>
                          <m:sub>
                            <m:r>
                              <m:rPr>
                                <m:nor/>
                              </m:rPr>
                              <w:rPr>
                                <w:rFonts w:ascii="Cambria Math" w:hAnsi="Cambria Math"/>
                                <w:iCs/>
                                <w:lang w:val="en-US"/>
                              </w:rPr>
                              <m:t>p</m:t>
                            </m:r>
                          </m:sub>
                          <m:sup>
                            <m:r>
                              <m:rPr>
                                <m:nor/>
                              </m:rPr>
                              <w:rPr>
                                <w:rFonts w:ascii="Cambria Math" w:hAnsi="Cambria Math"/>
                                <w:iCs/>
                                <w:lang w:val="en-US"/>
                              </w:rPr>
                              <m:t>c</m:t>
                            </m:r>
                          </m:sup>
                        </m:sSubSup>
                        <m:d>
                          <m:dPr>
                            <m:ctrlPr>
                              <w:rPr>
                                <w:rFonts w:ascii="Cambria Math" w:hAnsi="Cambria Math"/>
                                <w:lang w:val="en-US"/>
                              </w:rPr>
                            </m:ctrlPr>
                          </m:dPr>
                          <m:e>
                            <m:r>
                              <m:rPr>
                                <m:nor/>
                              </m:rPr>
                              <w:rPr>
                                <w:rFonts w:ascii="Cambria Math" w:hAnsi="Cambria Math"/>
                                <w:iCs/>
                                <w:lang w:val="en-US"/>
                              </w:rPr>
                              <m:t>t</m:t>
                            </m:r>
                          </m:e>
                        </m:d>
                        <m:r>
                          <m:rPr>
                            <m:nor/>
                          </m:rPr>
                          <w:rPr>
                            <w:rFonts w:ascii="Cambria Math" w:hAnsi="Cambria Math"/>
                            <w:lang w:val="en-US"/>
                          </w:rPr>
                          <m:t>*</m:t>
                        </m:r>
                        <m:sSub>
                          <m:sSubPr>
                            <m:ctrlPr>
                              <w:rPr>
                                <w:rFonts w:ascii="Cambria Math" w:hAnsi="Cambria Math"/>
                                <w:lang w:val="en-US"/>
                              </w:rPr>
                            </m:ctrlPr>
                          </m:sSubPr>
                          <m:e>
                            <m:r>
                              <m:rPr>
                                <m:nor/>
                              </m:rPr>
                              <w:rPr>
                                <w:rFonts w:ascii="Cambria Math" w:hAnsi="Cambria Math"/>
                                <w:iCs/>
                                <w:lang w:val="en-US"/>
                              </w:rPr>
                              <m:t>R</m:t>
                            </m:r>
                          </m:e>
                          <m:sub>
                            <m:r>
                              <m:rPr>
                                <m:nor/>
                              </m:rPr>
                              <w:rPr>
                                <w:rFonts w:ascii="Cambria Math" w:hAnsi="Cambria Math"/>
                                <w:iCs/>
                                <w:lang w:val="en-US"/>
                              </w:rPr>
                              <m:t>c</m:t>
                            </m:r>
                          </m:sub>
                        </m:sSub>
                        <m:r>
                          <m:rPr>
                            <m:nor/>
                          </m:rPr>
                          <w:rPr>
                            <w:rFonts w:ascii="Cambria Math" w:hAnsi="Cambria Math"/>
                            <w:lang w:val="en-US"/>
                          </w:rPr>
                          <m:t>*</m:t>
                        </m:r>
                        <m:r>
                          <m:rPr>
                            <m:nor/>
                          </m:rPr>
                          <w:rPr>
                            <w:rFonts w:ascii="Cambria Math" w:hAnsi="Cambria Math"/>
                            <w:iCs/>
                            <w:lang w:val="en-US"/>
                          </w:rPr>
                          <m:t>q(t)</m:t>
                        </m:r>
                        <m:r>
                          <m:rPr>
                            <m:nor/>
                          </m:rPr>
                          <w:rPr>
                            <w:rFonts w:ascii="Cambria Math" w:hAnsi="Cambria Math"/>
                            <w:lang w:val="en-US"/>
                          </w:rPr>
                          <m:t>*</m:t>
                        </m:r>
                        <m:f>
                          <m:fPr>
                            <m:ctrlPr>
                              <w:rPr>
                                <w:rFonts w:ascii="Cambria Math" w:hAnsi="Cambria Math"/>
                                <w:i/>
                                <w:lang w:val="en-US"/>
                              </w:rPr>
                            </m:ctrlPr>
                          </m:fPr>
                          <m:num>
                            <m:r>
                              <m:rPr>
                                <m:nor/>
                              </m:rPr>
                              <w:rPr>
                                <w:rFonts w:ascii="Cambria Math" w:hAnsi="Cambria Math"/>
                                <w:lang w:val="en-US"/>
                              </w:rPr>
                              <m:t>1</m:t>
                            </m:r>
                          </m:num>
                          <m:den>
                            <m:sSup>
                              <m:sSupPr>
                                <m:ctrlPr>
                                  <w:rPr>
                                    <w:rFonts w:ascii="Cambria Math" w:hAnsi="Cambria Math"/>
                                    <w:i/>
                                    <w:lang w:val="en-US"/>
                                  </w:rPr>
                                </m:ctrlPr>
                              </m:sSupPr>
                              <m:e>
                                <m:r>
                                  <m:rPr>
                                    <m:nor/>
                                  </m:rPr>
                                  <w:rPr>
                                    <w:rFonts w:ascii="Cambria Math" w:hAnsi="Cambria Math"/>
                                    <w:lang w:val="en-US"/>
                                  </w:rPr>
                                  <m:t>(1+Q)</m:t>
                                </m:r>
                              </m:e>
                              <m:sup>
                                <m:r>
                                  <m:rPr>
                                    <m:nor/>
                                  </m:rPr>
                                  <w:rPr>
                                    <w:rFonts w:ascii="Cambria Math" w:hAnsi="Cambria Math"/>
                                    <w:lang w:val="en-US"/>
                                  </w:rPr>
                                  <m:t>t</m:t>
                                </m:r>
                              </m:sup>
                            </m:sSup>
                          </m:den>
                        </m:f>
                      </m:e>
                    </m:d>
                  </m:e>
                </m:nary>
              </m:e>
            </m:nary>
          </m:e>
        </m:nary>
      </m:oMath>
      <w:r w:rsidRPr="00783571">
        <w:rPr>
          <w:lang w:val="en-US"/>
        </w:rPr>
        <w:tab/>
      </w:r>
      <w:r w:rsidR="00903B31" w:rsidRPr="00783571">
        <w:rPr>
          <w:lang w:val="en-US"/>
        </w:rPr>
        <w:t>(10.</w:t>
      </w:r>
      <w:r w:rsidRPr="00783571">
        <w:rPr>
          <w:lang w:val="en-US"/>
        </w:rPr>
        <w:t>2)</w:t>
      </w:r>
    </w:p>
    <w:p w14:paraId="25B3DE26" w14:textId="747E1E79" w:rsidR="00EC715C" w:rsidRPr="00783571" w:rsidRDefault="003B42C2" w:rsidP="009C25E0">
      <w:pPr>
        <w:pStyle w:val="equation"/>
        <w:spacing w:after="360"/>
        <w:rPr>
          <w:lang w:val="en-US"/>
        </w:rPr>
      </w:pPr>
      <w:r w:rsidRPr="00783571">
        <w:rPr>
          <w:iCs/>
          <w:lang w:val="en-US"/>
        </w:rPr>
        <w:tab/>
      </w:r>
      <m:oMath>
        <m:r>
          <m:rPr>
            <m:nor/>
          </m:rPr>
          <w:rPr>
            <w:rFonts w:ascii="Cambria Math" w:hAnsi="Cambria Math"/>
            <w:lang w:val="en-US"/>
          </w:rPr>
          <m:t xml:space="preserve">F = </m:t>
        </m:r>
        <m:nary>
          <m:naryPr>
            <m:chr m:val="∑"/>
            <m:limLoc m:val="undOvr"/>
            <m:supHide m:val="1"/>
            <m:ctrlPr>
              <w:rPr>
                <w:rFonts w:ascii="Cambria Math" w:hAnsi="Cambria Math"/>
                <w:lang w:val="en-US"/>
              </w:rPr>
            </m:ctrlPr>
          </m:naryPr>
          <m:sub>
            <m:r>
              <m:rPr>
                <m:nor/>
              </m:rPr>
              <w:rPr>
                <w:rFonts w:ascii="Cambria Math" w:hAnsi="Cambria Math"/>
                <w:lang w:val="en-US"/>
              </w:rPr>
              <m:t>t</m:t>
            </m:r>
          </m:sub>
          <m:sup/>
          <m:e>
            <m:nary>
              <m:naryPr>
                <m:chr m:val="∑"/>
                <m:limLoc m:val="undOvr"/>
                <m:supHide m:val="1"/>
                <m:ctrlPr>
                  <w:rPr>
                    <w:rFonts w:ascii="Cambria Math" w:hAnsi="Cambria Math"/>
                    <w:lang w:val="en-US"/>
                  </w:rPr>
                </m:ctrlPr>
              </m:naryPr>
              <m:sub>
                <m:r>
                  <m:rPr>
                    <m:nor/>
                  </m:rPr>
                  <w:rPr>
                    <w:rFonts w:ascii="Cambria Math" w:hAnsi="Cambria Math"/>
                    <w:lang w:val="en-US"/>
                  </w:rPr>
                  <m:t>p</m:t>
                </m:r>
              </m:sub>
              <m:sup/>
              <m:e>
                <m:d>
                  <m:dPr>
                    <m:begChr m:val="["/>
                    <m:endChr m:val="]"/>
                    <m:ctrlPr>
                      <w:rPr>
                        <w:rFonts w:ascii="Cambria Math" w:hAnsi="Cambria Math"/>
                        <w:i/>
                        <w:lang w:val="en-US"/>
                      </w:rPr>
                    </m:ctrlPr>
                  </m:dPr>
                  <m:e>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λ</m:t>
                            </m:r>
                          </m:e>
                          <m:sub>
                            <m:r>
                              <w:rPr>
                                <w:rFonts w:ascii="Cambria Math" w:hAnsi="Cambria Math"/>
                                <w:lang w:val="en-US"/>
                              </w:rPr>
                              <m:t>p</m:t>
                            </m:r>
                          </m:sub>
                        </m:sSub>
                      </m:e>
                    </m:d>
                    <m:sSubSup>
                      <m:sSubSupPr>
                        <m:ctrlPr>
                          <w:rPr>
                            <w:rFonts w:ascii="Cambria Math" w:hAnsi="Cambria Math"/>
                            <w:lang w:val="en-US"/>
                          </w:rPr>
                        </m:ctrlPr>
                      </m:sSubSupPr>
                      <m:e>
                        <m:r>
                          <m:rPr>
                            <m:nor/>
                          </m:rPr>
                          <w:rPr>
                            <w:rFonts w:ascii="Cambria Math" w:hAnsi="Cambria Math"/>
                            <w:lang w:val="en-US"/>
                          </w:rPr>
                          <m:t>X</m:t>
                        </m:r>
                      </m:e>
                      <m:sub>
                        <m:r>
                          <m:rPr>
                            <m:nor/>
                          </m:rPr>
                          <w:rPr>
                            <w:rFonts w:ascii="Cambria Math" w:hAnsi="Cambria Math"/>
                            <w:lang w:val="en-US"/>
                          </w:rPr>
                          <m:t>p</m:t>
                        </m:r>
                      </m:sub>
                      <m:sup>
                        <m:r>
                          <m:rPr>
                            <m:nor/>
                          </m:rPr>
                          <w:rPr>
                            <w:rFonts w:ascii="Cambria Math" w:hAnsi="Cambria Math"/>
                            <w:lang w:val="en-US"/>
                          </w:rPr>
                          <m:t>c=1</m:t>
                        </m:r>
                      </m:sup>
                    </m:sSubSup>
                    <m:r>
                      <m:rPr>
                        <m:nor/>
                      </m:rPr>
                      <w:rPr>
                        <w:rFonts w:ascii="Cambria Math" w:hAnsi="Cambria Math"/>
                        <w:lang w:val="en-US"/>
                      </w:rPr>
                      <m:t>(t)+(1-</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p</m:t>
                        </m:r>
                      </m:sub>
                    </m:sSub>
                    <m:r>
                      <m:rPr>
                        <m:nor/>
                      </m:rPr>
                      <w:rPr>
                        <w:rFonts w:ascii="Cambria Math" w:hAnsi="Cambria Math"/>
                        <w:lang w:val="en-US"/>
                      </w:rPr>
                      <m:t>)</m:t>
                    </m:r>
                    <m:sSubSup>
                      <m:sSubSupPr>
                        <m:ctrlPr>
                          <w:rPr>
                            <w:rFonts w:ascii="Cambria Math" w:hAnsi="Cambria Math"/>
                            <w:lang w:val="en-US"/>
                          </w:rPr>
                        </m:ctrlPr>
                      </m:sSubSupPr>
                      <m:e>
                        <m:d>
                          <m:dPr>
                            <m:ctrlPr>
                              <w:rPr>
                                <w:rFonts w:ascii="Cambria Math" w:hAnsi="Cambria Math"/>
                                <w:lang w:val="en-US"/>
                              </w:rPr>
                            </m:ctrlPr>
                          </m:dPr>
                          <m:e>
                            <m:sSub>
                              <m:sSubPr>
                                <m:ctrlPr>
                                  <w:rPr>
                                    <w:rFonts w:ascii="Cambria Math" w:hAnsi="Cambria Math"/>
                                    <w:lang w:val="en-US"/>
                                  </w:rPr>
                                </m:ctrlPr>
                              </m:sSubPr>
                              <m:e>
                                <m:r>
                                  <w:rPr>
                                    <w:rFonts w:ascii="Cambria Math" w:hAnsi="Cambria Math"/>
                                    <w:lang w:val="en-US"/>
                                  </w:rPr>
                                  <m:t>λ</m:t>
                                </m:r>
                              </m:e>
                              <m:sub>
                                <m:r>
                                  <w:rPr>
                                    <w:rFonts w:ascii="Cambria Math" w:hAnsi="Cambria Math"/>
                                    <w:lang w:val="en-US"/>
                                  </w:rPr>
                                  <m:t>p</m:t>
                                </m:r>
                              </m:sub>
                            </m:sSub>
                          </m:e>
                        </m:d>
                        <m:r>
                          <m:rPr>
                            <m:nor/>
                          </m:rPr>
                          <w:rPr>
                            <w:rFonts w:ascii="Cambria Math" w:hAnsi="Cambria Math"/>
                            <w:lang w:val="en-US"/>
                          </w:rPr>
                          <m:t>X</m:t>
                        </m:r>
                      </m:e>
                      <m:sub>
                        <m:r>
                          <m:rPr>
                            <m:nor/>
                          </m:rPr>
                          <w:rPr>
                            <w:rFonts w:ascii="Cambria Math" w:hAnsi="Cambria Math"/>
                            <w:lang w:val="en-US"/>
                          </w:rPr>
                          <m:t>p</m:t>
                        </m:r>
                      </m:sub>
                      <m:sup>
                        <m:r>
                          <m:rPr>
                            <m:nor/>
                          </m:rPr>
                          <w:rPr>
                            <w:rFonts w:ascii="Cambria Math" w:hAnsi="Cambria Math"/>
                            <w:lang w:val="en-US"/>
                          </w:rPr>
                          <m:t>c=2</m:t>
                        </m:r>
                      </m:sup>
                    </m:sSubSup>
                    <m:r>
                      <m:rPr>
                        <m:nor/>
                      </m:rPr>
                      <w:rPr>
                        <w:rFonts w:ascii="Cambria Math" w:hAnsi="Cambria Math"/>
                        <w:lang w:val="en-US"/>
                      </w:rPr>
                      <m:t>(t)</m:t>
                    </m:r>
                  </m:e>
                </m:d>
              </m:e>
            </m:nary>
          </m:e>
        </m:nary>
      </m:oMath>
      <w:r w:rsidRPr="00783571">
        <w:rPr>
          <w:lang w:val="en-US"/>
        </w:rPr>
        <w:tab/>
      </w:r>
      <w:r w:rsidR="00903B31" w:rsidRPr="00783571">
        <w:rPr>
          <w:lang w:val="en-US"/>
        </w:rPr>
        <w:t>(10.</w:t>
      </w:r>
      <w:r w:rsidRPr="00783571">
        <w:rPr>
          <w:lang w:val="en-US"/>
        </w:rPr>
        <w:t>3)</w:t>
      </w:r>
    </w:p>
    <w:p w14:paraId="005E0F2E" w14:textId="659EA298" w:rsidR="00EC715C" w:rsidRPr="00783571" w:rsidRDefault="003B42C2" w:rsidP="009C25E0">
      <w:pPr>
        <w:pStyle w:val="equation"/>
        <w:spacing w:after="360"/>
        <w:rPr>
          <w:lang w:val="en-US"/>
          <w:oMath/>
        </w:rPr>
      </w:pPr>
      <w:r w:rsidRPr="00783571">
        <w:rPr>
          <w:lang w:val="en-US"/>
        </w:rPr>
        <w:tab/>
      </w:r>
      <m:oMath>
        <m:sSub>
          <m:sSubPr>
            <m:ctrlPr>
              <w:rPr>
                <w:rFonts w:ascii="Cambria Math" w:hAnsi="Cambria Math"/>
                <w:lang w:val="en-US"/>
              </w:rPr>
            </m:ctrlPr>
          </m:sSubPr>
          <m:e>
            <m:r>
              <m:rPr>
                <m:nor/>
              </m:rPr>
              <w:rPr>
                <w:rFonts w:ascii="Cambria Math" w:hAnsi="Cambria Math"/>
                <w:lang w:val="en-US"/>
              </w:rPr>
              <m:t>P</m:t>
            </m:r>
          </m:e>
          <m:sub>
            <m:r>
              <m:rPr>
                <m:nor/>
              </m:rPr>
              <w:rPr>
                <w:rFonts w:ascii="Cambria Math" w:hAnsi="Cambria Math"/>
                <w:lang w:val="en-US"/>
              </w:rPr>
              <m:t>t</m:t>
            </m:r>
          </m:sub>
        </m:sSub>
        <m:r>
          <m:rPr>
            <m:nor/>
          </m:rPr>
          <w:rPr>
            <w:rFonts w:ascii="Cambria Math" w:hAnsi="Cambria Math"/>
            <w:lang w:val="en-US"/>
          </w:rPr>
          <m:t xml:space="preserve"> = </m:t>
        </m:r>
        <m:nary>
          <m:naryPr>
            <m:chr m:val="∑"/>
            <m:limLoc m:val="undOvr"/>
            <m:supHide m:val="1"/>
            <m:ctrlPr>
              <w:rPr>
                <w:rFonts w:ascii="Cambria Math" w:hAnsi="Cambria Math"/>
                <w:lang w:val="en-US"/>
              </w:rPr>
            </m:ctrlPr>
          </m:naryPr>
          <m:sub>
            <m:r>
              <w:rPr>
                <w:rFonts w:ascii="Cambria Math" w:hAnsi="Cambria Math"/>
                <w:lang w:val="en-US"/>
              </w:rPr>
              <m:t>c</m:t>
            </m:r>
            <m:r>
              <m:rPr>
                <m:sty m:val="p"/>
              </m:rPr>
              <w:rPr>
                <w:rFonts w:ascii="Cambria Math" w:hAnsi="Cambria Math"/>
                <w:lang w:val="en-US"/>
              </w:rPr>
              <m:t>=3:25</m:t>
            </m:r>
          </m:sub>
          <m:sup/>
          <m:e>
            <m:nary>
              <m:naryPr>
                <m:chr m:val="∑"/>
                <m:limLoc m:val="undOvr"/>
                <m:supHide m:val="1"/>
                <m:ctrlPr>
                  <w:rPr>
                    <w:rFonts w:ascii="Cambria Math" w:hAnsi="Cambria Math"/>
                    <w:lang w:val="en-US"/>
                  </w:rPr>
                </m:ctrlPr>
              </m:naryPr>
              <m:sub>
                <m:r>
                  <w:rPr>
                    <w:rFonts w:ascii="Cambria Math" w:hAnsi="Cambria Math"/>
                    <w:lang w:val="en-US"/>
                  </w:rPr>
                  <m:t>p</m:t>
                </m:r>
              </m:sub>
              <m:sup/>
              <m:e>
                <m:d>
                  <m:dPr>
                    <m:ctrlPr>
                      <w:rPr>
                        <w:rFonts w:ascii="Cambria Math" w:hAnsi="Cambria Math"/>
                        <w:lang w:val="en-US"/>
                      </w:rPr>
                    </m:ctrlPr>
                  </m:dPr>
                  <m:e>
                    <m:sSubSup>
                      <m:sSubSupPr>
                        <m:ctrlPr>
                          <w:rPr>
                            <w:rFonts w:ascii="Cambria Math" w:hAnsi="Cambria Math"/>
                            <w:lang w:val="en-US"/>
                          </w:rPr>
                        </m:ctrlPr>
                      </m:sSubSupPr>
                      <m:e>
                        <m:r>
                          <w:rPr>
                            <w:rFonts w:ascii="Cambria Math" w:hAnsi="Cambria Math"/>
                            <w:lang w:val="en-US"/>
                          </w:rPr>
                          <m:t>X</m:t>
                        </m:r>
                      </m:e>
                      <m:sub>
                        <m:r>
                          <w:rPr>
                            <w:rFonts w:ascii="Cambria Math" w:hAnsi="Cambria Math"/>
                            <w:lang w:val="en-US"/>
                          </w:rPr>
                          <m:t>p</m:t>
                        </m:r>
                      </m:sub>
                      <m:sup>
                        <m:r>
                          <w:rPr>
                            <w:rFonts w:ascii="Cambria Math" w:hAnsi="Cambria Math"/>
                            <w:lang w:val="en-US"/>
                          </w:rPr>
                          <m:t>c</m:t>
                        </m:r>
                      </m:sup>
                    </m:sSubSup>
                    <m:r>
                      <m:rPr>
                        <m:sty m:val="p"/>
                      </m:rPr>
                      <w:rPr>
                        <w:rFonts w:ascii="Cambria Math" w:hAnsi="Cambria Math"/>
                        <w:lang w:val="en-US"/>
                      </w:rPr>
                      <m:t>(</m:t>
                    </m:r>
                    <m:r>
                      <w:rPr>
                        <w:rFonts w:ascii="Cambria Math" w:hAnsi="Cambria Math"/>
                        <w:lang w:val="en-US"/>
                      </w:rPr>
                      <m:t>t</m:t>
                    </m:r>
                    <m:r>
                      <m:rPr>
                        <m:sty m:val="p"/>
                      </m:rPr>
                      <w:rPr>
                        <w:rFonts w:ascii="Cambria Math" w:hAnsi="Cambria Math"/>
                        <w:lang w:val="en-US"/>
                      </w:rPr>
                      <m:t>)</m:t>
                    </m:r>
                  </m:e>
                </m:d>
              </m:e>
            </m:nary>
          </m:e>
        </m:nary>
      </m:oMath>
      <w:r w:rsidRPr="00783571">
        <w:rPr>
          <w:lang w:val="en-US"/>
        </w:rPr>
        <w:tab/>
      </w:r>
      <w:r w:rsidR="00903B31" w:rsidRPr="00783571">
        <w:rPr>
          <w:lang w:val="en-US"/>
        </w:rPr>
        <w:t>(10.</w:t>
      </w:r>
      <w:r w:rsidRPr="00783571">
        <w:rPr>
          <w:lang w:val="en-US"/>
        </w:rPr>
        <w:t>4)</w:t>
      </w:r>
    </w:p>
    <w:p w14:paraId="3379141B" w14:textId="77777777" w:rsidR="000F420A" w:rsidRPr="00783571" w:rsidRDefault="003B42C2" w:rsidP="00C0054E">
      <w:pPr>
        <w:pStyle w:val="BodyText"/>
        <w:keepNext/>
      </w:pPr>
      <w:r w:rsidRPr="00783571">
        <w:t>w</w:t>
      </w:r>
      <w:r w:rsidR="00EC715C" w:rsidRPr="00783571">
        <w:t>here</w:t>
      </w:r>
    </w:p>
    <w:p w14:paraId="470512B9" w14:textId="1014195F" w:rsidR="00EC715C" w:rsidRPr="00783571" w:rsidRDefault="00EC715C" w:rsidP="00807C26">
      <w:pPr>
        <w:pStyle w:val="bullets"/>
        <w:spacing w:after="160"/>
      </w:pPr>
      <w:r w:rsidRPr="00783571">
        <w:t xml:space="preserve">L = </w:t>
      </w:r>
      <w:r w:rsidR="008F1692" w:rsidRPr="00783571">
        <w:t>c</w:t>
      </w:r>
      <w:r w:rsidRPr="00783571">
        <w:t>umulative n</w:t>
      </w:r>
      <w:r w:rsidR="003B42C2" w:rsidRPr="00783571">
        <w:t xml:space="preserve">umber of </w:t>
      </w:r>
      <w:r w:rsidR="00EF3A64" w:rsidRPr="00783571">
        <w:t>life-year</w:t>
      </w:r>
      <w:r w:rsidR="003B42C2" w:rsidRPr="00783571">
        <w:t>s accrued by the mode</w:t>
      </w:r>
      <w:r w:rsidRPr="00783571">
        <w:t xml:space="preserve">led population over the </w:t>
      </w:r>
      <w:r w:rsidR="003B42C2" w:rsidRPr="00783571">
        <w:t>outcome collection period</w:t>
      </w:r>
      <w:r w:rsidR="008F1692" w:rsidRPr="00783571">
        <w:t>;</w:t>
      </w:r>
    </w:p>
    <w:p w14:paraId="28AC0CF0" w14:textId="32B239D5" w:rsidR="00EC715C" w:rsidRPr="00783571" w:rsidRDefault="00EC715C" w:rsidP="00807C26">
      <w:pPr>
        <w:pStyle w:val="bullets"/>
        <w:spacing w:after="160"/>
      </w:pPr>
      <w:r w:rsidRPr="00783571">
        <w:t xml:space="preserve">W = </w:t>
      </w:r>
      <w:r w:rsidR="008F1692" w:rsidRPr="00783571">
        <w:t>c</w:t>
      </w:r>
      <w:r w:rsidRPr="00783571">
        <w:t xml:space="preserve">umulative number of </w:t>
      </w:r>
      <w:r w:rsidR="003B42C2" w:rsidRPr="00783571">
        <w:t>QALYs accrued by the model</w:t>
      </w:r>
      <w:r w:rsidRPr="00783571">
        <w:t xml:space="preserve">ed population </w:t>
      </w:r>
      <w:r w:rsidR="003B42C2" w:rsidRPr="00783571">
        <w:t>over the outcome collection period</w:t>
      </w:r>
      <w:r w:rsidR="008F1692" w:rsidRPr="00783571">
        <w:t>;</w:t>
      </w:r>
    </w:p>
    <w:p w14:paraId="6B7922D5" w14:textId="7A615D4B" w:rsidR="003B42C2" w:rsidRPr="00783571" w:rsidRDefault="003B42C2" w:rsidP="00807C26">
      <w:pPr>
        <w:pStyle w:val="bullets"/>
        <w:spacing w:after="160"/>
      </w:pPr>
      <w:r w:rsidRPr="00783571">
        <w:t xml:space="preserve">F = </w:t>
      </w:r>
      <w:r w:rsidR="008F1692" w:rsidRPr="00783571">
        <w:t>c</w:t>
      </w:r>
      <w:r w:rsidRPr="00783571">
        <w:t>umulative number of new HIV infections (incidence) over the outcome collection period</w:t>
      </w:r>
      <w:r w:rsidR="008F1692" w:rsidRPr="00783571">
        <w:t>;</w:t>
      </w:r>
    </w:p>
    <w:p w14:paraId="213A48CE" w14:textId="0444F9F0" w:rsidR="00A245BC" w:rsidRPr="00783571" w:rsidRDefault="00A245BC" w:rsidP="00807C26">
      <w:pPr>
        <w:pStyle w:val="bullets"/>
        <w:spacing w:after="160"/>
      </w:pPr>
      <w:r w:rsidRPr="00783571">
        <w:t>q(t)</w:t>
      </w:r>
      <w:r w:rsidRPr="00783571">
        <w:softHyphen/>
        <w:t xml:space="preserve"> = </w:t>
      </w:r>
      <w:r w:rsidR="008F1692" w:rsidRPr="00783571">
        <w:t>l</w:t>
      </w:r>
      <w:r w:rsidRPr="00783571">
        <w:t xml:space="preserve">ength of model’s computational time step, in years, at time </w:t>
      </w:r>
      <w:r w:rsidRPr="00783571">
        <w:rPr>
          <w:i/>
        </w:rPr>
        <w:t>t</w:t>
      </w:r>
      <w:r w:rsidR="008F1692" w:rsidRPr="00783571">
        <w:rPr>
          <w:iCs/>
        </w:rPr>
        <w:t>;</w:t>
      </w:r>
    </w:p>
    <w:p w14:paraId="5407D164" w14:textId="622519C3" w:rsidR="003B42C2" w:rsidRPr="00783571" w:rsidRDefault="003B42C2" w:rsidP="00807C26">
      <w:pPr>
        <w:pStyle w:val="bullets"/>
        <w:spacing w:after="160"/>
      </w:pPr>
      <w:r w:rsidRPr="00783571">
        <w:t>P</w:t>
      </w:r>
      <w:r w:rsidRPr="00783571">
        <w:rPr>
          <w:vertAlign w:val="subscript"/>
        </w:rPr>
        <w:t>t</w:t>
      </w:r>
      <w:r w:rsidRPr="00783571">
        <w:t xml:space="preserve"> = HIV prevalence at time t</w:t>
      </w:r>
      <w:r w:rsidR="008F1692" w:rsidRPr="00783571">
        <w:t>;</w:t>
      </w:r>
    </w:p>
    <w:p w14:paraId="4AF8B8E7" w14:textId="6535310B" w:rsidR="00EC715C" w:rsidRPr="00783571" w:rsidRDefault="00EC715C" w:rsidP="00807C26">
      <w:pPr>
        <w:pStyle w:val="bullets"/>
        <w:spacing w:after="160"/>
      </w:pPr>
      <w:r w:rsidRPr="00783571">
        <w:t xml:space="preserve">Q = </w:t>
      </w:r>
      <w:r w:rsidR="008F1692" w:rsidRPr="00783571">
        <w:t>d</w:t>
      </w:r>
      <w:r w:rsidRPr="00783571">
        <w:t>iscount rate for QALYs</w:t>
      </w:r>
      <w:r w:rsidR="008F1692" w:rsidRPr="00783571">
        <w:t>; and</w:t>
      </w:r>
    </w:p>
    <w:p w14:paraId="42DA4C03" w14:textId="44A7706D" w:rsidR="00EC715C" w:rsidRPr="00783571" w:rsidRDefault="00EC715C" w:rsidP="00807C26">
      <w:pPr>
        <w:pStyle w:val="bullets"/>
        <w:spacing w:after="160"/>
      </w:pPr>
      <w:r w:rsidRPr="00783571">
        <w:t>R</w:t>
      </w:r>
      <w:r w:rsidRPr="00783571">
        <w:rPr>
          <w:vertAlign w:val="subscript"/>
        </w:rPr>
        <w:t>c</w:t>
      </w:r>
      <w:r w:rsidRPr="00783571">
        <w:t xml:space="preserve"> = </w:t>
      </w:r>
      <w:r w:rsidR="008F1692" w:rsidRPr="00783571">
        <w:t>h</w:t>
      </w:r>
      <w:r w:rsidRPr="00783571">
        <w:t xml:space="preserve">ealth utility for individuals in compartment </w:t>
      </w:r>
      <w:r w:rsidRPr="00783571">
        <w:rPr>
          <w:i/>
        </w:rPr>
        <w:t>c</w:t>
      </w:r>
      <w:r w:rsidR="003B42C2" w:rsidRPr="00783571">
        <w:t>.</w:t>
      </w:r>
    </w:p>
    <w:p w14:paraId="4BA2DD9D" w14:textId="77777777" w:rsidR="00A221B8" w:rsidRPr="00783571" w:rsidRDefault="005A1936" w:rsidP="00A221B8">
      <w:pPr>
        <w:pStyle w:val="Heading2"/>
      </w:pPr>
      <w:bookmarkStart w:id="113" w:name="_Toc510104479"/>
      <w:r w:rsidRPr="00783571">
        <w:t xml:space="preserve">Economic </w:t>
      </w:r>
      <w:r w:rsidR="00C0054E" w:rsidRPr="00783571">
        <w:t>Outcomes</w:t>
      </w:r>
      <w:bookmarkEnd w:id="113"/>
    </w:p>
    <w:p w14:paraId="421CB7A9" w14:textId="4035A895" w:rsidR="0051126D" w:rsidRPr="00783571" w:rsidRDefault="0051126D" w:rsidP="00626270">
      <w:pPr>
        <w:pStyle w:val="BodyText"/>
      </w:pPr>
      <w:r w:rsidRPr="00783571">
        <w:t>In this section, we define the relevant inputs and methods applied in the calculation of the model’s economic outcomes, including the costs of testing, notification, and HIV treatment and care.</w:t>
      </w:r>
      <w:r w:rsidR="00B81425" w:rsidRPr="00783571">
        <w:t xml:space="preserve"> All economic outcomes were computed using </w:t>
      </w:r>
      <w:r w:rsidR="001D44B7" w:rsidRPr="00783571">
        <w:t>201</w:t>
      </w:r>
      <w:r w:rsidR="004B723F" w:rsidRPr="00783571">
        <w:t>5</w:t>
      </w:r>
      <w:r w:rsidR="001D44B7" w:rsidRPr="00783571">
        <w:t xml:space="preserve"> as </w:t>
      </w:r>
      <w:r w:rsidR="00B81425" w:rsidRPr="00783571">
        <w:t>a common cost year</w:t>
      </w:r>
      <w:r w:rsidR="00626270" w:rsidRPr="00783571">
        <w:t xml:space="preserve"> </w:t>
      </w:r>
      <w:r w:rsidR="007D4FD4" w:rsidRPr="00783571">
        <w:t xml:space="preserve">(Bureau of Labor Statistics, </w:t>
      </w:r>
      <w:r w:rsidR="001D44B7" w:rsidRPr="00783571">
        <w:t>201</w:t>
      </w:r>
      <w:r w:rsidR="004B723F" w:rsidRPr="00783571">
        <w:t>5</w:t>
      </w:r>
      <w:r w:rsidR="001D44B7" w:rsidRPr="00783571">
        <w:t>)</w:t>
      </w:r>
      <w:r w:rsidR="00B81425" w:rsidRPr="00783571">
        <w:t>.</w:t>
      </w:r>
    </w:p>
    <w:p w14:paraId="62BEB040" w14:textId="77777777" w:rsidR="005A1936" w:rsidRPr="00783571" w:rsidRDefault="005A1936" w:rsidP="00051B41">
      <w:pPr>
        <w:pStyle w:val="Heading3"/>
      </w:pPr>
      <w:bookmarkStart w:id="114" w:name="_Toc510104480"/>
      <w:r w:rsidRPr="00783571">
        <w:t xml:space="preserve">Testing </w:t>
      </w:r>
      <w:r w:rsidR="00C0054E" w:rsidRPr="00783571">
        <w:t>Cost Inputs</w:t>
      </w:r>
      <w:bookmarkEnd w:id="114"/>
    </w:p>
    <w:p w14:paraId="487C69A1" w14:textId="089E257A" w:rsidR="00F44C5F" w:rsidRPr="00783571" w:rsidRDefault="005F2E5E" w:rsidP="00903B31">
      <w:pPr>
        <w:pStyle w:val="BodyText"/>
      </w:pPr>
      <w:r w:rsidRPr="00783571">
        <w:t>Costs are applied for testing and notification. Testing is assumed to be in a clinical setting. During scenarios in which an outreach intervention is applied, an additional outreach cost per test is also applied.</w:t>
      </w:r>
      <w:r w:rsidR="00051B41" w:rsidRPr="00783571">
        <w:t xml:space="preserve"> </w:t>
      </w:r>
      <w:r w:rsidR="00814158" w:rsidRPr="00783571">
        <w:t>Table </w:t>
      </w:r>
      <w:r w:rsidR="00903B31" w:rsidRPr="00783571">
        <w:t>10</w:t>
      </w:r>
      <w:r w:rsidR="00871E69" w:rsidRPr="00783571">
        <w:t>.</w:t>
      </w:r>
      <w:r w:rsidR="00A921C5" w:rsidRPr="00783571">
        <w:t>3</w:t>
      </w:r>
      <w:r w:rsidR="00064571" w:rsidRPr="00783571">
        <w:t xml:space="preserve"> report</w:t>
      </w:r>
      <w:r w:rsidR="00051B41" w:rsidRPr="00783571">
        <w:t>s</w:t>
      </w:r>
      <w:r w:rsidR="00064571" w:rsidRPr="00783571">
        <w:t xml:space="preserve"> the inputs applied in the mode</w:t>
      </w:r>
      <w:r w:rsidR="00F92A09" w:rsidRPr="00783571">
        <w:t xml:space="preserve">l used for calculating the costs related to </w:t>
      </w:r>
      <w:r w:rsidR="00064571" w:rsidRPr="00783571">
        <w:t>testing</w:t>
      </w:r>
      <w:r w:rsidR="00A1123E" w:rsidRPr="00783571">
        <w:t>.</w:t>
      </w:r>
    </w:p>
    <w:p w14:paraId="7E65D029" w14:textId="0691FA2D" w:rsidR="00C0054E" w:rsidRPr="00783571" w:rsidRDefault="004F4E6D" w:rsidP="00903B31">
      <w:pPr>
        <w:pStyle w:val="TableTitle"/>
      </w:pPr>
      <w:bookmarkStart w:id="115" w:name="_Toc510104045"/>
      <w:r w:rsidRPr="00783571">
        <w:t xml:space="preserve">Table </w:t>
      </w:r>
      <w:r w:rsidR="00903B31" w:rsidRPr="00783571">
        <w:t>10</w:t>
      </w:r>
      <w:r w:rsidRPr="00783571">
        <w:t>.</w:t>
      </w:r>
      <w:r w:rsidR="00C0054E" w:rsidRPr="00783571">
        <w:t>3.</w:t>
      </w:r>
      <w:r w:rsidR="00C0054E" w:rsidRPr="00783571">
        <w:tab/>
        <w:t>Testing Cost Inputs</w:t>
      </w:r>
      <w:bookmarkEnd w:id="115"/>
    </w:p>
    <w:tbl>
      <w:tblPr>
        <w:tblW w:w="9360" w:type="dxa"/>
        <w:tblBorders>
          <w:top w:val="single" w:sz="12" w:space="0" w:color="auto"/>
          <w:bottom w:val="single" w:sz="12" w:space="0" w:color="auto"/>
        </w:tblBorders>
        <w:tblLayout w:type="fixed"/>
        <w:tblLook w:val="04A0" w:firstRow="1" w:lastRow="0" w:firstColumn="1" w:lastColumn="0" w:noHBand="0" w:noVBand="1"/>
      </w:tblPr>
      <w:tblGrid>
        <w:gridCol w:w="3438"/>
        <w:gridCol w:w="2520"/>
        <w:gridCol w:w="3402"/>
      </w:tblGrid>
      <w:tr w:rsidR="00C0054E" w:rsidRPr="00783571" w14:paraId="43DBA86B" w14:textId="77777777" w:rsidTr="00260D8A">
        <w:trPr>
          <w:tblHeader/>
        </w:trPr>
        <w:tc>
          <w:tcPr>
            <w:tcW w:w="3438" w:type="dxa"/>
            <w:tcBorders>
              <w:top w:val="single" w:sz="12" w:space="0" w:color="auto"/>
              <w:bottom w:val="single" w:sz="6" w:space="0" w:color="auto"/>
            </w:tcBorders>
            <w:vAlign w:val="bottom"/>
          </w:tcPr>
          <w:p w14:paraId="22EFBB8B" w14:textId="77777777" w:rsidR="00C0054E" w:rsidRPr="00783571" w:rsidRDefault="00C0054E" w:rsidP="00FB4FDA">
            <w:pPr>
              <w:pStyle w:val="TableHeaders"/>
              <w:keepNext/>
            </w:pPr>
            <w:r w:rsidRPr="00783571">
              <w:t>Input</w:t>
            </w:r>
          </w:p>
        </w:tc>
        <w:tc>
          <w:tcPr>
            <w:tcW w:w="2520" w:type="dxa"/>
            <w:tcBorders>
              <w:top w:val="single" w:sz="12" w:space="0" w:color="auto"/>
              <w:bottom w:val="single" w:sz="6" w:space="0" w:color="auto"/>
            </w:tcBorders>
            <w:noWrap/>
            <w:vAlign w:val="bottom"/>
          </w:tcPr>
          <w:p w14:paraId="61FA86B4" w14:textId="1C3255B9" w:rsidR="00C0054E" w:rsidRPr="00783571" w:rsidRDefault="00C0054E" w:rsidP="00FB4FDA">
            <w:pPr>
              <w:pStyle w:val="TableHeaders"/>
              <w:keepNext/>
            </w:pPr>
            <w:r w:rsidRPr="00783571">
              <w:t>Value</w:t>
            </w:r>
            <w:r w:rsidR="00BE20CA" w:rsidRPr="00783571">
              <w:rPr>
                <w:vertAlign w:val="superscript"/>
              </w:rPr>
              <w:t>a</w:t>
            </w:r>
          </w:p>
        </w:tc>
        <w:tc>
          <w:tcPr>
            <w:tcW w:w="3402" w:type="dxa"/>
            <w:tcBorders>
              <w:top w:val="single" w:sz="12" w:space="0" w:color="auto"/>
              <w:bottom w:val="single" w:sz="6" w:space="0" w:color="auto"/>
            </w:tcBorders>
            <w:vAlign w:val="bottom"/>
          </w:tcPr>
          <w:p w14:paraId="630EA4F8" w14:textId="77777777" w:rsidR="00C0054E" w:rsidRPr="00783571" w:rsidRDefault="00C0054E" w:rsidP="00FB4FDA">
            <w:pPr>
              <w:pStyle w:val="TableHeaders"/>
              <w:keepNext/>
            </w:pPr>
            <w:r w:rsidRPr="00783571">
              <w:t>Source</w:t>
            </w:r>
          </w:p>
        </w:tc>
      </w:tr>
      <w:tr w:rsidR="00C0054E" w:rsidRPr="00783571" w14:paraId="705596FF" w14:textId="77777777" w:rsidTr="00260D8A">
        <w:tc>
          <w:tcPr>
            <w:tcW w:w="3438" w:type="dxa"/>
            <w:tcBorders>
              <w:top w:val="single" w:sz="6" w:space="0" w:color="auto"/>
              <w:bottom w:val="single" w:sz="6" w:space="0" w:color="808080" w:themeColor="background1" w:themeShade="80"/>
            </w:tcBorders>
          </w:tcPr>
          <w:p w14:paraId="5CD8E10B" w14:textId="77777777" w:rsidR="00C0054E" w:rsidRPr="00783571" w:rsidRDefault="00C0054E" w:rsidP="00FB4FDA">
            <w:pPr>
              <w:pStyle w:val="TableText"/>
              <w:keepNext/>
            </w:pPr>
            <w:r w:rsidRPr="00783571">
              <w:t>Testing cost, including screen and confirmatory test</w:t>
            </w:r>
          </w:p>
        </w:tc>
        <w:tc>
          <w:tcPr>
            <w:tcW w:w="2520" w:type="dxa"/>
            <w:tcBorders>
              <w:top w:val="single" w:sz="6" w:space="0" w:color="auto"/>
              <w:bottom w:val="single" w:sz="6" w:space="0" w:color="808080" w:themeColor="background1" w:themeShade="80"/>
            </w:tcBorders>
            <w:noWrap/>
          </w:tcPr>
          <w:p w14:paraId="073E4A7A" w14:textId="77777777" w:rsidR="00C0054E" w:rsidRPr="00783571" w:rsidRDefault="00C0054E" w:rsidP="00FB4FDA">
            <w:pPr>
              <w:pStyle w:val="TableText"/>
              <w:keepNext/>
              <w:rPr>
                <w:szCs w:val="18"/>
              </w:rPr>
            </w:pPr>
          </w:p>
        </w:tc>
        <w:tc>
          <w:tcPr>
            <w:tcW w:w="3402" w:type="dxa"/>
            <w:tcBorders>
              <w:top w:val="single" w:sz="6" w:space="0" w:color="auto"/>
              <w:bottom w:val="single" w:sz="6" w:space="0" w:color="808080" w:themeColor="background1" w:themeShade="80"/>
            </w:tcBorders>
          </w:tcPr>
          <w:p w14:paraId="7BBBD7E0" w14:textId="77777777" w:rsidR="00C0054E" w:rsidRPr="00783571" w:rsidRDefault="00C0054E" w:rsidP="00FB4FDA">
            <w:pPr>
              <w:pStyle w:val="TableText"/>
              <w:keepNext/>
              <w:rPr>
                <w:szCs w:val="18"/>
              </w:rPr>
            </w:pPr>
          </w:p>
        </w:tc>
      </w:tr>
      <w:tr w:rsidR="00C0054E" w:rsidRPr="00783571" w14:paraId="07D62F5A" w14:textId="77777777" w:rsidTr="00260D8A">
        <w:tc>
          <w:tcPr>
            <w:tcW w:w="3438" w:type="dxa"/>
            <w:tcBorders>
              <w:top w:val="single" w:sz="6" w:space="0" w:color="808080" w:themeColor="background1" w:themeShade="80"/>
              <w:bottom w:val="single" w:sz="6" w:space="0" w:color="808080" w:themeColor="background1" w:themeShade="80"/>
            </w:tcBorders>
          </w:tcPr>
          <w:p w14:paraId="1E8EA0C3" w14:textId="0AFF70AD" w:rsidR="00C0054E" w:rsidRPr="00783571" w:rsidRDefault="005F5C70" w:rsidP="00FB4FDA">
            <w:pPr>
              <w:pStyle w:val="TableTextIndent1"/>
              <w:keepNext/>
              <w:rPr>
                <w:szCs w:val="18"/>
              </w:rPr>
            </w:pPr>
            <w:r w:rsidRPr="00783571">
              <w:rPr>
                <w:szCs w:val="18"/>
              </w:rPr>
              <w:t>HIV-uninfected</w:t>
            </w:r>
            <w:r w:rsidR="00C0054E" w:rsidRPr="00783571">
              <w:rPr>
                <w:szCs w:val="18"/>
              </w:rPr>
              <w:t xml:space="preserve"> individual, rapid screen</w:t>
            </w:r>
          </w:p>
        </w:tc>
        <w:tc>
          <w:tcPr>
            <w:tcW w:w="2520" w:type="dxa"/>
            <w:tcBorders>
              <w:top w:val="single" w:sz="6" w:space="0" w:color="808080" w:themeColor="background1" w:themeShade="80"/>
              <w:bottom w:val="single" w:sz="6" w:space="0" w:color="808080" w:themeColor="background1" w:themeShade="80"/>
            </w:tcBorders>
            <w:noWrap/>
          </w:tcPr>
          <w:p w14:paraId="60BA1083" w14:textId="77777777" w:rsidR="00C0054E" w:rsidRPr="00783571" w:rsidRDefault="00C0054E" w:rsidP="00FB4FDA">
            <w:pPr>
              <w:pStyle w:val="TableText"/>
              <w:keepNext/>
              <w:rPr>
                <w:szCs w:val="18"/>
              </w:rPr>
            </w:pPr>
            <w:r w:rsidRPr="00783571">
              <w:rPr>
                <w:szCs w:val="18"/>
              </w:rPr>
              <w:t>$22.13 (2012$)</w:t>
            </w:r>
          </w:p>
        </w:tc>
        <w:tc>
          <w:tcPr>
            <w:tcW w:w="3402" w:type="dxa"/>
            <w:tcBorders>
              <w:top w:val="single" w:sz="6" w:space="0" w:color="808080" w:themeColor="background1" w:themeShade="80"/>
              <w:bottom w:val="single" w:sz="6" w:space="0" w:color="808080" w:themeColor="background1" w:themeShade="80"/>
            </w:tcBorders>
          </w:tcPr>
          <w:p w14:paraId="5D1849DB" w14:textId="78BFAF4A" w:rsidR="00C0054E" w:rsidRPr="00783571" w:rsidRDefault="00C0054E" w:rsidP="00FB4FDA">
            <w:pPr>
              <w:pStyle w:val="TableText"/>
              <w:keepNext/>
              <w:rPr>
                <w:szCs w:val="18"/>
              </w:rPr>
            </w:pPr>
            <w:r w:rsidRPr="00783571">
              <w:rPr>
                <w:szCs w:val="18"/>
              </w:rPr>
              <w:t>Based on cost components from Hutchinson et al. (2011), Pinkerton et al. (2010), and Farnham et al. (2008)</w:t>
            </w:r>
            <w:r w:rsidR="000E01BA" w:rsidRPr="00783571">
              <w:rPr>
                <w:szCs w:val="18"/>
              </w:rPr>
              <w:t>.</w:t>
            </w:r>
          </w:p>
        </w:tc>
      </w:tr>
      <w:tr w:rsidR="00C0054E" w:rsidRPr="00783571" w14:paraId="269F14CF" w14:textId="77777777" w:rsidTr="00260D8A">
        <w:tc>
          <w:tcPr>
            <w:tcW w:w="3438" w:type="dxa"/>
            <w:tcBorders>
              <w:top w:val="single" w:sz="6" w:space="0" w:color="808080" w:themeColor="background1" w:themeShade="80"/>
              <w:bottom w:val="single" w:sz="6" w:space="0" w:color="808080" w:themeColor="background1" w:themeShade="80"/>
            </w:tcBorders>
          </w:tcPr>
          <w:p w14:paraId="3EE34C8A" w14:textId="04925AED" w:rsidR="00C0054E" w:rsidRPr="00783571" w:rsidRDefault="005F5C70" w:rsidP="00FB4FDA">
            <w:pPr>
              <w:pStyle w:val="TableTextIndent1"/>
              <w:keepNext/>
              <w:rPr>
                <w:szCs w:val="18"/>
              </w:rPr>
            </w:pPr>
            <w:r w:rsidRPr="00783571">
              <w:rPr>
                <w:szCs w:val="18"/>
              </w:rPr>
              <w:t>HIV-uninfected</w:t>
            </w:r>
            <w:r w:rsidR="00C0054E" w:rsidRPr="00783571">
              <w:rPr>
                <w:szCs w:val="18"/>
              </w:rPr>
              <w:t xml:space="preserve"> individual, conventional screen</w:t>
            </w:r>
          </w:p>
        </w:tc>
        <w:tc>
          <w:tcPr>
            <w:tcW w:w="2520" w:type="dxa"/>
            <w:tcBorders>
              <w:top w:val="single" w:sz="6" w:space="0" w:color="808080" w:themeColor="background1" w:themeShade="80"/>
              <w:bottom w:val="single" w:sz="6" w:space="0" w:color="808080" w:themeColor="background1" w:themeShade="80"/>
            </w:tcBorders>
            <w:noWrap/>
          </w:tcPr>
          <w:p w14:paraId="30FC107E" w14:textId="77777777" w:rsidR="00C0054E" w:rsidRPr="00783571" w:rsidRDefault="00C0054E" w:rsidP="00FB4FDA">
            <w:pPr>
              <w:pStyle w:val="TableText"/>
              <w:keepNext/>
              <w:rPr>
                <w:szCs w:val="18"/>
              </w:rPr>
            </w:pPr>
            <w:r w:rsidRPr="00783571">
              <w:rPr>
                <w:szCs w:val="18"/>
              </w:rPr>
              <w:t>4G: $10.36 (2012$)</w:t>
            </w:r>
          </w:p>
        </w:tc>
        <w:tc>
          <w:tcPr>
            <w:tcW w:w="3402" w:type="dxa"/>
            <w:tcBorders>
              <w:top w:val="single" w:sz="6" w:space="0" w:color="808080" w:themeColor="background1" w:themeShade="80"/>
              <w:bottom w:val="single" w:sz="6" w:space="0" w:color="808080" w:themeColor="background1" w:themeShade="80"/>
            </w:tcBorders>
          </w:tcPr>
          <w:p w14:paraId="51117AC1" w14:textId="1E1B1C92" w:rsidR="00C0054E" w:rsidRPr="00783571" w:rsidRDefault="00C0054E" w:rsidP="00712562">
            <w:pPr>
              <w:pStyle w:val="TableText"/>
              <w:keepNext/>
              <w:rPr>
                <w:szCs w:val="18"/>
              </w:rPr>
            </w:pPr>
            <w:r w:rsidRPr="00783571">
              <w:rPr>
                <w:szCs w:val="18"/>
              </w:rPr>
              <w:t>Based on cost components from Farnham et al. (2008)</w:t>
            </w:r>
            <w:r w:rsidR="00712562" w:rsidRPr="00783571">
              <w:rPr>
                <w:szCs w:val="18"/>
              </w:rPr>
              <w:t xml:space="preserve"> and</w:t>
            </w:r>
            <w:r w:rsidRPr="00783571">
              <w:rPr>
                <w:szCs w:val="18"/>
              </w:rPr>
              <w:t xml:space="preserve"> Hutchinson et al. (2011</w:t>
            </w:r>
            <w:r w:rsidR="00712562" w:rsidRPr="00783571">
              <w:rPr>
                <w:szCs w:val="18"/>
              </w:rPr>
              <w:t>, 2013</w:t>
            </w:r>
            <w:r w:rsidRPr="00783571">
              <w:rPr>
                <w:szCs w:val="18"/>
              </w:rPr>
              <w:t xml:space="preserve">), and adjusted to 2012$. </w:t>
            </w:r>
          </w:p>
        </w:tc>
      </w:tr>
      <w:tr w:rsidR="00C0054E" w:rsidRPr="00783571" w14:paraId="6CF6B367" w14:textId="77777777" w:rsidTr="00260D8A">
        <w:tc>
          <w:tcPr>
            <w:tcW w:w="3438" w:type="dxa"/>
            <w:tcBorders>
              <w:top w:val="single" w:sz="6" w:space="0" w:color="808080" w:themeColor="background1" w:themeShade="80"/>
              <w:bottom w:val="single" w:sz="6" w:space="0" w:color="808080" w:themeColor="background1" w:themeShade="80"/>
            </w:tcBorders>
          </w:tcPr>
          <w:p w14:paraId="3FEE02BF" w14:textId="7DB6F887" w:rsidR="00C0054E" w:rsidRPr="00783571" w:rsidRDefault="005F5C70" w:rsidP="00FB4FDA">
            <w:pPr>
              <w:pStyle w:val="TableTextIndent1"/>
              <w:rPr>
                <w:szCs w:val="18"/>
              </w:rPr>
            </w:pPr>
            <w:r w:rsidRPr="00783571">
              <w:rPr>
                <w:szCs w:val="18"/>
              </w:rPr>
              <w:t>HIV-infected</w:t>
            </w:r>
            <w:r w:rsidR="00C0054E" w:rsidRPr="00783571">
              <w:rPr>
                <w:szCs w:val="18"/>
              </w:rPr>
              <w:t xml:space="preserve"> individual, rapid screen</w:t>
            </w:r>
          </w:p>
        </w:tc>
        <w:tc>
          <w:tcPr>
            <w:tcW w:w="2520" w:type="dxa"/>
            <w:tcBorders>
              <w:top w:val="single" w:sz="6" w:space="0" w:color="808080" w:themeColor="background1" w:themeShade="80"/>
              <w:bottom w:val="single" w:sz="6" w:space="0" w:color="808080" w:themeColor="background1" w:themeShade="80"/>
            </w:tcBorders>
            <w:noWrap/>
          </w:tcPr>
          <w:p w14:paraId="28EC200C" w14:textId="77777777" w:rsidR="00C0054E" w:rsidRPr="00783571" w:rsidRDefault="00C0054E" w:rsidP="00FB4FDA">
            <w:pPr>
              <w:pStyle w:val="TableText"/>
              <w:rPr>
                <w:szCs w:val="18"/>
              </w:rPr>
            </w:pPr>
            <w:r w:rsidRPr="00783571">
              <w:rPr>
                <w:szCs w:val="18"/>
              </w:rPr>
              <w:t>$86.70 (2012$)</w:t>
            </w:r>
          </w:p>
        </w:tc>
        <w:tc>
          <w:tcPr>
            <w:tcW w:w="3402" w:type="dxa"/>
            <w:tcBorders>
              <w:top w:val="single" w:sz="6" w:space="0" w:color="808080" w:themeColor="background1" w:themeShade="80"/>
              <w:bottom w:val="single" w:sz="6" w:space="0" w:color="808080" w:themeColor="background1" w:themeShade="80"/>
            </w:tcBorders>
          </w:tcPr>
          <w:p w14:paraId="05962ADA" w14:textId="1123C7DC" w:rsidR="00C0054E" w:rsidRPr="00783571" w:rsidRDefault="00C0054E" w:rsidP="00712562">
            <w:pPr>
              <w:pStyle w:val="TableText"/>
              <w:rPr>
                <w:szCs w:val="18"/>
              </w:rPr>
            </w:pPr>
            <w:r w:rsidRPr="00783571">
              <w:rPr>
                <w:szCs w:val="18"/>
              </w:rPr>
              <w:t>Based on cost components from Hutchinson et al. (2011</w:t>
            </w:r>
            <w:r w:rsidR="00712562" w:rsidRPr="00783571">
              <w:rPr>
                <w:szCs w:val="18"/>
              </w:rPr>
              <w:t>, 2013</w:t>
            </w:r>
            <w:r w:rsidRPr="00783571">
              <w:rPr>
                <w:szCs w:val="18"/>
              </w:rPr>
              <w:t>), Pinkerton et al. (2010), and Farnham et al. (2008) and adjusted to 2012$. Assumes a repeat screen and a Western blot confirmatory test</w:t>
            </w:r>
            <w:r w:rsidR="008F1692" w:rsidRPr="00783571">
              <w:rPr>
                <w:szCs w:val="18"/>
              </w:rPr>
              <w:t>.</w:t>
            </w:r>
          </w:p>
        </w:tc>
      </w:tr>
      <w:tr w:rsidR="00C0054E" w:rsidRPr="00783571" w14:paraId="54E5015E" w14:textId="77777777" w:rsidTr="00260D8A">
        <w:tc>
          <w:tcPr>
            <w:tcW w:w="3438" w:type="dxa"/>
            <w:tcBorders>
              <w:top w:val="single" w:sz="6" w:space="0" w:color="808080" w:themeColor="background1" w:themeShade="80"/>
              <w:bottom w:val="single" w:sz="6" w:space="0" w:color="808080" w:themeColor="background1" w:themeShade="80"/>
            </w:tcBorders>
          </w:tcPr>
          <w:p w14:paraId="4F4D57D3" w14:textId="6F695041" w:rsidR="00C0054E" w:rsidRPr="00783571" w:rsidRDefault="005F5C70" w:rsidP="00FB4FDA">
            <w:pPr>
              <w:pStyle w:val="TableTextIndent1"/>
              <w:rPr>
                <w:szCs w:val="18"/>
              </w:rPr>
            </w:pPr>
            <w:r w:rsidRPr="00783571">
              <w:rPr>
                <w:szCs w:val="18"/>
              </w:rPr>
              <w:t>HIV-infected</w:t>
            </w:r>
            <w:r w:rsidR="00C0054E" w:rsidRPr="00783571">
              <w:rPr>
                <w:szCs w:val="18"/>
              </w:rPr>
              <w:t xml:space="preserve"> individual, conventional screen</w:t>
            </w:r>
          </w:p>
        </w:tc>
        <w:tc>
          <w:tcPr>
            <w:tcW w:w="2520" w:type="dxa"/>
            <w:tcBorders>
              <w:top w:val="single" w:sz="6" w:space="0" w:color="808080" w:themeColor="background1" w:themeShade="80"/>
              <w:bottom w:val="single" w:sz="6" w:space="0" w:color="808080" w:themeColor="background1" w:themeShade="80"/>
            </w:tcBorders>
            <w:noWrap/>
          </w:tcPr>
          <w:p w14:paraId="652F1896" w14:textId="77777777" w:rsidR="00C0054E" w:rsidRPr="00783571" w:rsidRDefault="00C0054E" w:rsidP="00FB4FDA">
            <w:pPr>
              <w:pStyle w:val="TableText"/>
              <w:rPr>
                <w:szCs w:val="18"/>
              </w:rPr>
            </w:pPr>
            <w:r w:rsidRPr="00783571">
              <w:rPr>
                <w:szCs w:val="18"/>
              </w:rPr>
              <w:t>4G: $66.81 (2012$)</w:t>
            </w:r>
          </w:p>
        </w:tc>
        <w:tc>
          <w:tcPr>
            <w:tcW w:w="3402" w:type="dxa"/>
            <w:tcBorders>
              <w:top w:val="single" w:sz="6" w:space="0" w:color="808080" w:themeColor="background1" w:themeShade="80"/>
              <w:bottom w:val="single" w:sz="6" w:space="0" w:color="808080" w:themeColor="background1" w:themeShade="80"/>
            </w:tcBorders>
          </w:tcPr>
          <w:p w14:paraId="5ACF11A6" w14:textId="1D78B1CD" w:rsidR="00C0054E" w:rsidRPr="00783571" w:rsidRDefault="00C0054E" w:rsidP="00712562">
            <w:pPr>
              <w:pStyle w:val="TableText"/>
              <w:rPr>
                <w:szCs w:val="18"/>
              </w:rPr>
            </w:pPr>
            <w:r w:rsidRPr="00783571">
              <w:rPr>
                <w:szCs w:val="18"/>
              </w:rPr>
              <w:t>Based on cost components from Farnham et al. (2008) and Hutchinson et al. (2011</w:t>
            </w:r>
            <w:r w:rsidR="00712562" w:rsidRPr="00783571">
              <w:rPr>
                <w:szCs w:val="18"/>
              </w:rPr>
              <w:t>, 2013</w:t>
            </w:r>
            <w:r w:rsidRPr="00783571">
              <w:rPr>
                <w:szCs w:val="18"/>
              </w:rPr>
              <w:t>) and adjusted to 2012$. Assumed Western blot confirmatory test</w:t>
            </w:r>
            <w:r w:rsidR="008F1692" w:rsidRPr="00783571">
              <w:rPr>
                <w:szCs w:val="18"/>
              </w:rPr>
              <w:t>.</w:t>
            </w:r>
          </w:p>
        </w:tc>
      </w:tr>
      <w:tr w:rsidR="00C0054E" w:rsidRPr="00783571" w14:paraId="073E3A01" w14:textId="77777777" w:rsidTr="00260D8A">
        <w:tc>
          <w:tcPr>
            <w:tcW w:w="3438" w:type="dxa"/>
            <w:tcBorders>
              <w:top w:val="single" w:sz="6" w:space="0" w:color="808080" w:themeColor="background1" w:themeShade="80"/>
              <w:bottom w:val="single" w:sz="6" w:space="0" w:color="808080" w:themeColor="background1" w:themeShade="80"/>
            </w:tcBorders>
          </w:tcPr>
          <w:p w14:paraId="70725AD9" w14:textId="77777777" w:rsidR="00C0054E" w:rsidRPr="00783571" w:rsidRDefault="00C0054E" w:rsidP="00FB4FDA">
            <w:pPr>
              <w:pStyle w:val="TableTextIndent1"/>
              <w:rPr>
                <w:szCs w:val="18"/>
              </w:rPr>
            </w:pPr>
            <w:r w:rsidRPr="00783571">
              <w:rPr>
                <w:szCs w:val="18"/>
              </w:rPr>
              <w:t>NAT, applied for discrepant Western blot confirmatory test</w:t>
            </w:r>
          </w:p>
        </w:tc>
        <w:tc>
          <w:tcPr>
            <w:tcW w:w="2520" w:type="dxa"/>
            <w:tcBorders>
              <w:top w:val="single" w:sz="6" w:space="0" w:color="808080" w:themeColor="background1" w:themeShade="80"/>
              <w:bottom w:val="single" w:sz="6" w:space="0" w:color="808080" w:themeColor="background1" w:themeShade="80"/>
            </w:tcBorders>
            <w:noWrap/>
          </w:tcPr>
          <w:p w14:paraId="6E141FA7" w14:textId="77777777" w:rsidR="00C0054E" w:rsidRPr="00783571" w:rsidRDefault="00C0054E" w:rsidP="00FB4FDA">
            <w:pPr>
              <w:pStyle w:val="TableText"/>
              <w:rPr>
                <w:szCs w:val="18"/>
              </w:rPr>
            </w:pPr>
            <w:r w:rsidRPr="00783571">
              <w:rPr>
                <w:szCs w:val="18"/>
              </w:rPr>
              <w:t>$160.07 (2012$)</w:t>
            </w:r>
          </w:p>
        </w:tc>
        <w:tc>
          <w:tcPr>
            <w:tcW w:w="3402" w:type="dxa"/>
            <w:tcBorders>
              <w:top w:val="single" w:sz="6" w:space="0" w:color="808080" w:themeColor="background1" w:themeShade="80"/>
              <w:bottom w:val="single" w:sz="6" w:space="0" w:color="808080" w:themeColor="background1" w:themeShade="80"/>
            </w:tcBorders>
          </w:tcPr>
          <w:p w14:paraId="150F4E5E" w14:textId="77777777" w:rsidR="00C0054E" w:rsidRPr="00783571" w:rsidRDefault="00C0054E" w:rsidP="00FB4FDA">
            <w:pPr>
              <w:pStyle w:val="TableText"/>
              <w:rPr>
                <w:szCs w:val="18"/>
              </w:rPr>
            </w:pPr>
            <w:r w:rsidRPr="00783571">
              <w:rPr>
                <w:szCs w:val="18"/>
              </w:rPr>
              <w:t>Hutchinson et al. (2013)</w:t>
            </w:r>
          </w:p>
        </w:tc>
      </w:tr>
      <w:tr w:rsidR="00C0054E" w:rsidRPr="00783571" w14:paraId="69F08214" w14:textId="77777777" w:rsidTr="00260D8A">
        <w:tc>
          <w:tcPr>
            <w:tcW w:w="3438" w:type="dxa"/>
            <w:tcBorders>
              <w:top w:val="single" w:sz="6" w:space="0" w:color="808080" w:themeColor="background1" w:themeShade="80"/>
              <w:bottom w:val="single" w:sz="6" w:space="0" w:color="808080" w:themeColor="background1" w:themeShade="80"/>
            </w:tcBorders>
          </w:tcPr>
          <w:p w14:paraId="7943E145" w14:textId="77777777" w:rsidR="00C0054E" w:rsidRPr="00783571" w:rsidRDefault="00C0054E" w:rsidP="00FB4FDA">
            <w:pPr>
              <w:pStyle w:val="TableText"/>
            </w:pPr>
            <w:r w:rsidRPr="00783571">
              <w:t>Notification costs</w:t>
            </w:r>
          </w:p>
        </w:tc>
        <w:tc>
          <w:tcPr>
            <w:tcW w:w="2520" w:type="dxa"/>
            <w:tcBorders>
              <w:top w:val="single" w:sz="6" w:space="0" w:color="808080" w:themeColor="background1" w:themeShade="80"/>
              <w:bottom w:val="single" w:sz="6" w:space="0" w:color="808080" w:themeColor="background1" w:themeShade="80"/>
            </w:tcBorders>
            <w:noWrap/>
          </w:tcPr>
          <w:p w14:paraId="3C261B03" w14:textId="77777777" w:rsidR="00C0054E" w:rsidRPr="00783571" w:rsidRDefault="00C0054E" w:rsidP="00FB4FDA">
            <w:pPr>
              <w:pStyle w:val="TableText"/>
              <w:rPr>
                <w:szCs w:val="18"/>
              </w:rPr>
            </w:pPr>
          </w:p>
        </w:tc>
        <w:tc>
          <w:tcPr>
            <w:tcW w:w="3402" w:type="dxa"/>
            <w:tcBorders>
              <w:top w:val="single" w:sz="6" w:space="0" w:color="808080" w:themeColor="background1" w:themeShade="80"/>
              <w:bottom w:val="single" w:sz="6" w:space="0" w:color="808080" w:themeColor="background1" w:themeShade="80"/>
            </w:tcBorders>
          </w:tcPr>
          <w:p w14:paraId="1CE7212D" w14:textId="77777777" w:rsidR="00C0054E" w:rsidRPr="00783571" w:rsidRDefault="00C0054E" w:rsidP="00FB4FDA">
            <w:pPr>
              <w:pStyle w:val="TableText"/>
              <w:rPr>
                <w:szCs w:val="18"/>
              </w:rPr>
            </w:pPr>
          </w:p>
        </w:tc>
      </w:tr>
      <w:tr w:rsidR="00C0054E" w:rsidRPr="00783571" w14:paraId="0D8DE3CB" w14:textId="77777777" w:rsidTr="00260D8A">
        <w:tc>
          <w:tcPr>
            <w:tcW w:w="3438" w:type="dxa"/>
            <w:tcBorders>
              <w:top w:val="single" w:sz="6" w:space="0" w:color="808080" w:themeColor="background1" w:themeShade="80"/>
              <w:bottom w:val="single" w:sz="6" w:space="0" w:color="808080" w:themeColor="background1" w:themeShade="80"/>
            </w:tcBorders>
          </w:tcPr>
          <w:p w14:paraId="4ABB2516" w14:textId="3638CAD2" w:rsidR="00C0054E" w:rsidRPr="00783571" w:rsidRDefault="005F5C70" w:rsidP="00FB4FDA">
            <w:pPr>
              <w:pStyle w:val="TableTextIndent1"/>
              <w:rPr>
                <w:szCs w:val="18"/>
              </w:rPr>
            </w:pPr>
            <w:r w:rsidRPr="00783571">
              <w:rPr>
                <w:szCs w:val="18"/>
              </w:rPr>
              <w:t>HIV-uninfected</w:t>
            </w:r>
          </w:p>
        </w:tc>
        <w:tc>
          <w:tcPr>
            <w:tcW w:w="2520" w:type="dxa"/>
            <w:tcBorders>
              <w:top w:val="single" w:sz="6" w:space="0" w:color="808080" w:themeColor="background1" w:themeShade="80"/>
              <w:bottom w:val="single" w:sz="6" w:space="0" w:color="808080" w:themeColor="background1" w:themeShade="80"/>
            </w:tcBorders>
            <w:noWrap/>
          </w:tcPr>
          <w:p w14:paraId="088AA572" w14:textId="77777777" w:rsidR="00C0054E" w:rsidRPr="00783571" w:rsidRDefault="00C0054E" w:rsidP="007A0D82">
            <w:pPr>
              <w:pStyle w:val="TableText"/>
              <w:rPr>
                <w:szCs w:val="18"/>
              </w:rPr>
            </w:pPr>
            <w:r w:rsidRPr="00783571">
              <w:rPr>
                <w:szCs w:val="18"/>
              </w:rPr>
              <w:t>$0.</w:t>
            </w:r>
            <w:r w:rsidR="007A0D82" w:rsidRPr="00783571">
              <w:rPr>
                <w:szCs w:val="18"/>
              </w:rPr>
              <w:t xml:space="preserve">45 </w:t>
            </w:r>
            <w:r w:rsidRPr="00783571">
              <w:rPr>
                <w:szCs w:val="18"/>
              </w:rPr>
              <w:t>(2009$)</w:t>
            </w:r>
          </w:p>
        </w:tc>
        <w:tc>
          <w:tcPr>
            <w:tcW w:w="3402" w:type="dxa"/>
            <w:tcBorders>
              <w:top w:val="single" w:sz="6" w:space="0" w:color="808080" w:themeColor="background1" w:themeShade="80"/>
              <w:bottom w:val="single" w:sz="6" w:space="0" w:color="808080" w:themeColor="background1" w:themeShade="80"/>
            </w:tcBorders>
          </w:tcPr>
          <w:p w14:paraId="49F9C1D5" w14:textId="77777777" w:rsidR="00C0054E" w:rsidRPr="00783571" w:rsidRDefault="00C0054E" w:rsidP="00FB4FDA">
            <w:pPr>
              <w:pStyle w:val="TableText"/>
              <w:rPr>
                <w:szCs w:val="18"/>
              </w:rPr>
            </w:pPr>
            <w:r w:rsidRPr="00783571">
              <w:rPr>
                <w:szCs w:val="18"/>
              </w:rPr>
              <w:t>Hutchinson et al. (2011)</w:t>
            </w:r>
          </w:p>
        </w:tc>
      </w:tr>
      <w:tr w:rsidR="00C0054E" w:rsidRPr="00783571" w14:paraId="7560312A" w14:textId="77777777" w:rsidTr="00260D8A">
        <w:tc>
          <w:tcPr>
            <w:tcW w:w="3438" w:type="dxa"/>
            <w:tcBorders>
              <w:top w:val="single" w:sz="6" w:space="0" w:color="808080" w:themeColor="background1" w:themeShade="80"/>
              <w:bottom w:val="single" w:sz="6" w:space="0" w:color="808080" w:themeColor="background1" w:themeShade="80"/>
            </w:tcBorders>
          </w:tcPr>
          <w:p w14:paraId="1768AD4D" w14:textId="3BC9A1D9" w:rsidR="00C0054E" w:rsidRPr="00783571" w:rsidRDefault="005F5C70" w:rsidP="00FB4FDA">
            <w:pPr>
              <w:pStyle w:val="TableTextIndent1"/>
              <w:rPr>
                <w:szCs w:val="18"/>
              </w:rPr>
            </w:pPr>
            <w:r w:rsidRPr="00783571">
              <w:rPr>
                <w:szCs w:val="18"/>
              </w:rPr>
              <w:t>HIV-infected</w:t>
            </w:r>
            <w:r w:rsidR="00C0054E" w:rsidRPr="00783571">
              <w:rPr>
                <w:szCs w:val="18"/>
              </w:rPr>
              <w:t>, conventional screen</w:t>
            </w:r>
          </w:p>
        </w:tc>
        <w:tc>
          <w:tcPr>
            <w:tcW w:w="2520" w:type="dxa"/>
            <w:tcBorders>
              <w:top w:val="single" w:sz="6" w:space="0" w:color="808080" w:themeColor="background1" w:themeShade="80"/>
              <w:bottom w:val="single" w:sz="6" w:space="0" w:color="808080" w:themeColor="background1" w:themeShade="80"/>
            </w:tcBorders>
            <w:noWrap/>
          </w:tcPr>
          <w:p w14:paraId="25CD328C" w14:textId="77777777" w:rsidR="00C0054E" w:rsidRPr="00783571" w:rsidRDefault="00C0054E" w:rsidP="00FB4FDA">
            <w:pPr>
              <w:pStyle w:val="TableText"/>
              <w:rPr>
                <w:szCs w:val="18"/>
              </w:rPr>
            </w:pPr>
            <w:r w:rsidRPr="00783571">
              <w:rPr>
                <w:szCs w:val="18"/>
              </w:rPr>
              <w:t>$5.88 (2009$)</w:t>
            </w:r>
          </w:p>
        </w:tc>
        <w:tc>
          <w:tcPr>
            <w:tcW w:w="3402" w:type="dxa"/>
            <w:tcBorders>
              <w:top w:val="single" w:sz="6" w:space="0" w:color="808080" w:themeColor="background1" w:themeShade="80"/>
              <w:bottom w:val="single" w:sz="6" w:space="0" w:color="808080" w:themeColor="background1" w:themeShade="80"/>
            </w:tcBorders>
          </w:tcPr>
          <w:p w14:paraId="4C18FAF4" w14:textId="77777777" w:rsidR="00C0054E" w:rsidRPr="00783571" w:rsidRDefault="00C0054E" w:rsidP="00FB4FDA">
            <w:pPr>
              <w:pStyle w:val="TableText"/>
              <w:rPr>
                <w:szCs w:val="18"/>
              </w:rPr>
            </w:pPr>
            <w:r w:rsidRPr="00783571">
              <w:rPr>
                <w:szCs w:val="18"/>
              </w:rPr>
              <w:t>Hutchinson et al. (2011)</w:t>
            </w:r>
          </w:p>
        </w:tc>
      </w:tr>
      <w:tr w:rsidR="00C0054E" w:rsidRPr="00783571" w14:paraId="06828D4B" w14:textId="77777777" w:rsidTr="00260D8A">
        <w:tc>
          <w:tcPr>
            <w:tcW w:w="3438" w:type="dxa"/>
            <w:tcBorders>
              <w:top w:val="single" w:sz="6" w:space="0" w:color="808080" w:themeColor="background1" w:themeShade="80"/>
              <w:bottom w:val="single" w:sz="6" w:space="0" w:color="808080" w:themeColor="background1" w:themeShade="80"/>
            </w:tcBorders>
          </w:tcPr>
          <w:p w14:paraId="064AFFE3" w14:textId="4152C737" w:rsidR="00C0054E" w:rsidRPr="00783571" w:rsidRDefault="005F5C70" w:rsidP="00FB4FDA">
            <w:pPr>
              <w:pStyle w:val="TableTextIndent1"/>
              <w:rPr>
                <w:szCs w:val="18"/>
              </w:rPr>
            </w:pPr>
            <w:r w:rsidRPr="00783571">
              <w:rPr>
                <w:szCs w:val="18"/>
              </w:rPr>
              <w:t>HIV-infected</w:t>
            </w:r>
            <w:r w:rsidR="00C0054E" w:rsidRPr="00783571">
              <w:rPr>
                <w:szCs w:val="18"/>
              </w:rPr>
              <w:t>, rapid screen</w:t>
            </w:r>
          </w:p>
        </w:tc>
        <w:tc>
          <w:tcPr>
            <w:tcW w:w="2520" w:type="dxa"/>
            <w:tcBorders>
              <w:top w:val="single" w:sz="6" w:space="0" w:color="808080" w:themeColor="background1" w:themeShade="80"/>
              <w:bottom w:val="single" w:sz="6" w:space="0" w:color="808080" w:themeColor="background1" w:themeShade="80"/>
            </w:tcBorders>
            <w:noWrap/>
          </w:tcPr>
          <w:p w14:paraId="06476309" w14:textId="77777777" w:rsidR="00C0054E" w:rsidRPr="00783571" w:rsidRDefault="00C0054E" w:rsidP="00FB4FDA">
            <w:pPr>
              <w:pStyle w:val="TableText"/>
              <w:rPr>
                <w:szCs w:val="18"/>
              </w:rPr>
            </w:pPr>
            <w:r w:rsidRPr="00783571">
              <w:rPr>
                <w:szCs w:val="18"/>
              </w:rPr>
              <w:t>$10.86 (2009$)</w:t>
            </w:r>
          </w:p>
        </w:tc>
        <w:tc>
          <w:tcPr>
            <w:tcW w:w="3402" w:type="dxa"/>
            <w:tcBorders>
              <w:top w:val="single" w:sz="6" w:space="0" w:color="808080" w:themeColor="background1" w:themeShade="80"/>
              <w:bottom w:val="single" w:sz="6" w:space="0" w:color="808080" w:themeColor="background1" w:themeShade="80"/>
            </w:tcBorders>
          </w:tcPr>
          <w:p w14:paraId="7BAF1341" w14:textId="77777777" w:rsidR="00C0054E" w:rsidRPr="00783571" w:rsidRDefault="00C0054E" w:rsidP="00FB4FDA">
            <w:pPr>
              <w:pStyle w:val="TableText"/>
              <w:rPr>
                <w:szCs w:val="18"/>
              </w:rPr>
            </w:pPr>
            <w:r w:rsidRPr="00783571">
              <w:rPr>
                <w:szCs w:val="18"/>
              </w:rPr>
              <w:t>Hutchinson et al. (2011)</w:t>
            </w:r>
          </w:p>
        </w:tc>
      </w:tr>
      <w:tr w:rsidR="00C0054E" w:rsidRPr="00783571" w14:paraId="7DF11AA9" w14:textId="77777777" w:rsidTr="00260D8A">
        <w:tc>
          <w:tcPr>
            <w:tcW w:w="3438" w:type="dxa"/>
            <w:tcBorders>
              <w:top w:val="single" w:sz="6" w:space="0" w:color="808080" w:themeColor="background1" w:themeShade="80"/>
              <w:bottom w:val="single" w:sz="12" w:space="0" w:color="auto"/>
            </w:tcBorders>
          </w:tcPr>
          <w:p w14:paraId="59732048" w14:textId="77777777" w:rsidR="00C0054E" w:rsidRPr="00783571" w:rsidRDefault="00C0054E" w:rsidP="00FB4FDA">
            <w:pPr>
              <w:pStyle w:val="TableText"/>
            </w:pPr>
            <w:r w:rsidRPr="00783571">
              <w:t>Outreach cost per test (when applied)</w:t>
            </w:r>
          </w:p>
        </w:tc>
        <w:tc>
          <w:tcPr>
            <w:tcW w:w="2520" w:type="dxa"/>
            <w:tcBorders>
              <w:top w:val="single" w:sz="6" w:space="0" w:color="808080" w:themeColor="background1" w:themeShade="80"/>
              <w:bottom w:val="single" w:sz="12" w:space="0" w:color="auto"/>
            </w:tcBorders>
            <w:noWrap/>
          </w:tcPr>
          <w:p w14:paraId="30AA402D" w14:textId="77777777" w:rsidR="00C0054E" w:rsidRPr="00783571" w:rsidRDefault="00C0054E" w:rsidP="00FB4FDA">
            <w:pPr>
              <w:pStyle w:val="TableText"/>
              <w:rPr>
                <w:szCs w:val="18"/>
              </w:rPr>
            </w:pPr>
            <w:r w:rsidRPr="00783571">
              <w:rPr>
                <w:szCs w:val="18"/>
              </w:rPr>
              <w:t>$13.67 (2005$)</w:t>
            </w:r>
          </w:p>
        </w:tc>
        <w:tc>
          <w:tcPr>
            <w:tcW w:w="3402" w:type="dxa"/>
            <w:tcBorders>
              <w:top w:val="single" w:sz="6" w:space="0" w:color="808080" w:themeColor="background1" w:themeShade="80"/>
              <w:bottom w:val="single" w:sz="12" w:space="0" w:color="auto"/>
            </w:tcBorders>
          </w:tcPr>
          <w:p w14:paraId="0E6CC5E8" w14:textId="77777777" w:rsidR="00C0054E" w:rsidRPr="00783571" w:rsidRDefault="00C0054E" w:rsidP="00FB4FDA">
            <w:pPr>
              <w:pStyle w:val="TableText"/>
              <w:rPr>
                <w:szCs w:val="18"/>
              </w:rPr>
            </w:pPr>
            <w:r w:rsidRPr="00783571">
              <w:rPr>
                <w:szCs w:val="18"/>
              </w:rPr>
              <w:t>Shrestha et al. (2008)</w:t>
            </w:r>
          </w:p>
        </w:tc>
      </w:tr>
    </w:tbl>
    <w:p w14:paraId="2598CD3E" w14:textId="77777777" w:rsidR="00C0054E" w:rsidRPr="00783571" w:rsidRDefault="00C0054E" w:rsidP="009C30F0">
      <w:pPr>
        <w:pStyle w:val="Source2"/>
      </w:pPr>
      <w:r w:rsidRPr="00783571">
        <w:t>Note: NAT = HIV nucleic acid amplification test</w:t>
      </w:r>
    </w:p>
    <w:p w14:paraId="33517FA6" w14:textId="4CE0A5D5" w:rsidR="00BE20CA" w:rsidRPr="00783571" w:rsidRDefault="00BE20CA" w:rsidP="00814158">
      <w:pPr>
        <w:pStyle w:val="Source4"/>
      </w:pPr>
      <w:r w:rsidRPr="00783571">
        <w:rPr>
          <w:vertAlign w:val="superscript"/>
        </w:rPr>
        <w:t>a</w:t>
      </w:r>
      <w:r w:rsidR="00626270" w:rsidRPr="00783571">
        <w:rPr>
          <w:vertAlign w:val="superscript"/>
        </w:rPr>
        <w:t xml:space="preserve"> </w:t>
      </w:r>
      <w:r w:rsidRPr="00783571">
        <w:t>All cost inputs were converted to 201</w:t>
      </w:r>
      <w:r w:rsidR="007C05ED" w:rsidRPr="00783571">
        <w:t>5</w:t>
      </w:r>
      <w:r w:rsidRPr="00783571">
        <w:t>$ in the calculation of economic outcomes.</w:t>
      </w:r>
    </w:p>
    <w:p w14:paraId="3E9902E7" w14:textId="77777777" w:rsidR="00807C26" w:rsidRPr="00783571" w:rsidRDefault="00807C26" w:rsidP="00807C26">
      <w:pPr>
        <w:pStyle w:val="Heading3"/>
      </w:pPr>
      <w:bookmarkStart w:id="116" w:name="_Toc510104481"/>
      <w:r w:rsidRPr="00783571">
        <w:t>Calculation of Testing and Notification Costs</w:t>
      </w:r>
      <w:bookmarkEnd w:id="116"/>
    </w:p>
    <w:p w14:paraId="0F112A58" w14:textId="1154F92D" w:rsidR="00807C26" w:rsidRPr="00783571" w:rsidRDefault="00807C26" w:rsidP="00807C26">
      <w:pPr>
        <w:pStyle w:val="BodyText"/>
      </w:pPr>
      <w:r w:rsidRPr="00783571">
        <w:t xml:space="preserve">We calculated the cost of testing and notification by using Equations </w:t>
      </w:r>
      <w:r w:rsidR="00903B31" w:rsidRPr="00783571">
        <w:t>(10.</w:t>
      </w:r>
      <w:r w:rsidRPr="00783571">
        <w:t xml:space="preserve">5) to </w:t>
      </w:r>
      <w:r w:rsidR="00903B31" w:rsidRPr="00783571">
        <w:t>(10.</w:t>
      </w:r>
      <w:r w:rsidRPr="00783571">
        <w:t>9). The cost of testing varies by the type of test (rapid or conventional), the test result (positive or negative), and the test sensitivity, which varies by type of test. The cost for a NAT (HIV nucleic acid amplification test) is applied when the confirmatory test after a positive result is negative. Notification costs also vary by the type of test and test result. We assume the probability of notification does not change if a NAT is conducted. For ease of understanding, the calculations have been provided in words rather than symbols.</w:t>
      </w:r>
    </w:p>
    <w:p w14:paraId="72068323" w14:textId="77777777" w:rsidR="000D21B1" w:rsidRPr="00783571" w:rsidRDefault="00450AC8" w:rsidP="00056A62">
      <w:pPr>
        <w:pStyle w:val="Heading4"/>
      </w:pPr>
      <w:r w:rsidRPr="00783571">
        <w:t>Number of Tests</w:t>
      </w:r>
    </w:p>
    <w:p w14:paraId="7EE1B7B8" w14:textId="06E4BB22" w:rsidR="009D2964" w:rsidRPr="00783571" w:rsidRDefault="000D21B1" w:rsidP="008B30F8">
      <w:pPr>
        <w:pStyle w:val="equation"/>
        <w:keepLines/>
        <w:spacing w:line="360" w:lineRule="atLeast"/>
        <w:ind w:left="720"/>
        <w:rPr>
          <w:lang w:val="en-US"/>
        </w:rPr>
      </w:pPr>
      <w:r w:rsidRPr="00783571">
        <w:rPr>
          <w:lang w:val="en-US"/>
        </w:rPr>
        <w:t xml:space="preserve">Number of </w:t>
      </w:r>
      <w:r w:rsidR="00725382" w:rsidRPr="00783571">
        <w:rPr>
          <w:lang w:val="en-US"/>
        </w:rPr>
        <w:t xml:space="preserve">positive </w:t>
      </w:r>
      <w:r w:rsidRPr="00783571">
        <w:rPr>
          <w:lang w:val="en-US"/>
        </w:rPr>
        <w:t xml:space="preserve">tests </w:t>
      </w:r>
      <w:r w:rsidR="00FB6E34" w:rsidRPr="00783571">
        <w:rPr>
          <w:lang w:val="en-US"/>
        </w:rPr>
        <w:t xml:space="preserve">of </w:t>
      </w:r>
      <w:r w:rsidRPr="00783571">
        <w:rPr>
          <w:lang w:val="en-US"/>
        </w:rPr>
        <w:t xml:space="preserve">individuals in </w:t>
      </w:r>
      <w:r w:rsidRPr="00783571">
        <w:rPr>
          <w:i/>
          <w:iCs/>
          <w:lang w:val="en-US"/>
        </w:rPr>
        <w:t>p</w:t>
      </w:r>
      <w:r w:rsidRPr="00783571">
        <w:rPr>
          <w:lang w:val="en-US"/>
        </w:rPr>
        <w:t xml:space="preserve"> with HIV status </w:t>
      </w:r>
      <w:r w:rsidRPr="00783571">
        <w:rPr>
          <w:i/>
          <w:lang w:val="en-US"/>
        </w:rPr>
        <w:t>h</w:t>
      </w:r>
      <w:r w:rsidRPr="00783571">
        <w:rPr>
          <w:lang w:val="en-US"/>
        </w:rPr>
        <w:t xml:space="preserve">, </w:t>
      </w:r>
      <w:r w:rsidR="009D2964" w:rsidRPr="00783571">
        <w:rPr>
          <w:lang w:val="en-US"/>
        </w:rPr>
        <w:t xml:space="preserve">taking test type </w:t>
      </w:r>
      <w:r w:rsidR="009D2964" w:rsidRPr="00783571">
        <w:rPr>
          <w:i/>
          <w:iCs/>
          <w:lang w:val="en-US"/>
        </w:rPr>
        <w:t>g</w:t>
      </w:r>
      <w:r w:rsidR="009D2964" w:rsidRPr="00783571">
        <w:rPr>
          <w:lang w:val="en-US"/>
        </w:rPr>
        <w:t xml:space="preserve">, </w:t>
      </w:r>
      <w:r w:rsidRPr="00783571">
        <w:rPr>
          <w:lang w:val="en-US"/>
        </w:rPr>
        <w:t>at</w:t>
      </w:r>
      <w:r w:rsidR="009D2964" w:rsidRPr="00783571">
        <w:rPr>
          <w:lang w:val="en-US"/>
        </w:rPr>
        <w:t xml:space="preserve"> time</w:t>
      </w:r>
      <w:r w:rsidRPr="00783571">
        <w:rPr>
          <w:lang w:val="en-US"/>
        </w:rPr>
        <w:t xml:space="preserve"> </w:t>
      </w:r>
      <w:r w:rsidRPr="00783571">
        <w:rPr>
          <w:i/>
          <w:lang w:val="en-US"/>
        </w:rPr>
        <w:t>t</w:t>
      </w:r>
      <w:r w:rsidR="00450AC8" w:rsidRPr="00783571">
        <w:rPr>
          <w:lang w:val="en-US"/>
        </w:rPr>
        <w:t xml:space="preserve"> </w:t>
      </w:r>
      <w:r w:rsidRPr="00783571">
        <w:rPr>
          <w:lang w:val="en-US"/>
        </w:rPr>
        <w:t xml:space="preserve">= </w:t>
      </w:r>
      <w:r w:rsidR="007A404A" w:rsidRPr="00783571">
        <w:rPr>
          <w:lang w:val="en-US"/>
        </w:rPr>
        <w:br/>
      </w:r>
      <w:r w:rsidRPr="00783571">
        <w:rPr>
          <w:lang w:val="en-US"/>
        </w:rPr>
        <w:t>[Number of undiagnosed</w:t>
      </w:r>
      <w:r w:rsidR="009D2964" w:rsidRPr="00783571">
        <w:rPr>
          <w:lang w:val="en-US"/>
        </w:rPr>
        <w:t xml:space="preserve"> </w:t>
      </w:r>
      <w:r w:rsidR="005F5C70" w:rsidRPr="00783571">
        <w:rPr>
          <w:lang w:val="en-US"/>
        </w:rPr>
        <w:t>HIV-infected</w:t>
      </w:r>
      <w:r w:rsidRPr="00783571">
        <w:rPr>
          <w:lang w:val="en-US"/>
        </w:rPr>
        <w:t xml:space="preserve"> individuals in </w:t>
      </w:r>
      <w:r w:rsidRPr="00783571">
        <w:rPr>
          <w:i/>
          <w:iCs/>
          <w:lang w:val="en-US"/>
        </w:rPr>
        <w:t>p</w:t>
      </w:r>
      <w:r w:rsidRPr="00783571">
        <w:rPr>
          <w:lang w:val="en-US"/>
        </w:rPr>
        <w:t xml:space="preserve"> with HIV status </w:t>
      </w:r>
      <w:r w:rsidRPr="00783571">
        <w:rPr>
          <w:i/>
          <w:iCs/>
          <w:lang w:val="en-US"/>
        </w:rPr>
        <w:t>h</w:t>
      </w:r>
      <w:r w:rsidRPr="00783571">
        <w:rPr>
          <w:lang w:val="en-US"/>
        </w:rPr>
        <w:t>]</w:t>
      </w:r>
      <w:r w:rsidR="00450AC8" w:rsidRPr="00783571">
        <w:rPr>
          <w:lang w:val="en-US"/>
        </w:rPr>
        <w:t xml:space="preserve"> </w:t>
      </w:r>
      <w:r w:rsidR="007A404A" w:rsidRPr="00783571">
        <w:rPr>
          <w:lang w:val="en-US"/>
        </w:rPr>
        <w:br/>
      </w:r>
      <w:r w:rsidRPr="00783571">
        <w:rPr>
          <w:lang w:val="en-US"/>
        </w:rPr>
        <w:t>x [Testing rate</w:t>
      </w:r>
      <w:r w:rsidR="00393D59" w:rsidRPr="00783571">
        <w:rPr>
          <w:lang w:val="en-US"/>
        </w:rPr>
        <w:t xml:space="preserve"> over time </w:t>
      </w:r>
      <w:r w:rsidR="00393D59" w:rsidRPr="00783571">
        <w:rPr>
          <w:i/>
          <w:iCs/>
          <w:lang w:val="en-US"/>
        </w:rPr>
        <w:t>t</w:t>
      </w:r>
      <w:r w:rsidRPr="00783571">
        <w:rPr>
          <w:lang w:val="en-US"/>
        </w:rPr>
        <w:t>,</w:t>
      </w:r>
      <w:r w:rsidR="00725382" w:rsidRPr="00783571">
        <w:rPr>
          <w:lang w:val="en-US"/>
        </w:rPr>
        <w:t xml:space="preserve"> by</w:t>
      </w:r>
      <w:r w:rsidRPr="00783571">
        <w:rPr>
          <w:lang w:val="en-US"/>
        </w:rPr>
        <w:t xml:space="preserve"> </w:t>
      </w:r>
      <w:r w:rsidRPr="00783571">
        <w:rPr>
          <w:i/>
          <w:iCs/>
          <w:lang w:val="en-US"/>
        </w:rPr>
        <w:t>h</w:t>
      </w:r>
      <w:r w:rsidRPr="00783571">
        <w:rPr>
          <w:lang w:val="en-US"/>
        </w:rPr>
        <w:t xml:space="preserve"> and </w:t>
      </w:r>
      <w:r w:rsidRPr="00783571">
        <w:rPr>
          <w:i/>
          <w:lang w:val="en-US"/>
        </w:rPr>
        <w:t>p</w:t>
      </w:r>
      <w:r w:rsidRPr="00783571">
        <w:rPr>
          <w:lang w:val="en-US"/>
        </w:rPr>
        <w:t xml:space="preserve">] </w:t>
      </w:r>
      <w:r w:rsidR="007A404A" w:rsidRPr="00783571">
        <w:rPr>
          <w:lang w:val="en-US"/>
        </w:rPr>
        <w:br/>
      </w:r>
      <w:r w:rsidRPr="00783571">
        <w:rPr>
          <w:lang w:val="en-US"/>
        </w:rPr>
        <w:t xml:space="preserve">x [Percentage of tests that are </w:t>
      </w:r>
      <w:r w:rsidR="009D2964" w:rsidRPr="00783571">
        <w:rPr>
          <w:lang w:val="en-US"/>
        </w:rPr>
        <w:t xml:space="preserve">type </w:t>
      </w:r>
      <w:r w:rsidR="009D2964" w:rsidRPr="00783571">
        <w:rPr>
          <w:i/>
          <w:iCs/>
          <w:lang w:val="en-US"/>
        </w:rPr>
        <w:t>g</w:t>
      </w:r>
      <w:r w:rsidRPr="00783571">
        <w:rPr>
          <w:lang w:val="en-US"/>
        </w:rPr>
        <w:t xml:space="preserve">, by </w:t>
      </w:r>
      <w:r w:rsidRPr="00783571">
        <w:rPr>
          <w:i/>
          <w:lang w:val="en-US"/>
        </w:rPr>
        <w:t>p</w:t>
      </w:r>
      <w:r w:rsidRPr="00783571">
        <w:rPr>
          <w:lang w:val="en-US"/>
        </w:rPr>
        <w:t xml:space="preserve">] </w:t>
      </w:r>
      <w:r w:rsidR="007A404A" w:rsidRPr="00783571">
        <w:rPr>
          <w:lang w:val="en-US"/>
        </w:rPr>
        <w:br/>
      </w:r>
      <w:r w:rsidRPr="00783571">
        <w:rPr>
          <w:lang w:val="en-US"/>
        </w:rPr>
        <w:t>x [</w:t>
      </w:r>
      <w:r w:rsidR="009D2964" w:rsidRPr="00783571">
        <w:rPr>
          <w:lang w:val="en-US"/>
        </w:rPr>
        <w:t>S</w:t>
      </w:r>
      <w:r w:rsidRPr="00783571">
        <w:rPr>
          <w:lang w:val="en-US"/>
        </w:rPr>
        <w:t xml:space="preserve">ensitivity of </w:t>
      </w:r>
      <w:r w:rsidR="009D2964" w:rsidRPr="00783571">
        <w:rPr>
          <w:lang w:val="en-US"/>
        </w:rPr>
        <w:t xml:space="preserve">test type </w:t>
      </w:r>
      <w:r w:rsidR="009D2964" w:rsidRPr="00783571">
        <w:rPr>
          <w:i/>
          <w:iCs/>
          <w:lang w:val="en-US"/>
        </w:rPr>
        <w:t>g</w:t>
      </w:r>
      <w:r w:rsidRPr="00783571">
        <w:rPr>
          <w:lang w:val="en-US"/>
        </w:rPr>
        <w:t xml:space="preserve">, by </w:t>
      </w:r>
      <w:r w:rsidRPr="00783571">
        <w:rPr>
          <w:i/>
          <w:lang w:val="en-US"/>
        </w:rPr>
        <w:t>h</w:t>
      </w:r>
      <w:r w:rsidRPr="00783571">
        <w:rPr>
          <w:lang w:val="en-US"/>
        </w:rPr>
        <w:t>]</w:t>
      </w:r>
      <w:r w:rsidR="00535BFD" w:rsidRPr="00783571">
        <w:rPr>
          <w:lang w:val="en-US"/>
        </w:rPr>
        <w:br/>
      </w:r>
      <w:r w:rsidR="009D2964" w:rsidRPr="00783571">
        <w:rPr>
          <w:lang w:val="en-US"/>
        </w:rPr>
        <w:t xml:space="preserve">for </w:t>
      </w:r>
      <w:r w:rsidR="00725382" w:rsidRPr="00783571">
        <w:rPr>
          <w:i/>
          <w:iCs/>
          <w:lang w:val="en-US"/>
        </w:rPr>
        <w:t>h</w:t>
      </w:r>
      <w:r w:rsidR="00725382" w:rsidRPr="00783571">
        <w:rPr>
          <w:lang w:val="en-US"/>
        </w:rPr>
        <w:t xml:space="preserve"> = {1 to 5} and </w:t>
      </w:r>
      <w:r w:rsidR="009D2964" w:rsidRPr="00783571">
        <w:rPr>
          <w:lang w:val="en-US"/>
        </w:rPr>
        <w:t xml:space="preserve">all </w:t>
      </w:r>
      <w:r w:rsidR="009D2964" w:rsidRPr="00783571">
        <w:rPr>
          <w:i/>
          <w:iCs/>
          <w:lang w:val="en-US"/>
        </w:rPr>
        <w:t>p</w:t>
      </w:r>
      <w:r w:rsidR="009D2964" w:rsidRPr="00783571">
        <w:rPr>
          <w:lang w:val="en-US"/>
        </w:rPr>
        <w:t xml:space="preserve">, </w:t>
      </w:r>
      <w:r w:rsidR="009D2964" w:rsidRPr="00783571">
        <w:rPr>
          <w:i/>
          <w:iCs/>
          <w:lang w:val="en-US"/>
        </w:rPr>
        <w:t>g</w:t>
      </w:r>
      <w:r w:rsidR="009D2964" w:rsidRPr="00783571">
        <w:rPr>
          <w:lang w:val="en-US"/>
        </w:rPr>
        <w:t xml:space="preserve">, and </w:t>
      </w:r>
      <w:r w:rsidR="009D2964" w:rsidRPr="00783571">
        <w:rPr>
          <w:i/>
          <w:iCs/>
          <w:lang w:val="en-US"/>
        </w:rPr>
        <w:t>t</w:t>
      </w:r>
      <w:r w:rsidR="009D2964" w:rsidRPr="00783571">
        <w:rPr>
          <w:lang w:val="en-US"/>
        </w:rPr>
        <w:t>.</w:t>
      </w:r>
      <w:r w:rsidR="00725382" w:rsidRPr="00783571">
        <w:rPr>
          <w:lang w:val="en-US"/>
        </w:rPr>
        <w:tab/>
      </w:r>
      <w:r w:rsidR="00450AC8" w:rsidRPr="00783571">
        <w:rPr>
          <w:lang w:val="en-US"/>
        </w:rPr>
        <w:tab/>
      </w:r>
      <w:r w:rsidR="00903B31" w:rsidRPr="00783571">
        <w:rPr>
          <w:lang w:val="en-US"/>
        </w:rPr>
        <w:t>(10.</w:t>
      </w:r>
      <w:r w:rsidR="003B42C2" w:rsidRPr="00783571">
        <w:rPr>
          <w:lang w:val="en-US"/>
        </w:rPr>
        <w:t>5</w:t>
      </w:r>
      <w:r w:rsidR="00725382" w:rsidRPr="00783571">
        <w:rPr>
          <w:lang w:val="en-US"/>
        </w:rPr>
        <w:t>)</w:t>
      </w:r>
    </w:p>
    <w:p w14:paraId="3451FE2A" w14:textId="093085FD" w:rsidR="00725382" w:rsidRPr="00783571" w:rsidRDefault="000D21B1" w:rsidP="008B30F8">
      <w:pPr>
        <w:pStyle w:val="equation"/>
        <w:spacing w:line="360" w:lineRule="atLeast"/>
        <w:ind w:left="720"/>
        <w:rPr>
          <w:lang w:val="en-US"/>
        </w:rPr>
      </w:pPr>
      <w:r w:rsidRPr="00783571">
        <w:rPr>
          <w:lang w:val="en-US"/>
        </w:rPr>
        <w:t>Number of negative tests</w:t>
      </w:r>
      <w:r w:rsidR="009D2964" w:rsidRPr="00783571">
        <w:rPr>
          <w:lang w:val="en-US"/>
        </w:rPr>
        <w:t xml:space="preserve"> of</w:t>
      </w:r>
      <w:r w:rsidR="00725382" w:rsidRPr="00783571">
        <w:rPr>
          <w:lang w:val="en-US"/>
        </w:rPr>
        <w:t xml:space="preserve"> </w:t>
      </w:r>
      <w:r w:rsidR="005F5C70" w:rsidRPr="00783571">
        <w:rPr>
          <w:lang w:val="en-US"/>
        </w:rPr>
        <w:t>HIV-infected</w:t>
      </w:r>
      <w:r w:rsidR="009D2964" w:rsidRPr="00783571">
        <w:rPr>
          <w:lang w:val="en-US"/>
        </w:rPr>
        <w:t xml:space="preserve"> individuals</w:t>
      </w:r>
      <w:r w:rsidR="00BD44D3" w:rsidRPr="00783571">
        <w:rPr>
          <w:lang w:val="en-US"/>
        </w:rPr>
        <w:t xml:space="preserve"> (missed diagnoses)</w:t>
      </w:r>
      <w:r w:rsidR="009D2964" w:rsidRPr="00783571">
        <w:rPr>
          <w:lang w:val="en-US"/>
        </w:rPr>
        <w:t xml:space="preserve"> in </w:t>
      </w:r>
      <w:r w:rsidR="009D2964" w:rsidRPr="00783571">
        <w:rPr>
          <w:i/>
          <w:iCs/>
          <w:lang w:val="en-US"/>
        </w:rPr>
        <w:t>p</w:t>
      </w:r>
      <w:r w:rsidR="00725382" w:rsidRPr="00783571">
        <w:rPr>
          <w:lang w:val="en-US"/>
        </w:rPr>
        <w:t xml:space="preserve"> with HIV status </w:t>
      </w:r>
      <w:r w:rsidR="00725382" w:rsidRPr="00783571">
        <w:rPr>
          <w:i/>
          <w:iCs/>
          <w:lang w:val="en-US"/>
        </w:rPr>
        <w:t>h</w:t>
      </w:r>
      <w:r w:rsidR="00725382" w:rsidRPr="00783571">
        <w:rPr>
          <w:lang w:val="en-US"/>
        </w:rPr>
        <w:t>,</w:t>
      </w:r>
      <w:r w:rsidR="009D2964" w:rsidRPr="00783571">
        <w:rPr>
          <w:lang w:val="en-US"/>
        </w:rPr>
        <w:t xml:space="preserve"> taking test type </w:t>
      </w:r>
      <w:r w:rsidR="009D2964" w:rsidRPr="00783571">
        <w:rPr>
          <w:i/>
          <w:iCs/>
          <w:lang w:val="en-US"/>
        </w:rPr>
        <w:t>g</w:t>
      </w:r>
      <w:r w:rsidR="009D2964" w:rsidRPr="00783571">
        <w:rPr>
          <w:lang w:val="en-US"/>
        </w:rPr>
        <w:t>,</w:t>
      </w:r>
      <w:r w:rsidRPr="00783571">
        <w:rPr>
          <w:lang w:val="en-US"/>
        </w:rPr>
        <w:t xml:space="preserve"> at</w:t>
      </w:r>
      <w:r w:rsidR="009D2964" w:rsidRPr="00783571">
        <w:rPr>
          <w:lang w:val="en-US"/>
        </w:rPr>
        <w:t xml:space="preserve"> time</w:t>
      </w:r>
      <w:r w:rsidRPr="00783571">
        <w:rPr>
          <w:lang w:val="en-US"/>
        </w:rPr>
        <w:t xml:space="preserve"> </w:t>
      </w:r>
      <w:r w:rsidRPr="00783571">
        <w:rPr>
          <w:i/>
          <w:lang w:val="en-US"/>
        </w:rPr>
        <w:t>t</w:t>
      </w:r>
      <w:r w:rsidRPr="00783571">
        <w:rPr>
          <w:lang w:val="en-US"/>
        </w:rPr>
        <w:t xml:space="preserve"> = </w:t>
      </w:r>
      <w:r w:rsidR="007A404A" w:rsidRPr="00783571">
        <w:rPr>
          <w:lang w:val="en-US"/>
        </w:rPr>
        <w:br/>
      </w:r>
      <w:r w:rsidR="00393D59" w:rsidRPr="00783571">
        <w:rPr>
          <w:lang w:val="en-US"/>
        </w:rPr>
        <w:t xml:space="preserve">[Number of undiagnosed </w:t>
      </w:r>
      <w:r w:rsidR="005F5C70" w:rsidRPr="00783571">
        <w:rPr>
          <w:lang w:val="en-US"/>
        </w:rPr>
        <w:t>HIV-infected</w:t>
      </w:r>
      <w:r w:rsidR="00393D59" w:rsidRPr="00783571">
        <w:rPr>
          <w:lang w:val="en-US"/>
        </w:rPr>
        <w:t xml:space="preserve"> individuals in </w:t>
      </w:r>
      <w:r w:rsidR="00393D59" w:rsidRPr="00783571">
        <w:rPr>
          <w:i/>
          <w:iCs/>
          <w:lang w:val="en-US"/>
        </w:rPr>
        <w:t>p</w:t>
      </w:r>
      <w:r w:rsidR="00393D59" w:rsidRPr="00783571">
        <w:rPr>
          <w:lang w:val="en-US"/>
        </w:rPr>
        <w:t xml:space="preserve"> with HIV status </w:t>
      </w:r>
      <w:r w:rsidR="00393D59" w:rsidRPr="00783571">
        <w:rPr>
          <w:i/>
          <w:iCs/>
          <w:lang w:val="en-US"/>
        </w:rPr>
        <w:t>h</w:t>
      </w:r>
      <w:r w:rsidR="00393D59" w:rsidRPr="00783571">
        <w:rPr>
          <w:lang w:val="en-US"/>
        </w:rPr>
        <w:t>]</w:t>
      </w:r>
      <w:r w:rsidR="00450AC8" w:rsidRPr="00783571">
        <w:rPr>
          <w:lang w:val="en-US"/>
        </w:rPr>
        <w:t xml:space="preserve"> </w:t>
      </w:r>
      <w:r w:rsidR="007A404A" w:rsidRPr="00783571">
        <w:rPr>
          <w:lang w:val="en-US"/>
        </w:rPr>
        <w:br/>
      </w:r>
      <w:r w:rsidR="00393D59" w:rsidRPr="00783571">
        <w:rPr>
          <w:lang w:val="en-US"/>
        </w:rPr>
        <w:t xml:space="preserve">x [Testing rate over time </w:t>
      </w:r>
      <w:r w:rsidR="00393D59" w:rsidRPr="00783571">
        <w:rPr>
          <w:i/>
          <w:iCs/>
          <w:lang w:val="en-US"/>
        </w:rPr>
        <w:t>t</w:t>
      </w:r>
      <w:r w:rsidR="00393D59" w:rsidRPr="00783571">
        <w:rPr>
          <w:lang w:val="en-US"/>
        </w:rPr>
        <w:t>,</w:t>
      </w:r>
      <w:r w:rsidR="00725382" w:rsidRPr="00783571">
        <w:rPr>
          <w:lang w:val="en-US"/>
        </w:rPr>
        <w:t xml:space="preserve"> by</w:t>
      </w:r>
      <w:r w:rsidR="00393D59" w:rsidRPr="00783571">
        <w:rPr>
          <w:lang w:val="en-US"/>
        </w:rPr>
        <w:t xml:space="preserve"> </w:t>
      </w:r>
      <w:r w:rsidR="00393D59" w:rsidRPr="00783571">
        <w:rPr>
          <w:i/>
          <w:iCs/>
          <w:lang w:val="en-US"/>
        </w:rPr>
        <w:t>h</w:t>
      </w:r>
      <w:r w:rsidR="00393D59" w:rsidRPr="00783571">
        <w:rPr>
          <w:lang w:val="en-US"/>
        </w:rPr>
        <w:t xml:space="preserve"> and </w:t>
      </w:r>
      <w:r w:rsidR="00393D59" w:rsidRPr="00783571">
        <w:rPr>
          <w:i/>
          <w:lang w:val="en-US"/>
        </w:rPr>
        <w:t>p</w:t>
      </w:r>
      <w:r w:rsidR="00393D59" w:rsidRPr="00783571">
        <w:rPr>
          <w:lang w:val="en-US"/>
        </w:rPr>
        <w:t xml:space="preserve">] </w:t>
      </w:r>
      <w:r w:rsidR="007A404A" w:rsidRPr="00783571">
        <w:rPr>
          <w:lang w:val="en-US"/>
        </w:rPr>
        <w:br/>
      </w:r>
      <w:r w:rsidR="00393D59" w:rsidRPr="00783571">
        <w:rPr>
          <w:lang w:val="en-US"/>
        </w:rPr>
        <w:t xml:space="preserve">x [Percentage of tests that are type </w:t>
      </w:r>
      <w:r w:rsidR="00393D59" w:rsidRPr="00783571">
        <w:rPr>
          <w:i/>
          <w:iCs/>
          <w:lang w:val="en-US"/>
        </w:rPr>
        <w:t>g</w:t>
      </w:r>
      <w:r w:rsidR="00393D59" w:rsidRPr="00783571">
        <w:rPr>
          <w:lang w:val="en-US"/>
        </w:rPr>
        <w:t xml:space="preserve">, by </w:t>
      </w:r>
      <w:r w:rsidR="00393D59" w:rsidRPr="00783571">
        <w:rPr>
          <w:i/>
          <w:lang w:val="en-US"/>
        </w:rPr>
        <w:t>p</w:t>
      </w:r>
      <w:r w:rsidR="00393D59" w:rsidRPr="00783571">
        <w:rPr>
          <w:lang w:val="en-US"/>
        </w:rPr>
        <w:t xml:space="preserve">] </w:t>
      </w:r>
      <w:r w:rsidR="007A404A" w:rsidRPr="00783571">
        <w:rPr>
          <w:lang w:val="en-US"/>
        </w:rPr>
        <w:br/>
      </w:r>
      <w:r w:rsidR="00393D59" w:rsidRPr="00783571">
        <w:rPr>
          <w:lang w:val="en-US"/>
        </w:rPr>
        <w:t xml:space="preserve">x [1 </w:t>
      </w:r>
      <w:r w:rsidR="001F5372" w:rsidRPr="00783571">
        <w:rPr>
          <w:lang w:val="en-US"/>
        </w:rPr>
        <w:t>−</w:t>
      </w:r>
      <w:r w:rsidR="00393D59" w:rsidRPr="00783571">
        <w:rPr>
          <w:lang w:val="en-US"/>
        </w:rPr>
        <w:t xml:space="preserve"> (Sensitivity of test type </w:t>
      </w:r>
      <w:r w:rsidR="00393D59" w:rsidRPr="00783571">
        <w:rPr>
          <w:i/>
          <w:iCs/>
          <w:lang w:val="en-US"/>
        </w:rPr>
        <w:t>g</w:t>
      </w:r>
      <w:r w:rsidR="00393D59" w:rsidRPr="00783571">
        <w:rPr>
          <w:lang w:val="en-US"/>
        </w:rPr>
        <w:t xml:space="preserve">, by </w:t>
      </w:r>
      <w:r w:rsidR="00393D59" w:rsidRPr="00783571">
        <w:rPr>
          <w:i/>
          <w:lang w:val="en-US"/>
        </w:rPr>
        <w:t>h</w:t>
      </w:r>
      <w:r w:rsidR="00393D59" w:rsidRPr="00783571">
        <w:rPr>
          <w:iCs/>
          <w:lang w:val="en-US"/>
        </w:rPr>
        <w:t>)</w:t>
      </w:r>
      <w:r w:rsidR="00393D59" w:rsidRPr="00783571">
        <w:rPr>
          <w:lang w:val="en-US"/>
        </w:rPr>
        <w:t>]</w:t>
      </w:r>
      <w:r w:rsidR="00535BFD" w:rsidRPr="00783571">
        <w:rPr>
          <w:lang w:val="en-US"/>
        </w:rPr>
        <w:br/>
      </w:r>
      <w:r w:rsidR="00725382" w:rsidRPr="00783571">
        <w:rPr>
          <w:lang w:val="en-US"/>
        </w:rPr>
        <w:t xml:space="preserve">for </w:t>
      </w:r>
      <w:r w:rsidR="00725382" w:rsidRPr="00783571">
        <w:rPr>
          <w:i/>
          <w:iCs/>
          <w:lang w:val="en-US"/>
        </w:rPr>
        <w:t>h</w:t>
      </w:r>
      <w:r w:rsidR="00725382" w:rsidRPr="00783571">
        <w:rPr>
          <w:lang w:val="en-US"/>
        </w:rPr>
        <w:t xml:space="preserve"> = {1 to 5} and all </w:t>
      </w:r>
      <w:r w:rsidR="00725382" w:rsidRPr="00783571">
        <w:rPr>
          <w:i/>
          <w:iCs/>
          <w:lang w:val="en-US"/>
        </w:rPr>
        <w:t>p</w:t>
      </w:r>
      <w:r w:rsidR="00725382" w:rsidRPr="00783571">
        <w:rPr>
          <w:lang w:val="en-US"/>
        </w:rPr>
        <w:t xml:space="preserve">, </w:t>
      </w:r>
      <w:r w:rsidR="00725382" w:rsidRPr="00783571">
        <w:rPr>
          <w:i/>
          <w:iCs/>
          <w:lang w:val="en-US"/>
        </w:rPr>
        <w:t>g</w:t>
      </w:r>
      <w:r w:rsidR="00725382" w:rsidRPr="00783571">
        <w:rPr>
          <w:lang w:val="en-US"/>
        </w:rPr>
        <w:t xml:space="preserve">, and </w:t>
      </w:r>
      <w:r w:rsidR="00725382" w:rsidRPr="00783571">
        <w:rPr>
          <w:i/>
          <w:iCs/>
          <w:lang w:val="en-US"/>
        </w:rPr>
        <w:t>t</w:t>
      </w:r>
      <w:r w:rsidR="00393D59" w:rsidRPr="00783571">
        <w:rPr>
          <w:lang w:val="en-US"/>
        </w:rPr>
        <w:t>.</w:t>
      </w:r>
      <w:r w:rsidR="004F4E6D" w:rsidRPr="00783571">
        <w:rPr>
          <w:lang w:val="en-US"/>
        </w:rPr>
        <w:tab/>
      </w:r>
      <w:r w:rsidR="00450AC8" w:rsidRPr="00783571">
        <w:rPr>
          <w:lang w:val="en-US"/>
        </w:rPr>
        <w:tab/>
      </w:r>
      <w:r w:rsidR="00903B31" w:rsidRPr="00783571">
        <w:rPr>
          <w:lang w:val="en-US"/>
        </w:rPr>
        <w:t>(10.</w:t>
      </w:r>
      <w:r w:rsidR="003B42C2" w:rsidRPr="00783571">
        <w:rPr>
          <w:lang w:val="en-US"/>
        </w:rPr>
        <w:t>6</w:t>
      </w:r>
      <w:r w:rsidR="00725382" w:rsidRPr="00783571">
        <w:rPr>
          <w:lang w:val="en-US"/>
        </w:rPr>
        <w:t>)</w:t>
      </w:r>
    </w:p>
    <w:p w14:paraId="48904F86" w14:textId="59F64E59" w:rsidR="00725382" w:rsidRPr="00783571" w:rsidRDefault="00725382" w:rsidP="008B30F8">
      <w:pPr>
        <w:pStyle w:val="equation"/>
        <w:spacing w:line="360" w:lineRule="atLeast"/>
        <w:ind w:left="720"/>
        <w:rPr>
          <w:lang w:val="en-US"/>
        </w:rPr>
      </w:pPr>
      <w:r w:rsidRPr="00783571">
        <w:rPr>
          <w:lang w:val="en-US"/>
        </w:rPr>
        <w:t>Number of negative tests</w:t>
      </w:r>
      <w:r w:rsidR="00535BFD" w:rsidRPr="00783571">
        <w:rPr>
          <w:lang w:val="en-US"/>
        </w:rPr>
        <w:t xml:space="preserve"> of </w:t>
      </w:r>
      <w:r w:rsidR="005F5C70" w:rsidRPr="00783571">
        <w:rPr>
          <w:lang w:val="en-US"/>
        </w:rPr>
        <w:t>HIV-uninfected</w:t>
      </w:r>
      <w:r w:rsidR="00535BFD" w:rsidRPr="00783571">
        <w:rPr>
          <w:lang w:val="en-US"/>
        </w:rPr>
        <w:t xml:space="preserve"> (HIV status </w:t>
      </w:r>
      <w:r w:rsidR="00535BFD" w:rsidRPr="00783571">
        <w:rPr>
          <w:i/>
          <w:iCs/>
          <w:lang w:val="en-US"/>
        </w:rPr>
        <w:t>h=0</w:t>
      </w:r>
      <w:r w:rsidR="00535BFD" w:rsidRPr="00783571">
        <w:rPr>
          <w:lang w:val="en-US"/>
        </w:rPr>
        <w:t xml:space="preserve">) </w:t>
      </w:r>
      <w:r w:rsidRPr="00783571">
        <w:rPr>
          <w:lang w:val="en-US"/>
        </w:rPr>
        <w:t xml:space="preserve">individuals in </w:t>
      </w:r>
      <w:r w:rsidRPr="00783571">
        <w:rPr>
          <w:i/>
          <w:iCs/>
          <w:lang w:val="en-US"/>
        </w:rPr>
        <w:t>p</w:t>
      </w:r>
      <w:r w:rsidRPr="00783571">
        <w:rPr>
          <w:lang w:val="en-US"/>
        </w:rPr>
        <w:t xml:space="preserve">, taking test type </w:t>
      </w:r>
      <w:r w:rsidRPr="00783571">
        <w:rPr>
          <w:i/>
          <w:iCs/>
          <w:lang w:val="en-US"/>
        </w:rPr>
        <w:t>g</w:t>
      </w:r>
      <w:r w:rsidRPr="00783571">
        <w:rPr>
          <w:lang w:val="en-US"/>
        </w:rPr>
        <w:t xml:space="preserve">, at time </w:t>
      </w:r>
      <w:r w:rsidRPr="00783571">
        <w:rPr>
          <w:i/>
          <w:lang w:val="en-US"/>
        </w:rPr>
        <w:t>t</w:t>
      </w:r>
      <w:r w:rsidRPr="00783571">
        <w:rPr>
          <w:lang w:val="en-US"/>
        </w:rPr>
        <w:t xml:space="preserve"> = </w:t>
      </w:r>
      <w:r w:rsidR="007A404A" w:rsidRPr="00783571">
        <w:rPr>
          <w:lang w:val="en-US"/>
        </w:rPr>
        <w:br/>
      </w:r>
      <w:r w:rsidRPr="00783571">
        <w:rPr>
          <w:lang w:val="en-US"/>
        </w:rPr>
        <w:t xml:space="preserve">[Number of </w:t>
      </w:r>
      <w:r w:rsidR="005F5C70" w:rsidRPr="00783571">
        <w:rPr>
          <w:lang w:val="en-US"/>
        </w:rPr>
        <w:t>HIV-uninfected</w:t>
      </w:r>
      <w:r w:rsidRPr="00783571">
        <w:rPr>
          <w:lang w:val="en-US"/>
        </w:rPr>
        <w:t xml:space="preserve"> individuals in </w:t>
      </w:r>
      <w:r w:rsidRPr="00783571">
        <w:rPr>
          <w:i/>
          <w:iCs/>
          <w:lang w:val="en-US"/>
        </w:rPr>
        <w:t>p</w:t>
      </w:r>
      <w:r w:rsidRPr="00783571">
        <w:rPr>
          <w:lang w:val="en-US"/>
        </w:rPr>
        <w:t>]</w:t>
      </w:r>
      <w:r w:rsidR="00450AC8" w:rsidRPr="00783571">
        <w:rPr>
          <w:lang w:val="en-US"/>
        </w:rPr>
        <w:t xml:space="preserve"> </w:t>
      </w:r>
      <w:r w:rsidR="007A404A" w:rsidRPr="00783571">
        <w:rPr>
          <w:lang w:val="en-US"/>
        </w:rPr>
        <w:br/>
      </w:r>
      <w:r w:rsidRPr="00783571">
        <w:rPr>
          <w:lang w:val="en-US"/>
        </w:rPr>
        <w:t xml:space="preserve">x [Testing rate over time </w:t>
      </w:r>
      <w:r w:rsidRPr="00783571">
        <w:rPr>
          <w:i/>
          <w:iCs/>
          <w:lang w:val="en-US"/>
        </w:rPr>
        <w:t>t</w:t>
      </w:r>
      <w:r w:rsidRPr="00783571">
        <w:rPr>
          <w:lang w:val="en-US"/>
        </w:rPr>
        <w:t xml:space="preserve">, </w:t>
      </w:r>
      <w:r w:rsidR="00535BFD" w:rsidRPr="00783571">
        <w:rPr>
          <w:lang w:val="en-US"/>
        </w:rPr>
        <w:t xml:space="preserve">by </w:t>
      </w:r>
      <w:r w:rsidR="00535BFD" w:rsidRPr="00783571">
        <w:rPr>
          <w:i/>
          <w:iCs/>
          <w:lang w:val="en-US"/>
        </w:rPr>
        <w:t>h</w:t>
      </w:r>
      <w:r w:rsidR="00535BFD" w:rsidRPr="00783571">
        <w:rPr>
          <w:lang w:val="en-US"/>
        </w:rPr>
        <w:t xml:space="preserve"> and </w:t>
      </w:r>
      <w:r w:rsidR="00535BFD" w:rsidRPr="00783571">
        <w:rPr>
          <w:i/>
          <w:lang w:val="en-US"/>
        </w:rPr>
        <w:t>p</w:t>
      </w:r>
      <w:r w:rsidRPr="00783571">
        <w:rPr>
          <w:lang w:val="en-US"/>
        </w:rPr>
        <w:t xml:space="preserve">] </w:t>
      </w:r>
      <w:r w:rsidR="007A404A" w:rsidRPr="00783571">
        <w:rPr>
          <w:lang w:val="en-US"/>
        </w:rPr>
        <w:br/>
      </w:r>
      <w:r w:rsidRPr="00783571">
        <w:rPr>
          <w:lang w:val="en-US"/>
        </w:rPr>
        <w:t xml:space="preserve">x [Percentage of tests that are type </w:t>
      </w:r>
      <w:r w:rsidRPr="00783571">
        <w:rPr>
          <w:i/>
          <w:iCs/>
          <w:lang w:val="en-US"/>
        </w:rPr>
        <w:t>g</w:t>
      </w:r>
      <w:r w:rsidRPr="00783571">
        <w:rPr>
          <w:lang w:val="en-US"/>
        </w:rPr>
        <w:t xml:space="preserve">, by </w:t>
      </w:r>
      <w:r w:rsidRPr="00783571">
        <w:rPr>
          <w:i/>
          <w:lang w:val="en-US"/>
        </w:rPr>
        <w:t>p</w:t>
      </w:r>
      <w:r w:rsidRPr="00783571">
        <w:rPr>
          <w:lang w:val="en-US"/>
        </w:rPr>
        <w:t xml:space="preserve">] </w:t>
      </w:r>
      <w:r w:rsidR="007A404A" w:rsidRPr="00783571">
        <w:rPr>
          <w:lang w:val="en-US"/>
        </w:rPr>
        <w:br/>
      </w:r>
      <w:r w:rsidRPr="00783571">
        <w:rPr>
          <w:lang w:val="en-US"/>
        </w:rPr>
        <w:t xml:space="preserve">for </w:t>
      </w:r>
      <w:r w:rsidR="00535BFD" w:rsidRPr="00783571">
        <w:rPr>
          <w:i/>
          <w:iCs/>
          <w:lang w:val="en-US"/>
        </w:rPr>
        <w:t>h</w:t>
      </w:r>
      <w:r w:rsidR="00535BFD" w:rsidRPr="00783571">
        <w:rPr>
          <w:lang w:val="en-US"/>
        </w:rPr>
        <w:t xml:space="preserve"> = {0} and </w:t>
      </w:r>
      <w:r w:rsidRPr="00783571">
        <w:rPr>
          <w:lang w:val="en-US"/>
        </w:rPr>
        <w:t xml:space="preserve">all </w:t>
      </w:r>
      <w:r w:rsidRPr="00783571">
        <w:rPr>
          <w:i/>
          <w:iCs/>
          <w:lang w:val="en-US"/>
        </w:rPr>
        <w:t>p</w:t>
      </w:r>
      <w:r w:rsidRPr="00783571">
        <w:rPr>
          <w:lang w:val="en-US"/>
        </w:rPr>
        <w:t xml:space="preserve">, </w:t>
      </w:r>
      <w:r w:rsidRPr="00783571">
        <w:rPr>
          <w:i/>
          <w:iCs/>
          <w:lang w:val="en-US"/>
        </w:rPr>
        <w:t>g</w:t>
      </w:r>
      <w:r w:rsidRPr="00783571">
        <w:rPr>
          <w:lang w:val="en-US"/>
        </w:rPr>
        <w:t xml:space="preserve">, and </w:t>
      </w:r>
      <w:r w:rsidRPr="00783571">
        <w:rPr>
          <w:i/>
          <w:iCs/>
          <w:lang w:val="en-US"/>
        </w:rPr>
        <w:t>t</w:t>
      </w:r>
      <w:r w:rsidRPr="00783571">
        <w:rPr>
          <w:lang w:val="en-US"/>
        </w:rPr>
        <w:t>.</w:t>
      </w:r>
      <w:r w:rsidR="004F4E6D" w:rsidRPr="00783571">
        <w:rPr>
          <w:lang w:val="en-US"/>
        </w:rPr>
        <w:tab/>
      </w:r>
      <w:r w:rsidR="007A404A" w:rsidRPr="00783571">
        <w:rPr>
          <w:lang w:val="en-US"/>
        </w:rPr>
        <w:tab/>
      </w:r>
      <w:r w:rsidR="00903B31" w:rsidRPr="00783571">
        <w:rPr>
          <w:lang w:val="en-US"/>
        </w:rPr>
        <w:t>(10.</w:t>
      </w:r>
      <w:r w:rsidR="003B42C2" w:rsidRPr="00783571">
        <w:rPr>
          <w:lang w:val="en-US"/>
        </w:rPr>
        <w:t>7</w:t>
      </w:r>
      <w:r w:rsidRPr="00783571">
        <w:rPr>
          <w:lang w:val="en-US"/>
        </w:rPr>
        <w:t>)</w:t>
      </w:r>
    </w:p>
    <w:p w14:paraId="63479F58" w14:textId="620E4DB5" w:rsidR="00393D59" w:rsidRPr="00783571" w:rsidRDefault="00450AC8" w:rsidP="00CC1DD7">
      <w:pPr>
        <w:pStyle w:val="BodyText"/>
      </w:pPr>
      <w:r w:rsidRPr="00783571">
        <w:t xml:space="preserve">The total number of tests conducted is the sum of all positive and negative tests of </w:t>
      </w:r>
      <w:r w:rsidR="005F5C70" w:rsidRPr="00783571">
        <w:t>HIV-infected</w:t>
      </w:r>
      <w:r w:rsidRPr="00783571">
        <w:t xml:space="preserve"> individuals (calculated using Equations </w:t>
      </w:r>
      <w:r w:rsidR="008F1692" w:rsidRPr="00783571">
        <w:t>[</w:t>
      </w:r>
      <w:r w:rsidR="00CC1DD7" w:rsidRPr="00783571">
        <w:t>10</w:t>
      </w:r>
      <w:r w:rsidR="00C0054E" w:rsidRPr="00783571">
        <w:t>.</w:t>
      </w:r>
      <w:r w:rsidR="00A921C5" w:rsidRPr="00783571">
        <w:t>5</w:t>
      </w:r>
      <w:r w:rsidR="008F1692" w:rsidRPr="00783571">
        <w:t>]</w:t>
      </w:r>
      <w:r w:rsidRPr="00783571">
        <w:t xml:space="preserve"> and </w:t>
      </w:r>
      <w:r w:rsidR="008F1692" w:rsidRPr="00783571">
        <w:t>[</w:t>
      </w:r>
      <w:r w:rsidR="00CC1DD7" w:rsidRPr="00783571">
        <w:t>10</w:t>
      </w:r>
      <w:r w:rsidR="00C0054E" w:rsidRPr="00783571">
        <w:t>.</w:t>
      </w:r>
      <w:r w:rsidR="00A921C5" w:rsidRPr="00783571">
        <w:t>6</w:t>
      </w:r>
      <w:r w:rsidR="008F1692" w:rsidRPr="00783571">
        <w:t>]</w:t>
      </w:r>
      <w:r w:rsidRPr="00783571">
        <w:t xml:space="preserve">, respectively) and all negative tests of </w:t>
      </w:r>
      <w:r w:rsidR="005F5C70" w:rsidRPr="00783571">
        <w:t>HIV-uninfected</w:t>
      </w:r>
      <w:r w:rsidRPr="00783571">
        <w:t xml:space="preserve"> individuals (calculated using </w:t>
      </w:r>
      <w:r w:rsidR="00CC1DD7" w:rsidRPr="00783571">
        <w:t>Equation [10.</w:t>
      </w:r>
      <w:r w:rsidR="00A921C5" w:rsidRPr="00783571">
        <w:t>7</w:t>
      </w:r>
      <w:r w:rsidR="008F1692" w:rsidRPr="00783571">
        <w:t>]</w:t>
      </w:r>
      <w:r w:rsidRPr="00783571">
        <w:t xml:space="preserve">) across all </w:t>
      </w:r>
      <w:r w:rsidRPr="00783571">
        <w:rPr>
          <w:i/>
          <w:iCs/>
        </w:rPr>
        <w:t>p</w:t>
      </w:r>
      <w:r w:rsidRPr="00783571">
        <w:t xml:space="preserve">, </w:t>
      </w:r>
      <w:r w:rsidRPr="00783571">
        <w:rPr>
          <w:i/>
          <w:iCs/>
        </w:rPr>
        <w:t>h</w:t>
      </w:r>
      <w:r w:rsidRPr="00783571">
        <w:t xml:space="preserve">, </w:t>
      </w:r>
      <w:r w:rsidRPr="00783571">
        <w:rPr>
          <w:i/>
          <w:iCs/>
        </w:rPr>
        <w:t>g</w:t>
      </w:r>
      <w:r w:rsidRPr="00783571">
        <w:t xml:space="preserve">, and </w:t>
      </w:r>
      <w:r w:rsidRPr="00783571">
        <w:rPr>
          <w:i/>
          <w:iCs/>
        </w:rPr>
        <w:t>t</w:t>
      </w:r>
      <w:r w:rsidRPr="00783571">
        <w:t>.</w:t>
      </w:r>
    </w:p>
    <w:p w14:paraId="4DB8E0BD" w14:textId="77777777" w:rsidR="000F420A" w:rsidRPr="00783571" w:rsidRDefault="000D460B" w:rsidP="00056A62">
      <w:pPr>
        <w:pStyle w:val="Heading4"/>
      </w:pPr>
      <w:r w:rsidRPr="00783571">
        <w:t>Cost</w:t>
      </w:r>
      <w:r w:rsidR="00535BFD" w:rsidRPr="00783571">
        <w:t>s</w:t>
      </w:r>
      <w:r w:rsidRPr="00783571">
        <w:t xml:space="preserve"> of Testing</w:t>
      </w:r>
    </w:p>
    <w:p w14:paraId="48929078" w14:textId="75A938D0" w:rsidR="000D460B" w:rsidRPr="00783571" w:rsidRDefault="00450AC8" w:rsidP="008B30F8">
      <w:pPr>
        <w:pStyle w:val="equation"/>
        <w:spacing w:line="360" w:lineRule="atLeast"/>
        <w:ind w:left="720"/>
        <w:rPr>
          <w:lang w:val="en-US"/>
        </w:rPr>
      </w:pPr>
      <w:r w:rsidRPr="00783571">
        <w:rPr>
          <w:lang w:val="en-US"/>
        </w:rPr>
        <w:t xml:space="preserve">Cost of testing </w:t>
      </w:r>
      <w:r w:rsidR="006366A3" w:rsidRPr="00783571">
        <w:rPr>
          <w:lang w:val="en-US"/>
        </w:rPr>
        <w:t xml:space="preserve">individuals with HIV status </w:t>
      </w:r>
      <w:r w:rsidR="006366A3" w:rsidRPr="00783571">
        <w:rPr>
          <w:i/>
          <w:iCs/>
          <w:lang w:val="en-US"/>
        </w:rPr>
        <w:t>h</w:t>
      </w:r>
      <w:r w:rsidR="006366A3" w:rsidRPr="00783571">
        <w:rPr>
          <w:lang w:val="en-US"/>
        </w:rPr>
        <w:t xml:space="preserve"> in </w:t>
      </w:r>
      <w:r w:rsidRPr="00783571">
        <w:rPr>
          <w:i/>
          <w:iCs/>
          <w:lang w:val="en-US"/>
        </w:rPr>
        <w:t>p</w:t>
      </w:r>
      <w:r w:rsidRPr="00783571">
        <w:rPr>
          <w:lang w:val="en-US"/>
        </w:rPr>
        <w:t xml:space="preserve"> </w:t>
      </w:r>
      <w:r w:rsidR="006366A3" w:rsidRPr="00783571">
        <w:rPr>
          <w:lang w:val="en-US"/>
        </w:rPr>
        <w:t xml:space="preserve">taking test type </w:t>
      </w:r>
      <w:r w:rsidR="006366A3" w:rsidRPr="00783571">
        <w:rPr>
          <w:i/>
          <w:iCs/>
          <w:lang w:val="en-US"/>
        </w:rPr>
        <w:t>g</w:t>
      </w:r>
      <w:r w:rsidR="006366A3" w:rsidRPr="00783571">
        <w:rPr>
          <w:lang w:val="en-US"/>
        </w:rPr>
        <w:t xml:space="preserve">, </w:t>
      </w:r>
      <w:r w:rsidRPr="00783571">
        <w:rPr>
          <w:lang w:val="en-US"/>
        </w:rPr>
        <w:t xml:space="preserve">at time </w:t>
      </w:r>
      <w:r w:rsidRPr="00783571">
        <w:rPr>
          <w:i/>
          <w:iCs/>
          <w:lang w:val="en-US"/>
        </w:rPr>
        <w:t>t</w:t>
      </w:r>
      <w:r w:rsidRPr="00783571">
        <w:rPr>
          <w:lang w:val="en-US"/>
        </w:rPr>
        <w:t xml:space="preserve"> =</w:t>
      </w:r>
      <w:r w:rsidR="008B30F8" w:rsidRPr="00783571">
        <w:rPr>
          <w:lang w:val="en-US"/>
        </w:rPr>
        <w:t xml:space="preserve"> </w:t>
      </w:r>
      <w:r w:rsidR="006C6D1C" w:rsidRPr="00783571">
        <w:rPr>
          <w:lang w:val="en-US"/>
        </w:rPr>
        <w:t>(</w:t>
      </w:r>
      <w:r w:rsidRPr="00783571">
        <w:rPr>
          <w:lang w:val="en-US"/>
        </w:rPr>
        <w:t>[</w:t>
      </w:r>
      <w:r w:rsidR="006366A3" w:rsidRPr="00783571">
        <w:rPr>
          <w:lang w:val="en-US"/>
        </w:rPr>
        <w:t xml:space="preserve">Number of positive tests of </w:t>
      </w:r>
      <w:r w:rsidR="005F5C70" w:rsidRPr="00783571">
        <w:rPr>
          <w:lang w:val="en-US"/>
        </w:rPr>
        <w:t>HIV-infected</w:t>
      </w:r>
      <w:r w:rsidR="006366A3" w:rsidRPr="00783571">
        <w:rPr>
          <w:lang w:val="en-US"/>
        </w:rPr>
        <w:t xml:space="preserve"> individuals in </w:t>
      </w:r>
      <w:r w:rsidR="006366A3" w:rsidRPr="00783571">
        <w:rPr>
          <w:i/>
          <w:iCs/>
          <w:lang w:val="en-US"/>
        </w:rPr>
        <w:t>p</w:t>
      </w:r>
      <w:r w:rsidR="006366A3" w:rsidRPr="00783571">
        <w:rPr>
          <w:lang w:val="en-US"/>
        </w:rPr>
        <w:t xml:space="preserve"> with HIV status </w:t>
      </w:r>
      <w:r w:rsidR="006366A3" w:rsidRPr="00783571">
        <w:rPr>
          <w:i/>
          <w:lang w:val="en-US"/>
        </w:rPr>
        <w:t>h</w:t>
      </w:r>
      <w:r w:rsidR="006C6D1C" w:rsidRPr="00783571">
        <w:rPr>
          <w:i/>
          <w:lang w:val="en-US"/>
        </w:rPr>
        <w:t xml:space="preserve"> </w:t>
      </w:r>
      <w:r w:rsidR="006C6D1C" w:rsidRPr="00783571">
        <w:rPr>
          <w:iCs/>
          <w:lang w:val="en-US"/>
        </w:rPr>
        <w:t>= {1 to 5}</w:t>
      </w:r>
      <w:r w:rsidR="006366A3" w:rsidRPr="00783571">
        <w:rPr>
          <w:lang w:val="en-US"/>
        </w:rPr>
        <w:t xml:space="preserve">, taking test type </w:t>
      </w:r>
      <w:r w:rsidR="006366A3" w:rsidRPr="00783571">
        <w:rPr>
          <w:i/>
          <w:iCs/>
          <w:lang w:val="en-US"/>
        </w:rPr>
        <w:t>g</w:t>
      </w:r>
      <w:r w:rsidR="006366A3" w:rsidRPr="00783571">
        <w:rPr>
          <w:lang w:val="en-US"/>
        </w:rPr>
        <w:t xml:space="preserve">, at time </w:t>
      </w:r>
      <w:r w:rsidR="006366A3" w:rsidRPr="00783571">
        <w:rPr>
          <w:i/>
          <w:lang w:val="en-US"/>
        </w:rPr>
        <w:t>t</w:t>
      </w:r>
      <w:r w:rsidRPr="00783571">
        <w:rPr>
          <w:lang w:val="en-US"/>
        </w:rPr>
        <w:t>]</w:t>
      </w:r>
      <w:r w:rsidR="006366A3" w:rsidRPr="00783571">
        <w:rPr>
          <w:lang w:val="en-US"/>
        </w:rPr>
        <w:t xml:space="preserve"> </w:t>
      </w:r>
      <w:r w:rsidRPr="00783571">
        <w:rPr>
          <w:lang w:val="en-US"/>
        </w:rPr>
        <w:t xml:space="preserve">x </w:t>
      </w:r>
      <w:r w:rsidR="006366A3" w:rsidRPr="00783571">
        <w:rPr>
          <w:lang w:val="en-US"/>
        </w:rPr>
        <w:t>[(</w:t>
      </w:r>
      <w:r w:rsidRPr="00783571">
        <w:rPr>
          <w:lang w:val="en-US"/>
        </w:rPr>
        <w:t>Cost of positive test</w:t>
      </w:r>
      <w:r w:rsidR="006366A3" w:rsidRPr="00783571">
        <w:rPr>
          <w:lang w:val="en-US"/>
        </w:rPr>
        <w:t xml:space="preserve"> type </w:t>
      </w:r>
      <w:r w:rsidR="006366A3" w:rsidRPr="00783571">
        <w:rPr>
          <w:i/>
          <w:iCs/>
          <w:lang w:val="en-US"/>
        </w:rPr>
        <w:t>g</w:t>
      </w:r>
      <w:r w:rsidRPr="00783571">
        <w:rPr>
          <w:lang w:val="en-US"/>
        </w:rPr>
        <w:t xml:space="preserve"> at </w:t>
      </w:r>
      <w:r w:rsidRPr="00783571">
        <w:rPr>
          <w:i/>
          <w:lang w:val="en-US"/>
        </w:rPr>
        <w:t>t</w:t>
      </w:r>
      <w:r w:rsidR="006366A3" w:rsidRPr="00783571">
        <w:rPr>
          <w:lang w:val="en-US"/>
        </w:rPr>
        <w:t>)</w:t>
      </w:r>
      <w:r w:rsidRPr="00783571">
        <w:rPr>
          <w:lang w:val="en-US"/>
        </w:rPr>
        <w:t xml:space="preserve"> </w:t>
      </w:r>
      <w:r w:rsidR="006366A3" w:rsidRPr="00783571">
        <w:rPr>
          <w:lang w:val="en-US"/>
        </w:rPr>
        <w:t>+ (</w:t>
      </w:r>
      <w:r w:rsidRPr="00783571">
        <w:rPr>
          <w:lang w:val="en-US"/>
        </w:rPr>
        <w:t xml:space="preserve">1 </w:t>
      </w:r>
      <w:r w:rsidR="001F5372" w:rsidRPr="00783571">
        <w:rPr>
          <w:lang w:val="en-US"/>
        </w:rPr>
        <w:t>−</w:t>
      </w:r>
      <w:r w:rsidRPr="00783571">
        <w:rPr>
          <w:lang w:val="en-US"/>
        </w:rPr>
        <w:t xml:space="preserve"> </w:t>
      </w:r>
      <w:r w:rsidR="006366A3" w:rsidRPr="00783571">
        <w:rPr>
          <w:lang w:val="en-US"/>
        </w:rPr>
        <w:t>[</w:t>
      </w:r>
      <w:r w:rsidRPr="00783571">
        <w:rPr>
          <w:lang w:val="en-US"/>
        </w:rPr>
        <w:t>Test sensitivity of confirmatory screen</w:t>
      </w:r>
      <w:r w:rsidR="006366A3" w:rsidRPr="00783571">
        <w:rPr>
          <w:lang w:val="en-US"/>
        </w:rPr>
        <w:t>,</w:t>
      </w:r>
      <w:r w:rsidRPr="00783571">
        <w:rPr>
          <w:lang w:val="en-US"/>
        </w:rPr>
        <w:t xml:space="preserve"> </w:t>
      </w:r>
      <w:r w:rsidR="006366A3" w:rsidRPr="00783571">
        <w:rPr>
          <w:lang w:val="en-US"/>
        </w:rPr>
        <w:t>by</w:t>
      </w:r>
      <w:r w:rsidRPr="00783571">
        <w:rPr>
          <w:lang w:val="en-US"/>
        </w:rPr>
        <w:t xml:space="preserve"> HIV status </w:t>
      </w:r>
      <w:r w:rsidRPr="00783571">
        <w:rPr>
          <w:i/>
          <w:lang w:val="en-US"/>
        </w:rPr>
        <w:t>h</w:t>
      </w:r>
      <w:r w:rsidR="006366A3" w:rsidRPr="00783571">
        <w:rPr>
          <w:lang w:val="en-US"/>
        </w:rPr>
        <w:t>]) x (Cost of NAT</w:t>
      </w:r>
      <w:r w:rsidRPr="00783571">
        <w:rPr>
          <w:lang w:val="en-US"/>
        </w:rPr>
        <w:t>)</w:t>
      </w:r>
      <w:r w:rsidR="006366A3" w:rsidRPr="00783571">
        <w:rPr>
          <w:lang w:val="en-US"/>
        </w:rPr>
        <w:t>]</w:t>
      </w:r>
      <w:r w:rsidR="006C6D1C" w:rsidRPr="00783571">
        <w:rPr>
          <w:lang w:val="en-US"/>
        </w:rPr>
        <w:t xml:space="preserve"> </w:t>
      </w:r>
      <w:r w:rsidR="00056A62" w:rsidRPr="00783571">
        <w:rPr>
          <w:lang w:val="en-US"/>
        </w:rPr>
        <w:br/>
      </w:r>
      <w:r w:rsidR="006C6D1C" w:rsidRPr="00783571">
        <w:rPr>
          <w:lang w:val="en-US"/>
        </w:rPr>
        <w:t xml:space="preserve">+ [Number of negative tests of individuals in </w:t>
      </w:r>
      <w:r w:rsidR="006C6D1C" w:rsidRPr="00783571">
        <w:rPr>
          <w:i/>
          <w:iCs/>
          <w:lang w:val="en-US"/>
        </w:rPr>
        <w:t>p</w:t>
      </w:r>
      <w:r w:rsidR="006C6D1C" w:rsidRPr="00783571">
        <w:rPr>
          <w:lang w:val="en-US"/>
        </w:rPr>
        <w:t xml:space="preserve"> with HIV status </w:t>
      </w:r>
      <w:r w:rsidR="006C6D1C" w:rsidRPr="00783571">
        <w:rPr>
          <w:i/>
          <w:iCs/>
          <w:lang w:val="en-US"/>
        </w:rPr>
        <w:t>h</w:t>
      </w:r>
      <w:r w:rsidR="006C6D1C" w:rsidRPr="00783571">
        <w:rPr>
          <w:lang w:val="en-US"/>
        </w:rPr>
        <w:t xml:space="preserve">, taking test type </w:t>
      </w:r>
      <w:r w:rsidR="006C6D1C" w:rsidRPr="00783571">
        <w:rPr>
          <w:i/>
          <w:iCs/>
          <w:lang w:val="en-US"/>
        </w:rPr>
        <w:t>g</w:t>
      </w:r>
      <w:r w:rsidR="006C6D1C" w:rsidRPr="00783571">
        <w:rPr>
          <w:lang w:val="en-US"/>
        </w:rPr>
        <w:t xml:space="preserve">, at time </w:t>
      </w:r>
      <w:r w:rsidR="006C6D1C" w:rsidRPr="00783571">
        <w:rPr>
          <w:i/>
          <w:lang w:val="en-US"/>
        </w:rPr>
        <w:t>t</w:t>
      </w:r>
      <w:r w:rsidR="006C6D1C" w:rsidRPr="00783571">
        <w:rPr>
          <w:iCs/>
          <w:lang w:val="en-US"/>
        </w:rPr>
        <w:t>]</w:t>
      </w:r>
      <w:r w:rsidR="006C6D1C" w:rsidRPr="00783571">
        <w:rPr>
          <w:lang w:val="en-US"/>
        </w:rPr>
        <w:t xml:space="preserve"> x [(Cost of negative test type </w:t>
      </w:r>
      <w:r w:rsidR="006C6D1C" w:rsidRPr="00783571">
        <w:rPr>
          <w:i/>
          <w:iCs/>
          <w:lang w:val="en-US"/>
        </w:rPr>
        <w:t>g</w:t>
      </w:r>
      <w:r w:rsidR="006C6D1C" w:rsidRPr="00783571">
        <w:rPr>
          <w:lang w:val="en-US"/>
        </w:rPr>
        <w:t xml:space="preserve"> at </w:t>
      </w:r>
      <w:r w:rsidR="006C6D1C" w:rsidRPr="00783571">
        <w:rPr>
          <w:i/>
          <w:lang w:val="en-US"/>
        </w:rPr>
        <w:t>t</w:t>
      </w:r>
      <w:r w:rsidR="006C6D1C" w:rsidRPr="00783571">
        <w:rPr>
          <w:lang w:val="en-US"/>
        </w:rPr>
        <w:t>)</w:t>
      </w:r>
      <w:r w:rsidR="00056A62" w:rsidRPr="00783571">
        <w:rPr>
          <w:lang w:val="en-US"/>
        </w:rPr>
        <w:t>]</w:t>
      </w:r>
      <w:r w:rsidR="008B30F8" w:rsidRPr="00783571">
        <w:rPr>
          <w:lang w:val="en-US"/>
        </w:rPr>
        <w:t xml:space="preserve"> </w:t>
      </w:r>
      <w:r w:rsidR="00056A62" w:rsidRPr="00783571">
        <w:rPr>
          <w:lang w:val="en-US"/>
        </w:rPr>
        <w:br/>
      </w:r>
      <w:r w:rsidR="006C6D1C" w:rsidRPr="00783571">
        <w:rPr>
          <w:lang w:val="en-US"/>
        </w:rPr>
        <w:t>+ [Outreach cost per test, if applicable])</w:t>
      </w:r>
      <w:r w:rsidR="006C6D1C" w:rsidRPr="00783571">
        <w:rPr>
          <w:iCs/>
          <w:lang w:val="en-US"/>
        </w:rPr>
        <w:t xml:space="preserve"> </w:t>
      </w:r>
      <w:r w:rsidR="006C6D1C" w:rsidRPr="00783571">
        <w:rPr>
          <w:lang w:val="en-US"/>
        </w:rPr>
        <w:t>x (D</w:t>
      </w:r>
      <w:r w:rsidR="000D460B" w:rsidRPr="00783571">
        <w:rPr>
          <w:lang w:val="en-US"/>
        </w:rPr>
        <w:t xml:space="preserve">iscount </w:t>
      </w:r>
      <w:r w:rsidR="008F4292" w:rsidRPr="00783571">
        <w:rPr>
          <w:lang w:val="en-US"/>
        </w:rPr>
        <w:t>factor</w:t>
      </w:r>
      <w:r w:rsidR="005654D9" w:rsidRPr="00783571">
        <w:rPr>
          <w:lang w:val="en-US"/>
        </w:rPr>
        <w:t xml:space="preserve"> </w:t>
      </w:r>
      <w:r w:rsidR="000D460B" w:rsidRPr="00783571">
        <w:rPr>
          <w:lang w:val="en-US"/>
        </w:rPr>
        <w:t xml:space="preserve">at </w:t>
      </w:r>
      <w:r w:rsidR="000D460B" w:rsidRPr="00783571">
        <w:rPr>
          <w:i/>
          <w:lang w:val="en-US"/>
        </w:rPr>
        <w:t>t</w:t>
      </w:r>
      <w:r w:rsidR="000D460B" w:rsidRPr="00783571">
        <w:rPr>
          <w:lang w:val="en-US"/>
        </w:rPr>
        <w:t>)</w:t>
      </w:r>
      <w:r w:rsidR="00056A62" w:rsidRPr="00783571">
        <w:rPr>
          <w:lang w:val="en-US"/>
        </w:rPr>
        <w:t xml:space="preserve"> </w:t>
      </w:r>
      <w:r w:rsidR="00056A62" w:rsidRPr="00783571">
        <w:rPr>
          <w:lang w:val="en-US"/>
        </w:rPr>
        <w:br/>
        <w:t xml:space="preserve">for all </w:t>
      </w:r>
      <w:r w:rsidR="00056A62" w:rsidRPr="00783571">
        <w:rPr>
          <w:i/>
          <w:iCs/>
          <w:lang w:val="en-US"/>
        </w:rPr>
        <w:t>h</w:t>
      </w:r>
      <w:r w:rsidR="00056A62" w:rsidRPr="00783571">
        <w:rPr>
          <w:lang w:val="en-US"/>
        </w:rPr>
        <w:t xml:space="preserve">, </w:t>
      </w:r>
      <w:r w:rsidR="00056A62" w:rsidRPr="00783571">
        <w:rPr>
          <w:i/>
          <w:iCs/>
          <w:lang w:val="en-US"/>
        </w:rPr>
        <w:t>p</w:t>
      </w:r>
      <w:r w:rsidR="00056A62" w:rsidRPr="00783571">
        <w:rPr>
          <w:lang w:val="en-US"/>
        </w:rPr>
        <w:t xml:space="preserve">, </w:t>
      </w:r>
      <w:r w:rsidR="00056A62" w:rsidRPr="00783571">
        <w:rPr>
          <w:i/>
          <w:iCs/>
          <w:lang w:val="en-US"/>
        </w:rPr>
        <w:t>g</w:t>
      </w:r>
      <w:r w:rsidR="00056A62" w:rsidRPr="00783571">
        <w:rPr>
          <w:lang w:val="en-US"/>
        </w:rPr>
        <w:t xml:space="preserve">, and </w:t>
      </w:r>
      <w:r w:rsidR="00056A62" w:rsidRPr="00783571">
        <w:rPr>
          <w:i/>
          <w:iCs/>
          <w:lang w:val="en-US"/>
        </w:rPr>
        <w:t>t</w:t>
      </w:r>
      <w:r w:rsidR="0051126D" w:rsidRPr="00783571">
        <w:rPr>
          <w:i/>
          <w:iCs/>
          <w:lang w:val="en-US"/>
        </w:rPr>
        <w:t>.</w:t>
      </w:r>
      <w:r w:rsidR="006C6D1C" w:rsidRPr="00783571">
        <w:rPr>
          <w:lang w:val="en-US"/>
        </w:rPr>
        <w:tab/>
      </w:r>
      <w:r w:rsidR="006C6D1C" w:rsidRPr="00783571">
        <w:rPr>
          <w:lang w:val="en-US"/>
        </w:rPr>
        <w:tab/>
      </w:r>
      <w:r w:rsidR="00903B31" w:rsidRPr="00783571">
        <w:rPr>
          <w:lang w:val="en-US"/>
        </w:rPr>
        <w:t>(10.</w:t>
      </w:r>
      <w:r w:rsidR="00A921C5" w:rsidRPr="00783571">
        <w:rPr>
          <w:lang w:val="en-US"/>
        </w:rPr>
        <w:t>8</w:t>
      </w:r>
      <w:r w:rsidR="006C6D1C" w:rsidRPr="00783571">
        <w:rPr>
          <w:lang w:val="en-US"/>
        </w:rPr>
        <w:t>)</w:t>
      </w:r>
    </w:p>
    <w:p w14:paraId="39BD3551" w14:textId="2D790D20" w:rsidR="008E5FDD" w:rsidRPr="00783571" w:rsidRDefault="00535BFD" w:rsidP="008F1692">
      <w:pPr>
        <w:pStyle w:val="BodyText"/>
      </w:pPr>
      <w:r w:rsidRPr="00783571">
        <w:t xml:space="preserve">The total cost of testing is the sum of the cost of testing </w:t>
      </w:r>
      <w:r w:rsidR="00056A62" w:rsidRPr="00783571">
        <w:t xml:space="preserve">(calculated using </w:t>
      </w:r>
      <w:r w:rsidR="00CC1DD7" w:rsidRPr="00783571">
        <w:t>Equation [10.</w:t>
      </w:r>
      <w:r w:rsidR="00A921C5" w:rsidRPr="00783571">
        <w:t>8</w:t>
      </w:r>
      <w:r w:rsidR="008F1692" w:rsidRPr="00783571">
        <w:t>]</w:t>
      </w:r>
      <w:r w:rsidR="00056A62" w:rsidRPr="00783571">
        <w:t xml:space="preserve">) </w:t>
      </w:r>
      <w:r w:rsidRPr="00783571">
        <w:t xml:space="preserve">across all </w:t>
      </w:r>
      <w:r w:rsidR="00056A62" w:rsidRPr="00783571">
        <w:rPr>
          <w:i/>
          <w:iCs/>
        </w:rPr>
        <w:t>h</w:t>
      </w:r>
      <w:r w:rsidRPr="00783571">
        <w:t xml:space="preserve">, </w:t>
      </w:r>
      <w:r w:rsidR="00056A62" w:rsidRPr="00783571">
        <w:rPr>
          <w:i/>
          <w:iCs/>
        </w:rPr>
        <w:t>p</w:t>
      </w:r>
      <w:r w:rsidRPr="00783571">
        <w:t xml:space="preserve">, </w:t>
      </w:r>
      <w:r w:rsidRPr="00783571">
        <w:rPr>
          <w:i/>
          <w:iCs/>
        </w:rPr>
        <w:t>g</w:t>
      </w:r>
      <w:r w:rsidRPr="00783571">
        <w:t xml:space="preserve">, and </w:t>
      </w:r>
      <w:r w:rsidRPr="00783571">
        <w:rPr>
          <w:i/>
          <w:iCs/>
        </w:rPr>
        <w:t>t</w:t>
      </w:r>
      <w:r w:rsidRPr="00783571">
        <w:t>.</w:t>
      </w:r>
    </w:p>
    <w:p w14:paraId="2AB34995" w14:textId="77777777" w:rsidR="00E50D5E" w:rsidRPr="00783571" w:rsidRDefault="00E50D5E" w:rsidP="00535BFD">
      <w:pPr>
        <w:pStyle w:val="Heading4"/>
      </w:pPr>
      <w:r w:rsidRPr="00783571">
        <w:t>Notification Costs</w:t>
      </w:r>
    </w:p>
    <w:p w14:paraId="3B1A94D9" w14:textId="2B366851" w:rsidR="00535BFD" w:rsidRPr="00783571" w:rsidRDefault="00535BFD" w:rsidP="008B30F8">
      <w:pPr>
        <w:pStyle w:val="equation"/>
        <w:spacing w:line="360" w:lineRule="atLeast"/>
        <w:ind w:left="720"/>
        <w:rPr>
          <w:lang w:val="en-US"/>
        </w:rPr>
      </w:pPr>
      <w:r w:rsidRPr="00783571">
        <w:rPr>
          <w:lang w:val="en-US"/>
        </w:rPr>
        <w:t>Cost of notification</w:t>
      </w:r>
      <w:r w:rsidR="00F56109" w:rsidRPr="00783571">
        <w:rPr>
          <w:lang w:val="en-US"/>
        </w:rPr>
        <w:t xml:space="preserve"> of HIV test results for individuals in </w:t>
      </w:r>
      <w:r w:rsidR="00F56109" w:rsidRPr="00783571">
        <w:rPr>
          <w:i/>
          <w:iCs/>
          <w:lang w:val="en-US"/>
        </w:rPr>
        <w:t>p</w:t>
      </w:r>
      <w:r w:rsidR="00F56109" w:rsidRPr="00783571">
        <w:rPr>
          <w:lang w:val="en-US"/>
        </w:rPr>
        <w:t xml:space="preserve"> with HIV status </w:t>
      </w:r>
      <w:r w:rsidR="00F56109" w:rsidRPr="00783571">
        <w:rPr>
          <w:i/>
          <w:iCs/>
          <w:lang w:val="en-US"/>
        </w:rPr>
        <w:t>h</w:t>
      </w:r>
      <w:r w:rsidR="00F56109" w:rsidRPr="00783571">
        <w:rPr>
          <w:lang w:val="en-US"/>
        </w:rPr>
        <w:t xml:space="preserve"> taking test type </w:t>
      </w:r>
      <w:r w:rsidR="00F56109" w:rsidRPr="00783571">
        <w:rPr>
          <w:i/>
          <w:iCs/>
          <w:lang w:val="en-US"/>
        </w:rPr>
        <w:t>g</w:t>
      </w:r>
      <w:r w:rsidR="00F56109" w:rsidRPr="00783571">
        <w:rPr>
          <w:lang w:val="en-US"/>
        </w:rPr>
        <w:t xml:space="preserve"> at time </w:t>
      </w:r>
      <w:r w:rsidR="00F56109" w:rsidRPr="00783571">
        <w:rPr>
          <w:i/>
          <w:iCs/>
          <w:lang w:val="en-US"/>
        </w:rPr>
        <w:t>t</w:t>
      </w:r>
      <w:r w:rsidRPr="00783571">
        <w:rPr>
          <w:lang w:val="en-US"/>
        </w:rPr>
        <w:t xml:space="preserve"> = </w:t>
      </w:r>
      <w:r w:rsidR="00F56109" w:rsidRPr="00783571">
        <w:rPr>
          <w:lang w:val="en-US"/>
        </w:rPr>
        <w:t xml:space="preserve">(Probability of notification, by p and test type </w:t>
      </w:r>
      <w:r w:rsidR="00F56109" w:rsidRPr="00783571">
        <w:rPr>
          <w:i/>
          <w:iCs/>
          <w:lang w:val="en-US"/>
        </w:rPr>
        <w:t>g</w:t>
      </w:r>
      <w:r w:rsidR="00F56109" w:rsidRPr="00783571">
        <w:rPr>
          <w:lang w:val="en-US"/>
        </w:rPr>
        <w:t>, at time t)</w:t>
      </w:r>
      <w:r w:rsidR="00056A62" w:rsidRPr="00783571">
        <w:rPr>
          <w:lang w:val="en-US"/>
        </w:rPr>
        <w:br/>
      </w:r>
      <w:r w:rsidRPr="00783571">
        <w:rPr>
          <w:lang w:val="en-US"/>
        </w:rPr>
        <w:t>x ([</w:t>
      </w:r>
      <w:r w:rsidR="00F56109" w:rsidRPr="00783571">
        <w:rPr>
          <w:lang w:val="en-US"/>
        </w:rPr>
        <w:t xml:space="preserve">Number of positive tests </w:t>
      </w:r>
      <w:r w:rsidR="00457B8E" w:rsidRPr="00783571">
        <w:rPr>
          <w:lang w:val="en-US"/>
        </w:rPr>
        <w:t xml:space="preserve">of </w:t>
      </w:r>
      <w:r w:rsidR="00F56109" w:rsidRPr="00783571">
        <w:rPr>
          <w:lang w:val="en-US"/>
        </w:rPr>
        <w:t xml:space="preserve">individuals in </w:t>
      </w:r>
      <w:r w:rsidR="00F56109" w:rsidRPr="00783571">
        <w:rPr>
          <w:i/>
          <w:iCs/>
          <w:lang w:val="en-US"/>
        </w:rPr>
        <w:t>p</w:t>
      </w:r>
      <w:r w:rsidR="00F56109" w:rsidRPr="00783571">
        <w:rPr>
          <w:lang w:val="en-US"/>
        </w:rPr>
        <w:t xml:space="preserve"> with HIV status </w:t>
      </w:r>
      <w:r w:rsidR="00F56109" w:rsidRPr="00783571">
        <w:rPr>
          <w:i/>
          <w:lang w:val="en-US"/>
        </w:rPr>
        <w:t>h</w:t>
      </w:r>
      <w:r w:rsidR="00F56109" w:rsidRPr="00783571">
        <w:rPr>
          <w:lang w:val="en-US"/>
        </w:rPr>
        <w:t xml:space="preserve">, taking test type </w:t>
      </w:r>
      <w:r w:rsidR="00F56109" w:rsidRPr="00783571">
        <w:rPr>
          <w:i/>
          <w:iCs/>
          <w:lang w:val="en-US"/>
        </w:rPr>
        <w:t>g</w:t>
      </w:r>
      <w:r w:rsidR="00F56109" w:rsidRPr="00783571">
        <w:rPr>
          <w:lang w:val="en-US"/>
        </w:rPr>
        <w:t xml:space="preserve">, at time </w:t>
      </w:r>
      <w:r w:rsidR="00F56109" w:rsidRPr="00783571">
        <w:rPr>
          <w:i/>
          <w:lang w:val="en-US"/>
        </w:rPr>
        <w:t>t</w:t>
      </w:r>
      <w:r w:rsidRPr="00783571">
        <w:rPr>
          <w:lang w:val="en-US"/>
        </w:rPr>
        <w:t xml:space="preserve">] x [Cost of notification of positive </w:t>
      </w:r>
      <w:r w:rsidR="00F56109" w:rsidRPr="00783571">
        <w:rPr>
          <w:lang w:val="en-US"/>
        </w:rPr>
        <w:t xml:space="preserve">results from test type </w:t>
      </w:r>
      <w:r w:rsidR="00F56109" w:rsidRPr="00783571">
        <w:rPr>
          <w:i/>
          <w:iCs/>
          <w:lang w:val="en-US"/>
        </w:rPr>
        <w:t>g</w:t>
      </w:r>
      <w:r w:rsidRPr="00783571">
        <w:rPr>
          <w:lang w:val="en-US"/>
        </w:rPr>
        <w:t>] + [</w:t>
      </w:r>
      <w:r w:rsidR="00F56109" w:rsidRPr="00783571">
        <w:rPr>
          <w:lang w:val="en-US"/>
        </w:rPr>
        <w:t xml:space="preserve">Number of negative tests of individuals in </w:t>
      </w:r>
      <w:r w:rsidR="00F56109" w:rsidRPr="00783571">
        <w:rPr>
          <w:i/>
          <w:iCs/>
          <w:lang w:val="en-US"/>
        </w:rPr>
        <w:t>p</w:t>
      </w:r>
      <w:r w:rsidR="00F56109" w:rsidRPr="00783571">
        <w:rPr>
          <w:lang w:val="en-US"/>
        </w:rPr>
        <w:t xml:space="preserve"> with HIV status </w:t>
      </w:r>
      <w:r w:rsidR="00F56109" w:rsidRPr="00783571">
        <w:rPr>
          <w:i/>
          <w:iCs/>
          <w:lang w:val="en-US"/>
        </w:rPr>
        <w:t>h</w:t>
      </w:r>
      <w:r w:rsidR="00F56109" w:rsidRPr="00783571">
        <w:rPr>
          <w:lang w:val="en-US"/>
        </w:rPr>
        <w:t xml:space="preserve">, taking test type </w:t>
      </w:r>
      <w:r w:rsidR="00F56109" w:rsidRPr="00783571">
        <w:rPr>
          <w:i/>
          <w:iCs/>
          <w:lang w:val="en-US"/>
        </w:rPr>
        <w:t>g</w:t>
      </w:r>
      <w:r w:rsidR="00F56109" w:rsidRPr="00783571">
        <w:rPr>
          <w:lang w:val="en-US"/>
        </w:rPr>
        <w:t xml:space="preserve">, at time </w:t>
      </w:r>
      <w:r w:rsidR="00F56109" w:rsidRPr="00783571">
        <w:rPr>
          <w:i/>
          <w:lang w:val="en-US"/>
        </w:rPr>
        <w:t>t</w:t>
      </w:r>
      <w:r w:rsidRPr="00783571">
        <w:rPr>
          <w:lang w:val="en-US"/>
        </w:rPr>
        <w:t xml:space="preserve">] x [Cost of notification of negative </w:t>
      </w:r>
      <w:r w:rsidR="00F56109" w:rsidRPr="00783571">
        <w:rPr>
          <w:lang w:val="en-US"/>
        </w:rPr>
        <w:t xml:space="preserve">results from test type </w:t>
      </w:r>
      <w:r w:rsidR="00F56109" w:rsidRPr="00783571">
        <w:rPr>
          <w:i/>
          <w:iCs/>
          <w:lang w:val="en-US"/>
        </w:rPr>
        <w:t>g</w:t>
      </w:r>
      <w:r w:rsidRPr="00783571">
        <w:rPr>
          <w:lang w:val="en-US"/>
        </w:rPr>
        <w:t xml:space="preserve">]) </w:t>
      </w:r>
      <w:r w:rsidR="00F56109" w:rsidRPr="00783571">
        <w:rPr>
          <w:lang w:val="en-US"/>
        </w:rPr>
        <w:t>x (</w:t>
      </w:r>
      <w:r w:rsidRPr="00783571">
        <w:rPr>
          <w:lang w:val="en-US"/>
        </w:rPr>
        <w:t xml:space="preserve">Discount </w:t>
      </w:r>
      <w:r w:rsidR="008F4292" w:rsidRPr="00783571">
        <w:rPr>
          <w:lang w:val="en-US"/>
        </w:rPr>
        <w:t xml:space="preserve">factor </w:t>
      </w:r>
      <w:r w:rsidRPr="00783571">
        <w:rPr>
          <w:lang w:val="en-US"/>
        </w:rPr>
        <w:t xml:space="preserve">at </w:t>
      </w:r>
      <w:r w:rsidRPr="00783571">
        <w:rPr>
          <w:i/>
          <w:lang w:val="en-US"/>
        </w:rPr>
        <w:t>t</w:t>
      </w:r>
      <w:r w:rsidRPr="00783571">
        <w:rPr>
          <w:lang w:val="en-US"/>
        </w:rPr>
        <w:t>)</w:t>
      </w:r>
      <w:r w:rsidR="00056A62" w:rsidRPr="00783571">
        <w:rPr>
          <w:lang w:val="en-US"/>
        </w:rPr>
        <w:br/>
        <w:t xml:space="preserve">for all </w:t>
      </w:r>
      <w:r w:rsidR="00056A62" w:rsidRPr="00783571">
        <w:rPr>
          <w:i/>
          <w:iCs/>
          <w:lang w:val="en-US"/>
        </w:rPr>
        <w:t>h</w:t>
      </w:r>
      <w:r w:rsidR="00056A62" w:rsidRPr="00783571">
        <w:rPr>
          <w:lang w:val="en-US"/>
        </w:rPr>
        <w:t xml:space="preserve">, </w:t>
      </w:r>
      <w:r w:rsidR="00056A62" w:rsidRPr="00783571">
        <w:rPr>
          <w:i/>
          <w:iCs/>
          <w:lang w:val="en-US"/>
        </w:rPr>
        <w:t>p</w:t>
      </w:r>
      <w:r w:rsidR="00056A62" w:rsidRPr="00783571">
        <w:rPr>
          <w:lang w:val="en-US"/>
        </w:rPr>
        <w:t xml:space="preserve">, </w:t>
      </w:r>
      <w:r w:rsidR="00056A62" w:rsidRPr="00783571">
        <w:rPr>
          <w:i/>
          <w:iCs/>
          <w:lang w:val="en-US"/>
        </w:rPr>
        <w:t>g</w:t>
      </w:r>
      <w:r w:rsidR="00056A62" w:rsidRPr="00783571">
        <w:rPr>
          <w:lang w:val="en-US"/>
        </w:rPr>
        <w:t xml:space="preserve">, and </w:t>
      </w:r>
      <w:r w:rsidR="00056A62" w:rsidRPr="00783571">
        <w:rPr>
          <w:i/>
          <w:iCs/>
          <w:lang w:val="en-US"/>
        </w:rPr>
        <w:t>t.</w:t>
      </w:r>
      <w:r w:rsidR="00F56109" w:rsidRPr="00783571">
        <w:rPr>
          <w:lang w:val="en-US"/>
        </w:rPr>
        <w:tab/>
      </w:r>
      <w:r w:rsidR="00F56109" w:rsidRPr="00783571">
        <w:rPr>
          <w:lang w:val="en-US"/>
        </w:rPr>
        <w:tab/>
      </w:r>
      <w:r w:rsidR="00903B31" w:rsidRPr="00783571">
        <w:rPr>
          <w:lang w:val="en-US"/>
        </w:rPr>
        <w:t>(10.</w:t>
      </w:r>
      <w:r w:rsidR="00A921C5" w:rsidRPr="00783571">
        <w:rPr>
          <w:lang w:val="en-US"/>
        </w:rPr>
        <w:t>9</w:t>
      </w:r>
      <w:r w:rsidR="00F56109" w:rsidRPr="00783571">
        <w:rPr>
          <w:lang w:val="en-US"/>
        </w:rPr>
        <w:t>)</w:t>
      </w:r>
    </w:p>
    <w:p w14:paraId="05CD19C2" w14:textId="23EBCE2A" w:rsidR="00F56109" w:rsidRPr="00783571" w:rsidRDefault="00F56109" w:rsidP="008F1692">
      <w:pPr>
        <w:pStyle w:val="BodyText"/>
      </w:pPr>
      <w:r w:rsidRPr="00783571">
        <w:t xml:space="preserve">The total notification cost is the sum of the cost of notification </w:t>
      </w:r>
      <w:r w:rsidR="00056A62" w:rsidRPr="00783571">
        <w:t xml:space="preserve">(calculated using </w:t>
      </w:r>
      <w:r w:rsidR="00CC1DD7" w:rsidRPr="00783571">
        <w:t>Equation [10.</w:t>
      </w:r>
      <w:r w:rsidR="00A921C5" w:rsidRPr="00783571">
        <w:t>9</w:t>
      </w:r>
      <w:r w:rsidR="008F1692" w:rsidRPr="00783571">
        <w:t>]</w:t>
      </w:r>
      <w:r w:rsidR="00056A62" w:rsidRPr="00783571">
        <w:t xml:space="preserve">) </w:t>
      </w:r>
      <w:r w:rsidRPr="00783571">
        <w:t xml:space="preserve">across all </w:t>
      </w:r>
      <w:r w:rsidR="00056A62" w:rsidRPr="00783571">
        <w:rPr>
          <w:i/>
          <w:iCs/>
        </w:rPr>
        <w:t>h</w:t>
      </w:r>
      <w:r w:rsidR="00056A62" w:rsidRPr="00783571">
        <w:t xml:space="preserve">, </w:t>
      </w:r>
      <w:r w:rsidR="00056A62" w:rsidRPr="00783571">
        <w:rPr>
          <w:i/>
          <w:iCs/>
        </w:rPr>
        <w:t>p</w:t>
      </w:r>
      <w:r w:rsidR="00056A62" w:rsidRPr="00783571">
        <w:t xml:space="preserve">, </w:t>
      </w:r>
      <w:r w:rsidR="00056A62" w:rsidRPr="00783571">
        <w:rPr>
          <w:i/>
          <w:iCs/>
        </w:rPr>
        <w:t>g</w:t>
      </w:r>
      <w:r w:rsidR="00056A62" w:rsidRPr="00783571">
        <w:t xml:space="preserve">, and </w:t>
      </w:r>
      <w:r w:rsidR="00056A62" w:rsidRPr="00783571">
        <w:rPr>
          <w:i/>
          <w:iCs/>
        </w:rPr>
        <w:t>t</w:t>
      </w:r>
      <w:r w:rsidRPr="00783571">
        <w:t>.</w:t>
      </w:r>
    </w:p>
    <w:p w14:paraId="2861E18C" w14:textId="77777777" w:rsidR="005E0E74" w:rsidRPr="00783571" w:rsidRDefault="00202595" w:rsidP="00056A62">
      <w:pPr>
        <w:pStyle w:val="Heading3"/>
      </w:pPr>
      <w:bookmarkStart w:id="117" w:name="_Toc510104482"/>
      <w:r w:rsidRPr="00783571">
        <w:t xml:space="preserve">HIV </w:t>
      </w:r>
      <w:r w:rsidR="008B30F8" w:rsidRPr="00783571">
        <w:t xml:space="preserve">Treatment </w:t>
      </w:r>
      <w:r w:rsidRPr="00783571">
        <w:t xml:space="preserve">and </w:t>
      </w:r>
      <w:r w:rsidR="008B30F8" w:rsidRPr="00783571">
        <w:t>Care Costs</w:t>
      </w:r>
      <w:bookmarkEnd w:id="117"/>
    </w:p>
    <w:p w14:paraId="4E1688EE" w14:textId="5981ADE8" w:rsidR="005E0E74" w:rsidRPr="00783571" w:rsidRDefault="005E0E74" w:rsidP="00A921C5">
      <w:pPr>
        <w:pStyle w:val="BodyText"/>
      </w:pPr>
      <w:r w:rsidRPr="00783571">
        <w:t>HIV treatment and care costs</w:t>
      </w:r>
      <w:r w:rsidR="00056A62" w:rsidRPr="00783571">
        <w:t xml:space="preserve">, listed in </w:t>
      </w:r>
      <w:r w:rsidR="00814158" w:rsidRPr="00783571">
        <w:t>Table </w:t>
      </w:r>
      <w:r w:rsidR="00CC1DD7" w:rsidRPr="00783571">
        <w:t>10.</w:t>
      </w:r>
      <w:r w:rsidR="00A921C5" w:rsidRPr="00783571">
        <w:t>4</w:t>
      </w:r>
      <w:r w:rsidR="00056A62" w:rsidRPr="00783571">
        <w:t>,</w:t>
      </w:r>
      <w:r w:rsidRPr="00783571">
        <w:t xml:space="preserve"> vary by </w:t>
      </w:r>
      <w:r w:rsidR="00056A62" w:rsidRPr="00783571">
        <w:t xml:space="preserve">both HIV status and </w:t>
      </w:r>
      <w:r w:rsidR="003F2DC6" w:rsidRPr="00783571">
        <w:t>care continuum</w:t>
      </w:r>
      <w:r w:rsidR="00056A62" w:rsidRPr="00783571">
        <w:t xml:space="preserve"> status</w:t>
      </w:r>
      <w:r w:rsidRPr="00783571">
        <w:t xml:space="preserve">. </w:t>
      </w:r>
      <w:r w:rsidR="0051126D" w:rsidRPr="00783571">
        <w:t xml:space="preserve">The total HIV treatment and care costs </w:t>
      </w:r>
      <w:r w:rsidR="00A921C5" w:rsidRPr="00783571">
        <w:t>accrued by the model</w:t>
      </w:r>
      <w:r w:rsidR="0051126D" w:rsidRPr="00783571">
        <w:t xml:space="preserve">ed population over the </w:t>
      </w:r>
      <w:r w:rsidR="00A921C5" w:rsidRPr="00783571">
        <w:t>outcome collection period are</w:t>
      </w:r>
      <w:r w:rsidR="0051126D" w:rsidRPr="00783571">
        <w:t xml:space="preserve"> calculated </w:t>
      </w:r>
      <w:r w:rsidR="00A921C5" w:rsidRPr="00783571">
        <w:t xml:space="preserve">by </w:t>
      </w:r>
      <w:r w:rsidR="0051126D" w:rsidRPr="00783571">
        <w:t xml:space="preserve">using Equation </w:t>
      </w:r>
      <w:r w:rsidR="00903B31" w:rsidRPr="00783571">
        <w:t>(10.</w:t>
      </w:r>
      <w:r w:rsidR="00A921C5" w:rsidRPr="00783571">
        <w:t>10</w:t>
      </w:r>
      <w:r w:rsidR="008B30F8" w:rsidRPr="00783571">
        <w:t>)</w:t>
      </w:r>
      <w:r w:rsidR="0051126D" w:rsidRPr="00783571">
        <w:t>.</w:t>
      </w:r>
    </w:p>
    <w:p w14:paraId="5306F27E" w14:textId="1268B0E2" w:rsidR="006F6153" w:rsidRPr="00783571" w:rsidRDefault="006F6153" w:rsidP="00626270">
      <w:pPr>
        <w:pStyle w:val="BodyText"/>
        <w:keepNext/>
      </w:pPr>
      <w:r w:rsidRPr="00783571">
        <w:t xml:space="preserve">Total treatment and care costs are calculated </w:t>
      </w:r>
      <w:r w:rsidR="00626270" w:rsidRPr="00783571">
        <w:t xml:space="preserve">using Equation </w:t>
      </w:r>
      <w:r w:rsidR="00903B31" w:rsidRPr="00783571">
        <w:t>(10.</w:t>
      </w:r>
      <w:r w:rsidR="00626270" w:rsidRPr="00783571">
        <w:t>10):</w:t>
      </w:r>
    </w:p>
    <w:p w14:paraId="4C919D12" w14:textId="55567F7A" w:rsidR="006F6153" w:rsidRPr="00783571" w:rsidRDefault="006F6153" w:rsidP="006F6153">
      <w:pPr>
        <w:pStyle w:val="equation"/>
        <w:rPr>
          <w:lang w:val="en-US"/>
          <w:oMath/>
        </w:rPr>
      </w:pPr>
      <w:r w:rsidRPr="00783571">
        <w:rPr>
          <w:lang w:val="en-US"/>
        </w:rPr>
        <w:tab/>
      </w:r>
      <m:oMath>
        <m:r>
          <m:rPr>
            <m:nor/>
          </m:rPr>
          <w:rPr>
            <w:rFonts w:ascii="Cambria Math" w:hAnsi="Cambria Math"/>
            <w:lang w:val="en-US"/>
          </w:rPr>
          <m:t xml:space="preserve">D = </m:t>
        </m:r>
        <m:nary>
          <m:naryPr>
            <m:chr m:val="∑"/>
            <m:limLoc m:val="undOvr"/>
            <m:supHide m:val="1"/>
            <m:ctrlPr>
              <w:rPr>
                <w:rFonts w:ascii="Cambria Math" w:hAnsi="Cambria Math"/>
                <w:i/>
                <w:lang w:val="en-US"/>
              </w:rPr>
            </m:ctrlPr>
          </m:naryPr>
          <m:sub>
            <m:r>
              <m:rPr>
                <m:nor/>
              </m:rPr>
              <w:rPr>
                <w:rFonts w:ascii="Cambria Math" w:hAnsi="Cambria Math"/>
                <w:lang w:val="en-US"/>
              </w:rPr>
              <m:t>p</m:t>
            </m:r>
          </m:sub>
          <m:sup/>
          <m:e>
            <m:nary>
              <m:naryPr>
                <m:chr m:val="∑"/>
                <m:limLoc m:val="undOvr"/>
                <m:supHide m:val="1"/>
                <m:ctrlPr>
                  <w:rPr>
                    <w:rFonts w:ascii="Cambria Math" w:hAnsi="Cambria Math"/>
                    <w:i/>
                    <w:lang w:val="en-US"/>
                  </w:rPr>
                </m:ctrlPr>
              </m:naryPr>
              <m:sub>
                <m:r>
                  <m:rPr>
                    <m:nor/>
                  </m:rPr>
                  <w:rPr>
                    <w:rFonts w:ascii="Cambria Math" w:hAnsi="Cambria Math"/>
                    <w:lang w:val="en-US"/>
                  </w:rPr>
                  <m:t>t</m:t>
                </m:r>
              </m:sub>
              <m:sup/>
              <m:e>
                <m:nary>
                  <m:naryPr>
                    <m:chr m:val="∑"/>
                    <m:limLoc m:val="undOvr"/>
                    <m:supHide m:val="1"/>
                    <m:ctrlPr>
                      <w:rPr>
                        <w:rFonts w:ascii="Cambria Math" w:hAnsi="Cambria Math"/>
                        <w:i/>
                        <w:lang w:val="en-US"/>
                      </w:rPr>
                    </m:ctrlPr>
                  </m:naryPr>
                  <m:sub>
                    <m:r>
                      <m:rPr>
                        <m:nor/>
                      </m:rPr>
                      <w:rPr>
                        <w:rFonts w:ascii="Cambria Math" w:hAnsi="Cambria Math"/>
                        <w:lang w:val="en-US"/>
                      </w:rPr>
                      <m:t>c=3:25</m:t>
                    </m:r>
                  </m:sub>
                  <m:sup/>
                  <m:e>
                    <m:d>
                      <m:dPr>
                        <m:ctrlPr>
                          <w:rPr>
                            <w:rFonts w:ascii="Cambria Math" w:hAnsi="Cambria Math"/>
                            <w:i/>
                            <w:lang w:val="en-US"/>
                          </w:rPr>
                        </m:ctrlPr>
                      </m:dPr>
                      <m:e>
                        <m:sSubSup>
                          <m:sSubSupPr>
                            <m:ctrlPr>
                              <w:rPr>
                                <w:rFonts w:ascii="Cambria Math" w:hAnsi="Cambria Math"/>
                                <w:i/>
                                <w:lang w:val="en-US"/>
                              </w:rPr>
                            </m:ctrlPr>
                          </m:sSubSupPr>
                          <m:e>
                            <m:r>
                              <m:rPr>
                                <m:nor/>
                              </m:rPr>
                              <w:rPr>
                                <w:rFonts w:ascii="Cambria Math" w:hAnsi="Cambria Math"/>
                                <w:lang w:val="en-US"/>
                              </w:rPr>
                              <m:t>X</m:t>
                            </m:r>
                          </m:e>
                          <m:sub>
                            <m:r>
                              <m:rPr>
                                <m:nor/>
                              </m:rPr>
                              <w:rPr>
                                <w:rFonts w:ascii="Cambria Math" w:hAnsi="Cambria Math"/>
                                <w:lang w:val="en-US"/>
                              </w:rPr>
                              <m:t>p</m:t>
                            </m:r>
                          </m:sub>
                          <m:sup>
                            <m:r>
                              <m:rPr>
                                <m:nor/>
                              </m:rPr>
                              <w:rPr>
                                <w:rFonts w:ascii="Cambria Math" w:hAnsi="Cambria Math"/>
                                <w:lang w:val="en-US"/>
                              </w:rPr>
                              <m:t>c</m:t>
                            </m:r>
                          </m:sup>
                        </m:sSubSup>
                        <m:d>
                          <m:dPr>
                            <m:ctrlPr>
                              <w:rPr>
                                <w:rFonts w:ascii="Cambria Math" w:hAnsi="Cambria Math"/>
                                <w:i/>
                                <w:lang w:val="en-US"/>
                              </w:rPr>
                            </m:ctrlPr>
                          </m:dPr>
                          <m:e>
                            <m:r>
                              <m:rPr>
                                <m:nor/>
                              </m:rPr>
                              <w:rPr>
                                <w:rFonts w:ascii="Cambria Math" w:hAnsi="Cambria Math"/>
                                <w:lang w:val="en-US"/>
                              </w:rPr>
                              <m:t>t</m:t>
                            </m:r>
                          </m:e>
                        </m:d>
                        <m:r>
                          <m:rPr>
                            <m:nor/>
                          </m:rPr>
                          <w:rPr>
                            <w:rFonts w:ascii="Cambria Math" w:hAnsi="Cambria Math"/>
                            <w:lang w:val="en-US"/>
                          </w:rPr>
                          <m:t>*</m:t>
                        </m:r>
                        <m:sSub>
                          <m:sSubPr>
                            <m:ctrlPr>
                              <w:rPr>
                                <w:rFonts w:ascii="Cambria Math" w:hAnsi="Cambria Math"/>
                                <w:i/>
                                <w:lang w:val="en-US"/>
                              </w:rPr>
                            </m:ctrlPr>
                          </m:sSubPr>
                          <m:e>
                            <m:r>
                              <m:rPr>
                                <m:nor/>
                              </m:rPr>
                              <w:rPr>
                                <w:rFonts w:ascii="Cambria Math" w:hAnsi="Cambria Math"/>
                                <w:lang w:val="en-US"/>
                              </w:rPr>
                              <m:t>J</m:t>
                            </m:r>
                          </m:e>
                          <m:sub>
                            <m:r>
                              <m:rPr>
                                <m:nor/>
                              </m:rPr>
                              <w:rPr>
                                <w:rFonts w:ascii="Cambria Math" w:hAnsi="Cambria Math"/>
                                <w:lang w:val="en-US"/>
                              </w:rPr>
                              <m:t>c</m:t>
                            </m:r>
                          </m:sub>
                        </m:sSub>
                        <m:r>
                          <m:rPr>
                            <m:nor/>
                          </m:rPr>
                          <w:rPr>
                            <w:rFonts w:ascii="Cambria Math" w:hAnsi="Cambria Math"/>
                            <w:lang w:val="en-US"/>
                          </w:rPr>
                          <m:t>*</m:t>
                        </m:r>
                        <m:f>
                          <m:fPr>
                            <m:ctrlPr>
                              <w:rPr>
                                <w:rFonts w:ascii="Cambria Math" w:hAnsi="Cambria Math"/>
                                <w:i/>
                                <w:lang w:val="en-US"/>
                              </w:rPr>
                            </m:ctrlPr>
                          </m:fPr>
                          <m:num>
                            <m:r>
                              <m:rPr>
                                <m:nor/>
                              </m:rPr>
                              <w:rPr>
                                <w:rFonts w:ascii="Cambria Math" w:hAnsi="Cambria Math"/>
                                <w:lang w:val="en-US"/>
                              </w:rPr>
                              <m:t>1</m:t>
                            </m:r>
                          </m:num>
                          <m:den>
                            <m:sSup>
                              <m:sSupPr>
                                <m:ctrlPr>
                                  <w:rPr>
                                    <w:rFonts w:ascii="Cambria Math" w:hAnsi="Cambria Math"/>
                                    <w:i/>
                                    <w:lang w:val="en-US"/>
                                  </w:rPr>
                                </m:ctrlPr>
                              </m:sSupPr>
                              <m:e>
                                <m:r>
                                  <m:rPr>
                                    <m:nor/>
                                  </m:rPr>
                                  <w:rPr>
                                    <w:rFonts w:ascii="Cambria Math" w:hAnsi="Cambria Math"/>
                                    <w:lang w:val="en-US"/>
                                  </w:rPr>
                                  <m:t>(1+U)</m:t>
                                </m:r>
                              </m:e>
                              <m:sup>
                                <m:r>
                                  <m:rPr>
                                    <m:nor/>
                                  </m:rPr>
                                  <w:rPr>
                                    <w:rFonts w:ascii="Cambria Math" w:hAnsi="Cambria Math"/>
                                    <w:lang w:val="en-US"/>
                                  </w:rPr>
                                  <m:t>t</m:t>
                                </m:r>
                              </m:sup>
                            </m:sSup>
                          </m:den>
                        </m:f>
                        <m:r>
                          <m:rPr>
                            <m:nor/>
                          </m:rPr>
                          <w:rPr>
                            <w:rFonts w:ascii="Cambria Math" w:hAnsi="Cambria Math"/>
                            <w:lang w:val="en-US"/>
                          </w:rPr>
                          <m:t>*q(t)</m:t>
                        </m:r>
                      </m:e>
                    </m:d>
                  </m:e>
                </m:nary>
              </m:e>
            </m:nary>
          </m:e>
        </m:nary>
      </m:oMath>
      <w:r w:rsidRPr="00783571">
        <w:rPr>
          <w:lang w:val="en-US"/>
        </w:rPr>
        <w:tab/>
      </w:r>
      <w:r w:rsidR="00903B31" w:rsidRPr="00783571">
        <w:rPr>
          <w:lang w:val="en-US"/>
        </w:rPr>
        <w:t>(10.</w:t>
      </w:r>
      <w:r w:rsidRPr="00783571">
        <w:rPr>
          <w:lang w:val="en-US"/>
        </w:rPr>
        <w:t>10)</w:t>
      </w:r>
    </w:p>
    <w:p w14:paraId="09439874" w14:textId="77777777" w:rsidR="006F6153" w:rsidRPr="00783571" w:rsidRDefault="006F6153" w:rsidP="006F6153">
      <w:pPr>
        <w:pStyle w:val="BodyText"/>
        <w:rPr>
          <w:i/>
        </w:rPr>
      </w:pPr>
      <w:r w:rsidRPr="00783571">
        <w:t>where</w:t>
      </w:r>
    </w:p>
    <w:p w14:paraId="013C569D" w14:textId="77777777" w:rsidR="006F6153" w:rsidRPr="00783571" w:rsidRDefault="006F6153" w:rsidP="006F6153">
      <w:pPr>
        <w:pStyle w:val="bullets"/>
      </w:pPr>
      <w:r w:rsidRPr="00783571">
        <w:t>D = cumulative treatment and care costs over the outcome collection period,</w:t>
      </w:r>
    </w:p>
    <w:p w14:paraId="02D3688E" w14:textId="77777777" w:rsidR="006F6153" w:rsidRPr="00783571" w:rsidRDefault="006F6153" w:rsidP="006F6153">
      <w:pPr>
        <w:pStyle w:val="bullets"/>
      </w:pPr>
      <w:r w:rsidRPr="00783571">
        <w:t>U</w:t>
      </w:r>
      <w:r w:rsidRPr="00783571">
        <w:rPr>
          <w:vertAlign w:val="subscript"/>
        </w:rPr>
        <w:t xml:space="preserve"> </w:t>
      </w:r>
      <w:r w:rsidRPr="00783571">
        <w:t>= discount rate for costs, and</w:t>
      </w:r>
    </w:p>
    <w:p w14:paraId="035EC6D0" w14:textId="77777777" w:rsidR="006F6153" w:rsidRPr="00783571" w:rsidRDefault="006F6153" w:rsidP="006F6153">
      <w:pPr>
        <w:pStyle w:val="bullets"/>
      </w:pPr>
      <w:r w:rsidRPr="00783571">
        <w:t>J</w:t>
      </w:r>
      <w:r w:rsidRPr="00783571">
        <w:rPr>
          <w:vertAlign w:val="subscript"/>
        </w:rPr>
        <w:t>c</w:t>
      </w:r>
      <w:r w:rsidRPr="00783571">
        <w:t xml:space="preserve"> = annual treatment and care costs for an individual in compartment c</w:t>
      </w:r>
    </w:p>
    <w:p w14:paraId="6C5A3C40" w14:textId="7265600E" w:rsidR="0090437C" w:rsidRPr="00783571" w:rsidRDefault="0090437C" w:rsidP="00903B31">
      <w:pPr>
        <w:pStyle w:val="TableTitle"/>
      </w:pPr>
      <w:bookmarkStart w:id="118" w:name="_Toc510104046"/>
      <w:r w:rsidRPr="00783571">
        <w:t xml:space="preserve">Table </w:t>
      </w:r>
      <w:r w:rsidR="00903B31" w:rsidRPr="00783571">
        <w:t>10</w:t>
      </w:r>
      <w:r w:rsidRPr="00783571">
        <w:t>.4.</w:t>
      </w:r>
      <w:r w:rsidRPr="00783571">
        <w:tab/>
        <w:t>Annual HIV Treatment and Care Costs</w:t>
      </w:r>
      <w:bookmarkEnd w:id="118"/>
    </w:p>
    <w:tbl>
      <w:tblPr>
        <w:tblW w:w="9360" w:type="dxa"/>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2361"/>
        <w:gridCol w:w="3013"/>
        <w:gridCol w:w="1265"/>
        <w:gridCol w:w="2721"/>
      </w:tblGrid>
      <w:tr w:rsidR="0090437C" w:rsidRPr="00783571" w14:paraId="569EDA14" w14:textId="77777777" w:rsidTr="00260D8A">
        <w:trPr>
          <w:cantSplit/>
          <w:tblHeader/>
        </w:trPr>
        <w:tc>
          <w:tcPr>
            <w:tcW w:w="2361" w:type="dxa"/>
            <w:tcBorders>
              <w:top w:val="single" w:sz="12" w:space="0" w:color="000000"/>
              <w:bottom w:val="single" w:sz="6" w:space="0" w:color="auto"/>
            </w:tcBorders>
            <w:shd w:val="clear" w:color="auto" w:fill="auto"/>
            <w:vAlign w:val="bottom"/>
          </w:tcPr>
          <w:p w14:paraId="5CC663C0" w14:textId="77777777" w:rsidR="0090437C" w:rsidRPr="00783571" w:rsidRDefault="0090437C" w:rsidP="00871E69">
            <w:pPr>
              <w:pStyle w:val="TableHeaders"/>
              <w:keepNext/>
            </w:pPr>
            <w:r w:rsidRPr="00783571">
              <w:t>HIV Status</w:t>
            </w:r>
          </w:p>
        </w:tc>
        <w:tc>
          <w:tcPr>
            <w:tcW w:w="3013" w:type="dxa"/>
            <w:tcBorders>
              <w:top w:val="single" w:sz="12" w:space="0" w:color="000000"/>
              <w:bottom w:val="single" w:sz="6" w:space="0" w:color="auto"/>
            </w:tcBorders>
            <w:shd w:val="clear" w:color="auto" w:fill="auto"/>
            <w:vAlign w:val="bottom"/>
          </w:tcPr>
          <w:p w14:paraId="41EDAA5F" w14:textId="3307F3EC" w:rsidR="0090437C" w:rsidRPr="00783571" w:rsidRDefault="003F2DC6" w:rsidP="00871E69">
            <w:pPr>
              <w:pStyle w:val="TableHeaders"/>
              <w:keepNext/>
            </w:pPr>
            <w:r w:rsidRPr="00783571">
              <w:t xml:space="preserve">Care </w:t>
            </w:r>
            <w:r w:rsidR="0090437C" w:rsidRPr="00783571">
              <w:t>Continuum Stage</w:t>
            </w:r>
          </w:p>
        </w:tc>
        <w:tc>
          <w:tcPr>
            <w:tcW w:w="1265" w:type="dxa"/>
            <w:tcBorders>
              <w:top w:val="single" w:sz="12" w:space="0" w:color="000000"/>
              <w:bottom w:val="single" w:sz="6" w:space="0" w:color="auto"/>
            </w:tcBorders>
            <w:shd w:val="clear" w:color="auto" w:fill="auto"/>
            <w:noWrap/>
            <w:vAlign w:val="bottom"/>
          </w:tcPr>
          <w:p w14:paraId="55ADCE62" w14:textId="77777777" w:rsidR="0090437C" w:rsidRPr="00783571" w:rsidRDefault="0090437C" w:rsidP="00871E69">
            <w:pPr>
              <w:pStyle w:val="TableHeaders"/>
              <w:keepNext/>
            </w:pPr>
            <w:r w:rsidRPr="00783571">
              <w:t>Value</w:t>
            </w:r>
            <w:r w:rsidRPr="00783571">
              <w:rPr>
                <w:vertAlign w:val="superscript"/>
              </w:rPr>
              <w:t>a</w:t>
            </w:r>
            <w:r w:rsidRPr="00783571">
              <w:t xml:space="preserve"> (2006$)</w:t>
            </w:r>
          </w:p>
        </w:tc>
        <w:tc>
          <w:tcPr>
            <w:tcW w:w="2721" w:type="dxa"/>
            <w:tcBorders>
              <w:top w:val="single" w:sz="12" w:space="0" w:color="000000"/>
              <w:bottom w:val="single" w:sz="6" w:space="0" w:color="auto"/>
            </w:tcBorders>
            <w:shd w:val="clear" w:color="auto" w:fill="auto"/>
            <w:vAlign w:val="bottom"/>
          </w:tcPr>
          <w:p w14:paraId="07D37792" w14:textId="77777777" w:rsidR="0090437C" w:rsidRPr="00783571" w:rsidRDefault="0090437C" w:rsidP="00871E69">
            <w:pPr>
              <w:pStyle w:val="TableHeaders"/>
              <w:keepNext/>
            </w:pPr>
            <w:r w:rsidRPr="00783571">
              <w:t>Source</w:t>
            </w:r>
          </w:p>
        </w:tc>
      </w:tr>
      <w:tr w:rsidR="0090437C" w:rsidRPr="00783571" w14:paraId="1ED1DC05" w14:textId="77777777" w:rsidTr="00260D8A">
        <w:trPr>
          <w:cantSplit/>
        </w:trPr>
        <w:tc>
          <w:tcPr>
            <w:tcW w:w="2361" w:type="dxa"/>
            <w:tcBorders>
              <w:top w:val="single" w:sz="6" w:space="0" w:color="auto"/>
              <w:bottom w:val="single" w:sz="6" w:space="0" w:color="808080" w:themeColor="background1" w:themeShade="80"/>
            </w:tcBorders>
          </w:tcPr>
          <w:p w14:paraId="27211A64" w14:textId="77777777" w:rsidR="0090437C" w:rsidRPr="00783571" w:rsidRDefault="0090437C" w:rsidP="00871E69">
            <w:pPr>
              <w:pStyle w:val="TableText"/>
              <w:keepNext/>
              <w:rPr>
                <w:szCs w:val="18"/>
              </w:rPr>
            </w:pPr>
            <w:r w:rsidRPr="00783571">
              <w:rPr>
                <w:szCs w:val="18"/>
              </w:rPr>
              <w:t>Uninfected</w:t>
            </w:r>
          </w:p>
        </w:tc>
        <w:tc>
          <w:tcPr>
            <w:tcW w:w="3013" w:type="dxa"/>
            <w:tcBorders>
              <w:top w:val="single" w:sz="6" w:space="0" w:color="auto"/>
              <w:bottom w:val="single" w:sz="6" w:space="0" w:color="808080" w:themeColor="background1" w:themeShade="80"/>
            </w:tcBorders>
          </w:tcPr>
          <w:p w14:paraId="3BFE4219" w14:textId="77777777" w:rsidR="0090437C" w:rsidRPr="00783571" w:rsidRDefault="0090437C" w:rsidP="00871E69">
            <w:pPr>
              <w:pStyle w:val="TableText"/>
              <w:keepNext/>
              <w:rPr>
                <w:szCs w:val="18"/>
              </w:rPr>
            </w:pPr>
            <w:r w:rsidRPr="00783571">
              <w:rPr>
                <w:szCs w:val="18"/>
              </w:rPr>
              <w:t>N/A</w:t>
            </w:r>
          </w:p>
        </w:tc>
        <w:tc>
          <w:tcPr>
            <w:tcW w:w="1265" w:type="dxa"/>
            <w:tcBorders>
              <w:top w:val="single" w:sz="6" w:space="0" w:color="auto"/>
              <w:bottom w:val="single" w:sz="6" w:space="0" w:color="808080" w:themeColor="background1" w:themeShade="80"/>
            </w:tcBorders>
            <w:shd w:val="clear" w:color="auto" w:fill="auto"/>
            <w:noWrap/>
          </w:tcPr>
          <w:p w14:paraId="243A95C5" w14:textId="77777777" w:rsidR="0090437C" w:rsidRPr="00783571" w:rsidRDefault="0090437C" w:rsidP="00871E69">
            <w:pPr>
              <w:pStyle w:val="TableText"/>
              <w:keepNext/>
              <w:rPr>
                <w:szCs w:val="18"/>
              </w:rPr>
            </w:pPr>
            <w:r w:rsidRPr="00783571">
              <w:rPr>
                <w:szCs w:val="18"/>
              </w:rPr>
              <w:t>$0</w:t>
            </w:r>
          </w:p>
        </w:tc>
        <w:tc>
          <w:tcPr>
            <w:tcW w:w="2721" w:type="dxa"/>
            <w:tcBorders>
              <w:top w:val="single" w:sz="6" w:space="0" w:color="auto"/>
              <w:bottom w:val="single" w:sz="6" w:space="0" w:color="808080" w:themeColor="background1" w:themeShade="80"/>
            </w:tcBorders>
          </w:tcPr>
          <w:p w14:paraId="7690747D" w14:textId="77777777" w:rsidR="0090437C" w:rsidRPr="00783571" w:rsidRDefault="0090437C" w:rsidP="00871E69">
            <w:pPr>
              <w:pStyle w:val="TableText"/>
              <w:keepNext/>
              <w:rPr>
                <w:szCs w:val="18"/>
              </w:rPr>
            </w:pPr>
            <w:r w:rsidRPr="00783571">
              <w:rPr>
                <w:szCs w:val="18"/>
              </w:rPr>
              <w:t>Assumed</w:t>
            </w:r>
          </w:p>
        </w:tc>
      </w:tr>
      <w:tr w:rsidR="0090437C" w:rsidRPr="00783571" w14:paraId="53099136"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73F261FD" w14:textId="77777777" w:rsidR="0090437C" w:rsidRPr="00783571" w:rsidRDefault="0090437C" w:rsidP="00871E69">
            <w:pPr>
              <w:pStyle w:val="TableText"/>
              <w:keepNext/>
              <w:rPr>
                <w:szCs w:val="18"/>
              </w:rPr>
            </w:pPr>
            <w:r w:rsidRPr="00783571">
              <w:rPr>
                <w:szCs w:val="18"/>
              </w:rPr>
              <w:t>Acute</w:t>
            </w:r>
          </w:p>
        </w:tc>
        <w:tc>
          <w:tcPr>
            <w:tcW w:w="3013" w:type="dxa"/>
            <w:tcBorders>
              <w:top w:val="single" w:sz="6" w:space="0" w:color="808080" w:themeColor="background1" w:themeShade="80"/>
              <w:bottom w:val="single" w:sz="6" w:space="0" w:color="808080" w:themeColor="background1" w:themeShade="80"/>
            </w:tcBorders>
          </w:tcPr>
          <w:p w14:paraId="34A60D43" w14:textId="59B628A7" w:rsidR="0090437C" w:rsidRPr="00783571" w:rsidRDefault="000965E6" w:rsidP="00871E69">
            <w:pPr>
              <w:pStyle w:val="TableText"/>
              <w:keepNext/>
              <w:rPr>
                <w:szCs w:val="18"/>
              </w:rPr>
            </w:pPr>
            <w:r w:rsidRPr="00783571">
              <w:rPr>
                <w:szCs w:val="18"/>
              </w:rPr>
              <w:t>Unaware of infection</w:t>
            </w:r>
          </w:p>
        </w:tc>
        <w:tc>
          <w:tcPr>
            <w:tcW w:w="1265" w:type="dxa"/>
            <w:tcBorders>
              <w:top w:val="single" w:sz="6" w:space="0" w:color="808080" w:themeColor="background1" w:themeShade="80"/>
              <w:bottom w:val="single" w:sz="6" w:space="0" w:color="808080" w:themeColor="background1" w:themeShade="80"/>
            </w:tcBorders>
            <w:shd w:val="clear" w:color="auto" w:fill="auto"/>
            <w:noWrap/>
          </w:tcPr>
          <w:p w14:paraId="6157A1D3" w14:textId="77777777" w:rsidR="0090437C" w:rsidRPr="00783571" w:rsidRDefault="0090437C" w:rsidP="00871E69">
            <w:pPr>
              <w:pStyle w:val="TableText"/>
              <w:keepNext/>
              <w:rPr>
                <w:szCs w:val="18"/>
              </w:rPr>
            </w:pPr>
            <w:r w:rsidRPr="00783571">
              <w:rPr>
                <w:szCs w:val="18"/>
              </w:rPr>
              <w:t>$2,055</w:t>
            </w:r>
          </w:p>
        </w:tc>
        <w:tc>
          <w:tcPr>
            <w:tcW w:w="2721" w:type="dxa"/>
            <w:vMerge w:val="restart"/>
            <w:tcBorders>
              <w:top w:val="single" w:sz="6" w:space="0" w:color="808080" w:themeColor="background1" w:themeShade="80"/>
              <w:bottom w:val="single" w:sz="12" w:space="0" w:color="auto"/>
            </w:tcBorders>
          </w:tcPr>
          <w:p w14:paraId="79E7F75D" w14:textId="77777777" w:rsidR="0090437C" w:rsidRPr="00783571" w:rsidRDefault="0090437C" w:rsidP="00871E69">
            <w:pPr>
              <w:pStyle w:val="TableText"/>
              <w:keepNext/>
              <w:rPr>
                <w:szCs w:val="18"/>
              </w:rPr>
            </w:pPr>
            <w:r w:rsidRPr="00783571">
              <w:rPr>
                <w:szCs w:val="18"/>
              </w:rPr>
              <w:t>Gebo et al. (2010), Farnham et al. (2008), Schackman et al. (2006)</w:t>
            </w:r>
          </w:p>
        </w:tc>
      </w:tr>
      <w:tr w:rsidR="0090437C" w:rsidRPr="00783571" w14:paraId="090E0840"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3114AA25" w14:textId="77777777" w:rsidR="0090437C" w:rsidRPr="00783571" w:rsidRDefault="0090437C" w:rsidP="00871E69">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00D02C01" w14:textId="21ED7B8E" w:rsidR="0090437C" w:rsidRPr="00783571" w:rsidRDefault="000965E6" w:rsidP="00871E69">
            <w:pPr>
              <w:pStyle w:val="TableText"/>
              <w:keepNext/>
              <w:rPr>
                <w:szCs w:val="18"/>
              </w:rPr>
            </w:pPr>
            <w:r w:rsidRPr="00783571">
              <w:rPr>
                <w:szCs w:val="18"/>
              </w:rPr>
              <w:t>Aware but not linked to HIV care</w:t>
            </w:r>
          </w:p>
        </w:tc>
        <w:tc>
          <w:tcPr>
            <w:tcW w:w="1265" w:type="dxa"/>
            <w:tcBorders>
              <w:top w:val="single" w:sz="6" w:space="0" w:color="808080" w:themeColor="background1" w:themeShade="80"/>
              <w:bottom w:val="single" w:sz="6" w:space="0" w:color="808080" w:themeColor="background1" w:themeShade="80"/>
            </w:tcBorders>
            <w:shd w:val="clear" w:color="auto" w:fill="auto"/>
            <w:noWrap/>
          </w:tcPr>
          <w:p w14:paraId="4D34DEAE" w14:textId="77777777" w:rsidR="0090437C" w:rsidRPr="00783571" w:rsidRDefault="0090437C" w:rsidP="00871E69">
            <w:pPr>
              <w:pStyle w:val="TableText"/>
              <w:keepNext/>
              <w:rPr>
                <w:szCs w:val="18"/>
              </w:rPr>
            </w:pPr>
            <w:r w:rsidRPr="00783571">
              <w:rPr>
                <w:szCs w:val="18"/>
              </w:rPr>
              <w:t>$2,055</w:t>
            </w:r>
          </w:p>
        </w:tc>
        <w:tc>
          <w:tcPr>
            <w:tcW w:w="2721" w:type="dxa"/>
            <w:vMerge/>
            <w:tcBorders>
              <w:top w:val="single" w:sz="6" w:space="0" w:color="808080" w:themeColor="background1" w:themeShade="80"/>
              <w:bottom w:val="single" w:sz="12" w:space="0" w:color="auto"/>
            </w:tcBorders>
          </w:tcPr>
          <w:p w14:paraId="004F9B86" w14:textId="77777777" w:rsidR="0090437C" w:rsidRPr="00783571" w:rsidRDefault="0090437C" w:rsidP="00871E69">
            <w:pPr>
              <w:pStyle w:val="TableText"/>
              <w:keepNext/>
              <w:rPr>
                <w:szCs w:val="18"/>
              </w:rPr>
            </w:pPr>
          </w:p>
        </w:tc>
      </w:tr>
      <w:tr w:rsidR="0090437C" w:rsidRPr="00783571" w14:paraId="3592F7DA"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7A5F24F0" w14:textId="77777777" w:rsidR="0090437C" w:rsidRPr="00783571" w:rsidRDefault="0090437C" w:rsidP="00871E69">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2F19016B" w14:textId="67C980AC" w:rsidR="0090437C" w:rsidRPr="00783571" w:rsidRDefault="000965E6" w:rsidP="00871E69">
            <w:pPr>
              <w:pStyle w:val="TableText"/>
              <w:keepNext/>
              <w:rPr>
                <w:szCs w:val="18"/>
              </w:rPr>
            </w:pPr>
            <w:r w:rsidRPr="00783571">
              <w:rPr>
                <w:szCs w:val="18"/>
              </w:rPr>
              <w:t>Linked to HIV care but not prescribed ART</w:t>
            </w:r>
          </w:p>
        </w:tc>
        <w:tc>
          <w:tcPr>
            <w:tcW w:w="1265" w:type="dxa"/>
            <w:tcBorders>
              <w:top w:val="single" w:sz="6" w:space="0" w:color="808080" w:themeColor="background1" w:themeShade="80"/>
              <w:bottom w:val="single" w:sz="6" w:space="0" w:color="808080" w:themeColor="background1" w:themeShade="80"/>
            </w:tcBorders>
            <w:shd w:val="clear" w:color="auto" w:fill="auto"/>
            <w:noWrap/>
          </w:tcPr>
          <w:p w14:paraId="6D582230" w14:textId="77777777" w:rsidR="0090437C" w:rsidRPr="00783571" w:rsidRDefault="0090437C" w:rsidP="00871E69">
            <w:pPr>
              <w:pStyle w:val="TableText"/>
              <w:keepNext/>
              <w:rPr>
                <w:szCs w:val="18"/>
              </w:rPr>
            </w:pPr>
            <w:r w:rsidRPr="00783571">
              <w:rPr>
                <w:szCs w:val="18"/>
              </w:rPr>
              <w:t>$4,468</w:t>
            </w:r>
          </w:p>
        </w:tc>
        <w:tc>
          <w:tcPr>
            <w:tcW w:w="2721" w:type="dxa"/>
            <w:vMerge/>
            <w:tcBorders>
              <w:top w:val="single" w:sz="6" w:space="0" w:color="808080" w:themeColor="background1" w:themeShade="80"/>
              <w:bottom w:val="single" w:sz="12" w:space="0" w:color="auto"/>
            </w:tcBorders>
          </w:tcPr>
          <w:p w14:paraId="69246DBE" w14:textId="77777777" w:rsidR="0090437C" w:rsidRPr="00783571" w:rsidRDefault="0090437C" w:rsidP="00871E69">
            <w:pPr>
              <w:pStyle w:val="TableText"/>
              <w:keepNext/>
              <w:rPr>
                <w:szCs w:val="18"/>
              </w:rPr>
            </w:pPr>
          </w:p>
        </w:tc>
      </w:tr>
      <w:tr w:rsidR="000965E6" w:rsidRPr="00783571" w14:paraId="08B66DB6"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623B3A43" w14:textId="77777777" w:rsidR="000965E6" w:rsidRPr="00783571" w:rsidRDefault="000965E6" w:rsidP="000965E6">
            <w:pPr>
              <w:pStyle w:val="TableText"/>
              <w:keepNext/>
              <w:rPr>
                <w:szCs w:val="18"/>
              </w:rPr>
            </w:pPr>
            <w:r w:rsidRPr="00783571">
              <w:rPr>
                <w:szCs w:val="18"/>
              </w:rPr>
              <w:t>CD4 &gt;500</w:t>
            </w:r>
          </w:p>
        </w:tc>
        <w:tc>
          <w:tcPr>
            <w:tcW w:w="3013" w:type="dxa"/>
            <w:tcBorders>
              <w:top w:val="single" w:sz="6" w:space="0" w:color="808080" w:themeColor="background1" w:themeShade="80"/>
              <w:bottom w:val="single" w:sz="6" w:space="0" w:color="808080" w:themeColor="background1" w:themeShade="80"/>
            </w:tcBorders>
          </w:tcPr>
          <w:p w14:paraId="153714E7" w14:textId="6369735E" w:rsidR="000965E6" w:rsidRPr="00783571" w:rsidRDefault="000965E6" w:rsidP="000965E6">
            <w:pPr>
              <w:pStyle w:val="TableText"/>
              <w:keepNext/>
              <w:rPr>
                <w:szCs w:val="18"/>
              </w:rPr>
            </w:pPr>
            <w:r w:rsidRPr="00783571">
              <w:rPr>
                <w:szCs w:val="18"/>
              </w:rPr>
              <w:t>Unaware of infection</w:t>
            </w:r>
          </w:p>
        </w:tc>
        <w:tc>
          <w:tcPr>
            <w:tcW w:w="1265" w:type="dxa"/>
            <w:tcBorders>
              <w:top w:val="single" w:sz="6" w:space="0" w:color="808080" w:themeColor="background1" w:themeShade="80"/>
              <w:bottom w:val="single" w:sz="6" w:space="0" w:color="808080" w:themeColor="background1" w:themeShade="80"/>
            </w:tcBorders>
            <w:shd w:val="clear" w:color="auto" w:fill="auto"/>
            <w:noWrap/>
          </w:tcPr>
          <w:p w14:paraId="7D299F5B" w14:textId="77777777" w:rsidR="000965E6" w:rsidRPr="00783571" w:rsidRDefault="000965E6" w:rsidP="000965E6">
            <w:pPr>
              <w:pStyle w:val="TableText"/>
              <w:keepNext/>
              <w:rPr>
                <w:szCs w:val="18"/>
              </w:rPr>
            </w:pPr>
            <w:r w:rsidRPr="00783571">
              <w:rPr>
                <w:szCs w:val="18"/>
              </w:rPr>
              <w:t>$2,055</w:t>
            </w:r>
          </w:p>
        </w:tc>
        <w:tc>
          <w:tcPr>
            <w:tcW w:w="2721" w:type="dxa"/>
            <w:vMerge/>
            <w:tcBorders>
              <w:top w:val="single" w:sz="6" w:space="0" w:color="808080" w:themeColor="background1" w:themeShade="80"/>
              <w:bottom w:val="single" w:sz="12" w:space="0" w:color="auto"/>
            </w:tcBorders>
          </w:tcPr>
          <w:p w14:paraId="40D3642A" w14:textId="77777777" w:rsidR="000965E6" w:rsidRPr="00783571" w:rsidRDefault="000965E6" w:rsidP="000965E6">
            <w:pPr>
              <w:pStyle w:val="TableText"/>
              <w:keepNext/>
              <w:rPr>
                <w:szCs w:val="18"/>
              </w:rPr>
            </w:pPr>
          </w:p>
        </w:tc>
      </w:tr>
      <w:tr w:rsidR="000965E6" w:rsidRPr="00783571" w14:paraId="1A7EB35F"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599B9969"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4159371F" w14:textId="4EAF0788" w:rsidR="000965E6" w:rsidRPr="00783571" w:rsidRDefault="000965E6" w:rsidP="000965E6">
            <w:pPr>
              <w:pStyle w:val="TableText"/>
              <w:keepNext/>
              <w:rPr>
                <w:szCs w:val="18"/>
              </w:rPr>
            </w:pPr>
            <w:r w:rsidRPr="00783571">
              <w:rPr>
                <w:szCs w:val="18"/>
              </w:rPr>
              <w:t>Aware but not linked to HIV care</w:t>
            </w:r>
          </w:p>
        </w:tc>
        <w:tc>
          <w:tcPr>
            <w:tcW w:w="1265" w:type="dxa"/>
            <w:tcBorders>
              <w:top w:val="single" w:sz="6" w:space="0" w:color="808080" w:themeColor="background1" w:themeShade="80"/>
              <w:bottom w:val="single" w:sz="6" w:space="0" w:color="808080" w:themeColor="background1" w:themeShade="80"/>
            </w:tcBorders>
            <w:shd w:val="clear" w:color="auto" w:fill="auto"/>
            <w:noWrap/>
          </w:tcPr>
          <w:p w14:paraId="16A48245" w14:textId="77777777" w:rsidR="000965E6" w:rsidRPr="00783571" w:rsidRDefault="000965E6" w:rsidP="000965E6">
            <w:pPr>
              <w:pStyle w:val="TableText"/>
              <w:keepNext/>
              <w:rPr>
                <w:szCs w:val="18"/>
              </w:rPr>
            </w:pPr>
            <w:r w:rsidRPr="00783571">
              <w:rPr>
                <w:szCs w:val="18"/>
              </w:rPr>
              <w:t>$2,055</w:t>
            </w:r>
          </w:p>
        </w:tc>
        <w:tc>
          <w:tcPr>
            <w:tcW w:w="2721" w:type="dxa"/>
            <w:vMerge/>
            <w:tcBorders>
              <w:top w:val="single" w:sz="6" w:space="0" w:color="808080" w:themeColor="background1" w:themeShade="80"/>
              <w:bottom w:val="single" w:sz="12" w:space="0" w:color="auto"/>
            </w:tcBorders>
          </w:tcPr>
          <w:p w14:paraId="40265B05" w14:textId="77777777" w:rsidR="000965E6" w:rsidRPr="00783571" w:rsidRDefault="000965E6" w:rsidP="000965E6">
            <w:pPr>
              <w:pStyle w:val="TableText"/>
              <w:keepNext/>
              <w:rPr>
                <w:szCs w:val="18"/>
              </w:rPr>
            </w:pPr>
          </w:p>
        </w:tc>
      </w:tr>
      <w:tr w:rsidR="000965E6" w:rsidRPr="00783571" w14:paraId="23C8D829"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09B41437"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5C782725" w14:textId="590B1161" w:rsidR="000965E6" w:rsidRPr="00783571" w:rsidRDefault="000965E6" w:rsidP="000965E6">
            <w:pPr>
              <w:pStyle w:val="TableText"/>
              <w:keepNext/>
              <w:rPr>
                <w:szCs w:val="18"/>
              </w:rPr>
            </w:pPr>
            <w:r w:rsidRPr="00783571">
              <w:rPr>
                <w:szCs w:val="18"/>
              </w:rPr>
              <w:t>Linked to HIV care but not prescribed ART</w:t>
            </w:r>
          </w:p>
        </w:tc>
        <w:tc>
          <w:tcPr>
            <w:tcW w:w="1265" w:type="dxa"/>
            <w:tcBorders>
              <w:top w:val="single" w:sz="6" w:space="0" w:color="808080" w:themeColor="background1" w:themeShade="80"/>
              <w:bottom w:val="single" w:sz="6" w:space="0" w:color="808080" w:themeColor="background1" w:themeShade="80"/>
            </w:tcBorders>
            <w:shd w:val="clear" w:color="auto" w:fill="auto"/>
            <w:noWrap/>
          </w:tcPr>
          <w:p w14:paraId="088293E1" w14:textId="77777777" w:rsidR="000965E6" w:rsidRPr="00783571" w:rsidRDefault="000965E6" w:rsidP="000965E6">
            <w:pPr>
              <w:pStyle w:val="TableText"/>
              <w:keepNext/>
              <w:rPr>
                <w:szCs w:val="18"/>
              </w:rPr>
            </w:pPr>
            <w:r w:rsidRPr="00783571">
              <w:rPr>
                <w:szCs w:val="18"/>
              </w:rPr>
              <w:t>$4,468</w:t>
            </w:r>
          </w:p>
        </w:tc>
        <w:tc>
          <w:tcPr>
            <w:tcW w:w="2721" w:type="dxa"/>
            <w:vMerge/>
            <w:tcBorders>
              <w:top w:val="single" w:sz="6" w:space="0" w:color="808080" w:themeColor="background1" w:themeShade="80"/>
              <w:bottom w:val="single" w:sz="12" w:space="0" w:color="auto"/>
            </w:tcBorders>
          </w:tcPr>
          <w:p w14:paraId="146FE5A0" w14:textId="77777777" w:rsidR="000965E6" w:rsidRPr="00783571" w:rsidRDefault="000965E6" w:rsidP="000965E6">
            <w:pPr>
              <w:pStyle w:val="TableText"/>
              <w:keepNext/>
              <w:rPr>
                <w:szCs w:val="18"/>
              </w:rPr>
            </w:pPr>
          </w:p>
        </w:tc>
      </w:tr>
      <w:tr w:rsidR="0090437C" w:rsidRPr="00783571" w14:paraId="04631184"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6B1956BD" w14:textId="77777777" w:rsidR="0090437C" w:rsidRPr="00783571" w:rsidRDefault="0090437C" w:rsidP="00871E69">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46217331" w14:textId="4EF217AF" w:rsidR="0090437C" w:rsidRPr="00783571" w:rsidRDefault="000965E6" w:rsidP="00871E69">
            <w:pPr>
              <w:pStyle w:val="TableText"/>
              <w:keepNext/>
              <w:rPr>
                <w:szCs w:val="18"/>
              </w:rPr>
            </w:pPr>
            <w:r w:rsidRPr="00783571">
              <w:rPr>
                <w:szCs w:val="18"/>
              </w:rPr>
              <w:t xml:space="preserve">Prescribed </w:t>
            </w:r>
            <w:r w:rsidR="0090437C" w:rsidRPr="00783571">
              <w:rPr>
                <w:szCs w:val="18"/>
              </w:rPr>
              <w:t>ART</w:t>
            </w:r>
          </w:p>
        </w:tc>
        <w:tc>
          <w:tcPr>
            <w:tcW w:w="1265" w:type="dxa"/>
            <w:tcBorders>
              <w:top w:val="single" w:sz="6" w:space="0" w:color="808080" w:themeColor="background1" w:themeShade="80"/>
              <w:bottom w:val="single" w:sz="6" w:space="0" w:color="808080" w:themeColor="background1" w:themeShade="80"/>
            </w:tcBorders>
            <w:shd w:val="clear" w:color="auto" w:fill="auto"/>
            <w:noWrap/>
          </w:tcPr>
          <w:p w14:paraId="0C4CF340" w14:textId="77777777" w:rsidR="0090437C" w:rsidRPr="00783571" w:rsidRDefault="0090437C" w:rsidP="00871E69">
            <w:pPr>
              <w:pStyle w:val="TableText"/>
              <w:keepNext/>
              <w:rPr>
                <w:szCs w:val="18"/>
              </w:rPr>
            </w:pPr>
            <w:r w:rsidRPr="00783571">
              <w:rPr>
                <w:szCs w:val="18"/>
              </w:rPr>
              <w:t>$13,550</w:t>
            </w:r>
          </w:p>
        </w:tc>
        <w:tc>
          <w:tcPr>
            <w:tcW w:w="2721" w:type="dxa"/>
            <w:vMerge/>
            <w:tcBorders>
              <w:top w:val="single" w:sz="6" w:space="0" w:color="808080" w:themeColor="background1" w:themeShade="80"/>
              <w:bottom w:val="single" w:sz="12" w:space="0" w:color="auto"/>
            </w:tcBorders>
          </w:tcPr>
          <w:p w14:paraId="7F1C868F" w14:textId="77777777" w:rsidR="0090437C" w:rsidRPr="00783571" w:rsidRDefault="0090437C" w:rsidP="00871E69">
            <w:pPr>
              <w:pStyle w:val="TableText"/>
              <w:keepNext/>
              <w:rPr>
                <w:szCs w:val="18"/>
              </w:rPr>
            </w:pPr>
          </w:p>
        </w:tc>
      </w:tr>
      <w:tr w:rsidR="000965E6" w:rsidRPr="00783571" w14:paraId="1D3363C4"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67A3A847" w14:textId="77777777" w:rsidR="000965E6" w:rsidRPr="00783571" w:rsidRDefault="000965E6" w:rsidP="000965E6">
            <w:pPr>
              <w:pStyle w:val="TableText"/>
              <w:keepNext/>
              <w:rPr>
                <w:szCs w:val="18"/>
              </w:rPr>
            </w:pPr>
            <w:r w:rsidRPr="00783571">
              <w:rPr>
                <w:szCs w:val="18"/>
              </w:rPr>
              <w:t>CD4 350–500</w:t>
            </w:r>
          </w:p>
        </w:tc>
        <w:tc>
          <w:tcPr>
            <w:tcW w:w="3013" w:type="dxa"/>
            <w:tcBorders>
              <w:top w:val="single" w:sz="6" w:space="0" w:color="808080" w:themeColor="background1" w:themeShade="80"/>
              <w:bottom w:val="single" w:sz="6" w:space="0" w:color="808080" w:themeColor="background1" w:themeShade="80"/>
            </w:tcBorders>
          </w:tcPr>
          <w:p w14:paraId="0C7B95E5" w14:textId="5923869D" w:rsidR="000965E6" w:rsidRPr="00783571" w:rsidRDefault="000965E6" w:rsidP="000965E6">
            <w:pPr>
              <w:pStyle w:val="TableText"/>
              <w:keepNext/>
              <w:rPr>
                <w:szCs w:val="18"/>
              </w:rPr>
            </w:pPr>
            <w:r w:rsidRPr="00783571">
              <w:rPr>
                <w:szCs w:val="18"/>
              </w:rPr>
              <w:t>Unaware of infection</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7C322D75" w14:textId="77777777" w:rsidR="000965E6" w:rsidRPr="00783571" w:rsidRDefault="000965E6" w:rsidP="000965E6">
            <w:pPr>
              <w:pStyle w:val="TableText"/>
              <w:keepNext/>
              <w:rPr>
                <w:szCs w:val="18"/>
              </w:rPr>
            </w:pPr>
            <w:r w:rsidRPr="00783571">
              <w:rPr>
                <w:szCs w:val="18"/>
              </w:rPr>
              <w:t>$1,843</w:t>
            </w:r>
          </w:p>
        </w:tc>
        <w:tc>
          <w:tcPr>
            <w:tcW w:w="2721" w:type="dxa"/>
            <w:vMerge/>
            <w:tcBorders>
              <w:top w:val="single" w:sz="6" w:space="0" w:color="808080" w:themeColor="background1" w:themeShade="80"/>
              <w:bottom w:val="single" w:sz="12" w:space="0" w:color="auto"/>
            </w:tcBorders>
          </w:tcPr>
          <w:p w14:paraId="2C06D558" w14:textId="77777777" w:rsidR="000965E6" w:rsidRPr="00783571" w:rsidRDefault="000965E6" w:rsidP="000965E6">
            <w:pPr>
              <w:pStyle w:val="TableText"/>
              <w:keepNext/>
              <w:rPr>
                <w:szCs w:val="18"/>
              </w:rPr>
            </w:pPr>
          </w:p>
        </w:tc>
      </w:tr>
      <w:tr w:rsidR="000965E6" w:rsidRPr="00783571" w14:paraId="3A8B4970"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57872507"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76A45AAD" w14:textId="507951E8" w:rsidR="000965E6" w:rsidRPr="00783571" w:rsidRDefault="000965E6" w:rsidP="000965E6">
            <w:pPr>
              <w:pStyle w:val="TableText"/>
              <w:keepNext/>
              <w:rPr>
                <w:szCs w:val="18"/>
              </w:rPr>
            </w:pPr>
            <w:r w:rsidRPr="00783571">
              <w:rPr>
                <w:szCs w:val="18"/>
              </w:rPr>
              <w:t>Aware but not linked to HIV care</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1A379696" w14:textId="77777777" w:rsidR="000965E6" w:rsidRPr="00783571" w:rsidRDefault="000965E6" w:rsidP="000965E6">
            <w:pPr>
              <w:pStyle w:val="TableText"/>
              <w:keepNext/>
              <w:rPr>
                <w:szCs w:val="18"/>
              </w:rPr>
            </w:pPr>
            <w:r w:rsidRPr="00783571">
              <w:rPr>
                <w:szCs w:val="18"/>
              </w:rPr>
              <w:t>$1,843</w:t>
            </w:r>
          </w:p>
        </w:tc>
        <w:tc>
          <w:tcPr>
            <w:tcW w:w="2721" w:type="dxa"/>
            <w:vMerge/>
            <w:tcBorders>
              <w:top w:val="single" w:sz="6" w:space="0" w:color="808080" w:themeColor="background1" w:themeShade="80"/>
              <w:bottom w:val="single" w:sz="12" w:space="0" w:color="auto"/>
            </w:tcBorders>
          </w:tcPr>
          <w:p w14:paraId="6198B602" w14:textId="77777777" w:rsidR="000965E6" w:rsidRPr="00783571" w:rsidRDefault="000965E6" w:rsidP="000965E6">
            <w:pPr>
              <w:pStyle w:val="TableText"/>
              <w:keepNext/>
              <w:rPr>
                <w:szCs w:val="18"/>
              </w:rPr>
            </w:pPr>
          </w:p>
        </w:tc>
      </w:tr>
      <w:tr w:rsidR="000965E6" w:rsidRPr="00783571" w14:paraId="2429E82A"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0C8D17F2"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1BDC529E" w14:textId="7FE84740" w:rsidR="000965E6" w:rsidRPr="00783571" w:rsidRDefault="000965E6" w:rsidP="000965E6">
            <w:pPr>
              <w:pStyle w:val="TableText"/>
              <w:keepNext/>
              <w:rPr>
                <w:szCs w:val="18"/>
              </w:rPr>
            </w:pPr>
            <w:r w:rsidRPr="00783571">
              <w:rPr>
                <w:szCs w:val="18"/>
              </w:rPr>
              <w:t>Linked to HIV care but not prescribed ART</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6E5A379C" w14:textId="77777777" w:rsidR="000965E6" w:rsidRPr="00783571" w:rsidRDefault="000965E6" w:rsidP="000965E6">
            <w:pPr>
              <w:pStyle w:val="TableText"/>
              <w:keepNext/>
              <w:rPr>
                <w:szCs w:val="18"/>
              </w:rPr>
            </w:pPr>
            <w:r w:rsidRPr="00783571">
              <w:rPr>
                <w:szCs w:val="18"/>
              </w:rPr>
              <w:t>$4,822</w:t>
            </w:r>
          </w:p>
        </w:tc>
        <w:tc>
          <w:tcPr>
            <w:tcW w:w="2721" w:type="dxa"/>
            <w:vMerge/>
            <w:tcBorders>
              <w:top w:val="single" w:sz="6" w:space="0" w:color="808080" w:themeColor="background1" w:themeShade="80"/>
              <w:bottom w:val="single" w:sz="12" w:space="0" w:color="auto"/>
            </w:tcBorders>
          </w:tcPr>
          <w:p w14:paraId="16144F10" w14:textId="77777777" w:rsidR="000965E6" w:rsidRPr="00783571" w:rsidRDefault="000965E6" w:rsidP="000965E6">
            <w:pPr>
              <w:pStyle w:val="TableText"/>
              <w:keepNext/>
              <w:rPr>
                <w:szCs w:val="18"/>
              </w:rPr>
            </w:pPr>
          </w:p>
        </w:tc>
      </w:tr>
      <w:tr w:rsidR="000965E6" w:rsidRPr="00783571" w14:paraId="51401099"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76BC5471"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3200744E" w14:textId="79FEEDB9" w:rsidR="000965E6" w:rsidRPr="00783571" w:rsidRDefault="000965E6" w:rsidP="000965E6">
            <w:pPr>
              <w:pStyle w:val="TableText"/>
              <w:keepNext/>
              <w:rPr>
                <w:szCs w:val="18"/>
              </w:rPr>
            </w:pPr>
            <w:r w:rsidRPr="00783571">
              <w:rPr>
                <w:szCs w:val="18"/>
              </w:rPr>
              <w:t>Prescribed ART</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567A948C" w14:textId="77777777" w:rsidR="000965E6" w:rsidRPr="00783571" w:rsidRDefault="000965E6" w:rsidP="000965E6">
            <w:pPr>
              <w:pStyle w:val="TableText"/>
              <w:keepNext/>
              <w:rPr>
                <w:szCs w:val="18"/>
              </w:rPr>
            </w:pPr>
            <w:r w:rsidRPr="00783571">
              <w:rPr>
                <w:szCs w:val="18"/>
              </w:rPr>
              <w:t>$13,841</w:t>
            </w:r>
          </w:p>
        </w:tc>
        <w:tc>
          <w:tcPr>
            <w:tcW w:w="2721" w:type="dxa"/>
            <w:vMerge/>
            <w:tcBorders>
              <w:top w:val="single" w:sz="6" w:space="0" w:color="808080" w:themeColor="background1" w:themeShade="80"/>
              <w:bottom w:val="single" w:sz="12" w:space="0" w:color="auto"/>
            </w:tcBorders>
          </w:tcPr>
          <w:p w14:paraId="37A1B240" w14:textId="77777777" w:rsidR="000965E6" w:rsidRPr="00783571" w:rsidRDefault="000965E6" w:rsidP="000965E6">
            <w:pPr>
              <w:pStyle w:val="TableText"/>
              <w:keepNext/>
              <w:rPr>
                <w:szCs w:val="18"/>
              </w:rPr>
            </w:pPr>
          </w:p>
        </w:tc>
      </w:tr>
      <w:tr w:rsidR="000965E6" w:rsidRPr="00783571" w14:paraId="524F5665"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21C9A523" w14:textId="77777777" w:rsidR="000965E6" w:rsidRPr="00783571" w:rsidRDefault="000965E6" w:rsidP="000965E6">
            <w:pPr>
              <w:pStyle w:val="TableText"/>
              <w:keepNext/>
              <w:rPr>
                <w:szCs w:val="18"/>
              </w:rPr>
            </w:pPr>
            <w:r w:rsidRPr="00783571">
              <w:rPr>
                <w:szCs w:val="18"/>
              </w:rPr>
              <w:t>CD4 200–350</w:t>
            </w:r>
          </w:p>
        </w:tc>
        <w:tc>
          <w:tcPr>
            <w:tcW w:w="3013" w:type="dxa"/>
            <w:tcBorders>
              <w:top w:val="single" w:sz="6" w:space="0" w:color="808080" w:themeColor="background1" w:themeShade="80"/>
              <w:bottom w:val="single" w:sz="6" w:space="0" w:color="808080" w:themeColor="background1" w:themeShade="80"/>
            </w:tcBorders>
          </w:tcPr>
          <w:p w14:paraId="4FD0E43D" w14:textId="06265515" w:rsidR="000965E6" w:rsidRPr="00783571" w:rsidRDefault="000965E6" w:rsidP="000965E6">
            <w:pPr>
              <w:pStyle w:val="TableText"/>
              <w:keepNext/>
              <w:rPr>
                <w:szCs w:val="18"/>
              </w:rPr>
            </w:pPr>
            <w:r w:rsidRPr="00783571">
              <w:rPr>
                <w:szCs w:val="18"/>
              </w:rPr>
              <w:t>Unaware of infection</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1BD0DEAA" w14:textId="77777777" w:rsidR="000965E6" w:rsidRPr="00783571" w:rsidRDefault="000965E6" w:rsidP="000965E6">
            <w:pPr>
              <w:pStyle w:val="TableText"/>
              <w:keepNext/>
              <w:rPr>
                <w:szCs w:val="18"/>
              </w:rPr>
            </w:pPr>
            <w:r w:rsidRPr="00783571">
              <w:rPr>
                <w:szCs w:val="18"/>
              </w:rPr>
              <w:t>$1,811</w:t>
            </w:r>
          </w:p>
        </w:tc>
        <w:tc>
          <w:tcPr>
            <w:tcW w:w="2721" w:type="dxa"/>
            <w:vMerge/>
            <w:tcBorders>
              <w:top w:val="single" w:sz="6" w:space="0" w:color="808080" w:themeColor="background1" w:themeShade="80"/>
              <w:bottom w:val="single" w:sz="12" w:space="0" w:color="auto"/>
            </w:tcBorders>
          </w:tcPr>
          <w:p w14:paraId="36FAE5D1" w14:textId="77777777" w:rsidR="000965E6" w:rsidRPr="00783571" w:rsidRDefault="000965E6" w:rsidP="000965E6">
            <w:pPr>
              <w:pStyle w:val="TableText"/>
              <w:keepNext/>
              <w:rPr>
                <w:szCs w:val="18"/>
              </w:rPr>
            </w:pPr>
          </w:p>
        </w:tc>
      </w:tr>
      <w:tr w:rsidR="000965E6" w:rsidRPr="00783571" w14:paraId="203B6F5C"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48B247DE"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7A7BEE0E" w14:textId="630DB36C" w:rsidR="000965E6" w:rsidRPr="00783571" w:rsidRDefault="000965E6" w:rsidP="000965E6">
            <w:pPr>
              <w:pStyle w:val="TableText"/>
              <w:keepNext/>
              <w:rPr>
                <w:szCs w:val="18"/>
              </w:rPr>
            </w:pPr>
            <w:r w:rsidRPr="00783571">
              <w:rPr>
                <w:szCs w:val="18"/>
              </w:rPr>
              <w:t>Aware but not linked to HIV care</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7F688A31" w14:textId="77777777" w:rsidR="000965E6" w:rsidRPr="00783571" w:rsidRDefault="000965E6" w:rsidP="000965E6">
            <w:pPr>
              <w:pStyle w:val="TableText"/>
              <w:keepNext/>
              <w:rPr>
                <w:szCs w:val="18"/>
              </w:rPr>
            </w:pPr>
            <w:r w:rsidRPr="00783571">
              <w:rPr>
                <w:szCs w:val="18"/>
              </w:rPr>
              <w:t>$1,811</w:t>
            </w:r>
          </w:p>
        </w:tc>
        <w:tc>
          <w:tcPr>
            <w:tcW w:w="2721" w:type="dxa"/>
            <w:vMerge/>
            <w:tcBorders>
              <w:top w:val="single" w:sz="6" w:space="0" w:color="808080" w:themeColor="background1" w:themeShade="80"/>
              <w:bottom w:val="single" w:sz="12" w:space="0" w:color="auto"/>
            </w:tcBorders>
          </w:tcPr>
          <w:p w14:paraId="688A646C" w14:textId="77777777" w:rsidR="000965E6" w:rsidRPr="00783571" w:rsidRDefault="000965E6" w:rsidP="000965E6">
            <w:pPr>
              <w:pStyle w:val="TableText"/>
              <w:keepNext/>
              <w:rPr>
                <w:szCs w:val="18"/>
              </w:rPr>
            </w:pPr>
          </w:p>
        </w:tc>
      </w:tr>
      <w:tr w:rsidR="000965E6" w:rsidRPr="00783571" w14:paraId="640CD8C4"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232BD405"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6371951D" w14:textId="165FF473" w:rsidR="000965E6" w:rsidRPr="00783571" w:rsidRDefault="000965E6" w:rsidP="000965E6">
            <w:pPr>
              <w:pStyle w:val="TableText"/>
              <w:keepNext/>
              <w:rPr>
                <w:szCs w:val="18"/>
              </w:rPr>
            </w:pPr>
            <w:r w:rsidRPr="00783571">
              <w:rPr>
                <w:szCs w:val="18"/>
              </w:rPr>
              <w:t>Linked to HIV care but not prescribed ART</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17725673" w14:textId="77777777" w:rsidR="000965E6" w:rsidRPr="00783571" w:rsidRDefault="000965E6" w:rsidP="000965E6">
            <w:pPr>
              <w:pStyle w:val="TableText"/>
              <w:keepNext/>
              <w:rPr>
                <w:szCs w:val="18"/>
              </w:rPr>
            </w:pPr>
            <w:r w:rsidRPr="00783571">
              <w:rPr>
                <w:szCs w:val="18"/>
              </w:rPr>
              <w:t>$6,213</w:t>
            </w:r>
          </w:p>
        </w:tc>
        <w:tc>
          <w:tcPr>
            <w:tcW w:w="2721" w:type="dxa"/>
            <w:vMerge/>
            <w:tcBorders>
              <w:top w:val="single" w:sz="6" w:space="0" w:color="808080" w:themeColor="background1" w:themeShade="80"/>
              <w:bottom w:val="single" w:sz="12" w:space="0" w:color="auto"/>
            </w:tcBorders>
          </w:tcPr>
          <w:p w14:paraId="186B363F" w14:textId="77777777" w:rsidR="000965E6" w:rsidRPr="00783571" w:rsidRDefault="000965E6" w:rsidP="000965E6">
            <w:pPr>
              <w:pStyle w:val="TableText"/>
              <w:keepNext/>
              <w:rPr>
                <w:szCs w:val="18"/>
              </w:rPr>
            </w:pPr>
          </w:p>
        </w:tc>
      </w:tr>
      <w:tr w:rsidR="000965E6" w:rsidRPr="00783571" w14:paraId="23913600"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5BE4B4CA"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6FF87E33" w14:textId="6A969C36" w:rsidR="000965E6" w:rsidRPr="00783571" w:rsidRDefault="000965E6" w:rsidP="000965E6">
            <w:pPr>
              <w:pStyle w:val="TableText"/>
              <w:keepNext/>
              <w:rPr>
                <w:szCs w:val="18"/>
              </w:rPr>
            </w:pPr>
            <w:r w:rsidRPr="00783571">
              <w:rPr>
                <w:szCs w:val="18"/>
              </w:rPr>
              <w:t>Prescribed ART</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2B0E5C0C" w14:textId="77777777" w:rsidR="000965E6" w:rsidRPr="00783571" w:rsidRDefault="000965E6" w:rsidP="000965E6">
            <w:pPr>
              <w:pStyle w:val="TableText"/>
              <w:keepNext/>
              <w:rPr>
                <w:szCs w:val="18"/>
              </w:rPr>
            </w:pPr>
            <w:r w:rsidRPr="00783571">
              <w:rPr>
                <w:szCs w:val="18"/>
              </w:rPr>
              <w:t>$16,581</w:t>
            </w:r>
          </w:p>
        </w:tc>
        <w:tc>
          <w:tcPr>
            <w:tcW w:w="2721" w:type="dxa"/>
            <w:vMerge/>
            <w:tcBorders>
              <w:top w:val="single" w:sz="6" w:space="0" w:color="808080" w:themeColor="background1" w:themeShade="80"/>
              <w:bottom w:val="single" w:sz="12" w:space="0" w:color="auto"/>
            </w:tcBorders>
          </w:tcPr>
          <w:p w14:paraId="60EDF307" w14:textId="77777777" w:rsidR="000965E6" w:rsidRPr="00783571" w:rsidRDefault="000965E6" w:rsidP="000965E6">
            <w:pPr>
              <w:pStyle w:val="TableText"/>
              <w:keepNext/>
              <w:rPr>
                <w:szCs w:val="18"/>
              </w:rPr>
            </w:pPr>
          </w:p>
        </w:tc>
      </w:tr>
      <w:tr w:rsidR="000965E6" w:rsidRPr="00783571" w14:paraId="28A2FEF9"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14D16B67" w14:textId="77777777" w:rsidR="000965E6" w:rsidRPr="00783571" w:rsidRDefault="000965E6" w:rsidP="000965E6">
            <w:pPr>
              <w:pStyle w:val="TableText"/>
              <w:keepNext/>
              <w:rPr>
                <w:szCs w:val="18"/>
              </w:rPr>
            </w:pPr>
            <w:r w:rsidRPr="00783571">
              <w:rPr>
                <w:szCs w:val="18"/>
              </w:rPr>
              <w:t>CD4 &lt; 200</w:t>
            </w:r>
          </w:p>
        </w:tc>
        <w:tc>
          <w:tcPr>
            <w:tcW w:w="3013" w:type="dxa"/>
            <w:tcBorders>
              <w:top w:val="single" w:sz="6" w:space="0" w:color="808080" w:themeColor="background1" w:themeShade="80"/>
              <w:bottom w:val="single" w:sz="6" w:space="0" w:color="808080" w:themeColor="background1" w:themeShade="80"/>
            </w:tcBorders>
          </w:tcPr>
          <w:p w14:paraId="41121A3F" w14:textId="56B095FB" w:rsidR="000965E6" w:rsidRPr="00783571" w:rsidRDefault="000965E6" w:rsidP="000965E6">
            <w:pPr>
              <w:pStyle w:val="TableText"/>
              <w:keepNext/>
              <w:rPr>
                <w:szCs w:val="18"/>
              </w:rPr>
            </w:pPr>
            <w:r w:rsidRPr="00783571">
              <w:rPr>
                <w:szCs w:val="18"/>
              </w:rPr>
              <w:t>Unaware of infection</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6E85B5D4" w14:textId="77777777" w:rsidR="000965E6" w:rsidRPr="00783571" w:rsidRDefault="000965E6" w:rsidP="000965E6">
            <w:pPr>
              <w:pStyle w:val="TableText"/>
              <w:keepNext/>
              <w:rPr>
                <w:szCs w:val="18"/>
              </w:rPr>
            </w:pPr>
            <w:r w:rsidRPr="00783571">
              <w:rPr>
                <w:szCs w:val="18"/>
              </w:rPr>
              <w:t>$1,976</w:t>
            </w:r>
          </w:p>
        </w:tc>
        <w:tc>
          <w:tcPr>
            <w:tcW w:w="2721" w:type="dxa"/>
            <w:vMerge/>
            <w:tcBorders>
              <w:top w:val="single" w:sz="6" w:space="0" w:color="808080" w:themeColor="background1" w:themeShade="80"/>
              <w:bottom w:val="single" w:sz="12" w:space="0" w:color="auto"/>
            </w:tcBorders>
          </w:tcPr>
          <w:p w14:paraId="1A9D8925" w14:textId="77777777" w:rsidR="000965E6" w:rsidRPr="00783571" w:rsidRDefault="000965E6" w:rsidP="000965E6">
            <w:pPr>
              <w:pStyle w:val="TableText"/>
              <w:keepNext/>
              <w:rPr>
                <w:szCs w:val="18"/>
              </w:rPr>
            </w:pPr>
          </w:p>
        </w:tc>
      </w:tr>
      <w:tr w:rsidR="000965E6" w:rsidRPr="00783571" w14:paraId="5D83E9BD"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101C6895"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2CE4D29A" w14:textId="3FEFCEFC" w:rsidR="000965E6" w:rsidRPr="00783571" w:rsidRDefault="000965E6" w:rsidP="000965E6">
            <w:pPr>
              <w:pStyle w:val="TableText"/>
              <w:keepNext/>
              <w:rPr>
                <w:szCs w:val="18"/>
              </w:rPr>
            </w:pPr>
            <w:r w:rsidRPr="00783571">
              <w:rPr>
                <w:szCs w:val="18"/>
              </w:rPr>
              <w:t>Aware but not linked to HIV care</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617039CE" w14:textId="77777777" w:rsidR="000965E6" w:rsidRPr="00783571" w:rsidRDefault="000965E6" w:rsidP="000965E6">
            <w:pPr>
              <w:pStyle w:val="TableText"/>
              <w:keepNext/>
              <w:rPr>
                <w:szCs w:val="18"/>
              </w:rPr>
            </w:pPr>
            <w:r w:rsidRPr="00783571">
              <w:rPr>
                <w:szCs w:val="18"/>
              </w:rPr>
              <w:t>$1,976</w:t>
            </w:r>
          </w:p>
        </w:tc>
        <w:tc>
          <w:tcPr>
            <w:tcW w:w="2721" w:type="dxa"/>
            <w:vMerge/>
            <w:tcBorders>
              <w:top w:val="single" w:sz="6" w:space="0" w:color="808080" w:themeColor="background1" w:themeShade="80"/>
              <w:bottom w:val="single" w:sz="12" w:space="0" w:color="auto"/>
            </w:tcBorders>
          </w:tcPr>
          <w:p w14:paraId="29668834" w14:textId="77777777" w:rsidR="000965E6" w:rsidRPr="00783571" w:rsidRDefault="000965E6" w:rsidP="000965E6">
            <w:pPr>
              <w:pStyle w:val="TableText"/>
              <w:keepNext/>
              <w:rPr>
                <w:szCs w:val="18"/>
              </w:rPr>
            </w:pPr>
          </w:p>
        </w:tc>
      </w:tr>
      <w:tr w:rsidR="000965E6" w:rsidRPr="00783571" w14:paraId="798304D1" w14:textId="77777777" w:rsidTr="00260D8A">
        <w:trPr>
          <w:cantSplit/>
        </w:trPr>
        <w:tc>
          <w:tcPr>
            <w:tcW w:w="2361" w:type="dxa"/>
            <w:tcBorders>
              <w:top w:val="single" w:sz="6" w:space="0" w:color="808080" w:themeColor="background1" w:themeShade="80"/>
              <w:bottom w:val="single" w:sz="6" w:space="0" w:color="808080" w:themeColor="background1" w:themeShade="80"/>
            </w:tcBorders>
          </w:tcPr>
          <w:p w14:paraId="28AAD001"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6" w:space="0" w:color="808080" w:themeColor="background1" w:themeShade="80"/>
            </w:tcBorders>
          </w:tcPr>
          <w:p w14:paraId="3BFA6FC2" w14:textId="3D9D78B4" w:rsidR="000965E6" w:rsidRPr="00783571" w:rsidRDefault="000965E6" w:rsidP="000965E6">
            <w:pPr>
              <w:pStyle w:val="TableText"/>
              <w:keepNext/>
              <w:rPr>
                <w:szCs w:val="18"/>
              </w:rPr>
            </w:pPr>
            <w:r w:rsidRPr="00783571">
              <w:rPr>
                <w:szCs w:val="18"/>
              </w:rPr>
              <w:t>Linked to HIV care but not prescribed ART</w:t>
            </w:r>
          </w:p>
        </w:tc>
        <w:tc>
          <w:tcPr>
            <w:tcW w:w="1265" w:type="dxa"/>
            <w:tcBorders>
              <w:top w:val="single" w:sz="6" w:space="0" w:color="808080" w:themeColor="background1" w:themeShade="80"/>
              <w:bottom w:val="single" w:sz="6" w:space="0" w:color="808080" w:themeColor="background1" w:themeShade="80"/>
            </w:tcBorders>
            <w:shd w:val="clear" w:color="auto" w:fill="auto"/>
            <w:noWrap/>
            <w:vAlign w:val="bottom"/>
          </w:tcPr>
          <w:p w14:paraId="119E4490" w14:textId="77777777" w:rsidR="000965E6" w:rsidRPr="00783571" w:rsidRDefault="000965E6" w:rsidP="000965E6">
            <w:pPr>
              <w:pStyle w:val="TableText"/>
              <w:keepNext/>
              <w:rPr>
                <w:szCs w:val="18"/>
              </w:rPr>
            </w:pPr>
            <w:r w:rsidRPr="00783571">
              <w:rPr>
                <w:szCs w:val="18"/>
              </w:rPr>
              <w:t>$14,116</w:t>
            </w:r>
          </w:p>
        </w:tc>
        <w:tc>
          <w:tcPr>
            <w:tcW w:w="2721" w:type="dxa"/>
            <w:vMerge/>
            <w:tcBorders>
              <w:top w:val="single" w:sz="6" w:space="0" w:color="808080" w:themeColor="background1" w:themeShade="80"/>
              <w:bottom w:val="single" w:sz="12" w:space="0" w:color="auto"/>
            </w:tcBorders>
          </w:tcPr>
          <w:p w14:paraId="7FB90F0B" w14:textId="77777777" w:rsidR="000965E6" w:rsidRPr="00783571" w:rsidRDefault="000965E6" w:rsidP="000965E6">
            <w:pPr>
              <w:pStyle w:val="TableText"/>
              <w:keepNext/>
              <w:rPr>
                <w:szCs w:val="18"/>
              </w:rPr>
            </w:pPr>
          </w:p>
        </w:tc>
      </w:tr>
      <w:tr w:rsidR="000965E6" w:rsidRPr="00783571" w14:paraId="532BCE3D" w14:textId="77777777" w:rsidTr="00260D8A">
        <w:trPr>
          <w:cantSplit/>
        </w:trPr>
        <w:tc>
          <w:tcPr>
            <w:tcW w:w="2361" w:type="dxa"/>
            <w:tcBorders>
              <w:top w:val="single" w:sz="6" w:space="0" w:color="808080" w:themeColor="background1" w:themeShade="80"/>
              <w:bottom w:val="single" w:sz="12" w:space="0" w:color="000000"/>
            </w:tcBorders>
          </w:tcPr>
          <w:p w14:paraId="325CAE74" w14:textId="77777777" w:rsidR="000965E6" w:rsidRPr="00783571" w:rsidRDefault="000965E6" w:rsidP="000965E6">
            <w:pPr>
              <w:pStyle w:val="TableText"/>
              <w:keepNext/>
              <w:rPr>
                <w:szCs w:val="18"/>
              </w:rPr>
            </w:pPr>
          </w:p>
        </w:tc>
        <w:tc>
          <w:tcPr>
            <w:tcW w:w="3013" w:type="dxa"/>
            <w:tcBorders>
              <w:top w:val="single" w:sz="6" w:space="0" w:color="808080" w:themeColor="background1" w:themeShade="80"/>
              <w:bottom w:val="single" w:sz="12" w:space="0" w:color="000000"/>
            </w:tcBorders>
          </w:tcPr>
          <w:p w14:paraId="289D5A9B" w14:textId="73C6E2C8" w:rsidR="000965E6" w:rsidRPr="00783571" w:rsidRDefault="000965E6" w:rsidP="000965E6">
            <w:pPr>
              <w:pStyle w:val="TableText"/>
              <w:keepNext/>
              <w:rPr>
                <w:szCs w:val="18"/>
              </w:rPr>
            </w:pPr>
            <w:r w:rsidRPr="00783571">
              <w:rPr>
                <w:szCs w:val="18"/>
              </w:rPr>
              <w:t>Prescribed ART</w:t>
            </w:r>
          </w:p>
        </w:tc>
        <w:tc>
          <w:tcPr>
            <w:tcW w:w="1265" w:type="dxa"/>
            <w:tcBorders>
              <w:top w:val="single" w:sz="6" w:space="0" w:color="808080" w:themeColor="background1" w:themeShade="80"/>
              <w:bottom w:val="single" w:sz="12" w:space="0" w:color="000000"/>
            </w:tcBorders>
            <w:shd w:val="clear" w:color="auto" w:fill="auto"/>
            <w:noWrap/>
            <w:vAlign w:val="bottom"/>
          </w:tcPr>
          <w:p w14:paraId="37A9A435" w14:textId="77777777" w:rsidR="000965E6" w:rsidRPr="00783571" w:rsidRDefault="000965E6" w:rsidP="000965E6">
            <w:pPr>
              <w:pStyle w:val="TableText"/>
              <w:keepNext/>
              <w:rPr>
                <w:szCs w:val="18"/>
              </w:rPr>
            </w:pPr>
            <w:r w:rsidRPr="00783571">
              <w:rPr>
                <w:szCs w:val="18"/>
              </w:rPr>
              <w:t>$25,305</w:t>
            </w:r>
          </w:p>
        </w:tc>
        <w:tc>
          <w:tcPr>
            <w:tcW w:w="2721" w:type="dxa"/>
            <w:vMerge/>
            <w:tcBorders>
              <w:top w:val="single" w:sz="6" w:space="0" w:color="808080" w:themeColor="background1" w:themeShade="80"/>
              <w:bottom w:val="single" w:sz="12" w:space="0" w:color="auto"/>
            </w:tcBorders>
          </w:tcPr>
          <w:p w14:paraId="020D4C11" w14:textId="77777777" w:rsidR="000965E6" w:rsidRPr="00783571" w:rsidRDefault="000965E6" w:rsidP="000965E6">
            <w:pPr>
              <w:pStyle w:val="TableText"/>
              <w:keepNext/>
              <w:rPr>
                <w:szCs w:val="18"/>
              </w:rPr>
            </w:pPr>
          </w:p>
        </w:tc>
      </w:tr>
    </w:tbl>
    <w:p w14:paraId="5293DE7E" w14:textId="77777777" w:rsidR="0090437C" w:rsidRPr="00783571" w:rsidRDefault="0090437C" w:rsidP="0090437C">
      <w:pPr>
        <w:pStyle w:val="Source1"/>
      </w:pPr>
      <w:r w:rsidRPr="00783571">
        <w:rPr>
          <w:vertAlign w:val="superscript"/>
        </w:rPr>
        <w:t xml:space="preserve">a </w:t>
      </w:r>
      <w:r w:rsidRPr="00783571">
        <w:t>All cost inputs were converted to 2015$ in the calculation of economic outcomes.</w:t>
      </w:r>
    </w:p>
    <w:p w14:paraId="5C00B3DD" w14:textId="229DD7EA" w:rsidR="009F5E14" w:rsidRPr="00783571" w:rsidRDefault="009F5E14" w:rsidP="005D1916">
      <w:pPr>
        <w:pStyle w:val="Heading3"/>
      </w:pPr>
      <w:bookmarkStart w:id="119" w:name="_Toc510104483"/>
      <w:r w:rsidRPr="00783571">
        <w:t xml:space="preserve">Calculation of PrEP </w:t>
      </w:r>
      <w:r w:rsidR="005D1916" w:rsidRPr="00783571">
        <w:t>C</w:t>
      </w:r>
      <w:r w:rsidRPr="00783571">
        <w:t>osts</w:t>
      </w:r>
      <w:bookmarkEnd w:id="119"/>
    </w:p>
    <w:p w14:paraId="220106FE" w14:textId="32DBD9E1" w:rsidR="009F5E14" w:rsidRPr="00783571" w:rsidRDefault="009F5E14" w:rsidP="00814158">
      <w:pPr>
        <w:pStyle w:val="BodyText"/>
        <w:keepNext/>
        <w:keepLines/>
      </w:pPr>
      <w:r w:rsidRPr="00783571">
        <w:t xml:space="preserve">The monthly costs for PrEP listed in </w:t>
      </w:r>
      <w:r w:rsidR="00814158" w:rsidRPr="00783571">
        <w:t>Table </w:t>
      </w:r>
      <w:r w:rsidR="00CC1DD7" w:rsidRPr="00783571">
        <w:t>10.</w:t>
      </w:r>
      <w:r w:rsidRPr="00783571">
        <w:t xml:space="preserve">5 are incurred for all individuals on PrEP. The total PrEP costs accrued by the modeled population over the outcome collection period are </w:t>
      </w:r>
      <w:r w:rsidR="00174B34" w:rsidRPr="00783571">
        <w:t>discounted</w:t>
      </w:r>
      <w:r w:rsidRPr="00783571">
        <w:t>.</w:t>
      </w:r>
      <w:r w:rsidR="00174B34" w:rsidRPr="00783571">
        <w:t xml:space="preserve"> These costs assume HIV testing while receiving PrEP every 3 months.</w:t>
      </w:r>
    </w:p>
    <w:p w14:paraId="1C7612B8" w14:textId="5AEF6811" w:rsidR="009F5E14" w:rsidRPr="00783571" w:rsidRDefault="009F5E14" w:rsidP="00903B31">
      <w:pPr>
        <w:pStyle w:val="TableTitle"/>
      </w:pPr>
      <w:bookmarkStart w:id="120" w:name="_Toc510104047"/>
      <w:r w:rsidRPr="00783571">
        <w:t xml:space="preserve">Table </w:t>
      </w:r>
      <w:r w:rsidR="00903B31" w:rsidRPr="00783571">
        <w:t>10</w:t>
      </w:r>
      <w:r w:rsidR="00227B32" w:rsidRPr="00783571">
        <w:t>.</w:t>
      </w:r>
      <w:r w:rsidRPr="00783571">
        <w:t>5.</w:t>
      </w:r>
      <w:r w:rsidRPr="00783571">
        <w:tab/>
      </w:r>
      <w:r w:rsidR="00FB0F3C" w:rsidRPr="00783571">
        <w:t xml:space="preserve">Annual </w:t>
      </w:r>
      <w:r w:rsidRPr="00783571">
        <w:t xml:space="preserve">PrEP </w:t>
      </w:r>
      <w:r w:rsidR="005D1916" w:rsidRPr="00783571">
        <w:t>C</w:t>
      </w:r>
      <w:r w:rsidRPr="00783571">
        <w:t>osts</w:t>
      </w:r>
      <w:bookmarkEnd w:id="120"/>
      <w:r w:rsidRPr="00783571">
        <w:t xml:space="preserve"> </w:t>
      </w:r>
    </w:p>
    <w:tbl>
      <w:tblPr>
        <w:tblStyle w:val="TableFormat4"/>
        <w:tblW w:w="9360" w:type="dxa"/>
        <w:tblInd w:w="0" w:type="dxa"/>
        <w:tblLayout w:type="fixed"/>
        <w:tblCellMar>
          <w:left w:w="115" w:type="dxa"/>
          <w:right w:w="115" w:type="dxa"/>
        </w:tblCellMar>
        <w:tblLook w:val="04A0" w:firstRow="1" w:lastRow="0" w:firstColumn="1" w:lastColumn="0" w:noHBand="0" w:noVBand="1"/>
      </w:tblPr>
      <w:tblGrid>
        <w:gridCol w:w="3150"/>
        <w:gridCol w:w="2340"/>
        <w:gridCol w:w="3870"/>
      </w:tblGrid>
      <w:tr w:rsidR="009F5E14" w:rsidRPr="00783571" w14:paraId="4D57F6AD" w14:textId="77777777" w:rsidTr="00814158">
        <w:trPr>
          <w:cnfStyle w:val="100000000000" w:firstRow="1" w:lastRow="0" w:firstColumn="0" w:lastColumn="0" w:oddVBand="0" w:evenVBand="0" w:oddHBand="0" w:evenHBand="0" w:firstRowFirstColumn="0" w:firstRowLastColumn="0" w:lastRowFirstColumn="0" w:lastRowLastColumn="0"/>
        </w:trPr>
        <w:tc>
          <w:tcPr>
            <w:tcW w:w="3150" w:type="dxa"/>
          </w:tcPr>
          <w:p w14:paraId="78B8EB84" w14:textId="625881C5" w:rsidR="009F5E14" w:rsidRPr="00783571" w:rsidRDefault="008E4A7C" w:rsidP="00227B32">
            <w:pPr>
              <w:pStyle w:val="TableHeaders"/>
              <w:keepNext/>
            </w:pPr>
            <w:r w:rsidRPr="00783571">
              <w:rPr>
                <w:szCs w:val="18"/>
              </w:rPr>
              <w:t>Cost C</w:t>
            </w:r>
            <w:r w:rsidR="000E01BA" w:rsidRPr="00783571">
              <w:rPr>
                <w:szCs w:val="18"/>
              </w:rPr>
              <w:t>ategory</w:t>
            </w:r>
          </w:p>
        </w:tc>
        <w:tc>
          <w:tcPr>
            <w:tcW w:w="2340" w:type="dxa"/>
            <w:noWrap/>
          </w:tcPr>
          <w:p w14:paraId="69301C83" w14:textId="77777777" w:rsidR="009F5E14" w:rsidRPr="00783571" w:rsidRDefault="009F5E14" w:rsidP="00227B32">
            <w:pPr>
              <w:pStyle w:val="TableHeaders"/>
              <w:keepNext/>
            </w:pPr>
            <w:r w:rsidRPr="00783571">
              <w:t>Value</w:t>
            </w:r>
          </w:p>
        </w:tc>
        <w:tc>
          <w:tcPr>
            <w:tcW w:w="3870" w:type="dxa"/>
          </w:tcPr>
          <w:p w14:paraId="75C2CDA4" w14:textId="77777777" w:rsidR="009F5E14" w:rsidRPr="00783571" w:rsidRDefault="009F5E14" w:rsidP="00227B32">
            <w:pPr>
              <w:pStyle w:val="TableHeaders"/>
              <w:keepNext/>
            </w:pPr>
            <w:r w:rsidRPr="00783571">
              <w:t>Source</w:t>
            </w:r>
          </w:p>
        </w:tc>
      </w:tr>
      <w:tr w:rsidR="009F5E14" w:rsidRPr="00783571" w14:paraId="4C030833" w14:textId="77777777" w:rsidTr="00814158">
        <w:tc>
          <w:tcPr>
            <w:tcW w:w="3150" w:type="dxa"/>
            <w:tcBorders>
              <w:top w:val="single" w:sz="6" w:space="0" w:color="auto"/>
              <w:bottom w:val="single" w:sz="6" w:space="0" w:color="808080" w:themeColor="background1" w:themeShade="80"/>
            </w:tcBorders>
          </w:tcPr>
          <w:p w14:paraId="429F2C7B" w14:textId="38F9DBC8" w:rsidR="009F5E14" w:rsidRPr="00783571" w:rsidRDefault="00174B34" w:rsidP="00227B32">
            <w:pPr>
              <w:pStyle w:val="TableText"/>
              <w:keepNext/>
              <w:rPr>
                <w:szCs w:val="18"/>
              </w:rPr>
            </w:pPr>
            <w:r w:rsidRPr="00783571">
              <w:rPr>
                <w:szCs w:val="18"/>
              </w:rPr>
              <w:t>Drug costs</w:t>
            </w:r>
          </w:p>
        </w:tc>
        <w:tc>
          <w:tcPr>
            <w:tcW w:w="2340" w:type="dxa"/>
            <w:tcBorders>
              <w:top w:val="single" w:sz="6" w:space="0" w:color="auto"/>
              <w:bottom w:val="single" w:sz="6" w:space="0" w:color="808080" w:themeColor="background1" w:themeShade="80"/>
            </w:tcBorders>
            <w:noWrap/>
          </w:tcPr>
          <w:p w14:paraId="6F7A3828" w14:textId="639C242B" w:rsidR="009F5E14" w:rsidRPr="00783571" w:rsidRDefault="00174B34" w:rsidP="00227B32">
            <w:pPr>
              <w:pStyle w:val="TableText"/>
              <w:keepNext/>
              <w:jc w:val="center"/>
              <w:rPr>
                <w:szCs w:val="18"/>
              </w:rPr>
            </w:pPr>
            <w:r w:rsidRPr="00783571">
              <w:rPr>
                <w:szCs w:val="18"/>
              </w:rPr>
              <w:t>$</w:t>
            </w:r>
            <w:r w:rsidR="00975E4C" w:rsidRPr="00783571">
              <w:rPr>
                <w:szCs w:val="18"/>
              </w:rPr>
              <w:t>16,453</w:t>
            </w:r>
            <w:r w:rsidRPr="00783571">
              <w:rPr>
                <w:szCs w:val="18"/>
              </w:rPr>
              <w:t xml:space="preserve"> (201</w:t>
            </w:r>
            <w:r w:rsidR="00975E4C" w:rsidRPr="00783571">
              <w:rPr>
                <w:szCs w:val="18"/>
              </w:rPr>
              <w:t>5</w:t>
            </w:r>
            <w:r w:rsidRPr="00783571">
              <w:rPr>
                <w:szCs w:val="18"/>
              </w:rPr>
              <w:t>$)</w:t>
            </w:r>
          </w:p>
        </w:tc>
        <w:tc>
          <w:tcPr>
            <w:tcW w:w="3870" w:type="dxa"/>
            <w:tcBorders>
              <w:top w:val="single" w:sz="6" w:space="0" w:color="auto"/>
              <w:bottom w:val="single" w:sz="6" w:space="0" w:color="808080" w:themeColor="background1" w:themeShade="80"/>
            </w:tcBorders>
          </w:tcPr>
          <w:p w14:paraId="3EC94FB1" w14:textId="22CF18AF" w:rsidR="009F5E14" w:rsidRPr="00783571" w:rsidRDefault="00B2449E" w:rsidP="00227B32">
            <w:pPr>
              <w:pStyle w:val="TableText"/>
              <w:keepNext/>
              <w:rPr>
                <w:szCs w:val="18"/>
              </w:rPr>
            </w:pPr>
            <w:r w:rsidRPr="00783571">
              <w:t>Truven Health Analytics</w:t>
            </w:r>
            <w:r w:rsidR="00174B34" w:rsidRPr="00783571">
              <w:rPr>
                <w:szCs w:val="18"/>
              </w:rPr>
              <w:t xml:space="preserve"> (201</w:t>
            </w:r>
            <w:r w:rsidR="00975E4C" w:rsidRPr="00783571">
              <w:rPr>
                <w:szCs w:val="18"/>
              </w:rPr>
              <w:t>7</w:t>
            </w:r>
            <w:r w:rsidR="00174B34" w:rsidRPr="00783571">
              <w:rPr>
                <w:szCs w:val="18"/>
              </w:rPr>
              <w:t xml:space="preserve">); Gebo et al. </w:t>
            </w:r>
            <w:r w:rsidR="005D1916" w:rsidRPr="00783571">
              <w:rPr>
                <w:szCs w:val="18"/>
              </w:rPr>
              <w:t>(</w:t>
            </w:r>
            <w:r w:rsidR="00174B34" w:rsidRPr="00783571">
              <w:rPr>
                <w:szCs w:val="18"/>
              </w:rPr>
              <w:t>2010)</w:t>
            </w:r>
          </w:p>
        </w:tc>
      </w:tr>
      <w:tr w:rsidR="009F5E14" w:rsidRPr="00783571" w14:paraId="7A4F9736" w14:textId="77777777" w:rsidTr="00814158">
        <w:tc>
          <w:tcPr>
            <w:tcW w:w="3150" w:type="dxa"/>
            <w:tcBorders>
              <w:top w:val="single" w:sz="6" w:space="0" w:color="808080" w:themeColor="background1" w:themeShade="80"/>
              <w:bottom w:val="single" w:sz="6" w:space="0" w:color="808080" w:themeColor="background1" w:themeShade="80"/>
            </w:tcBorders>
          </w:tcPr>
          <w:p w14:paraId="2B5E70A2" w14:textId="43F5C811" w:rsidR="009F5E14" w:rsidRPr="00783571" w:rsidRDefault="00174B34" w:rsidP="00227B32">
            <w:pPr>
              <w:pStyle w:val="TableText"/>
              <w:keepNext/>
              <w:rPr>
                <w:szCs w:val="18"/>
              </w:rPr>
            </w:pPr>
            <w:r w:rsidRPr="00783571">
              <w:rPr>
                <w:szCs w:val="18"/>
              </w:rPr>
              <w:t>Screening and monitoring costs</w:t>
            </w:r>
          </w:p>
        </w:tc>
        <w:tc>
          <w:tcPr>
            <w:tcW w:w="2340" w:type="dxa"/>
            <w:tcBorders>
              <w:top w:val="single" w:sz="6" w:space="0" w:color="808080" w:themeColor="background1" w:themeShade="80"/>
              <w:bottom w:val="single" w:sz="6" w:space="0" w:color="808080" w:themeColor="background1" w:themeShade="80"/>
            </w:tcBorders>
            <w:noWrap/>
          </w:tcPr>
          <w:p w14:paraId="6113C41A" w14:textId="52F73544" w:rsidR="009F5E14" w:rsidRPr="00783571" w:rsidRDefault="00174B34" w:rsidP="00227B32">
            <w:pPr>
              <w:pStyle w:val="TableText"/>
              <w:keepNext/>
              <w:jc w:val="center"/>
              <w:rPr>
                <w:szCs w:val="18"/>
              </w:rPr>
            </w:pPr>
            <w:r w:rsidRPr="00783571">
              <w:rPr>
                <w:szCs w:val="18"/>
              </w:rPr>
              <w:t>$1,4</w:t>
            </w:r>
            <w:r w:rsidR="00975E4C" w:rsidRPr="00783571">
              <w:rPr>
                <w:szCs w:val="18"/>
              </w:rPr>
              <w:t>75</w:t>
            </w:r>
            <w:r w:rsidRPr="00783571">
              <w:rPr>
                <w:szCs w:val="18"/>
              </w:rPr>
              <w:t xml:space="preserve"> (201</w:t>
            </w:r>
            <w:r w:rsidR="00975E4C" w:rsidRPr="00783571">
              <w:rPr>
                <w:szCs w:val="18"/>
              </w:rPr>
              <w:t>5</w:t>
            </w:r>
            <w:r w:rsidRPr="00783571">
              <w:rPr>
                <w:szCs w:val="18"/>
              </w:rPr>
              <w:t>$)</w:t>
            </w:r>
          </w:p>
        </w:tc>
        <w:tc>
          <w:tcPr>
            <w:tcW w:w="3870" w:type="dxa"/>
            <w:tcBorders>
              <w:top w:val="single" w:sz="6" w:space="0" w:color="808080" w:themeColor="background1" w:themeShade="80"/>
              <w:bottom w:val="single" w:sz="6" w:space="0" w:color="808080" w:themeColor="background1" w:themeShade="80"/>
            </w:tcBorders>
          </w:tcPr>
          <w:p w14:paraId="4E56FDB3" w14:textId="5BD33315" w:rsidR="009F5E14" w:rsidRPr="00783571" w:rsidRDefault="00174B34" w:rsidP="00227B32">
            <w:pPr>
              <w:pStyle w:val="TableText"/>
              <w:keepNext/>
              <w:rPr>
                <w:szCs w:val="18"/>
              </w:rPr>
            </w:pPr>
            <w:r w:rsidRPr="00783571">
              <w:rPr>
                <w:szCs w:val="18"/>
              </w:rPr>
              <w:t xml:space="preserve">Desai et al. </w:t>
            </w:r>
            <w:r w:rsidR="005D1916" w:rsidRPr="00783571">
              <w:rPr>
                <w:szCs w:val="18"/>
              </w:rPr>
              <w:t>(</w:t>
            </w:r>
            <w:r w:rsidRPr="00783571">
              <w:rPr>
                <w:szCs w:val="18"/>
              </w:rPr>
              <w:t>2008</w:t>
            </w:r>
            <w:r w:rsidR="005D1916" w:rsidRPr="00783571">
              <w:rPr>
                <w:szCs w:val="18"/>
              </w:rPr>
              <w:t>)</w:t>
            </w:r>
          </w:p>
        </w:tc>
      </w:tr>
      <w:tr w:rsidR="009F5E14" w:rsidRPr="00783571" w14:paraId="72A91F94" w14:textId="77777777" w:rsidTr="00814158">
        <w:tc>
          <w:tcPr>
            <w:tcW w:w="3150" w:type="dxa"/>
            <w:tcBorders>
              <w:top w:val="single" w:sz="6" w:space="0" w:color="808080" w:themeColor="background1" w:themeShade="80"/>
              <w:bottom w:val="single" w:sz="12" w:space="0" w:color="auto"/>
            </w:tcBorders>
          </w:tcPr>
          <w:p w14:paraId="5A68F4FE" w14:textId="7E9F77FB" w:rsidR="009F5E14" w:rsidRPr="00783571" w:rsidRDefault="00174B34" w:rsidP="00227B32">
            <w:pPr>
              <w:pStyle w:val="TableText"/>
              <w:keepNext/>
              <w:rPr>
                <w:szCs w:val="18"/>
              </w:rPr>
            </w:pPr>
            <w:r w:rsidRPr="00783571">
              <w:rPr>
                <w:szCs w:val="18"/>
              </w:rPr>
              <w:t>Total</w:t>
            </w:r>
          </w:p>
        </w:tc>
        <w:tc>
          <w:tcPr>
            <w:tcW w:w="2340" w:type="dxa"/>
            <w:tcBorders>
              <w:top w:val="single" w:sz="6" w:space="0" w:color="808080" w:themeColor="background1" w:themeShade="80"/>
              <w:bottom w:val="single" w:sz="12" w:space="0" w:color="auto"/>
            </w:tcBorders>
            <w:noWrap/>
          </w:tcPr>
          <w:p w14:paraId="078B9037" w14:textId="3F828B1B" w:rsidR="009F5E14" w:rsidRPr="00783571" w:rsidRDefault="00174B34" w:rsidP="00227B32">
            <w:pPr>
              <w:pStyle w:val="TableText"/>
              <w:keepNext/>
              <w:jc w:val="center"/>
              <w:rPr>
                <w:szCs w:val="18"/>
              </w:rPr>
            </w:pPr>
            <w:r w:rsidRPr="00783571">
              <w:rPr>
                <w:szCs w:val="18"/>
              </w:rPr>
              <w:t>$</w:t>
            </w:r>
            <w:r w:rsidR="00975E4C" w:rsidRPr="00783571">
              <w:rPr>
                <w:szCs w:val="18"/>
              </w:rPr>
              <w:t>17,450</w:t>
            </w:r>
          </w:p>
        </w:tc>
        <w:tc>
          <w:tcPr>
            <w:tcW w:w="3870" w:type="dxa"/>
            <w:tcBorders>
              <w:top w:val="single" w:sz="6" w:space="0" w:color="808080" w:themeColor="background1" w:themeShade="80"/>
              <w:bottom w:val="single" w:sz="12" w:space="0" w:color="auto"/>
            </w:tcBorders>
          </w:tcPr>
          <w:p w14:paraId="10283C97" w14:textId="77777777" w:rsidR="009F5E14" w:rsidRPr="00783571" w:rsidRDefault="009F5E14" w:rsidP="00227B32">
            <w:pPr>
              <w:pStyle w:val="TableText"/>
              <w:keepNext/>
              <w:rPr>
                <w:szCs w:val="18"/>
              </w:rPr>
            </w:pPr>
          </w:p>
        </w:tc>
      </w:tr>
    </w:tbl>
    <w:p w14:paraId="159027A7" w14:textId="77777777" w:rsidR="00174B34" w:rsidRPr="00783571" w:rsidRDefault="00174B34" w:rsidP="00814158">
      <w:pPr>
        <w:pStyle w:val="Source1"/>
      </w:pPr>
    </w:p>
    <w:p w14:paraId="54DB85FF" w14:textId="77777777" w:rsidR="00A921C5" w:rsidRPr="00783571" w:rsidRDefault="00A921C5" w:rsidP="00A921C5">
      <w:pPr>
        <w:pStyle w:val="Heading3"/>
        <w:rPr>
          <w:sz w:val="20"/>
        </w:rPr>
      </w:pPr>
      <w:bookmarkStart w:id="121" w:name="_Toc510104484"/>
      <w:r w:rsidRPr="00783571">
        <w:t xml:space="preserve">Calculation of </w:t>
      </w:r>
      <w:r w:rsidR="008B30F8" w:rsidRPr="00783571">
        <w:t>Incremental Cost</w:t>
      </w:r>
      <w:r w:rsidRPr="00783571">
        <w:t>-</w:t>
      </w:r>
      <w:r w:rsidR="008B30F8" w:rsidRPr="00783571">
        <w:t>Effectiveness Ratios</w:t>
      </w:r>
      <w:bookmarkEnd w:id="121"/>
    </w:p>
    <w:p w14:paraId="04B06D65" w14:textId="7A665271" w:rsidR="000F420A" w:rsidRPr="00783571" w:rsidRDefault="00861115" w:rsidP="00DE4B50">
      <w:pPr>
        <w:pStyle w:val="BodyText"/>
      </w:pPr>
      <w:r w:rsidRPr="00783571">
        <w:t xml:space="preserve">The incremental cost-effectiveness </w:t>
      </w:r>
      <w:r w:rsidR="00A921C5" w:rsidRPr="00783571">
        <w:t xml:space="preserve">ratio </w:t>
      </w:r>
      <w:r w:rsidRPr="00783571">
        <w:t>(ICER)</w:t>
      </w:r>
      <w:r w:rsidR="00C5279F" w:rsidRPr="00783571">
        <w:t>, defined as the incremental cost per QALY gained,</w:t>
      </w:r>
      <w:r w:rsidRPr="00783571">
        <w:t xml:space="preserve"> </w:t>
      </w:r>
      <w:r w:rsidR="00A921C5" w:rsidRPr="00783571">
        <w:t>wa</w:t>
      </w:r>
      <w:r w:rsidRPr="00783571">
        <w:t>s calculated for one scenario (</w:t>
      </w:r>
      <w:r w:rsidRPr="00783571">
        <w:rPr>
          <w:i/>
          <w:iCs/>
        </w:rPr>
        <w:t>I</w:t>
      </w:r>
      <w:r w:rsidRPr="00783571">
        <w:t>) versus a comparator scenario (</w:t>
      </w:r>
      <w:r w:rsidRPr="00783571">
        <w:rPr>
          <w:i/>
          <w:iCs/>
        </w:rPr>
        <w:t>C</w:t>
      </w:r>
      <w:r w:rsidRPr="00783571">
        <w:t xml:space="preserve">) by using </w:t>
      </w:r>
      <w:r w:rsidR="00A921C5" w:rsidRPr="00783571">
        <w:t>E</w:t>
      </w:r>
      <w:r w:rsidRPr="00783571">
        <w:t xml:space="preserve">quation </w:t>
      </w:r>
      <w:r w:rsidR="00903B31" w:rsidRPr="00783571">
        <w:t>(10.</w:t>
      </w:r>
      <w:r w:rsidR="00A921C5" w:rsidRPr="00783571">
        <w:t>11</w:t>
      </w:r>
      <w:r w:rsidR="008B30F8" w:rsidRPr="00783571">
        <w:t>)</w:t>
      </w:r>
      <w:r w:rsidRPr="00783571">
        <w:t xml:space="preserve">. Scenarios </w:t>
      </w:r>
      <w:r w:rsidR="00C5279F" w:rsidRPr="00783571">
        <w:t>we</w:t>
      </w:r>
      <w:r w:rsidRPr="00783571">
        <w:t>re defined as model runs with alternative input</w:t>
      </w:r>
      <w:r w:rsidR="00C5279F" w:rsidRPr="00783571">
        <w:t xml:space="preserve"> values</w:t>
      </w:r>
      <w:r w:rsidRPr="00783571">
        <w:t xml:space="preserve">. The </w:t>
      </w:r>
      <w:r w:rsidR="00A921C5" w:rsidRPr="00783571">
        <w:t>ICER could</w:t>
      </w:r>
      <w:r w:rsidRPr="00783571">
        <w:t xml:space="preserve"> be</w:t>
      </w:r>
      <w:r w:rsidR="00A921C5" w:rsidRPr="00783571">
        <w:t xml:space="preserve"> calculated for subsets of subpopulations or specific sets of costs</w:t>
      </w:r>
      <w:r w:rsidRPr="00783571">
        <w:t>.</w:t>
      </w:r>
    </w:p>
    <w:p w14:paraId="7F61626D" w14:textId="2F2EDAB4" w:rsidR="00861115" w:rsidRPr="00783571" w:rsidRDefault="00A921C5" w:rsidP="00A921C5">
      <w:pPr>
        <w:pStyle w:val="equation"/>
        <w:rPr>
          <w:rFonts w:ascii="Cambria Math" w:hAnsi="Cambria Math"/>
          <w:lang w:val="en-US"/>
          <w:oMath/>
        </w:rPr>
      </w:pPr>
      <w:r w:rsidRPr="00783571">
        <w:rPr>
          <w:lang w:val="en-US"/>
        </w:rPr>
        <w:tab/>
      </w:r>
      <m:oMath>
        <m:r>
          <m:rPr>
            <m:nor/>
          </m:rPr>
          <w:rPr>
            <w:rFonts w:ascii="Cambria Math" w:hAnsi="Cambria Math"/>
            <w:lang w:val="en-US"/>
          </w:rPr>
          <m:t>ICER=</m:t>
        </m:r>
        <m:f>
          <m:fPr>
            <m:ctrlPr>
              <w:rPr>
                <w:rFonts w:ascii="Cambria Math" w:hAnsi="Cambria Math"/>
                <w:i/>
                <w:lang w:val="en-US"/>
              </w:rPr>
            </m:ctrlPr>
          </m:fPr>
          <m:num>
            <m:sSub>
              <m:sSubPr>
                <m:ctrlPr>
                  <w:rPr>
                    <w:rFonts w:ascii="Cambria Math" w:hAnsi="Cambria Math"/>
                    <w:i/>
                    <w:lang w:val="en-US"/>
                  </w:rPr>
                </m:ctrlPr>
              </m:sSubPr>
              <m:e>
                <m:r>
                  <m:rPr>
                    <m:nor/>
                  </m:rPr>
                  <w:rPr>
                    <w:rFonts w:ascii="Cambria Math" w:hAnsi="Cambria Math"/>
                    <w:lang w:val="en-US"/>
                  </w:rPr>
                  <m:t>A</m:t>
                </m:r>
              </m:e>
              <m:sub>
                <m:r>
                  <m:rPr>
                    <m:nor/>
                  </m:rPr>
                  <w:rPr>
                    <w:rFonts w:ascii="Cambria Math" w:hAnsi="Cambria Math"/>
                    <w:lang w:val="en-US"/>
                  </w:rPr>
                  <m:t>I</m:t>
                </m:r>
              </m:sub>
            </m:sSub>
            <m:r>
              <m:rPr>
                <m:sty m:val="p"/>
              </m:rPr>
              <w:rPr>
                <w:rFonts w:ascii="Cambria Math" w:hAnsi="Cambria Math"/>
                <w:lang w:val="en-US"/>
              </w:rPr>
              <m:t>-</m:t>
            </m:r>
            <m:sSub>
              <m:sSubPr>
                <m:ctrlPr>
                  <w:rPr>
                    <w:rFonts w:ascii="Cambria Math" w:hAnsi="Cambria Math"/>
                    <w:i/>
                    <w:lang w:val="en-US"/>
                  </w:rPr>
                </m:ctrlPr>
              </m:sSubPr>
              <m:e>
                <m:r>
                  <m:rPr>
                    <m:nor/>
                  </m:rPr>
                  <w:rPr>
                    <w:rFonts w:ascii="Cambria Math" w:hAnsi="Cambria Math"/>
                    <w:lang w:val="en-US"/>
                  </w:rPr>
                  <m:t>A</m:t>
                </m:r>
              </m:e>
              <m:sub>
                <m:r>
                  <m:rPr>
                    <m:nor/>
                  </m:rPr>
                  <w:rPr>
                    <w:rFonts w:ascii="Cambria Math" w:hAnsi="Cambria Math"/>
                    <w:lang w:val="en-US"/>
                  </w:rPr>
                  <m:t>C</m:t>
                </m:r>
              </m:sub>
            </m:sSub>
          </m:num>
          <m:den>
            <m:sSub>
              <m:sSubPr>
                <m:ctrlPr>
                  <w:rPr>
                    <w:rFonts w:ascii="Cambria Math" w:hAnsi="Cambria Math"/>
                    <w:i/>
                    <w:lang w:val="en-US"/>
                  </w:rPr>
                </m:ctrlPr>
              </m:sSubPr>
              <m:e>
                <m:r>
                  <m:rPr>
                    <m:nor/>
                  </m:rPr>
                  <w:rPr>
                    <w:rFonts w:ascii="Cambria Math" w:hAnsi="Cambria Math"/>
                    <w:lang w:val="en-US"/>
                  </w:rPr>
                  <m:t>W</m:t>
                </m:r>
              </m:e>
              <m:sub>
                <m:r>
                  <m:rPr>
                    <m:nor/>
                  </m:rPr>
                  <w:rPr>
                    <w:rFonts w:ascii="Cambria Math" w:hAnsi="Cambria Math"/>
                    <w:lang w:val="en-US"/>
                  </w:rPr>
                  <m:t>I</m:t>
                </m:r>
              </m:sub>
            </m:sSub>
            <m:r>
              <m:rPr>
                <m:sty m:val="p"/>
              </m:rPr>
              <w:rPr>
                <w:rFonts w:ascii="Cambria Math" w:hAnsi="Cambria Math"/>
                <w:lang w:val="en-US"/>
              </w:rPr>
              <m:t>-</m:t>
            </m:r>
            <m:sSub>
              <m:sSubPr>
                <m:ctrlPr>
                  <w:rPr>
                    <w:rFonts w:ascii="Cambria Math" w:hAnsi="Cambria Math"/>
                    <w:i/>
                    <w:lang w:val="en-US"/>
                  </w:rPr>
                </m:ctrlPr>
              </m:sSubPr>
              <m:e>
                <m:r>
                  <m:rPr>
                    <m:nor/>
                  </m:rPr>
                  <w:rPr>
                    <w:rFonts w:ascii="Cambria Math" w:hAnsi="Cambria Math"/>
                    <w:lang w:val="en-US"/>
                  </w:rPr>
                  <m:t>W</m:t>
                </m:r>
              </m:e>
              <m:sub>
                <m:r>
                  <m:rPr>
                    <m:nor/>
                  </m:rPr>
                  <w:rPr>
                    <w:rFonts w:ascii="Cambria Math" w:hAnsi="Cambria Math"/>
                    <w:lang w:val="en-US"/>
                  </w:rPr>
                  <m:t>C</m:t>
                </m:r>
              </m:sub>
            </m:sSub>
          </m:den>
        </m:f>
      </m:oMath>
      <w:r w:rsidRPr="00783571">
        <w:rPr>
          <w:lang w:val="en-US"/>
        </w:rPr>
        <w:tab/>
      </w:r>
      <w:r w:rsidR="00903B31" w:rsidRPr="00783571">
        <w:rPr>
          <w:lang w:val="en-US"/>
        </w:rPr>
        <w:t>(10.</w:t>
      </w:r>
      <w:r w:rsidRPr="00783571">
        <w:rPr>
          <w:lang w:val="en-US"/>
        </w:rPr>
        <w:t>11)</w:t>
      </w:r>
    </w:p>
    <w:p w14:paraId="55BA4339" w14:textId="4815F984" w:rsidR="00EA28C8" w:rsidRPr="00783571" w:rsidRDefault="00EA28C8" w:rsidP="005D1916">
      <w:pPr>
        <w:pStyle w:val="BodyText"/>
      </w:pPr>
      <w:r w:rsidRPr="00783571">
        <w:t>where</w:t>
      </w:r>
      <w:r w:rsidR="005D1916" w:rsidRPr="00783571">
        <w:t xml:space="preserve"> </w:t>
      </w:r>
      <w:r w:rsidRPr="00783571">
        <w:t xml:space="preserve">A = </w:t>
      </w:r>
      <w:r w:rsidR="005D1916" w:rsidRPr="00783571">
        <w:t>r</w:t>
      </w:r>
      <w:r w:rsidR="00DE4B50" w:rsidRPr="00783571">
        <w:t>elevant</w:t>
      </w:r>
      <w:r w:rsidRPr="00783571">
        <w:t xml:space="preserve"> total costs</w:t>
      </w:r>
      <w:r w:rsidR="00DE4B50" w:rsidRPr="00783571">
        <w:t xml:space="preserve"> accrued by the modeled population </w:t>
      </w:r>
      <w:r w:rsidRPr="00783571">
        <w:t xml:space="preserve">over the </w:t>
      </w:r>
      <w:r w:rsidR="00DE4B50" w:rsidRPr="00783571">
        <w:t>outcome collection period</w:t>
      </w:r>
      <w:r w:rsidRPr="00783571">
        <w:t>.</w:t>
      </w:r>
    </w:p>
    <w:p w14:paraId="719FDBC6" w14:textId="77777777" w:rsidR="00227B32" w:rsidRPr="00783571" w:rsidRDefault="00227B32" w:rsidP="005D1916">
      <w:pPr>
        <w:pStyle w:val="BodyText"/>
      </w:pPr>
    </w:p>
    <w:p w14:paraId="65B1BCF8" w14:textId="77777777" w:rsidR="00FB4FDA" w:rsidRPr="00783571" w:rsidRDefault="00FB4FDA" w:rsidP="008B30F8">
      <w:pPr>
        <w:pStyle w:val="BodyText"/>
        <w:sectPr w:rsidR="00FB4FDA" w:rsidRPr="00783571" w:rsidSect="00D66442">
          <w:headerReference w:type="default" r:id="rId150"/>
          <w:pgSz w:w="12240" w:h="15840" w:code="1"/>
          <w:pgMar w:top="1440" w:right="1440" w:bottom="1440" w:left="1440" w:header="720" w:footer="720" w:gutter="0"/>
          <w:pgNumType w:start="1" w:chapStyle="1"/>
          <w:cols w:space="720"/>
          <w:titlePg/>
          <w:docGrid w:linePitch="360"/>
        </w:sectPr>
      </w:pPr>
    </w:p>
    <w:p w14:paraId="6EAB5912" w14:textId="77777777" w:rsidR="00FB4FDA" w:rsidRPr="00783571" w:rsidRDefault="00FB4FDA" w:rsidP="00FB4FDA">
      <w:pPr>
        <w:pStyle w:val="Heading1"/>
      </w:pPr>
      <w:bookmarkStart w:id="122" w:name="_Ref493510674"/>
      <w:bookmarkStart w:id="123" w:name="_Toc510104485"/>
      <w:r w:rsidRPr="00783571">
        <w:t>Model Calibration and Validation</w:t>
      </w:r>
      <w:bookmarkEnd w:id="122"/>
      <w:bookmarkEnd w:id="123"/>
    </w:p>
    <w:p w14:paraId="3E8505B8" w14:textId="71C57295" w:rsidR="00FB4FDA" w:rsidRPr="00783571" w:rsidRDefault="00FB4FDA" w:rsidP="00D17841">
      <w:pPr>
        <w:pStyle w:val="Heading2"/>
      </w:pPr>
      <w:bookmarkStart w:id="124" w:name="_Toc398293131"/>
      <w:bookmarkStart w:id="125" w:name="_Toc510104486"/>
      <w:r w:rsidRPr="00783571">
        <w:t>Model Calibration</w:t>
      </w:r>
      <w:bookmarkEnd w:id="124"/>
      <w:r w:rsidR="00B81425" w:rsidRPr="00783571">
        <w:t xml:space="preserve"> to </w:t>
      </w:r>
      <w:r w:rsidR="00D17841" w:rsidRPr="00783571">
        <w:t xml:space="preserve">Published </w:t>
      </w:r>
      <w:r w:rsidR="00B81425" w:rsidRPr="00783571">
        <w:t>Data</w:t>
      </w:r>
      <w:bookmarkEnd w:id="125"/>
    </w:p>
    <w:p w14:paraId="0493B512" w14:textId="70DEF3CF" w:rsidR="00214F7F" w:rsidRPr="00783571" w:rsidRDefault="00FB4FDA" w:rsidP="00903B31">
      <w:pPr>
        <w:pStyle w:val="BodyText"/>
      </w:pPr>
      <w:r w:rsidRPr="00783571">
        <w:t xml:space="preserve">We calibrated </w:t>
      </w:r>
      <w:r w:rsidR="00B201C3" w:rsidRPr="00783571">
        <w:t xml:space="preserve">a subset of </w:t>
      </w:r>
      <w:r w:rsidRPr="00783571">
        <w:t>the model</w:t>
      </w:r>
      <w:r w:rsidR="00B201C3" w:rsidRPr="00783571">
        <w:t>’s inputs so that</w:t>
      </w:r>
      <w:r w:rsidRPr="00783571">
        <w:t xml:space="preserve"> </w:t>
      </w:r>
      <w:r w:rsidR="00B201C3" w:rsidRPr="00783571">
        <w:t xml:space="preserve">key model outcomes in the first and second time periods </w:t>
      </w:r>
      <w:r w:rsidR="002F34B7" w:rsidRPr="00783571">
        <w:t>approximated</w:t>
      </w:r>
      <w:r w:rsidR="00B201C3" w:rsidRPr="00783571">
        <w:t xml:space="preserve"> surveillance data defining the HIV epidemic</w:t>
      </w:r>
      <w:r w:rsidRPr="00783571">
        <w:t xml:space="preserve">. </w:t>
      </w:r>
      <w:r w:rsidR="00214F7F" w:rsidRPr="00783571">
        <w:t xml:space="preserve">The process that was applied to calibrate the model is outlined in </w:t>
      </w:r>
      <w:r w:rsidR="00871E69" w:rsidRPr="00783571">
        <w:t xml:space="preserve">Sections </w:t>
      </w:r>
      <w:r w:rsidR="00903B31" w:rsidRPr="00783571">
        <w:t>11</w:t>
      </w:r>
      <w:r w:rsidR="00214F7F" w:rsidRPr="00783571">
        <w:t xml:space="preserve">.1.1 to </w:t>
      </w:r>
      <w:r w:rsidR="00903B31" w:rsidRPr="00783571">
        <w:t>11</w:t>
      </w:r>
      <w:r w:rsidR="00214F7F" w:rsidRPr="00783571">
        <w:t>.1.</w:t>
      </w:r>
      <w:r w:rsidR="00420E4E" w:rsidRPr="00783571">
        <w:t>4</w:t>
      </w:r>
      <w:r w:rsidR="00214F7F" w:rsidRPr="00783571">
        <w:t>.</w:t>
      </w:r>
    </w:p>
    <w:p w14:paraId="07EF3420" w14:textId="0CD7F58D" w:rsidR="001F5372" w:rsidRPr="00783571" w:rsidRDefault="00024FE5" w:rsidP="00B84AED">
      <w:pPr>
        <w:pStyle w:val="Heading3"/>
      </w:pPr>
      <w:bookmarkStart w:id="126" w:name="_Toc510104487"/>
      <w:r w:rsidRPr="00783571">
        <w:t>Establish</w:t>
      </w:r>
      <w:r w:rsidR="00214F7F" w:rsidRPr="00783571">
        <w:t xml:space="preserve"> </w:t>
      </w:r>
      <w:r w:rsidR="008E4A7C" w:rsidRPr="00783571">
        <w:t>Calibration Outcome Targets</w:t>
      </w:r>
      <w:bookmarkEnd w:id="126"/>
    </w:p>
    <w:p w14:paraId="2AF51D0C" w14:textId="6D6EF0E8" w:rsidR="001F5372" w:rsidRPr="00783571" w:rsidRDefault="002F34B7" w:rsidP="00903B31">
      <w:pPr>
        <w:pStyle w:val="BodyText"/>
      </w:pPr>
      <w:r w:rsidRPr="00783571">
        <w:t xml:space="preserve">The </w:t>
      </w:r>
      <w:r w:rsidR="00214F7F" w:rsidRPr="00783571">
        <w:t xml:space="preserve">model </w:t>
      </w:r>
      <w:r w:rsidRPr="00783571">
        <w:t xml:space="preserve">outcomes targeted to match surveillance data are listed in </w:t>
      </w:r>
      <w:r w:rsidR="00814158" w:rsidRPr="00783571">
        <w:t>Table </w:t>
      </w:r>
      <w:r w:rsidR="00903B31" w:rsidRPr="00783571">
        <w:t>11</w:t>
      </w:r>
      <w:r w:rsidR="00871E69" w:rsidRPr="00783571">
        <w:t>.</w:t>
      </w:r>
      <w:r w:rsidRPr="00783571">
        <w:t xml:space="preserve">3. </w:t>
      </w:r>
      <w:r w:rsidR="00214F7F" w:rsidRPr="00783571">
        <w:t xml:space="preserve">We aimed for the model’s </w:t>
      </w:r>
      <w:r w:rsidR="006C164E" w:rsidRPr="00783571">
        <w:t>outcomes</w:t>
      </w:r>
      <w:r w:rsidR="00214F7F" w:rsidRPr="00783571">
        <w:t xml:space="preserve"> </w:t>
      </w:r>
      <w:r w:rsidR="006C164E" w:rsidRPr="00783571">
        <w:t>to</w:t>
      </w:r>
      <w:r w:rsidR="00214F7F" w:rsidRPr="00783571">
        <w:t xml:space="preserve"> </w:t>
      </w:r>
      <w:r w:rsidR="006C164E" w:rsidRPr="00783571">
        <w:t xml:space="preserve">approximate the published point estimates </w:t>
      </w:r>
      <w:r w:rsidR="00E45603" w:rsidRPr="00783571">
        <w:t>within an acceptable range</w:t>
      </w:r>
      <w:r w:rsidR="006C164E" w:rsidRPr="00783571">
        <w:t>. We</w:t>
      </w:r>
      <w:r w:rsidR="00214F7F" w:rsidRPr="00783571">
        <w:t xml:space="preserve"> used 95% confidence intervals</w:t>
      </w:r>
      <w:r w:rsidR="006C164E" w:rsidRPr="00783571">
        <w:t xml:space="preserve"> for those ranges when available; otherwise</w:t>
      </w:r>
      <w:r w:rsidR="00214F7F" w:rsidRPr="00783571">
        <w:t xml:space="preserve"> </w:t>
      </w:r>
      <w:r w:rsidR="006C164E" w:rsidRPr="00783571">
        <w:t>we</w:t>
      </w:r>
      <w:r w:rsidR="00E45603" w:rsidRPr="00783571">
        <w:t xml:space="preserve"> established ranges based on</w:t>
      </w:r>
      <w:r w:rsidR="001F5372" w:rsidRPr="00783571">
        <w:t xml:space="preserve"> </w:t>
      </w:r>
      <w:r w:rsidR="005D1916" w:rsidRPr="00783571">
        <w:t>±</w:t>
      </w:r>
      <w:r w:rsidR="00BC2F6A" w:rsidRPr="00783571">
        <w:t xml:space="preserve">20% </w:t>
      </w:r>
      <w:r w:rsidR="00E45603" w:rsidRPr="00783571">
        <w:t>of the point estimates</w:t>
      </w:r>
      <w:r w:rsidR="00BC2F6A" w:rsidRPr="00783571">
        <w:t>.</w:t>
      </w:r>
    </w:p>
    <w:p w14:paraId="6ECDD5DF" w14:textId="63C44769" w:rsidR="001F5372" w:rsidRPr="00783571" w:rsidRDefault="00024FE5" w:rsidP="008E4A7C">
      <w:pPr>
        <w:pStyle w:val="Heading3"/>
      </w:pPr>
      <w:bookmarkStart w:id="127" w:name="_Toc510104488"/>
      <w:r w:rsidRPr="00783571">
        <w:t xml:space="preserve">Establish </w:t>
      </w:r>
      <w:r w:rsidR="008E4A7C" w:rsidRPr="00783571">
        <w:t xml:space="preserve">Inputs </w:t>
      </w:r>
      <w:r w:rsidR="004461F4" w:rsidRPr="00783571">
        <w:t xml:space="preserve">to </w:t>
      </w:r>
      <w:r w:rsidR="008E4A7C" w:rsidRPr="00783571">
        <w:t>V</w:t>
      </w:r>
      <w:r w:rsidR="004461F4" w:rsidRPr="00783571">
        <w:t xml:space="preserve">ary in </w:t>
      </w:r>
      <w:r w:rsidR="008E4A7C" w:rsidRPr="00783571">
        <w:t>C</w:t>
      </w:r>
      <w:r w:rsidR="004461F4" w:rsidRPr="00783571">
        <w:t>alibration</w:t>
      </w:r>
      <w:bookmarkEnd w:id="127"/>
    </w:p>
    <w:p w14:paraId="0891E764" w14:textId="650966A7" w:rsidR="009B4F07" w:rsidRPr="00783571" w:rsidRDefault="004461F4" w:rsidP="00903B31">
      <w:pPr>
        <w:pStyle w:val="BodyText"/>
      </w:pPr>
      <w:r w:rsidRPr="00783571">
        <w:t>W</w:t>
      </w:r>
      <w:r w:rsidR="00FB4FDA" w:rsidRPr="00783571">
        <w:t xml:space="preserve">e identified </w:t>
      </w:r>
      <w:r w:rsidR="00E45603" w:rsidRPr="00783571">
        <w:t xml:space="preserve">inputs </w:t>
      </w:r>
      <w:r w:rsidR="00FB4FDA" w:rsidRPr="00783571">
        <w:t xml:space="preserve">to vary and specified </w:t>
      </w:r>
      <w:r w:rsidR="00427FAB" w:rsidRPr="00783571">
        <w:t xml:space="preserve">both a priority weight and </w:t>
      </w:r>
      <w:r w:rsidR="00FB4FDA" w:rsidRPr="00783571">
        <w:t>a range of acceptable values for each (</w:t>
      </w:r>
      <w:r w:rsidR="00871E69" w:rsidRPr="00783571">
        <w:t>Tables </w:t>
      </w:r>
      <w:r w:rsidR="00903B31" w:rsidRPr="00783571">
        <w:t>11</w:t>
      </w:r>
      <w:r w:rsidR="00CC1362" w:rsidRPr="00783571">
        <w:t>.</w:t>
      </w:r>
      <w:r w:rsidR="00FB4FDA" w:rsidRPr="00783571">
        <w:t xml:space="preserve">1 and </w:t>
      </w:r>
      <w:r w:rsidR="00903B31" w:rsidRPr="00783571">
        <w:t>11</w:t>
      </w:r>
      <w:r w:rsidR="00CC1362" w:rsidRPr="00783571">
        <w:t>.</w:t>
      </w:r>
      <w:r w:rsidR="00FB4FDA" w:rsidRPr="00783571">
        <w:t>2). Most parameters selected to be varied were selected because limited to no source data were available</w:t>
      </w:r>
      <w:r w:rsidR="002F34B7" w:rsidRPr="00783571">
        <w:t xml:space="preserve">. </w:t>
      </w:r>
      <w:r w:rsidR="00427FAB" w:rsidRPr="00783571">
        <w:t xml:space="preserve">We also calibrated all </w:t>
      </w:r>
      <w:r w:rsidR="002F34B7" w:rsidRPr="00783571">
        <w:t xml:space="preserve">rates of flow along the continuum-of-care </w:t>
      </w:r>
      <w:r w:rsidR="00427FAB" w:rsidRPr="00783571">
        <w:t xml:space="preserve">so that the distribution of the HIV-infected population matched that observed in </w:t>
      </w:r>
      <w:r w:rsidR="002F34B7" w:rsidRPr="00783571">
        <w:t>surveillance data</w:t>
      </w:r>
      <w:r w:rsidR="00427FAB" w:rsidRPr="00783571">
        <w:t>, despite the fact that</w:t>
      </w:r>
      <w:r w:rsidR="00697F6C" w:rsidRPr="00783571">
        <w:t xml:space="preserve"> </w:t>
      </w:r>
      <w:r w:rsidR="00427FAB" w:rsidRPr="00783571">
        <w:t xml:space="preserve">estimates of some of those rates </w:t>
      </w:r>
      <w:r w:rsidR="00697F6C" w:rsidRPr="00783571">
        <w:t>(testing, linkage</w:t>
      </w:r>
      <w:r w:rsidR="003C0141" w:rsidRPr="00783571">
        <w:t xml:space="preserve"> to HIV care</w:t>
      </w:r>
      <w:r w:rsidR="00697F6C" w:rsidRPr="00783571">
        <w:t>, and other rates)</w:t>
      </w:r>
      <w:r w:rsidR="00427FAB" w:rsidRPr="00783571">
        <w:t xml:space="preserve"> are reported in the published literature</w:t>
      </w:r>
      <w:r w:rsidR="00FB4FDA" w:rsidRPr="00783571">
        <w:t xml:space="preserve">. </w:t>
      </w:r>
      <w:r w:rsidR="009B4F07" w:rsidRPr="00783571">
        <w:t xml:space="preserve">In addition, </w:t>
      </w:r>
      <w:r w:rsidR="00697F6C" w:rsidRPr="00783571">
        <w:t xml:space="preserve">we also varied some inputs </w:t>
      </w:r>
      <w:r w:rsidR="00427FAB" w:rsidRPr="00783571">
        <w:t xml:space="preserve">to which </w:t>
      </w:r>
      <w:r w:rsidR="00697F6C" w:rsidRPr="00783571">
        <w:t xml:space="preserve">the model was highly sensitive but </w:t>
      </w:r>
      <w:r w:rsidR="00427FAB" w:rsidRPr="00783571">
        <w:t xml:space="preserve">for which </w:t>
      </w:r>
      <w:r w:rsidR="00697F6C" w:rsidRPr="00783571">
        <w:t>the published literature did not offer high confidence in specific values; per-act transmission risk was a key example of such an input</w:t>
      </w:r>
      <w:r w:rsidR="009B4F07" w:rsidRPr="00783571">
        <w:t>.</w:t>
      </w:r>
    </w:p>
    <w:p w14:paraId="3CE84BCD" w14:textId="77777777" w:rsidR="001F5372" w:rsidRPr="00783571" w:rsidRDefault="00301D9B" w:rsidP="00301D9B">
      <w:pPr>
        <w:pStyle w:val="BodyText"/>
      </w:pPr>
      <w:r w:rsidRPr="00783571">
        <w:t xml:space="preserve">A range of values to consider </w:t>
      </w:r>
      <w:r w:rsidR="00FB4FDA" w:rsidRPr="00783571">
        <w:t xml:space="preserve">was </w:t>
      </w:r>
      <w:r w:rsidRPr="00783571">
        <w:t>established</w:t>
      </w:r>
      <w:r w:rsidR="00FB4FDA" w:rsidRPr="00783571">
        <w:t xml:space="preserve"> </w:t>
      </w:r>
      <w:r w:rsidRPr="00783571">
        <w:t xml:space="preserve">for each input; those ranges were </w:t>
      </w:r>
      <w:r w:rsidR="00FB4FDA" w:rsidRPr="00783571">
        <w:t xml:space="preserve">informed by available data or expert opinion. </w:t>
      </w:r>
      <w:r w:rsidR="00697F6C" w:rsidRPr="00783571">
        <w:t xml:space="preserve">Ranges of values were set so that the following </w:t>
      </w:r>
      <w:r w:rsidR="00EF1740" w:rsidRPr="00783571">
        <w:t>qualitative restrictions were also applied:</w:t>
      </w:r>
    </w:p>
    <w:p w14:paraId="3743E848" w14:textId="7A2750FA" w:rsidR="001F5372" w:rsidRPr="00783571" w:rsidRDefault="001A6FA2" w:rsidP="001A6FA2">
      <w:pPr>
        <w:pStyle w:val="bullets-blank"/>
      </w:pPr>
      <w:r w:rsidRPr="00783571">
        <w:t>1.</w:t>
      </w:r>
      <w:r w:rsidRPr="00783571">
        <w:tab/>
      </w:r>
      <w:r w:rsidR="00697F6C" w:rsidRPr="00783571">
        <w:t xml:space="preserve">Testing </w:t>
      </w:r>
      <w:r w:rsidR="00EF1740" w:rsidRPr="00783571">
        <w:t xml:space="preserve">rates of MSM </w:t>
      </w:r>
      <w:r w:rsidR="00917130" w:rsidRPr="00783571">
        <w:t>and</w:t>
      </w:r>
      <w:r w:rsidR="00EF1740" w:rsidRPr="00783571">
        <w:t xml:space="preserve"> </w:t>
      </w:r>
      <w:r w:rsidR="007919D7" w:rsidRPr="00783571">
        <w:t xml:space="preserve">PWID </w:t>
      </w:r>
      <w:r w:rsidR="00427FAB" w:rsidRPr="00783571">
        <w:t>are</w:t>
      </w:r>
      <w:r w:rsidR="00D039CD" w:rsidRPr="00783571">
        <w:t xml:space="preserve"> </w:t>
      </w:r>
      <w:r w:rsidR="00697F6C" w:rsidRPr="00783571">
        <w:t>higher</w:t>
      </w:r>
      <w:r w:rsidR="00EF1740" w:rsidRPr="00783571">
        <w:t xml:space="preserve"> than testing rates of HETs;</w:t>
      </w:r>
    </w:p>
    <w:p w14:paraId="3910D5C6" w14:textId="0323A9EC" w:rsidR="001A6FA2" w:rsidRPr="00783571" w:rsidRDefault="001A6FA2" w:rsidP="001A6FA2">
      <w:pPr>
        <w:pStyle w:val="bullets-blank"/>
      </w:pPr>
      <w:r w:rsidRPr="00783571">
        <w:t>2.</w:t>
      </w:r>
      <w:r w:rsidRPr="00783571">
        <w:tab/>
        <w:t>Testing rates increase with progressively more advanced disease stages;</w:t>
      </w:r>
    </w:p>
    <w:p w14:paraId="7E652224" w14:textId="515A74BD" w:rsidR="001F5372" w:rsidRPr="00783571" w:rsidRDefault="001A6FA2" w:rsidP="00D039CD">
      <w:pPr>
        <w:pStyle w:val="bullets-blank"/>
      </w:pPr>
      <w:r w:rsidRPr="00783571">
        <w:t>3</w:t>
      </w:r>
      <w:r w:rsidR="00871E69" w:rsidRPr="00783571">
        <w:t>.</w:t>
      </w:r>
      <w:r w:rsidR="00871E69" w:rsidRPr="00783571">
        <w:tab/>
      </w:r>
      <w:r w:rsidR="00697F6C" w:rsidRPr="00783571">
        <w:t xml:space="preserve">Rates </w:t>
      </w:r>
      <w:r w:rsidR="00917130" w:rsidRPr="00783571">
        <w:t>of</w:t>
      </w:r>
      <w:r w:rsidR="00EF1740" w:rsidRPr="00783571">
        <w:t xml:space="preserve"> linkage to </w:t>
      </w:r>
      <w:r w:rsidR="003C0141" w:rsidRPr="00783571">
        <w:t xml:space="preserve">HIV </w:t>
      </w:r>
      <w:r w:rsidR="00EF1740" w:rsidRPr="00783571">
        <w:t xml:space="preserve">care after diagnosis </w:t>
      </w:r>
      <w:r w:rsidR="00697F6C" w:rsidRPr="00783571">
        <w:t>increase</w:t>
      </w:r>
      <w:r w:rsidR="00B20EDC" w:rsidRPr="00783571">
        <w:t>d</w:t>
      </w:r>
      <w:r w:rsidR="00697F6C" w:rsidRPr="00783571">
        <w:t xml:space="preserve"> </w:t>
      </w:r>
      <w:r w:rsidR="00301D9B" w:rsidRPr="00783571">
        <w:t>with more severe</w:t>
      </w:r>
      <w:r w:rsidR="00697F6C" w:rsidRPr="00783571">
        <w:t xml:space="preserve"> symptomatic disease stages</w:t>
      </w:r>
      <w:r w:rsidR="006A4EBF" w:rsidRPr="00783571">
        <w:t>;</w:t>
      </w:r>
      <w:r w:rsidR="00917130" w:rsidRPr="00783571">
        <w:t xml:space="preserve"> and</w:t>
      </w:r>
    </w:p>
    <w:p w14:paraId="4F13C882" w14:textId="163D627C" w:rsidR="009B4F07" w:rsidRPr="00783571" w:rsidRDefault="001A6FA2" w:rsidP="00871E69">
      <w:pPr>
        <w:pStyle w:val="bullets-blank"/>
      </w:pPr>
      <w:r w:rsidRPr="00783571">
        <w:t>4</w:t>
      </w:r>
      <w:r w:rsidR="00871E69" w:rsidRPr="00783571">
        <w:t>.</w:t>
      </w:r>
      <w:r w:rsidR="00871E69" w:rsidRPr="00783571">
        <w:tab/>
      </w:r>
      <w:r w:rsidR="004461F4" w:rsidRPr="00783571">
        <w:t>Per</w:t>
      </w:r>
      <w:r w:rsidR="006A4EBF" w:rsidRPr="00783571">
        <w:t>-</w:t>
      </w:r>
      <w:r w:rsidR="00D10FEF" w:rsidRPr="00783571">
        <w:t>sex-</w:t>
      </w:r>
      <w:r w:rsidR="006A4EBF" w:rsidRPr="00783571">
        <w:t xml:space="preserve">act risk </w:t>
      </w:r>
      <w:r w:rsidR="00D10FEF" w:rsidRPr="00783571">
        <w:t xml:space="preserve">from </w:t>
      </w:r>
      <w:r w:rsidR="006A4EBF" w:rsidRPr="00783571">
        <w:t>insertive</w:t>
      </w:r>
      <w:r w:rsidR="004461F4" w:rsidRPr="00783571">
        <w:t xml:space="preserve"> AI (VI)</w:t>
      </w:r>
      <w:r w:rsidR="006A4EBF" w:rsidRPr="00783571">
        <w:t xml:space="preserve"> </w:t>
      </w:r>
      <w:r w:rsidR="00B20EDC" w:rsidRPr="00783571">
        <w:t xml:space="preserve">was </w:t>
      </w:r>
      <w:r w:rsidR="006A4EBF" w:rsidRPr="00783571">
        <w:t xml:space="preserve">less than </w:t>
      </w:r>
      <w:r w:rsidR="004461F4" w:rsidRPr="00783571">
        <w:t>that of</w:t>
      </w:r>
      <w:r w:rsidR="006A4EBF" w:rsidRPr="00783571">
        <w:t xml:space="preserve"> receptive </w:t>
      </w:r>
      <w:r w:rsidR="004461F4" w:rsidRPr="00783571">
        <w:t>AI (VI)</w:t>
      </w:r>
      <w:r w:rsidR="003035A6" w:rsidRPr="00783571">
        <w:t>.</w:t>
      </w:r>
    </w:p>
    <w:p w14:paraId="6E18836D" w14:textId="149C3455" w:rsidR="001F5372" w:rsidRPr="00783571" w:rsidRDefault="00C33FBB" w:rsidP="00EC4628">
      <w:pPr>
        <w:pStyle w:val="BodyText"/>
      </w:pPr>
      <w:r w:rsidRPr="00783571">
        <w:t>Given these restrictions, a</w:t>
      </w:r>
      <w:r w:rsidR="009B4F07" w:rsidRPr="00783571">
        <w:t xml:space="preserve">ll </w:t>
      </w:r>
      <w:r w:rsidRPr="00783571">
        <w:t xml:space="preserve">input </w:t>
      </w:r>
      <w:r w:rsidR="009B4F07" w:rsidRPr="00783571">
        <w:t xml:space="preserve">values </w:t>
      </w:r>
      <w:r w:rsidRPr="00783571">
        <w:t>and combinations of input values within the bounds were considered acceptable.</w:t>
      </w:r>
    </w:p>
    <w:p w14:paraId="682483D1" w14:textId="77777777" w:rsidR="00FC5936" w:rsidRPr="00783571" w:rsidRDefault="00FC5936">
      <w:pPr>
        <w:rPr>
          <w:b/>
        </w:rPr>
      </w:pPr>
      <w:r w:rsidRPr="00783571">
        <w:br w:type="page"/>
      </w:r>
    </w:p>
    <w:p w14:paraId="5C28EF29" w14:textId="2AA3C760" w:rsidR="00F14E49" w:rsidRPr="00783571" w:rsidRDefault="004F4E6D" w:rsidP="00903B31">
      <w:pPr>
        <w:pStyle w:val="TableTitle"/>
        <w:rPr>
          <w:vertAlign w:val="superscript"/>
        </w:rPr>
      </w:pPr>
      <w:bookmarkStart w:id="128" w:name="_Toc510104048"/>
      <w:r w:rsidRPr="00783571">
        <w:t xml:space="preserve">Table </w:t>
      </w:r>
      <w:r w:rsidR="00903B31" w:rsidRPr="00783571">
        <w:t>11</w:t>
      </w:r>
      <w:r w:rsidRPr="00783571">
        <w:t>.</w:t>
      </w:r>
      <w:r w:rsidR="00FB4FDA" w:rsidRPr="00783571">
        <w:t>1.</w:t>
      </w:r>
      <w:r w:rsidR="00FB4FDA" w:rsidRPr="00783571">
        <w:tab/>
      </w:r>
      <w:r w:rsidR="00427FAB" w:rsidRPr="00783571">
        <w:t xml:space="preserve">Bounds and Final </w:t>
      </w:r>
      <w:r w:rsidR="00A16C51" w:rsidRPr="00783571">
        <w:t xml:space="preserve">Values of </w:t>
      </w:r>
      <w:r w:rsidR="00B51169" w:rsidRPr="00783571">
        <w:t xml:space="preserve">Continuum-of-Care Parameters Varied in Calibration: </w:t>
      </w:r>
      <w:r w:rsidR="00D17841" w:rsidRPr="00783571">
        <w:t>Second Time Period</w:t>
      </w:r>
      <w:r w:rsidR="000E6D70" w:rsidRPr="00783571">
        <w:rPr>
          <w:vertAlign w:val="superscript"/>
        </w:rPr>
        <w:t>a</w:t>
      </w:r>
      <w:bookmarkEnd w:id="128"/>
    </w:p>
    <w:tbl>
      <w:tblPr>
        <w:tblW w:w="5000" w:type="pct"/>
        <w:tblBorders>
          <w:top w:val="single" w:sz="12" w:space="0" w:color="auto"/>
          <w:bottom w:val="single" w:sz="12" w:space="0" w:color="auto"/>
        </w:tblBorders>
        <w:tblCellMar>
          <w:left w:w="115" w:type="dxa"/>
          <w:right w:w="115" w:type="dxa"/>
        </w:tblCellMar>
        <w:tblLook w:val="04A0" w:firstRow="1" w:lastRow="0" w:firstColumn="1" w:lastColumn="0" w:noHBand="0" w:noVBand="1"/>
      </w:tblPr>
      <w:tblGrid>
        <w:gridCol w:w="4028"/>
        <w:gridCol w:w="61"/>
        <w:gridCol w:w="1717"/>
        <w:gridCol w:w="1777"/>
        <w:gridCol w:w="1777"/>
      </w:tblGrid>
      <w:tr w:rsidR="00FC5936" w:rsidRPr="00783571" w14:paraId="3981F4B7" w14:textId="77777777" w:rsidTr="00FC5936">
        <w:trPr>
          <w:cantSplit/>
          <w:tblHeader/>
        </w:trPr>
        <w:tc>
          <w:tcPr>
            <w:tcW w:w="2152" w:type="pct"/>
            <w:tcBorders>
              <w:top w:val="single" w:sz="12" w:space="0" w:color="auto"/>
              <w:bottom w:val="single" w:sz="6" w:space="0" w:color="auto"/>
            </w:tcBorders>
            <w:vAlign w:val="bottom"/>
          </w:tcPr>
          <w:p w14:paraId="3D74822F" w14:textId="77777777" w:rsidR="00FC5936" w:rsidRPr="00783571" w:rsidRDefault="00FC5936" w:rsidP="00FC5936">
            <w:pPr>
              <w:pStyle w:val="TableHeaders"/>
              <w:spacing w:before="40" w:after="40"/>
            </w:pPr>
            <w:r w:rsidRPr="00783571">
              <w:t>Parameter</w:t>
            </w:r>
          </w:p>
        </w:tc>
        <w:tc>
          <w:tcPr>
            <w:tcW w:w="950" w:type="pct"/>
            <w:gridSpan w:val="2"/>
            <w:tcBorders>
              <w:top w:val="single" w:sz="12" w:space="0" w:color="auto"/>
              <w:bottom w:val="single" w:sz="6" w:space="0" w:color="auto"/>
            </w:tcBorders>
            <w:vAlign w:val="bottom"/>
          </w:tcPr>
          <w:p w14:paraId="39B3128D" w14:textId="77777777" w:rsidR="00FC5936" w:rsidRPr="00783571" w:rsidRDefault="00FC5936" w:rsidP="00FC5936">
            <w:pPr>
              <w:pStyle w:val="TableHeaders"/>
              <w:spacing w:before="40" w:after="40"/>
            </w:pPr>
            <w:r w:rsidRPr="00783571">
              <w:t xml:space="preserve">Calibrated Value </w:t>
            </w:r>
          </w:p>
        </w:tc>
        <w:tc>
          <w:tcPr>
            <w:tcW w:w="949" w:type="pct"/>
            <w:tcBorders>
              <w:top w:val="single" w:sz="12" w:space="0" w:color="auto"/>
              <w:bottom w:val="single" w:sz="6" w:space="0" w:color="auto"/>
            </w:tcBorders>
          </w:tcPr>
          <w:p w14:paraId="25DB7E05" w14:textId="77777777" w:rsidR="00FC5936" w:rsidRPr="00783571" w:rsidRDefault="00FC5936" w:rsidP="00FC5936">
            <w:pPr>
              <w:pStyle w:val="TableHeaders"/>
              <w:spacing w:before="40" w:after="40"/>
            </w:pPr>
            <w:r w:rsidRPr="00783571">
              <w:t>Lower Bound</w:t>
            </w:r>
          </w:p>
        </w:tc>
        <w:tc>
          <w:tcPr>
            <w:tcW w:w="949" w:type="pct"/>
            <w:tcBorders>
              <w:top w:val="single" w:sz="12" w:space="0" w:color="auto"/>
              <w:bottom w:val="single" w:sz="6" w:space="0" w:color="auto"/>
            </w:tcBorders>
          </w:tcPr>
          <w:p w14:paraId="707E54A3" w14:textId="77777777" w:rsidR="00FC5936" w:rsidRPr="00783571" w:rsidRDefault="00FC5936" w:rsidP="00FC5936">
            <w:pPr>
              <w:pStyle w:val="TableHeaders"/>
              <w:spacing w:before="40" w:after="40"/>
            </w:pPr>
            <w:r w:rsidRPr="00783571">
              <w:t>Upper Bound</w:t>
            </w:r>
          </w:p>
        </w:tc>
      </w:tr>
      <w:tr w:rsidR="00FC5936" w:rsidRPr="00783571" w14:paraId="6D5DC87D" w14:textId="77777777" w:rsidTr="00FC5936">
        <w:trPr>
          <w:cantSplit/>
        </w:trPr>
        <w:tc>
          <w:tcPr>
            <w:tcW w:w="3102" w:type="pct"/>
            <w:gridSpan w:val="3"/>
            <w:tcBorders>
              <w:top w:val="single" w:sz="6" w:space="0" w:color="auto"/>
              <w:bottom w:val="single" w:sz="6" w:space="0" w:color="808080" w:themeColor="background1" w:themeShade="80"/>
            </w:tcBorders>
          </w:tcPr>
          <w:p w14:paraId="4995E1ED" w14:textId="77777777" w:rsidR="00FC5936" w:rsidRPr="00783571" w:rsidRDefault="00FC5936" w:rsidP="00FC5936">
            <w:pPr>
              <w:pStyle w:val="TableText"/>
              <w:spacing w:before="40" w:after="40"/>
            </w:pPr>
            <w:r w:rsidRPr="00783571">
              <w:t>Annual rate of getting tested per reference case</w:t>
            </w:r>
          </w:p>
        </w:tc>
        <w:tc>
          <w:tcPr>
            <w:tcW w:w="949" w:type="pct"/>
            <w:tcBorders>
              <w:top w:val="single" w:sz="6" w:space="0" w:color="auto"/>
              <w:bottom w:val="single" w:sz="6" w:space="0" w:color="808080" w:themeColor="background1" w:themeShade="80"/>
            </w:tcBorders>
          </w:tcPr>
          <w:p w14:paraId="16092BF3" w14:textId="77777777" w:rsidR="00FC5936" w:rsidRPr="00783571" w:rsidRDefault="00FC5936" w:rsidP="00FC5936">
            <w:pPr>
              <w:pStyle w:val="TableText"/>
              <w:spacing w:before="40" w:after="40"/>
            </w:pPr>
          </w:p>
        </w:tc>
        <w:tc>
          <w:tcPr>
            <w:tcW w:w="949" w:type="pct"/>
            <w:tcBorders>
              <w:top w:val="single" w:sz="6" w:space="0" w:color="auto"/>
              <w:bottom w:val="single" w:sz="6" w:space="0" w:color="808080" w:themeColor="background1" w:themeShade="80"/>
            </w:tcBorders>
          </w:tcPr>
          <w:p w14:paraId="78E7BD80" w14:textId="77777777" w:rsidR="00FC5936" w:rsidRPr="00783571" w:rsidRDefault="00FC5936" w:rsidP="00FC5936">
            <w:pPr>
              <w:pStyle w:val="TableText"/>
              <w:spacing w:before="40" w:after="40"/>
            </w:pPr>
          </w:p>
        </w:tc>
      </w:tr>
      <w:tr w:rsidR="00FC5936" w:rsidRPr="00783571" w14:paraId="7237D894"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41E16051" w14:textId="77777777" w:rsidR="00FC5936" w:rsidRPr="00783571" w:rsidRDefault="00FC5936" w:rsidP="00FC5936">
            <w:pPr>
              <w:pStyle w:val="TableTextIndent1"/>
              <w:spacing w:before="40" w:after="40"/>
            </w:pPr>
            <w:r w:rsidRPr="00783571">
              <w:t>Black, HET, CD4 &lt; 500</w:t>
            </w:r>
          </w:p>
        </w:tc>
        <w:tc>
          <w:tcPr>
            <w:tcW w:w="950" w:type="pct"/>
            <w:gridSpan w:val="2"/>
            <w:tcBorders>
              <w:top w:val="single" w:sz="6" w:space="0" w:color="808080" w:themeColor="background1" w:themeShade="80"/>
              <w:bottom w:val="single" w:sz="6" w:space="0" w:color="808080" w:themeColor="background1" w:themeShade="80"/>
            </w:tcBorders>
          </w:tcPr>
          <w:p w14:paraId="7E38D578" w14:textId="77777777" w:rsidR="00FC5936" w:rsidRPr="00783571" w:rsidRDefault="00FC5936" w:rsidP="00FC5936">
            <w:pPr>
              <w:pStyle w:val="TableText"/>
              <w:spacing w:before="40" w:after="40"/>
              <w:jc w:val="center"/>
            </w:pPr>
            <w:r w:rsidRPr="00783571">
              <w:t>0.141</w:t>
            </w:r>
          </w:p>
        </w:tc>
        <w:tc>
          <w:tcPr>
            <w:tcW w:w="949" w:type="pct"/>
            <w:tcBorders>
              <w:top w:val="single" w:sz="6" w:space="0" w:color="808080" w:themeColor="background1" w:themeShade="80"/>
              <w:bottom w:val="single" w:sz="6" w:space="0" w:color="808080" w:themeColor="background1" w:themeShade="80"/>
            </w:tcBorders>
          </w:tcPr>
          <w:p w14:paraId="656258D3" w14:textId="77777777" w:rsidR="00FC5936" w:rsidRPr="00783571" w:rsidRDefault="00FC5936" w:rsidP="00FC5936">
            <w:pPr>
              <w:pStyle w:val="TableText"/>
              <w:spacing w:before="40" w:after="40"/>
              <w:jc w:val="center"/>
            </w:pPr>
            <w:r w:rsidRPr="00783571">
              <w:t>0.030</w:t>
            </w:r>
          </w:p>
        </w:tc>
        <w:tc>
          <w:tcPr>
            <w:tcW w:w="949" w:type="pct"/>
            <w:tcBorders>
              <w:top w:val="single" w:sz="6" w:space="0" w:color="808080" w:themeColor="background1" w:themeShade="80"/>
              <w:bottom w:val="single" w:sz="6" w:space="0" w:color="808080" w:themeColor="background1" w:themeShade="80"/>
            </w:tcBorders>
          </w:tcPr>
          <w:p w14:paraId="08F676CA" w14:textId="77777777" w:rsidR="00FC5936" w:rsidRPr="00783571" w:rsidRDefault="00FC5936" w:rsidP="00FC5936">
            <w:pPr>
              <w:pStyle w:val="TableText"/>
              <w:spacing w:before="40" w:after="40"/>
              <w:jc w:val="center"/>
            </w:pPr>
            <w:r w:rsidRPr="00783571">
              <w:t>0.300</w:t>
            </w:r>
          </w:p>
        </w:tc>
      </w:tr>
      <w:tr w:rsidR="00FC5936" w:rsidRPr="00783571" w14:paraId="4796FFAF" w14:textId="77777777" w:rsidTr="00FC5936">
        <w:trPr>
          <w:cantSplit/>
        </w:trPr>
        <w:tc>
          <w:tcPr>
            <w:tcW w:w="3102" w:type="pct"/>
            <w:gridSpan w:val="3"/>
            <w:tcBorders>
              <w:top w:val="single" w:sz="6" w:space="0" w:color="808080" w:themeColor="background1" w:themeShade="80"/>
              <w:bottom w:val="single" w:sz="6" w:space="0" w:color="808080" w:themeColor="background1" w:themeShade="80"/>
            </w:tcBorders>
          </w:tcPr>
          <w:p w14:paraId="637CA49E" w14:textId="77777777" w:rsidR="00FC5936" w:rsidRPr="00783571" w:rsidRDefault="00FC5936" w:rsidP="00FC5936">
            <w:pPr>
              <w:pStyle w:val="TableText"/>
              <w:spacing w:before="40" w:after="40"/>
            </w:pPr>
            <w:r w:rsidRPr="00783571">
              <w:t>Relative risk of getting tested by race/ethnicity</w:t>
            </w:r>
          </w:p>
        </w:tc>
        <w:tc>
          <w:tcPr>
            <w:tcW w:w="949" w:type="pct"/>
            <w:tcBorders>
              <w:top w:val="single" w:sz="6" w:space="0" w:color="808080" w:themeColor="background1" w:themeShade="80"/>
              <w:bottom w:val="single" w:sz="6" w:space="0" w:color="808080" w:themeColor="background1" w:themeShade="80"/>
            </w:tcBorders>
          </w:tcPr>
          <w:p w14:paraId="3FC42F2B" w14:textId="77777777" w:rsidR="00FC5936" w:rsidRPr="00783571" w:rsidRDefault="00FC5936" w:rsidP="00FC5936">
            <w:pPr>
              <w:pStyle w:val="TableText"/>
              <w:spacing w:before="40" w:after="40"/>
            </w:pPr>
          </w:p>
        </w:tc>
        <w:tc>
          <w:tcPr>
            <w:tcW w:w="949" w:type="pct"/>
            <w:tcBorders>
              <w:top w:val="single" w:sz="6" w:space="0" w:color="808080" w:themeColor="background1" w:themeShade="80"/>
              <w:bottom w:val="single" w:sz="6" w:space="0" w:color="808080" w:themeColor="background1" w:themeShade="80"/>
            </w:tcBorders>
          </w:tcPr>
          <w:p w14:paraId="6452626E" w14:textId="77777777" w:rsidR="00FC5936" w:rsidRPr="00783571" w:rsidRDefault="00FC5936" w:rsidP="00FC5936">
            <w:pPr>
              <w:pStyle w:val="TableText"/>
              <w:spacing w:before="40" w:after="40"/>
            </w:pPr>
          </w:p>
        </w:tc>
      </w:tr>
      <w:tr w:rsidR="00FC5936" w:rsidRPr="00783571" w14:paraId="7B37E9F4"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06DBC1BB" w14:textId="77777777" w:rsidR="00FC5936" w:rsidRPr="00783571" w:rsidRDefault="00FC5936" w:rsidP="00FC5936">
            <w:pPr>
              <w:pStyle w:val="TableTextIndent1"/>
              <w:spacing w:before="40" w:after="40"/>
            </w:pPr>
            <w:r w:rsidRPr="00783571">
              <w:t>Hispanic/Latino</w:t>
            </w:r>
          </w:p>
        </w:tc>
        <w:tc>
          <w:tcPr>
            <w:tcW w:w="950" w:type="pct"/>
            <w:gridSpan w:val="2"/>
            <w:tcBorders>
              <w:top w:val="single" w:sz="6" w:space="0" w:color="808080" w:themeColor="background1" w:themeShade="80"/>
              <w:bottom w:val="single" w:sz="6" w:space="0" w:color="808080" w:themeColor="background1" w:themeShade="80"/>
            </w:tcBorders>
          </w:tcPr>
          <w:p w14:paraId="37A3DEA7" w14:textId="77777777" w:rsidR="00FC5936" w:rsidRPr="00783571" w:rsidRDefault="00FC5936" w:rsidP="00FC5936">
            <w:pPr>
              <w:pStyle w:val="TableText"/>
              <w:spacing w:before="40" w:after="40"/>
              <w:jc w:val="center"/>
            </w:pPr>
            <w:r w:rsidRPr="00783571">
              <w:t>0.710</w:t>
            </w:r>
          </w:p>
        </w:tc>
        <w:tc>
          <w:tcPr>
            <w:tcW w:w="949" w:type="pct"/>
            <w:tcBorders>
              <w:top w:val="single" w:sz="6" w:space="0" w:color="808080" w:themeColor="background1" w:themeShade="80"/>
              <w:bottom w:val="single" w:sz="6" w:space="0" w:color="808080" w:themeColor="background1" w:themeShade="80"/>
            </w:tcBorders>
          </w:tcPr>
          <w:p w14:paraId="24A17D98" w14:textId="77777777" w:rsidR="00FC5936" w:rsidRPr="00783571" w:rsidRDefault="00FC5936" w:rsidP="00FC5936">
            <w:pPr>
              <w:pStyle w:val="TableText"/>
              <w:spacing w:before="40" w:after="40"/>
              <w:jc w:val="center"/>
            </w:pPr>
            <w:r w:rsidRPr="00783571">
              <w:t>0.300</w:t>
            </w:r>
          </w:p>
        </w:tc>
        <w:tc>
          <w:tcPr>
            <w:tcW w:w="949" w:type="pct"/>
            <w:tcBorders>
              <w:top w:val="single" w:sz="6" w:space="0" w:color="808080" w:themeColor="background1" w:themeShade="80"/>
              <w:bottom w:val="single" w:sz="6" w:space="0" w:color="808080" w:themeColor="background1" w:themeShade="80"/>
            </w:tcBorders>
          </w:tcPr>
          <w:p w14:paraId="625BEA49" w14:textId="77777777" w:rsidR="00FC5936" w:rsidRPr="00783571" w:rsidRDefault="00FC5936" w:rsidP="00FC5936">
            <w:pPr>
              <w:pStyle w:val="TableText"/>
              <w:spacing w:before="40" w:after="40"/>
              <w:jc w:val="center"/>
            </w:pPr>
            <w:r w:rsidRPr="00783571">
              <w:t>1.500</w:t>
            </w:r>
          </w:p>
        </w:tc>
      </w:tr>
      <w:tr w:rsidR="00FC5936" w:rsidRPr="00783571" w14:paraId="65B5426C"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2B172403" w14:textId="77777777" w:rsidR="00FC5936" w:rsidRPr="00783571" w:rsidRDefault="00FC5936" w:rsidP="00FC5936">
            <w:pPr>
              <w:pStyle w:val="TableTextIndent1"/>
              <w:spacing w:before="40" w:after="40"/>
            </w:pPr>
            <w:r w:rsidRPr="00783571">
              <w:t>Other</w:t>
            </w:r>
          </w:p>
        </w:tc>
        <w:tc>
          <w:tcPr>
            <w:tcW w:w="950" w:type="pct"/>
            <w:gridSpan w:val="2"/>
            <w:tcBorders>
              <w:top w:val="single" w:sz="6" w:space="0" w:color="808080" w:themeColor="background1" w:themeShade="80"/>
              <w:bottom w:val="single" w:sz="6" w:space="0" w:color="808080" w:themeColor="background1" w:themeShade="80"/>
            </w:tcBorders>
          </w:tcPr>
          <w:p w14:paraId="31CD4FFF" w14:textId="77777777" w:rsidR="00FC5936" w:rsidRPr="00783571" w:rsidRDefault="00FC5936" w:rsidP="00FC5936">
            <w:pPr>
              <w:pStyle w:val="TableText"/>
              <w:spacing w:before="40" w:after="40"/>
              <w:jc w:val="center"/>
            </w:pPr>
            <w:r w:rsidRPr="00783571">
              <w:t>0.639</w:t>
            </w:r>
          </w:p>
        </w:tc>
        <w:tc>
          <w:tcPr>
            <w:tcW w:w="949" w:type="pct"/>
            <w:tcBorders>
              <w:top w:val="single" w:sz="6" w:space="0" w:color="808080" w:themeColor="background1" w:themeShade="80"/>
              <w:bottom w:val="single" w:sz="6" w:space="0" w:color="808080" w:themeColor="background1" w:themeShade="80"/>
            </w:tcBorders>
          </w:tcPr>
          <w:p w14:paraId="2C82B95D" w14:textId="77777777" w:rsidR="00FC5936" w:rsidRPr="00783571" w:rsidRDefault="00FC5936" w:rsidP="00FC5936">
            <w:pPr>
              <w:pStyle w:val="TableText"/>
              <w:spacing w:before="40" w:after="40"/>
              <w:jc w:val="center"/>
            </w:pPr>
            <w:r w:rsidRPr="00783571">
              <w:t>0.100</w:t>
            </w:r>
          </w:p>
        </w:tc>
        <w:tc>
          <w:tcPr>
            <w:tcW w:w="949" w:type="pct"/>
            <w:tcBorders>
              <w:top w:val="single" w:sz="6" w:space="0" w:color="808080" w:themeColor="background1" w:themeShade="80"/>
              <w:bottom w:val="single" w:sz="6" w:space="0" w:color="808080" w:themeColor="background1" w:themeShade="80"/>
            </w:tcBorders>
          </w:tcPr>
          <w:p w14:paraId="2E0DE274" w14:textId="77777777" w:rsidR="00FC5936" w:rsidRPr="00783571" w:rsidRDefault="00FC5936" w:rsidP="00FC5936">
            <w:pPr>
              <w:pStyle w:val="TableText"/>
              <w:spacing w:before="40" w:after="40"/>
              <w:jc w:val="center"/>
            </w:pPr>
            <w:r w:rsidRPr="00783571">
              <w:t>1.500</w:t>
            </w:r>
          </w:p>
        </w:tc>
      </w:tr>
      <w:tr w:rsidR="00FC5936" w:rsidRPr="00783571" w14:paraId="0CB8ABCC"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75C2119B" w14:textId="77777777" w:rsidR="00FC5936" w:rsidRPr="00783571" w:rsidRDefault="00FC5936" w:rsidP="00FC5936">
            <w:pPr>
              <w:pStyle w:val="TableTextIndent1"/>
              <w:spacing w:before="40" w:after="40"/>
              <w:ind w:left="490"/>
            </w:pPr>
            <w:r w:rsidRPr="00783571">
              <w:t>by transmission group</w:t>
            </w:r>
          </w:p>
        </w:tc>
        <w:tc>
          <w:tcPr>
            <w:tcW w:w="950" w:type="pct"/>
            <w:gridSpan w:val="2"/>
            <w:tcBorders>
              <w:top w:val="single" w:sz="6" w:space="0" w:color="808080" w:themeColor="background1" w:themeShade="80"/>
              <w:bottom w:val="single" w:sz="6" w:space="0" w:color="808080" w:themeColor="background1" w:themeShade="80"/>
            </w:tcBorders>
          </w:tcPr>
          <w:p w14:paraId="312A687C" w14:textId="77777777" w:rsidR="00FC5936" w:rsidRPr="00783571" w:rsidRDefault="00FC5936" w:rsidP="00FC5936">
            <w:pPr>
              <w:pStyle w:val="TableText"/>
              <w:spacing w:before="40" w:after="40"/>
              <w:jc w:val="center"/>
            </w:pPr>
          </w:p>
        </w:tc>
        <w:tc>
          <w:tcPr>
            <w:tcW w:w="949" w:type="pct"/>
            <w:tcBorders>
              <w:top w:val="single" w:sz="6" w:space="0" w:color="808080" w:themeColor="background1" w:themeShade="80"/>
              <w:bottom w:val="single" w:sz="6" w:space="0" w:color="808080" w:themeColor="background1" w:themeShade="80"/>
            </w:tcBorders>
          </w:tcPr>
          <w:p w14:paraId="42F73C95" w14:textId="77777777" w:rsidR="00FC5936" w:rsidRPr="00783571" w:rsidRDefault="00FC5936" w:rsidP="00FC5936">
            <w:pPr>
              <w:pStyle w:val="TableText"/>
              <w:spacing w:before="40" w:after="40"/>
              <w:jc w:val="center"/>
            </w:pPr>
          </w:p>
        </w:tc>
        <w:tc>
          <w:tcPr>
            <w:tcW w:w="949" w:type="pct"/>
            <w:tcBorders>
              <w:top w:val="single" w:sz="6" w:space="0" w:color="808080" w:themeColor="background1" w:themeShade="80"/>
              <w:bottom w:val="single" w:sz="6" w:space="0" w:color="808080" w:themeColor="background1" w:themeShade="80"/>
            </w:tcBorders>
          </w:tcPr>
          <w:p w14:paraId="21DBEA4F" w14:textId="77777777" w:rsidR="00FC5936" w:rsidRPr="00783571" w:rsidRDefault="00FC5936" w:rsidP="00FC5936">
            <w:pPr>
              <w:pStyle w:val="TableText"/>
              <w:spacing w:before="40" w:after="40"/>
              <w:jc w:val="center"/>
            </w:pPr>
          </w:p>
        </w:tc>
      </w:tr>
      <w:tr w:rsidR="00FC5936" w:rsidRPr="00783571" w14:paraId="374F112F"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23A37572" w14:textId="77777777" w:rsidR="00FC5936" w:rsidRPr="00783571" w:rsidRDefault="00FC5936" w:rsidP="00FC5936">
            <w:pPr>
              <w:pStyle w:val="TableTextIndent1"/>
              <w:spacing w:before="40" w:after="40"/>
              <w:ind w:left="648"/>
            </w:pPr>
            <w:r w:rsidRPr="00783571">
              <w:t>MSM</w:t>
            </w:r>
          </w:p>
        </w:tc>
        <w:tc>
          <w:tcPr>
            <w:tcW w:w="950" w:type="pct"/>
            <w:gridSpan w:val="2"/>
            <w:tcBorders>
              <w:top w:val="single" w:sz="6" w:space="0" w:color="808080" w:themeColor="background1" w:themeShade="80"/>
              <w:bottom w:val="single" w:sz="6" w:space="0" w:color="808080" w:themeColor="background1" w:themeShade="80"/>
            </w:tcBorders>
          </w:tcPr>
          <w:p w14:paraId="50DD6311" w14:textId="77777777" w:rsidR="00FC5936" w:rsidRPr="00783571" w:rsidRDefault="00FC5936" w:rsidP="00FC5936">
            <w:pPr>
              <w:pStyle w:val="TableText"/>
              <w:spacing w:before="40" w:after="40"/>
              <w:jc w:val="center"/>
            </w:pPr>
            <w:r w:rsidRPr="00783571">
              <w:t>1.986</w:t>
            </w:r>
          </w:p>
        </w:tc>
        <w:tc>
          <w:tcPr>
            <w:tcW w:w="949" w:type="pct"/>
            <w:tcBorders>
              <w:top w:val="single" w:sz="6" w:space="0" w:color="808080" w:themeColor="background1" w:themeShade="80"/>
              <w:bottom w:val="single" w:sz="6" w:space="0" w:color="808080" w:themeColor="background1" w:themeShade="80"/>
            </w:tcBorders>
          </w:tcPr>
          <w:p w14:paraId="582E560C" w14:textId="77777777" w:rsidR="00FC5936" w:rsidRPr="00783571" w:rsidRDefault="00FC5936" w:rsidP="00FC5936">
            <w:pPr>
              <w:pStyle w:val="TableText"/>
              <w:spacing w:before="40" w:after="40"/>
              <w:jc w:val="center"/>
            </w:pPr>
            <w:r w:rsidRPr="00783571">
              <w:t>1.000</w:t>
            </w:r>
          </w:p>
        </w:tc>
        <w:tc>
          <w:tcPr>
            <w:tcW w:w="949" w:type="pct"/>
            <w:tcBorders>
              <w:top w:val="single" w:sz="6" w:space="0" w:color="808080" w:themeColor="background1" w:themeShade="80"/>
              <w:bottom w:val="single" w:sz="6" w:space="0" w:color="808080" w:themeColor="background1" w:themeShade="80"/>
            </w:tcBorders>
          </w:tcPr>
          <w:p w14:paraId="04A7E028" w14:textId="77777777" w:rsidR="00FC5936" w:rsidRPr="00783571" w:rsidRDefault="00FC5936" w:rsidP="00FC5936">
            <w:pPr>
              <w:pStyle w:val="TableText"/>
              <w:spacing w:before="40" w:after="40"/>
              <w:jc w:val="center"/>
            </w:pPr>
            <w:r w:rsidRPr="00783571">
              <w:t>8.000</w:t>
            </w:r>
          </w:p>
        </w:tc>
      </w:tr>
      <w:tr w:rsidR="00FC5936" w:rsidRPr="00783571" w14:paraId="224D0CD2"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6F5309D2" w14:textId="77777777" w:rsidR="00FC5936" w:rsidRPr="00783571" w:rsidRDefault="00FC5936" w:rsidP="00FC5936">
            <w:pPr>
              <w:pStyle w:val="TableTextIndent1"/>
              <w:spacing w:before="40" w:after="40"/>
              <w:ind w:left="648"/>
            </w:pPr>
            <w:r w:rsidRPr="00783571">
              <w:t>PWID</w:t>
            </w:r>
          </w:p>
        </w:tc>
        <w:tc>
          <w:tcPr>
            <w:tcW w:w="950" w:type="pct"/>
            <w:gridSpan w:val="2"/>
            <w:tcBorders>
              <w:top w:val="single" w:sz="6" w:space="0" w:color="808080" w:themeColor="background1" w:themeShade="80"/>
              <w:bottom w:val="single" w:sz="6" w:space="0" w:color="808080" w:themeColor="background1" w:themeShade="80"/>
            </w:tcBorders>
          </w:tcPr>
          <w:p w14:paraId="5FAC9DA5" w14:textId="77777777" w:rsidR="00FC5936" w:rsidRPr="00783571" w:rsidRDefault="00FC5936" w:rsidP="00FC5936">
            <w:pPr>
              <w:pStyle w:val="TableText"/>
              <w:spacing w:before="40" w:after="40"/>
              <w:jc w:val="center"/>
            </w:pPr>
            <w:r w:rsidRPr="00783571">
              <w:t>1.790</w:t>
            </w:r>
          </w:p>
        </w:tc>
        <w:tc>
          <w:tcPr>
            <w:tcW w:w="949" w:type="pct"/>
            <w:tcBorders>
              <w:top w:val="single" w:sz="6" w:space="0" w:color="808080" w:themeColor="background1" w:themeShade="80"/>
              <w:bottom w:val="single" w:sz="6" w:space="0" w:color="808080" w:themeColor="background1" w:themeShade="80"/>
            </w:tcBorders>
          </w:tcPr>
          <w:p w14:paraId="7C28B38E" w14:textId="77777777" w:rsidR="00FC5936" w:rsidRPr="00783571" w:rsidRDefault="00FC5936" w:rsidP="00FC5936">
            <w:pPr>
              <w:pStyle w:val="TableText"/>
              <w:spacing w:before="40" w:after="40"/>
              <w:jc w:val="center"/>
            </w:pPr>
            <w:r w:rsidRPr="00783571">
              <w:t>1.000</w:t>
            </w:r>
          </w:p>
        </w:tc>
        <w:tc>
          <w:tcPr>
            <w:tcW w:w="949" w:type="pct"/>
            <w:tcBorders>
              <w:top w:val="single" w:sz="6" w:space="0" w:color="808080" w:themeColor="background1" w:themeShade="80"/>
              <w:bottom w:val="single" w:sz="6" w:space="0" w:color="808080" w:themeColor="background1" w:themeShade="80"/>
            </w:tcBorders>
          </w:tcPr>
          <w:p w14:paraId="407D4F03" w14:textId="77777777" w:rsidR="00FC5936" w:rsidRPr="00783571" w:rsidRDefault="00FC5936" w:rsidP="00FC5936">
            <w:pPr>
              <w:pStyle w:val="TableText"/>
              <w:spacing w:before="40" w:after="40"/>
              <w:jc w:val="center"/>
            </w:pPr>
            <w:r w:rsidRPr="00783571">
              <w:t>8.000</w:t>
            </w:r>
          </w:p>
        </w:tc>
      </w:tr>
      <w:tr w:rsidR="00FC5936" w:rsidRPr="00783571" w14:paraId="32C86C76"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00F188E5" w14:textId="77777777" w:rsidR="00FC5936" w:rsidRPr="00783571" w:rsidRDefault="00FC5936" w:rsidP="00FC5936">
            <w:pPr>
              <w:pStyle w:val="TableTextIndent1"/>
              <w:spacing w:before="40" w:after="40"/>
              <w:ind w:left="490"/>
            </w:pPr>
            <w:r w:rsidRPr="00783571">
              <w:t>by disease stage</w:t>
            </w:r>
          </w:p>
        </w:tc>
        <w:tc>
          <w:tcPr>
            <w:tcW w:w="950" w:type="pct"/>
            <w:gridSpan w:val="2"/>
            <w:tcBorders>
              <w:top w:val="single" w:sz="6" w:space="0" w:color="808080" w:themeColor="background1" w:themeShade="80"/>
              <w:bottom w:val="single" w:sz="6" w:space="0" w:color="808080" w:themeColor="background1" w:themeShade="80"/>
            </w:tcBorders>
          </w:tcPr>
          <w:p w14:paraId="4D1D59EF" w14:textId="77777777" w:rsidR="00FC5936" w:rsidRPr="00783571" w:rsidRDefault="00FC5936" w:rsidP="00FC5936">
            <w:pPr>
              <w:pStyle w:val="TableText"/>
              <w:spacing w:before="40" w:after="40"/>
              <w:jc w:val="center"/>
            </w:pPr>
          </w:p>
        </w:tc>
        <w:tc>
          <w:tcPr>
            <w:tcW w:w="949" w:type="pct"/>
            <w:tcBorders>
              <w:top w:val="single" w:sz="6" w:space="0" w:color="808080" w:themeColor="background1" w:themeShade="80"/>
              <w:bottom w:val="single" w:sz="6" w:space="0" w:color="808080" w:themeColor="background1" w:themeShade="80"/>
            </w:tcBorders>
          </w:tcPr>
          <w:p w14:paraId="7A100E1F" w14:textId="77777777" w:rsidR="00FC5936" w:rsidRPr="00783571" w:rsidRDefault="00FC5936" w:rsidP="00FC5936">
            <w:pPr>
              <w:pStyle w:val="TableText"/>
              <w:spacing w:before="40" w:after="40"/>
              <w:jc w:val="center"/>
            </w:pPr>
          </w:p>
        </w:tc>
        <w:tc>
          <w:tcPr>
            <w:tcW w:w="949" w:type="pct"/>
            <w:tcBorders>
              <w:top w:val="single" w:sz="6" w:space="0" w:color="808080" w:themeColor="background1" w:themeShade="80"/>
              <w:bottom w:val="single" w:sz="6" w:space="0" w:color="808080" w:themeColor="background1" w:themeShade="80"/>
            </w:tcBorders>
          </w:tcPr>
          <w:p w14:paraId="54FAC0EF" w14:textId="77777777" w:rsidR="00FC5936" w:rsidRPr="00783571" w:rsidRDefault="00FC5936" w:rsidP="00FC5936">
            <w:pPr>
              <w:pStyle w:val="TableText"/>
              <w:spacing w:before="40" w:after="40"/>
              <w:jc w:val="center"/>
            </w:pPr>
          </w:p>
        </w:tc>
      </w:tr>
      <w:tr w:rsidR="00FC5936" w:rsidRPr="00783571" w14:paraId="025DD225"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4DF5CA53" w14:textId="77777777" w:rsidR="00FC5936" w:rsidRPr="00783571" w:rsidRDefault="00FC5936" w:rsidP="00FC5936">
            <w:pPr>
              <w:pStyle w:val="TableTextIndent1"/>
              <w:spacing w:before="40" w:after="40"/>
              <w:ind w:left="648"/>
            </w:pPr>
            <w:r w:rsidRPr="00783571">
              <w:t>Acute</w:t>
            </w:r>
          </w:p>
        </w:tc>
        <w:tc>
          <w:tcPr>
            <w:tcW w:w="950" w:type="pct"/>
            <w:gridSpan w:val="2"/>
            <w:tcBorders>
              <w:top w:val="single" w:sz="6" w:space="0" w:color="808080" w:themeColor="background1" w:themeShade="80"/>
              <w:bottom w:val="single" w:sz="6" w:space="0" w:color="808080" w:themeColor="background1" w:themeShade="80"/>
            </w:tcBorders>
          </w:tcPr>
          <w:p w14:paraId="695FBBB9" w14:textId="77777777" w:rsidR="00FC5936" w:rsidRPr="00783571" w:rsidRDefault="00FC5936" w:rsidP="00FC5936">
            <w:pPr>
              <w:pStyle w:val="TableText"/>
              <w:spacing w:before="40" w:after="40"/>
              <w:jc w:val="center"/>
            </w:pPr>
            <w:r w:rsidRPr="00783571">
              <w:t>1.151</w:t>
            </w:r>
          </w:p>
        </w:tc>
        <w:tc>
          <w:tcPr>
            <w:tcW w:w="949" w:type="pct"/>
            <w:tcBorders>
              <w:top w:val="single" w:sz="6" w:space="0" w:color="808080" w:themeColor="background1" w:themeShade="80"/>
              <w:bottom w:val="single" w:sz="6" w:space="0" w:color="808080" w:themeColor="background1" w:themeShade="80"/>
            </w:tcBorders>
          </w:tcPr>
          <w:p w14:paraId="18B1A5CA" w14:textId="77777777" w:rsidR="00FC5936" w:rsidRPr="00783571" w:rsidRDefault="00FC5936" w:rsidP="00FC5936">
            <w:pPr>
              <w:pStyle w:val="TableText"/>
              <w:spacing w:before="40" w:after="40"/>
              <w:jc w:val="center"/>
            </w:pPr>
            <w:r w:rsidRPr="00783571">
              <w:t>0.500</w:t>
            </w:r>
          </w:p>
        </w:tc>
        <w:tc>
          <w:tcPr>
            <w:tcW w:w="949" w:type="pct"/>
            <w:tcBorders>
              <w:top w:val="single" w:sz="6" w:space="0" w:color="808080" w:themeColor="background1" w:themeShade="80"/>
              <w:bottom w:val="single" w:sz="6" w:space="0" w:color="808080" w:themeColor="background1" w:themeShade="80"/>
            </w:tcBorders>
          </w:tcPr>
          <w:p w14:paraId="7231FA57" w14:textId="77777777" w:rsidR="00FC5936" w:rsidRPr="00783571" w:rsidRDefault="00FC5936" w:rsidP="00FC5936">
            <w:pPr>
              <w:pStyle w:val="TableText"/>
              <w:spacing w:before="40" w:after="40"/>
              <w:jc w:val="center"/>
            </w:pPr>
            <w:r w:rsidRPr="00783571">
              <w:t>1.500</w:t>
            </w:r>
          </w:p>
        </w:tc>
      </w:tr>
      <w:tr w:rsidR="00FC5936" w:rsidRPr="00783571" w14:paraId="41896BE2"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645396B4" w14:textId="77777777" w:rsidR="00FC5936" w:rsidRPr="00783571" w:rsidRDefault="00FC5936" w:rsidP="00FC5936">
            <w:pPr>
              <w:pStyle w:val="TableTextIndent1"/>
              <w:spacing w:before="40" w:after="40"/>
              <w:ind w:left="648"/>
            </w:pPr>
            <w:r w:rsidRPr="00783571">
              <w:t>CD4 350–500</w:t>
            </w:r>
          </w:p>
        </w:tc>
        <w:tc>
          <w:tcPr>
            <w:tcW w:w="950" w:type="pct"/>
            <w:gridSpan w:val="2"/>
            <w:tcBorders>
              <w:top w:val="single" w:sz="6" w:space="0" w:color="808080" w:themeColor="background1" w:themeShade="80"/>
              <w:bottom w:val="single" w:sz="6" w:space="0" w:color="808080" w:themeColor="background1" w:themeShade="80"/>
            </w:tcBorders>
          </w:tcPr>
          <w:p w14:paraId="75C9593F" w14:textId="77777777" w:rsidR="00FC5936" w:rsidRPr="00783571" w:rsidRDefault="00FC5936" w:rsidP="00FC5936">
            <w:pPr>
              <w:pStyle w:val="TableText"/>
              <w:spacing w:before="40" w:after="40"/>
              <w:jc w:val="center"/>
            </w:pPr>
            <w:r w:rsidRPr="00783571">
              <w:t>2.076</w:t>
            </w:r>
          </w:p>
        </w:tc>
        <w:tc>
          <w:tcPr>
            <w:tcW w:w="949" w:type="pct"/>
            <w:tcBorders>
              <w:top w:val="single" w:sz="6" w:space="0" w:color="808080" w:themeColor="background1" w:themeShade="80"/>
              <w:bottom w:val="single" w:sz="6" w:space="0" w:color="808080" w:themeColor="background1" w:themeShade="80"/>
            </w:tcBorders>
          </w:tcPr>
          <w:p w14:paraId="4871BF45" w14:textId="77777777" w:rsidR="00FC5936" w:rsidRPr="00783571" w:rsidRDefault="00FC5936" w:rsidP="00FC5936">
            <w:pPr>
              <w:pStyle w:val="TableText"/>
              <w:spacing w:before="40" w:after="40"/>
              <w:jc w:val="center"/>
            </w:pPr>
            <w:r w:rsidRPr="00783571">
              <w:t>1.000</w:t>
            </w:r>
          </w:p>
        </w:tc>
        <w:tc>
          <w:tcPr>
            <w:tcW w:w="949" w:type="pct"/>
            <w:tcBorders>
              <w:top w:val="single" w:sz="6" w:space="0" w:color="808080" w:themeColor="background1" w:themeShade="80"/>
              <w:bottom w:val="single" w:sz="6" w:space="0" w:color="808080" w:themeColor="background1" w:themeShade="80"/>
            </w:tcBorders>
          </w:tcPr>
          <w:p w14:paraId="4EC39DCC" w14:textId="77777777" w:rsidR="00FC5936" w:rsidRPr="00783571" w:rsidRDefault="00FC5936" w:rsidP="00FC5936">
            <w:pPr>
              <w:pStyle w:val="TableText"/>
              <w:spacing w:before="40" w:after="40"/>
              <w:jc w:val="center"/>
            </w:pPr>
            <w:r w:rsidRPr="00783571">
              <w:t>3.000</w:t>
            </w:r>
          </w:p>
        </w:tc>
      </w:tr>
      <w:tr w:rsidR="00FC5936" w:rsidRPr="00783571" w14:paraId="73540E4A"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4FFC8F99" w14:textId="77777777" w:rsidR="00FC5936" w:rsidRPr="00783571" w:rsidRDefault="00FC5936" w:rsidP="00FC5936">
            <w:pPr>
              <w:pStyle w:val="TableTextIndent1"/>
              <w:spacing w:before="40" w:after="40"/>
              <w:ind w:left="648"/>
            </w:pPr>
            <w:r w:rsidRPr="00783571">
              <w:t>CD4 200–350</w:t>
            </w:r>
          </w:p>
        </w:tc>
        <w:tc>
          <w:tcPr>
            <w:tcW w:w="950" w:type="pct"/>
            <w:gridSpan w:val="2"/>
            <w:tcBorders>
              <w:top w:val="single" w:sz="6" w:space="0" w:color="808080" w:themeColor="background1" w:themeShade="80"/>
              <w:bottom w:val="single" w:sz="6" w:space="0" w:color="808080" w:themeColor="background1" w:themeShade="80"/>
            </w:tcBorders>
          </w:tcPr>
          <w:p w14:paraId="271DB9E6" w14:textId="77777777" w:rsidR="00FC5936" w:rsidRPr="00783571" w:rsidRDefault="00FC5936" w:rsidP="00FC5936">
            <w:pPr>
              <w:pStyle w:val="TableText"/>
              <w:spacing w:before="40" w:after="40"/>
              <w:jc w:val="center"/>
            </w:pPr>
            <w:r w:rsidRPr="00783571">
              <w:t>4.339</w:t>
            </w:r>
          </w:p>
        </w:tc>
        <w:tc>
          <w:tcPr>
            <w:tcW w:w="949" w:type="pct"/>
            <w:tcBorders>
              <w:top w:val="single" w:sz="6" w:space="0" w:color="808080" w:themeColor="background1" w:themeShade="80"/>
              <w:bottom w:val="single" w:sz="6" w:space="0" w:color="808080" w:themeColor="background1" w:themeShade="80"/>
            </w:tcBorders>
          </w:tcPr>
          <w:p w14:paraId="3A7173D0" w14:textId="77777777" w:rsidR="00FC5936" w:rsidRPr="00783571" w:rsidRDefault="00FC5936" w:rsidP="00FC5936">
            <w:pPr>
              <w:pStyle w:val="TableText"/>
              <w:spacing w:before="40" w:after="40"/>
              <w:jc w:val="center"/>
            </w:pPr>
            <w:r w:rsidRPr="00783571">
              <w:t>1.250</w:t>
            </w:r>
          </w:p>
        </w:tc>
        <w:tc>
          <w:tcPr>
            <w:tcW w:w="949" w:type="pct"/>
            <w:tcBorders>
              <w:top w:val="single" w:sz="6" w:space="0" w:color="808080" w:themeColor="background1" w:themeShade="80"/>
              <w:bottom w:val="single" w:sz="6" w:space="0" w:color="808080" w:themeColor="background1" w:themeShade="80"/>
            </w:tcBorders>
          </w:tcPr>
          <w:p w14:paraId="2D74C270" w14:textId="77777777" w:rsidR="00FC5936" w:rsidRPr="00783571" w:rsidRDefault="00FC5936" w:rsidP="00FC5936">
            <w:pPr>
              <w:pStyle w:val="TableText"/>
              <w:spacing w:before="40" w:after="40"/>
              <w:jc w:val="center"/>
            </w:pPr>
            <w:r w:rsidRPr="00783571">
              <w:t>5.000</w:t>
            </w:r>
          </w:p>
        </w:tc>
      </w:tr>
      <w:tr w:rsidR="00FC5936" w:rsidRPr="00783571" w14:paraId="445043A7" w14:textId="77777777" w:rsidTr="00FC5936">
        <w:trPr>
          <w:cantSplit/>
        </w:trPr>
        <w:tc>
          <w:tcPr>
            <w:tcW w:w="2152" w:type="pct"/>
            <w:tcBorders>
              <w:top w:val="single" w:sz="6" w:space="0" w:color="808080" w:themeColor="background1" w:themeShade="80"/>
              <w:bottom w:val="single" w:sz="6" w:space="0" w:color="808080" w:themeColor="background1" w:themeShade="80"/>
            </w:tcBorders>
          </w:tcPr>
          <w:p w14:paraId="7AB51149" w14:textId="77777777" w:rsidR="00FC5936" w:rsidRPr="00783571" w:rsidRDefault="00FC5936" w:rsidP="00FC5936">
            <w:pPr>
              <w:pStyle w:val="TableTextIndent1"/>
              <w:spacing w:before="40" w:after="40"/>
              <w:ind w:left="648"/>
            </w:pPr>
            <w:r w:rsidRPr="00783571">
              <w:t>CD4 &lt;200</w:t>
            </w:r>
          </w:p>
        </w:tc>
        <w:tc>
          <w:tcPr>
            <w:tcW w:w="950" w:type="pct"/>
            <w:gridSpan w:val="2"/>
            <w:tcBorders>
              <w:top w:val="single" w:sz="6" w:space="0" w:color="808080" w:themeColor="background1" w:themeShade="80"/>
              <w:bottom w:val="single" w:sz="6" w:space="0" w:color="808080" w:themeColor="background1" w:themeShade="80"/>
            </w:tcBorders>
          </w:tcPr>
          <w:p w14:paraId="0F6506A6" w14:textId="77777777" w:rsidR="00FC5936" w:rsidRPr="00783571" w:rsidRDefault="00FC5936" w:rsidP="00FC5936">
            <w:pPr>
              <w:pStyle w:val="TableText"/>
              <w:spacing w:before="40" w:after="40"/>
              <w:jc w:val="center"/>
            </w:pPr>
            <w:r w:rsidRPr="00783571">
              <w:t>6.871</w:t>
            </w:r>
          </w:p>
        </w:tc>
        <w:tc>
          <w:tcPr>
            <w:tcW w:w="949" w:type="pct"/>
            <w:tcBorders>
              <w:top w:val="single" w:sz="6" w:space="0" w:color="808080" w:themeColor="background1" w:themeShade="80"/>
              <w:bottom w:val="single" w:sz="6" w:space="0" w:color="808080" w:themeColor="background1" w:themeShade="80"/>
            </w:tcBorders>
          </w:tcPr>
          <w:p w14:paraId="31BCBBCA" w14:textId="77777777" w:rsidR="00FC5936" w:rsidRPr="00783571" w:rsidRDefault="00FC5936" w:rsidP="00FC5936">
            <w:pPr>
              <w:pStyle w:val="TableText"/>
              <w:spacing w:before="40" w:after="40"/>
              <w:jc w:val="center"/>
            </w:pPr>
            <w:r w:rsidRPr="00783571">
              <w:t>1.500</w:t>
            </w:r>
          </w:p>
        </w:tc>
        <w:tc>
          <w:tcPr>
            <w:tcW w:w="949" w:type="pct"/>
            <w:tcBorders>
              <w:top w:val="single" w:sz="6" w:space="0" w:color="808080" w:themeColor="background1" w:themeShade="80"/>
              <w:bottom w:val="single" w:sz="6" w:space="0" w:color="808080" w:themeColor="background1" w:themeShade="80"/>
            </w:tcBorders>
          </w:tcPr>
          <w:p w14:paraId="307CF1AD" w14:textId="77777777" w:rsidR="00FC5936" w:rsidRPr="00783571" w:rsidRDefault="00FC5936" w:rsidP="00FC5936">
            <w:pPr>
              <w:pStyle w:val="TableText"/>
              <w:spacing w:before="40" w:after="40"/>
              <w:jc w:val="center"/>
            </w:pPr>
            <w:r w:rsidRPr="00783571">
              <w:t>8.000</w:t>
            </w:r>
          </w:p>
        </w:tc>
      </w:tr>
      <w:tr w:rsidR="00FC5936" w:rsidRPr="00783571" w14:paraId="7B206891" w14:textId="77777777" w:rsidTr="00FC5936">
        <w:trPr>
          <w:cantSplit/>
        </w:trPr>
        <w:tc>
          <w:tcPr>
            <w:tcW w:w="3102" w:type="pct"/>
            <w:gridSpan w:val="3"/>
            <w:tcBorders>
              <w:top w:val="single" w:sz="6" w:space="0" w:color="808080" w:themeColor="background1" w:themeShade="80"/>
              <w:bottom w:val="single" w:sz="6" w:space="0" w:color="808080" w:themeColor="background1" w:themeShade="80"/>
            </w:tcBorders>
          </w:tcPr>
          <w:p w14:paraId="56403449" w14:textId="77777777" w:rsidR="00FC5936" w:rsidRPr="00783571" w:rsidRDefault="00FC5936" w:rsidP="00FC5936">
            <w:pPr>
              <w:pStyle w:val="TableText"/>
              <w:spacing w:before="40" w:after="40"/>
            </w:pPr>
            <w:r w:rsidRPr="00783571">
              <w:t>Relative risk of linkage to HIV care after (versus immediately at) diagnosis, by disease stage</w:t>
            </w:r>
          </w:p>
        </w:tc>
        <w:tc>
          <w:tcPr>
            <w:tcW w:w="949" w:type="pct"/>
            <w:tcBorders>
              <w:top w:val="single" w:sz="6" w:space="0" w:color="808080" w:themeColor="background1" w:themeShade="80"/>
              <w:bottom w:val="single" w:sz="6" w:space="0" w:color="808080" w:themeColor="background1" w:themeShade="80"/>
            </w:tcBorders>
          </w:tcPr>
          <w:p w14:paraId="7822AD75" w14:textId="77777777" w:rsidR="00FC5936" w:rsidRPr="00783571" w:rsidRDefault="00FC5936" w:rsidP="00FC5936">
            <w:pPr>
              <w:pStyle w:val="TableText"/>
              <w:spacing w:before="40" w:after="40"/>
            </w:pPr>
          </w:p>
        </w:tc>
        <w:tc>
          <w:tcPr>
            <w:tcW w:w="949" w:type="pct"/>
            <w:tcBorders>
              <w:top w:val="single" w:sz="6" w:space="0" w:color="808080" w:themeColor="background1" w:themeShade="80"/>
              <w:bottom w:val="single" w:sz="6" w:space="0" w:color="808080" w:themeColor="background1" w:themeShade="80"/>
            </w:tcBorders>
          </w:tcPr>
          <w:p w14:paraId="656552A5" w14:textId="77777777" w:rsidR="00FC5936" w:rsidRPr="00783571" w:rsidRDefault="00FC5936" w:rsidP="00FC5936">
            <w:pPr>
              <w:pStyle w:val="TableText"/>
              <w:spacing w:before="40" w:after="40"/>
            </w:pPr>
          </w:p>
        </w:tc>
      </w:tr>
      <w:tr w:rsidR="00FC5936" w:rsidRPr="00783571" w14:paraId="653FEA18" w14:textId="77777777" w:rsidTr="00FC5936">
        <w:trPr>
          <w:cantSplit/>
        </w:trPr>
        <w:tc>
          <w:tcPr>
            <w:tcW w:w="2185" w:type="pct"/>
            <w:gridSpan w:val="2"/>
            <w:tcBorders>
              <w:top w:val="single" w:sz="6" w:space="0" w:color="808080" w:themeColor="background1" w:themeShade="80"/>
              <w:bottom w:val="single" w:sz="6" w:space="0" w:color="808080" w:themeColor="background1" w:themeShade="80"/>
            </w:tcBorders>
          </w:tcPr>
          <w:p w14:paraId="255880B5" w14:textId="77777777" w:rsidR="00FC5936" w:rsidRPr="00783571" w:rsidRDefault="00FC5936" w:rsidP="00FC5936">
            <w:pPr>
              <w:pStyle w:val="TableTextIndent1"/>
              <w:spacing w:before="40" w:after="40"/>
            </w:pPr>
            <w:r w:rsidRPr="00783571">
              <w:t>CD4 200–350</w:t>
            </w:r>
          </w:p>
        </w:tc>
        <w:tc>
          <w:tcPr>
            <w:tcW w:w="917" w:type="pct"/>
            <w:tcBorders>
              <w:top w:val="single" w:sz="6" w:space="0" w:color="808080" w:themeColor="background1" w:themeShade="80"/>
              <w:bottom w:val="single" w:sz="6" w:space="0" w:color="808080" w:themeColor="background1" w:themeShade="80"/>
            </w:tcBorders>
          </w:tcPr>
          <w:p w14:paraId="4F4E674F" w14:textId="77777777" w:rsidR="00FC5936" w:rsidRPr="00783571" w:rsidRDefault="00FC5936" w:rsidP="00FC5936">
            <w:pPr>
              <w:pStyle w:val="TableText"/>
              <w:spacing w:before="40" w:after="40"/>
              <w:jc w:val="center"/>
            </w:pPr>
            <w:r w:rsidRPr="00783571">
              <w:t>6.120</w:t>
            </w:r>
          </w:p>
        </w:tc>
        <w:tc>
          <w:tcPr>
            <w:tcW w:w="949" w:type="pct"/>
            <w:tcBorders>
              <w:top w:val="single" w:sz="6" w:space="0" w:color="808080" w:themeColor="background1" w:themeShade="80"/>
              <w:bottom w:val="single" w:sz="6" w:space="0" w:color="808080" w:themeColor="background1" w:themeShade="80"/>
            </w:tcBorders>
          </w:tcPr>
          <w:p w14:paraId="0DDE2D73" w14:textId="77777777" w:rsidR="00FC5936" w:rsidRPr="00783571" w:rsidRDefault="00FC5936" w:rsidP="00FC5936">
            <w:pPr>
              <w:pStyle w:val="TableText"/>
              <w:spacing w:before="40" w:after="40"/>
              <w:jc w:val="center"/>
            </w:pPr>
            <w:r w:rsidRPr="00783571">
              <w:t>1.000</w:t>
            </w:r>
          </w:p>
        </w:tc>
        <w:tc>
          <w:tcPr>
            <w:tcW w:w="949" w:type="pct"/>
            <w:tcBorders>
              <w:top w:val="single" w:sz="6" w:space="0" w:color="808080" w:themeColor="background1" w:themeShade="80"/>
              <w:bottom w:val="single" w:sz="6" w:space="0" w:color="808080" w:themeColor="background1" w:themeShade="80"/>
            </w:tcBorders>
          </w:tcPr>
          <w:p w14:paraId="1F824FE6" w14:textId="77777777" w:rsidR="00FC5936" w:rsidRPr="00783571" w:rsidRDefault="00FC5936" w:rsidP="00FC5936">
            <w:pPr>
              <w:pStyle w:val="TableText"/>
              <w:spacing w:before="40" w:after="40"/>
              <w:jc w:val="center"/>
            </w:pPr>
            <w:r w:rsidRPr="00783571">
              <w:t>8.000</w:t>
            </w:r>
          </w:p>
        </w:tc>
      </w:tr>
      <w:tr w:rsidR="00FC5936" w:rsidRPr="00783571" w14:paraId="7A4A7658" w14:textId="77777777" w:rsidTr="00FC5936">
        <w:trPr>
          <w:cantSplit/>
        </w:trPr>
        <w:tc>
          <w:tcPr>
            <w:tcW w:w="2185" w:type="pct"/>
            <w:gridSpan w:val="2"/>
            <w:tcBorders>
              <w:top w:val="single" w:sz="6" w:space="0" w:color="808080" w:themeColor="background1" w:themeShade="80"/>
              <w:bottom w:val="single" w:sz="6" w:space="0" w:color="808080" w:themeColor="background1" w:themeShade="80"/>
            </w:tcBorders>
          </w:tcPr>
          <w:p w14:paraId="600475C1" w14:textId="77777777" w:rsidR="00FC5936" w:rsidRPr="00783571" w:rsidRDefault="00FC5936" w:rsidP="00FC5936">
            <w:pPr>
              <w:pStyle w:val="TableTextIndent1"/>
              <w:spacing w:before="40" w:after="40"/>
            </w:pPr>
            <w:r w:rsidRPr="00783571">
              <w:t>CD4 &lt; 200</w:t>
            </w:r>
          </w:p>
        </w:tc>
        <w:tc>
          <w:tcPr>
            <w:tcW w:w="917" w:type="pct"/>
            <w:tcBorders>
              <w:top w:val="single" w:sz="6" w:space="0" w:color="808080" w:themeColor="background1" w:themeShade="80"/>
              <w:bottom w:val="single" w:sz="6" w:space="0" w:color="808080" w:themeColor="background1" w:themeShade="80"/>
            </w:tcBorders>
          </w:tcPr>
          <w:p w14:paraId="2626618E" w14:textId="77777777" w:rsidR="00FC5936" w:rsidRPr="00783571" w:rsidRDefault="00FC5936" w:rsidP="00FC5936">
            <w:pPr>
              <w:pStyle w:val="TableText"/>
              <w:spacing w:before="40" w:after="40"/>
              <w:jc w:val="center"/>
            </w:pPr>
            <w:r w:rsidRPr="00783571">
              <w:t>4.529</w:t>
            </w:r>
          </w:p>
        </w:tc>
        <w:tc>
          <w:tcPr>
            <w:tcW w:w="949" w:type="pct"/>
            <w:tcBorders>
              <w:top w:val="single" w:sz="6" w:space="0" w:color="808080" w:themeColor="background1" w:themeShade="80"/>
              <w:bottom w:val="single" w:sz="6" w:space="0" w:color="808080" w:themeColor="background1" w:themeShade="80"/>
            </w:tcBorders>
          </w:tcPr>
          <w:p w14:paraId="29794267" w14:textId="77777777" w:rsidR="00FC5936" w:rsidRPr="00783571" w:rsidRDefault="00FC5936" w:rsidP="00FC5936">
            <w:pPr>
              <w:pStyle w:val="TableText"/>
              <w:spacing w:before="40" w:after="40"/>
              <w:jc w:val="center"/>
            </w:pPr>
            <w:r w:rsidRPr="00783571">
              <w:t>1.000</w:t>
            </w:r>
          </w:p>
        </w:tc>
        <w:tc>
          <w:tcPr>
            <w:tcW w:w="949" w:type="pct"/>
            <w:tcBorders>
              <w:top w:val="single" w:sz="6" w:space="0" w:color="808080" w:themeColor="background1" w:themeShade="80"/>
              <w:bottom w:val="single" w:sz="6" w:space="0" w:color="808080" w:themeColor="background1" w:themeShade="80"/>
            </w:tcBorders>
          </w:tcPr>
          <w:p w14:paraId="2BF53DA4" w14:textId="77777777" w:rsidR="00FC5936" w:rsidRPr="00783571" w:rsidRDefault="00FC5936" w:rsidP="00FC5936">
            <w:pPr>
              <w:pStyle w:val="TableText"/>
              <w:spacing w:before="40" w:after="40"/>
              <w:jc w:val="center"/>
            </w:pPr>
            <w:r w:rsidRPr="00783571">
              <w:t>8.000</w:t>
            </w:r>
          </w:p>
        </w:tc>
      </w:tr>
      <w:tr w:rsidR="00FC5936" w:rsidRPr="00783571" w14:paraId="4C42EAE7" w14:textId="77777777" w:rsidTr="00FC5936">
        <w:trPr>
          <w:cantSplit/>
        </w:trPr>
        <w:tc>
          <w:tcPr>
            <w:tcW w:w="3102" w:type="pct"/>
            <w:gridSpan w:val="3"/>
            <w:tcBorders>
              <w:top w:val="single" w:sz="6" w:space="0" w:color="808080" w:themeColor="background1" w:themeShade="80"/>
              <w:bottom w:val="single" w:sz="6" w:space="0" w:color="808080" w:themeColor="background1" w:themeShade="80"/>
            </w:tcBorders>
          </w:tcPr>
          <w:p w14:paraId="15AB0FE6" w14:textId="77777777" w:rsidR="00FC5936" w:rsidRPr="00783571" w:rsidRDefault="00FC5936" w:rsidP="00FC5936">
            <w:pPr>
              <w:pStyle w:val="TableText"/>
              <w:spacing w:before="40" w:after="40"/>
            </w:pPr>
            <w:r w:rsidRPr="00783571">
              <w:t>Annual probability of dropping out of care if linked to HIV care, not prescribed ART</w:t>
            </w:r>
          </w:p>
        </w:tc>
        <w:tc>
          <w:tcPr>
            <w:tcW w:w="949" w:type="pct"/>
            <w:tcBorders>
              <w:top w:val="single" w:sz="6" w:space="0" w:color="808080" w:themeColor="background1" w:themeShade="80"/>
              <w:bottom w:val="single" w:sz="6" w:space="0" w:color="808080" w:themeColor="background1" w:themeShade="80"/>
            </w:tcBorders>
          </w:tcPr>
          <w:p w14:paraId="5E8D9CD4" w14:textId="77777777" w:rsidR="00FC5936" w:rsidRPr="00783571" w:rsidRDefault="00FC5936" w:rsidP="00FC5936">
            <w:pPr>
              <w:pStyle w:val="TableText"/>
              <w:spacing w:before="40" w:after="40"/>
            </w:pPr>
          </w:p>
        </w:tc>
        <w:tc>
          <w:tcPr>
            <w:tcW w:w="949" w:type="pct"/>
            <w:tcBorders>
              <w:top w:val="single" w:sz="6" w:space="0" w:color="808080" w:themeColor="background1" w:themeShade="80"/>
              <w:bottom w:val="single" w:sz="6" w:space="0" w:color="808080" w:themeColor="background1" w:themeShade="80"/>
            </w:tcBorders>
          </w:tcPr>
          <w:p w14:paraId="79C66CA5" w14:textId="77777777" w:rsidR="00FC5936" w:rsidRPr="00783571" w:rsidRDefault="00FC5936" w:rsidP="00FC5936">
            <w:pPr>
              <w:pStyle w:val="TableText"/>
              <w:spacing w:before="40" w:after="40"/>
            </w:pPr>
          </w:p>
        </w:tc>
      </w:tr>
      <w:tr w:rsidR="00FC5936" w:rsidRPr="00783571" w14:paraId="70F8A4A9" w14:textId="77777777" w:rsidTr="00FC5936">
        <w:trPr>
          <w:cantSplit/>
        </w:trPr>
        <w:tc>
          <w:tcPr>
            <w:tcW w:w="2185" w:type="pct"/>
            <w:gridSpan w:val="2"/>
            <w:tcBorders>
              <w:top w:val="single" w:sz="6" w:space="0" w:color="808080" w:themeColor="background1" w:themeShade="80"/>
              <w:bottom w:val="single" w:sz="6" w:space="0" w:color="808080" w:themeColor="background1" w:themeShade="80"/>
            </w:tcBorders>
          </w:tcPr>
          <w:p w14:paraId="3E3A8E96" w14:textId="77777777" w:rsidR="00FC5936" w:rsidRPr="00783571" w:rsidRDefault="00FC5936" w:rsidP="00FC5936">
            <w:pPr>
              <w:pStyle w:val="TableTextIndent1"/>
              <w:spacing w:before="40" w:after="40"/>
            </w:pPr>
            <w:r w:rsidRPr="00783571">
              <w:t>Black</w:t>
            </w:r>
          </w:p>
        </w:tc>
        <w:tc>
          <w:tcPr>
            <w:tcW w:w="917" w:type="pct"/>
            <w:tcBorders>
              <w:top w:val="single" w:sz="6" w:space="0" w:color="808080" w:themeColor="background1" w:themeShade="80"/>
              <w:bottom w:val="single" w:sz="6" w:space="0" w:color="808080" w:themeColor="background1" w:themeShade="80"/>
            </w:tcBorders>
          </w:tcPr>
          <w:p w14:paraId="677CF532" w14:textId="77777777" w:rsidR="00FC5936" w:rsidRPr="00783571" w:rsidRDefault="00FC5936" w:rsidP="00FC5936">
            <w:pPr>
              <w:pStyle w:val="TableText"/>
              <w:spacing w:before="40" w:after="40"/>
              <w:jc w:val="center"/>
            </w:pPr>
            <w:r w:rsidRPr="00783571">
              <w:t>0.200</w:t>
            </w:r>
          </w:p>
        </w:tc>
        <w:tc>
          <w:tcPr>
            <w:tcW w:w="949" w:type="pct"/>
            <w:tcBorders>
              <w:top w:val="single" w:sz="6" w:space="0" w:color="808080" w:themeColor="background1" w:themeShade="80"/>
              <w:bottom w:val="single" w:sz="6" w:space="0" w:color="808080" w:themeColor="background1" w:themeShade="80"/>
            </w:tcBorders>
          </w:tcPr>
          <w:p w14:paraId="3FD75DCD" w14:textId="77777777" w:rsidR="00FC5936" w:rsidRPr="00783571" w:rsidRDefault="00FC5936" w:rsidP="00FC5936">
            <w:pPr>
              <w:pStyle w:val="TableText"/>
              <w:spacing w:before="40" w:after="40"/>
              <w:jc w:val="center"/>
            </w:pPr>
            <w:r w:rsidRPr="00783571">
              <w:t>0.010</w:t>
            </w:r>
          </w:p>
        </w:tc>
        <w:tc>
          <w:tcPr>
            <w:tcW w:w="949" w:type="pct"/>
            <w:tcBorders>
              <w:top w:val="single" w:sz="6" w:space="0" w:color="808080" w:themeColor="background1" w:themeShade="80"/>
              <w:bottom w:val="single" w:sz="6" w:space="0" w:color="808080" w:themeColor="background1" w:themeShade="80"/>
            </w:tcBorders>
          </w:tcPr>
          <w:p w14:paraId="443644C2" w14:textId="77777777" w:rsidR="00FC5936" w:rsidRPr="00783571" w:rsidRDefault="00FC5936" w:rsidP="00FC5936">
            <w:pPr>
              <w:pStyle w:val="TableText"/>
              <w:spacing w:before="40" w:after="40"/>
              <w:jc w:val="center"/>
            </w:pPr>
            <w:r w:rsidRPr="00783571">
              <w:t>0.500</w:t>
            </w:r>
          </w:p>
        </w:tc>
      </w:tr>
      <w:tr w:rsidR="00FC5936" w:rsidRPr="00783571" w14:paraId="787D04A3" w14:textId="77777777" w:rsidTr="00FC5936">
        <w:trPr>
          <w:cantSplit/>
        </w:trPr>
        <w:tc>
          <w:tcPr>
            <w:tcW w:w="2185" w:type="pct"/>
            <w:gridSpan w:val="2"/>
            <w:tcBorders>
              <w:top w:val="single" w:sz="6" w:space="0" w:color="808080" w:themeColor="background1" w:themeShade="80"/>
              <w:bottom w:val="single" w:sz="6" w:space="0" w:color="808080" w:themeColor="background1" w:themeShade="80"/>
            </w:tcBorders>
          </w:tcPr>
          <w:p w14:paraId="0DD1CD9A" w14:textId="77777777" w:rsidR="00FC5936" w:rsidRPr="00783571" w:rsidRDefault="00FC5936" w:rsidP="00FC5936">
            <w:pPr>
              <w:pStyle w:val="TableTextIndent1"/>
              <w:spacing w:before="40" w:after="40"/>
            </w:pPr>
            <w:r w:rsidRPr="00783571">
              <w:t>Hispanic</w:t>
            </w:r>
          </w:p>
        </w:tc>
        <w:tc>
          <w:tcPr>
            <w:tcW w:w="917" w:type="pct"/>
            <w:tcBorders>
              <w:top w:val="single" w:sz="6" w:space="0" w:color="808080" w:themeColor="background1" w:themeShade="80"/>
              <w:bottom w:val="single" w:sz="6" w:space="0" w:color="808080" w:themeColor="background1" w:themeShade="80"/>
            </w:tcBorders>
          </w:tcPr>
          <w:p w14:paraId="44C93721" w14:textId="77777777" w:rsidR="00FC5936" w:rsidRPr="00783571" w:rsidRDefault="00FC5936" w:rsidP="00FC5936">
            <w:pPr>
              <w:pStyle w:val="TableText"/>
              <w:spacing w:before="40" w:after="40"/>
              <w:jc w:val="center"/>
            </w:pPr>
            <w:r w:rsidRPr="00783571">
              <w:t>0.184</w:t>
            </w:r>
          </w:p>
        </w:tc>
        <w:tc>
          <w:tcPr>
            <w:tcW w:w="949" w:type="pct"/>
            <w:tcBorders>
              <w:top w:val="single" w:sz="6" w:space="0" w:color="808080" w:themeColor="background1" w:themeShade="80"/>
              <w:bottom w:val="single" w:sz="6" w:space="0" w:color="808080" w:themeColor="background1" w:themeShade="80"/>
            </w:tcBorders>
          </w:tcPr>
          <w:p w14:paraId="7654D0F1" w14:textId="77777777" w:rsidR="00FC5936" w:rsidRPr="00783571" w:rsidRDefault="00FC5936" w:rsidP="00FC5936">
            <w:pPr>
              <w:pStyle w:val="TableText"/>
              <w:spacing w:before="40" w:after="40"/>
              <w:jc w:val="center"/>
            </w:pPr>
            <w:r w:rsidRPr="00783571">
              <w:t>0.010</w:t>
            </w:r>
          </w:p>
        </w:tc>
        <w:tc>
          <w:tcPr>
            <w:tcW w:w="949" w:type="pct"/>
            <w:tcBorders>
              <w:top w:val="single" w:sz="6" w:space="0" w:color="808080" w:themeColor="background1" w:themeShade="80"/>
              <w:bottom w:val="single" w:sz="6" w:space="0" w:color="808080" w:themeColor="background1" w:themeShade="80"/>
            </w:tcBorders>
          </w:tcPr>
          <w:p w14:paraId="2EE0933B" w14:textId="77777777" w:rsidR="00FC5936" w:rsidRPr="00783571" w:rsidRDefault="00FC5936" w:rsidP="00FC5936">
            <w:pPr>
              <w:pStyle w:val="TableText"/>
              <w:spacing w:before="40" w:after="40"/>
              <w:jc w:val="center"/>
            </w:pPr>
            <w:r w:rsidRPr="00783571">
              <w:t>0.500</w:t>
            </w:r>
          </w:p>
        </w:tc>
      </w:tr>
      <w:tr w:rsidR="00FC5936" w:rsidRPr="00783571" w14:paraId="6230C636" w14:textId="77777777" w:rsidTr="00FC5936">
        <w:trPr>
          <w:cantSplit/>
        </w:trPr>
        <w:tc>
          <w:tcPr>
            <w:tcW w:w="2185" w:type="pct"/>
            <w:gridSpan w:val="2"/>
            <w:tcBorders>
              <w:top w:val="single" w:sz="6" w:space="0" w:color="808080" w:themeColor="background1" w:themeShade="80"/>
              <w:bottom w:val="single" w:sz="6" w:space="0" w:color="808080" w:themeColor="background1" w:themeShade="80"/>
            </w:tcBorders>
          </w:tcPr>
          <w:p w14:paraId="6F27E8FB" w14:textId="77777777" w:rsidR="00FC5936" w:rsidRPr="00783571" w:rsidRDefault="00FC5936" w:rsidP="00FC5936">
            <w:pPr>
              <w:pStyle w:val="TableTextIndent1"/>
              <w:spacing w:before="40" w:after="40"/>
            </w:pPr>
            <w:r w:rsidRPr="00783571">
              <w:t>Other</w:t>
            </w:r>
          </w:p>
        </w:tc>
        <w:tc>
          <w:tcPr>
            <w:tcW w:w="917" w:type="pct"/>
            <w:tcBorders>
              <w:top w:val="single" w:sz="6" w:space="0" w:color="808080" w:themeColor="background1" w:themeShade="80"/>
              <w:bottom w:val="single" w:sz="6" w:space="0" w:color="808080" w:themeColor="background1" w:themeShade="80"/>
            </w:tcBorders>
          </w:tcPr>
          <w:p w14:paraId="6921EA7B" w14:textId="77777777" w:rsidR="00FC5936" w:rsidRPr="00783571" w:rsidRDefault="00FC5936" w:rsidP="00FC5936">
            <w:pPr>
              <w:pStyle w:val="TableText"/>
              <w:spacing w:before="40" w:after="40"/>
              <w:jc w:val="center"/>
            </w:pPr>
            <w:r w:rsidRPr="00783571">
              <w:t>0.163</w:t>
            </w:r>
          </w:p>
        </w:tc>
        <w:tc>
          <w:tcPr>
            <w:tcW w:w="949" w:type="pct"/>
            <w:tcBorders>
              <w:top w:val="single" w:sz="6" w:space="0" w:color="808080" w:themeColor="background1" w:themeShade="80"/>
              <w:bottom w:val="single" w:sz="6" w:space="0" w:color="808080" w:themeColor="background1" w:themeShade="80"/>
            </w:tcBorders>
          </w:tcPr>
          <w:p w14:paraId="552D4FEB" w14:textId="77777777" w:rsidR="00FC5936" w:rsidRPr="00783571" w:rsidRDefault="00FC5936" w:rsidP="00FC5936">
            <w:pPr>
              <w:pStyle w:val="TableText"/>
              <w:spacing w:before="40" w:after="40"/>
              <w:jc w:val="center"/>
            </w:pPr>
            <w:r w:rsidRPr="00783571">
              <w:t>0.010</w:t>
            </w:r>
          </w:p>
        </w:tc>
        <w:tc>
          <w:tcPr>
            <w:tcW w:w="949" w:type="pct"/>
            <w:tcBorders>
              <w:top w:val="single" w:sz="6" w:space="0" w:color="808080" w:themeColor="background1" w:themeShade="80"/>
              <w:bottom w:val="single" w:sz="6" w:space="0" w:color="808080" w:themeColor="background1" w:themeShade="80"/>
            </w:tcBorders>
          </w:tcPr>
          <w:p w14:paraId="465FBF0A" w14:textId="77777777" w:rsidR="00FC5936" w:rsidRPr="00783571" w:rsidRDefault="00FC5936" w:rsidP="00FC5936">
            <w:pPr>
              <w:pStyle w:val="TableText"/>
              <w:spacing w:before="40" w:after="40"/>
              <w:jc w:val="center"/>
            </w:pPr>
            <w:r w:rsidRPr="00783571">
              <w:t>0.500</w:t>
            </w:r>
          </w:p>
        </w:tc>
      </w:tr>
      <w:tr w:rsidR="00FC5936" w:rsidRPr="00783571" w14:paraId="67403A73" w14:textId="77777777" w:rsidTr="00FC5936">
        <w:trPr>
          <w:cantSplit/>
        </w:trPr>
        <w:tc>
          <w:tcPr>
            <w:tcW w:w="3102" w:type="pct"/>
            <w:gridSpan w:val="3"/>
            <w:tcBorders>
              <w:top w:val="single" w:sz="6" w:space="0" w:color="808080" w:themeColor="background1" w:themeShade="80"/>
              <w:bottom w:val="single" w:sz="6" w:space="0" w:color="808080" w:themeColor="background1" w:themeShade="80"/>
            </w:tcBorders>
          </w:tcPr>
          <w:p w14:paraId="0430EED2" w14:textId="77777777" w:rsidR="00FC5936" w:rsidRPr="00783571" w:rsidRDefault="00FC5936" w:rsidP="00FC5936">
            <w:pPr>
              <w:pStyle w:val="TableText"/>
              <w:spacing w:before="40" w:after="40"/>
            </w:pPr>
            <w:r w:rsidRPr="00783571">
              <w:t>Annual probability of dropping off of ART if ART-not-VLS and movement to linked-to- care</w:t>
            </w:r>
          </w:p>
        </w:tc>
        <w:tc>
          <w:tcPr>
            <w:tcW w:w="949" w:type="pct"/>
            <w:tcBorders>
              <w:top w:val="single" w:sz="6" w:space="0" w:color="808080" w:themeColor="background1" w:themeShade="80"/>
              <w:bottom w:val="single" w:sz="6" w:space="0" w:color="808080" w:themeColor="background1" w:themeShade="80"/>
            </w:tcBorders>
          </w:tcPr>
          <w:p w14:paraId="6446A2A9" w14:textId="77777777" w:rsidR="00FC5936" w:rsidRPr="00783571" w:rsidRDefault="00FC5936" w:rsidP="00FC5936">
            <w:pPr>
              <w:pStyle w:val="TableText"/>
              <w:spacing w:before="40" w:after="40"/>
            </w:pPr>
          </w:p>
        </w:tc>
        <w:tc>
          <w:tcPr>
            <w:tcW w:w="949" w:type="pct"/>
            <w:tcBorders>
              <w:top w:val="single" w:sz="6" w:space="0" w:color="808080" w:themeColor="background1" w:themeShade="80"/>
              <w:bottom w:val="single" w:sz="6" w:space="0" w:color="808080" w:themeColor="background1" w:themeShade="80"/>
            </w:tcBorders>
          </w:tcPr>
          <w:p w14:paraId="04DB2C54" w14:textId="77777777" w:rsidR="00FC5936" w:rsidRPr="00783571" w:rsidRDefault="00FC5936" w:rsidP="00FC5936">
            <w:pPr>
              <w:pStyle w:val="TableText"/>
              <w:spacing w:before="40" w:after="40"/>
            </w:pPr>
          </w:p>
        </w:tc>
      </w:tr>
      <w:tr w:rsidR="00FC5936" w:rsidRPr="00783571" w14:paraId="2A630990" w14:textId="77777777" w:rsidTr="00FC5936">
        <w:trPr>
          <w:cantSplit/>
        </w:trPr>
        <w:tc>
          <w:tcPr>
            <w:tcW w:w="2185" w:type="pct"/>
            <w:gridSpan w:val="2"/>
            <w:tcBorders>
              <w:top w:val="single" w:sz="6" w:space="0" w:color="808080" w:themeColor="background1" w:themeShade="80"/>
              <w:bottom w:val="single" w:sz="6" w:space="0" w:color="808080" w:themeColor="background1" w:themeShade="80"/>
            </w:tcBorders>
          </w:tcPr>
          <w:p w14:paraId="260F46DD" w14:textId="77777777" w:rsidR="00FC5936" w:rsidRPr="00783571" w:rsidRDefault="00FC5936" w:rsidP="00FC5936">
            <w:pPr>
              <w:pStyle w:val="TableTextIndent1"/>
              <w:spacing w:before="40" w:after="40"/>
            </w:pPr>
            <w:r w:rsidRPr="00783571">
              <w:t>Black</w:t>
            </w:r>
          </w:p>
        </w:tc>
        <w:tc>
          <w:tcPr>
            <w:tcW w:w="917" w:type="pct"/>
            <w:tcBorders>
              <w:top w:val="single" w:sz="6" w:space="0" w:color="808080" w:themeColor="background1" w:themeShade="80"/>
              <w:bottom w:val="single" w:sz="6" w:space="0" w:color="808080" w:themeColor="background1" w:themeShade="80"/>
            </w:tcBorders>
          </w:tcPr>
          <w:p w14:paraId="331E5424" w14:textId="77777777" w:rsidR="00FC5936" w:rsidRPr="00783571" w:rsidRDefault="00FC5936" w:rsidP="00FC5936">
            <w:pPr>
              <w:pStyle w:val="TableText"/>
              <w:spacing w:before="40" w:after="40"/>
              <w:jc w:val="center"/>
            </w:pPr>
            <w:r w:rsidRPr="00783571">
              <w:t>0.280</w:t>
            </w:r>
          </w:p>
        </w:tc>
        <w:tc>
          <w:tcPr>
            <w:tcW w:w="949" w:type="pct"/>
            <w:tcBorders>
              <w:top w:val="single" w:sz="6" w:space="0" w:color="808080" w:themeColor="background1" w:themeShade="80"/>
              <w:bottom w:val="single" w:sz="6" w:space="0" w:color="808080" w:themeColor="background1" w:themeShade="80"/>
            </w:tcBorders>
          </w:tcPr>
          <w:p w14:paraId="2D8ECA56" w14:textId="77777777" w:rsidR="00FC5936" w:rsidRPr="00783571" w:rsidRDefault="00FC5936" w:rsidP="00FC5936">
            <w:pPr>
              <w:pStyle w:val="TableText"/>
              <w:spacing w:before="40" w:after="40"/>
              <w:jc w:val="center"/>
            </w:pPr>
            <w:r w:rsidRPr="00783571">
              <w:t>0.004</w:t>
            </w:r>
          </w:p>
        </w:tc>
        <w:tc>
          <w:tcPr>
            <w:tcW w:w="949" w:type="pct"/>
            <w:tcBorders>
              <w:top w:val="single" w:sz="6" w:space="0" w:color="808080" w:themeColor="background1" w:themeShade="80"/>
              <w:bottom w:val="single" w:sz="6" w:space="0" w:color="808080" w:themeColor="background1" w:themeShade="80"/>
            </w:tcBorders>
          </w:tcPr>
          <w:p w14:paraId="59F5163D" w14:textId="77777777" w:rsidR="00FC5936" w:rsidRPr="00783571" w:rsidRDefault="00FC5936" w:rsidP="00FC5936">
            <w:pPr>
              <w:pStyle w:val="TableText"/>
              <w:spacing w:before="40" w:after="40"/>
              <w:jc w:val="center"/>
            </w:pPr>
            <w:r w:rsidRPr="00783571">
              <w:t>0.300</w:t>
            </w:r>
          </w:p>
        </w:tc>
      </w:tr>
      <w:tr w:rsidR="00FC5936" w:rsidRPr="00783571" w14:paraId="445C8F12" w14:textId="77777777" w:rsidTr="00FC5936">
        <w:trPr>
          <w:cantSplit/>
        </w:trPr>
        <w:tc>
          <w:tcPr>
            <w:tcW w:w="2185" w:type="pct"/>
            <w:gridSpan w:val="2"/>
            <w:tcBorders>
              <w:top w:val="single" w:sz="6" w:space="0" w:color="808080" w:themeColor="background1" w:themeShade="80"/>
              <w:bottom w:val="single" w:sz="6" w:space="0" w:color="808080" w:themeColor="background1" w:themeShade="80"/>
            </w:tcBorders>
          </w:tcPr>
          <w:p w14:paraId="3472A644" w14:textId="77777777" w:rsidR="00FC5936" w:rsidRPr="00783571" w:rsidRDefault="00FC5936" w:rsidP="00FC5936">
            <w:pPr>
              <w:pStyle w:val="TableTextIndent1"/>
              <w:spacing w:before="40" w:after="40"/>
            </w:pPr>
            <w:r w:rsidRPr="00783571">
              <w:t>Hispanic</w:t>
            </w:r>
          </w:p>
        </w:tc>
        <w:tc>
          <w:tcPr>
            <w:tcW w:w="917" w:type="pct"/>
            <w:tcBorders>
              <w:top w:val="single" w:sz="6" w:space="0" w:color="808080" w:themeColor="background1" w:themeShade="80"/>
              <w:bottom w:val="single" w:sz="6" w:space="0" w:color="808080" w:themeColor="background1" w:themeShade="80"/>
            </w:tcBorders>
          </w:tcPr>
          <w:p w14:paraId="2D614716" w14:textId="77777777" w:rsidR="00FC5936" w:rsidRPr="00783571" w:rsidRDefault="00FC5936" w:rsidP="00FC5936">
            <w:pPr>
              <w:pStyle w:val="TableText"/>
              <w:spacing w:before="40" w:after="40"/>
              <w:jc w:val="center"/>
            </w:pPr>
            <w:r w:rsidRPr="00783571">
              <w:t>0.237</w:t>
            </w:r>
          </w:p>
        </w:tc>
        <w:tc>
          <w:tcPr>
            <w:tcW w:w="949" w:type="pct"/>
            <w:tcBorders>
              <w:top w:val="single" w:sz="6" w:space="0" w:color="808080" w:themeColor="background1" w:themeShade="80"/>
              <w:bottom w:val="single" w:sz="6" w:space="0" w:color="808080" w:themeColor="background1" w:themeShade="80"/>
            </w:tcBorders>
          </w:tcPr>
          <w:p w14:paraId="07F0DC4E" w14:textId="77777777" w:rsidR="00FC5936" w:rsidRPr="00783571" w:rsidRDefault="00FC5936" w:rsidP="00FC5936">
            <w:pPr>
              <w:pStyle w:val="TableText"/>
              <w:spacing w:before="40" w:after="40"/>
              <w:jc w:val="center"/>
            </w:pPr>
            <w:r w:rsidRPr="00783571">
              <w:t>0.010</w:t>
            </w:r>
          </w:p>
        </w:tc>
        <w:tc>
          <w:tcPr>
            <w:tcW w:w="949" w:type="pct"/>
            <w:tcBorders>
              <w:top w:val="single" w:sz="6" w:space="0" w:color="808080" w:themeColor="background1" w:themeShade="80"/>
              <w:bottom w:val="single" w:sz="6" w:space="0" w:color="808080" w:themeColor="background1" w:themeShade="80"/>
            </w:tcBorders>
          </w:tcPr>
          <w:p w14:paraId="3E40507D" w14:textId="77777777" w:rsidR="00FC5936" w:rsidRPr="00783571" w:rsidRDefault="00FC5936" w:rsidP="00FC5936">
            <w:pPr>
              <w:pStyle w:val="TableText"/>
              <w:spacing w:before="40" w:after="40"/>
              <w:jc w:val="center"/>
            </w:pPr>
            <w:r w:rsidRPr="00783571">
              <w:t>0.300</w:t>
            </w:r>
          </w:p>
        </w:tc>
      </w:tr>
      <w:tr w:rsidR="00FC5936" w:rsidRPr="00783571" w14:paraId="0BBE9507" w14:textId="77777777" w:rsidTr="00FC5936">
        <w:trPr>
          <w:cantSplit/>
        </w:trPr>
        <w:tc>
          <w:tcPr>
            <w:tcW w:w="2185" w:type="pct"/>
            <w:gridSpan w:val="2"/>
            <w:tcBorders>
              <w:top w:val="single" w:sz="6" w:space="0" w:color="808080" w:themeColor="background1" w:themeShade="80"/>
              <w:bottom w:val="single" w:sz="6" w:space="0" w:color="auto"/>
            </w:tcBorders>
          </w:tcPr>
          <w:p w14:paraId="2DE98034" w14:textId="77777777" w:rsidR="00FC5936" w:rsidRPr="00783571" w:rsidRDefault="00FC5936" w:rsidP="00FC5936">
            <w:pPr>
              <w:pStyle w:val="TableTextIndent1"/>
              <w:spacing w:before="40" w:after="40"/>
            </w:pPr>
            <w:r w:rsidRPr="00783571">
              <w:t>Other</w:t>
            </w:r>
          </w:p>
        </w:tc>
        <w:tc>
          <w:tcPr>
            <w:tcW w:w="917" w:type="pct"/>
            <w:tcBorders>
              <w:top w:val="single" w:sz="6" w:space="0" w:color="808080" w:themeColor="background1" w:themeShade="80"/>
              <w:bottom w:val="single" w:sz="6" w:space="0" w:color="auto"/>
            </w:tcBorders>
          </w:tcPr>
          <w:p w14:paraId="71E81C7C" w14:textId="77777777" w:rsidR="00FC5936" w:rsidRPr="00783571" w:rsidRDefault="00FC5936" w:rsidP="00FC5936">
            <w:pPr>
              <w:pStyle w:val="TableText"/>
              <w:spacing w:before="40" w:after="40"/>
              <w:jc w:val="center"/>
            </w:pPr>
            <w:r w:rsidRPr="00783571">
              <w:t>0.252</w:t>
            </w:r>
          </w:p>
        </w:tc>
        <w:tc>
          <w:tcPr>
            <w:tcW w:w="949" w:type="pct"/>
            <w:tcBorders>
              <w:top w:val="single" w:sz="6" w:space="0" w:color="808080" w:themeColor="background1" w:themeShade="80"/>
              <w:bottom w:val="single" w:sz="6" w:space="0" w:color="auto"/>
            </w:tcBorders>
          </w:tcPr>
          <w:p w14:paraId="7099B9D4" w14:textId="77777777" w:rsidR="00FC5936" w:rsidRPr="00783571" w:rsidRDefault="00FC5936" w:rsidP="00FC5936">
            <w:pPr>
              <w:pStyle w:val="TableText"/>
              <w:spacing w:before="40" w:after="40"/>
              <w:jc w:val="center"/>
            </w:pPr>
            <w:r w:rsidRPr="00783571">
              <w:t>0.010</w:t>
            </w:r>
          </w:p>
        </w:tc>
        <w:tc>
          <w:tcPr>
            <w:tcW w:w="949" w:type="pct"/>
            <w:tcBorders>
              <w:top w:val="single" w:sz="6" w:space="0" w:color="808080" w:themeColor="background1" w:themeShade="80"/>
              <w:bottom w:val="single" w:sz="6" w:space="0" w:color="auto"/>
            </w:tcBorders>
          </w:tcPr>
          <w:p w14:paraId="547AF2B9" w14:textId="77777777" w:rsidR="00FC5936" w:rsidRPr="00783571" w:rsidRDefault="00FC5936" w:rsidP="00FC5936">
            <w:pPr>
              <w:pStyle w:val="TableText"/>
              <w:spacing w:before="40" w:after="40"/>
              <w:jc w:val="center"/>
            </w:pPr>
            <w:r w:rsidRPr="00783571">
              <w:t>0.300</w:t>
            </w:r>
          </w:p>
        </w:tc>
      </w:tr>
      <w:tr w:rsidR="00FC5936" w:rsidRPr="00783571" w14:paraId="6BB56F92" w14:textId="77777777" w:rsidTr="00FC5936">
        <w:trPr>
          <w:cantSplit/>
        </w:trPr>
        <w:tc>
          <w:tcPr>
            <w:tcW w:w="3102" w:type="pct"/>
            <w:gridSpan w:val="3"/>
            <w:tcBorders>
              <w:top w:val="single" w:sz="6" w:space="0" w:color="auto"/>
              <w:bottom w:val="single" w:sz="6" w:space="0" w:color="808080" w:themeColor="background1" w:themeShade="80"/>
            </w:tcBorders>
          </w:tcPr>
          <w:p w14:paraId="2967DDA6" w14:textId="77777777" w:rsidR="00FC5936" w:rsidRPr="00783571" w:rsidRDefault="00FC5936" w:rsidP="00FC5936">
            <w:pPr>
              <w:pStyle w:val="TableText"/>
              <w:spacing w:before="40" w:after="40"/>
            </w:pPr>
            <w:r w:rsidRPr="00783571">
              <w:t>Annual probability of departing from VLS and movement to ART-not-VLS</w:t>
            </w:r>
          </w:p>
        </w:tc>
        <w:tc>
          <w:tcPr>
            <w:tcW w:w="949" w:type="pct"/>
            <w:tcBorders>
              <w:top w:val="single" w:sz="6" w:space="0" w:color="auto"/>
              <w:bottom w:val="single" w:sz="6" w:space="0" w:color="808080" w:themeColor="background1" w:themeShade="80"/>
            </w:tcBorders>
          </w:tcPr>
          <w:p w14:paraId="10AEF450" w14:textId="77777777" w:rsidR="00FC5936" w:rsidRPr="00783571" w:rsidRDefault="00FC5936" w:rsidP="00FC5936">
            <w:pPr>
              <w:pStyle w:val="TableText"/>
              <w:spacing w:before="40" w:after="40"/>
            </w:pPr>
          </w:p>
        </w:tc>
        <w:tc>
          <w:tcPr>
            <w:tcW w:w="949" w:type="pct"/>
            <w:tcBorders>
              <w:top w:val="single" w:sz="6" w:space="0" w:color="auto"/>
              <w:bottom w:val="single" w:sz="6" w:space="0" w:color="808080" w:themeColor="background1" w:themeShade="80"/>
            </w:tcBorders>
          </w:tcPr>
          <w:p w14:paraId="22DF4DB9" w14:textId="77777777" w:rsidR="00FC5936" w:rsidRPr="00783571" w:rsidRDefault="00FC5936" w:rsidP="00FC5936">
            <w:pPr>
              <w:pStyle w:val="TableText"/>
              <w:spacing w:before="40" w:after="40"/>
            </w:pPr>
          </w:p>
        </w:tc>
      </w:tr>
      <w:tr w:rsidR="00FC5936" w:rsidRPr="00783571" w14:paraId="32427BD1" w14:textId="77777777" w:rsidTr="00FC5936">
        <w:trPr>
          <w:cantSplit/>
        </w:trPr>
        <w:tc>
          <w:tcPr>
            <w:tcW w:w="2185" w:type="pct"/>
            <w:gridSpan w:val="2"/>
            <w:tcBorders>
              <w:top w:val="single" w:sz="6" w:space="0" w:color="808080" w:themeColor="background1" w:themeShade="80"/>
              <w:bottom w:val="single" w:sz="6" w:space="0" w:color="808080" w:themeColor="background1" w:themeShade="80"/>
            </w:tcBorders>
          </w:tcPr>
          <w:p w14:paraId="2A862B2D" w14:textId="77777777" w:rsidR="00FC5936" w:rsidRPr="00783571" w:rsidRDefault="00FC5936" w:rsidP="00FC5936">
            <w:pPr>
              <w:pStyle w:val="TableTextIndent1"/>
              <w:spacing w:before="40" w:after="40"/>
            </w:pPr>
            <w:r w:rsidRPr="00783571">
              <w:t>Black</w:t>
            </w:r>
          </w:p>
        </w:tc>
        <w:tc>
          <w:tcPr>
            <w:tcW w:w="917" w:type="pct"/>
            <w:tcBorders>
              <w:top w:val="single" w:sz="6" w:space="0" w:color="808080" w:themeColor="background1" w:themeShade="80"/>
              <w:bottom w:val="single" w:sz="6" w:space="0" w:color="808080" w:themeColor="background1" w:themeShade="80"/>
            </w:tcBorders>
          </w:tcPr>
          <w:p w14:paraId="78332FFE" w14:textId="77777777" w:rsidR="00FC5936" w:rsidRPr="00783571" w:rsidRDefault="00FC5936" w:rsidP="00FC5936">
            <w:pPr>
              <w:pStyle w:val="TableText"/>
              <w:spacing w:before="40" w:after="40"/>
              <w:jc w:val="center"/>
            </w:pPr>
            <w:r w:rsidRPr="00783571">
              <w:t>0.253</w:t>
            </w:r>
          </w:p>
        </w:tc>
        <w:tc>
          <w:tcPr>
            <w:tcW w:w="949" w:type="pct"/>
            <w:tcBorders>
              <w:top w:val="single" w:sz="6" w:space="0" w:color="808080" w:themeColor="background1" w:themeShade="80"/>
              <w:bottom w:val="single" w:sz="6" w:space="0" w:color="808080" w:themeColor="background1" w:themeShade="80"/>
            </w:tcBorders>
          </w:tcPr>
          <w:p w14:paraId="5EC50A86" w14:textId="77777777" w:rsidR="00FC5936" w:rsidRPr="00783571" w:rsidRDefault="00FC5936" w:rsidP="00FC5936">
            <w:pPr>
              <w:pStyle w:val="TableText"/>
              <w:spacing w:before="40" w:after="40"/>
              <w:jc w:val="center"/>
            </w:pPr>
            <w:r w:rsidRPr="00783571">
              <w:t>0.025</w:t>
            </w:r>
          </w:p>
        </w:tc>
        <w:tc>
          <w:tcPr>
            <w:tcW w:w="949" w:type="pct"/>
            <w:tcBorders>
              <w:top w:val="single" w:sz="6" w:space="0" w:color="808080" w:themeColor="background1" w:themeShade="80"/>
              <w:bottom w:val="single" w:sz="6" w:space="0" w:color="808080" w:themeColor="background1" w:themeShade="80"/>
            </w:tcBorders>
          </w:tcPr>
          <w:p w14:paraId="48319C35" w14:textId="77777777" w:rsidR="00FC5936" w:rsidRPr="00783571" w:rsidRDefault="00FC5936" w:rsidP="00FC5936">
            <w:pPr>
              <w:pStyle w:val="TableText"/>
              <w:spacing w:before="40" w:after="40"/>
              <w:jc w:val="center"/>
            </w:pPr>
            <w:r w:rsidRPr="00783571">
              <w:t>0.350</w:t>
            </w:r>
          </w:p>
        </w:tc>
      </w:tr>
      <w:tr w:rsidR="00FC5936" w:rsidRPr="00783571" w14:paraId="0FD44D55" w14:textId="77777777" w:rsidTr="00FC5936">
        <w:trPr>
          <w:cantSplit/>
        </w:trPr>
        <w:tc>
          <w:tcPr>
            <w:tcW w:w="2185" w:type="pct"/>
            <w:gridSpan w:val="2"/>
            <w:tcBorders>
              <w:top w:val="single" w:sz="6" w:space="0" w:color="808080" w:themeColor="background1" w:themeShade="80"/>
              <w:bottom w:val="single" w:sz="6" w:space="0" w:color="808080" w:themeColor="background1" w:themeShade="80"/>
            </w:tcBorders>
          </w:tcPr>
          <w:p w14:paraId="3B94BD3E" w14:textId="77777777" w:rsidR="00FC5936" w:rsidRPr="00783571" w:rsidRDefault="00FC5936" w:rsidP="00FC5936">
            <w:pPr>
              <w:pStyle w:val="TableTextIndent1"/>
              <w:spacing w:before="40" w:after="40"/>
            </w:pPr>
            <w:r w:rsidRPr="00783571">
              <w:t>Hispanic</w:t>
            </w:r>
          </w:p>
        </w:tc>
        <w:tc>
          <w:tcPr>
            <w:tcW w:w="917" w:type="pct"/>
            <w:tcBorders>
              <w:top w:val="single" w:sz="6" w:space="0" w:color="808080" w:themeColor="background1" w:themeShade="80"/>
              <w:bottom w:val="single" w:sz="6" w:space="0" w:color="808080" w:themeColor="background1" w:themeShade="80"/>
            </w:tcBorders>
          </w:tcPr>
          <w:p w14:paraId="542CD5D4" w14:textId="77777777" w:rsidR="00FC5936" w:rsidRPr="00783571" w:rsidRDefault="00FC5936" w:rsidP="00FC5936">
            <w:pPr>
              <w:pStyle w:val="TableText"/>
              <w:spacing w:before="40" w:after="40"/>
              <w:jc w:val="center"/>
            </w:pPr>
            <w:r w:rsidRPr="00783571">
              <w:t>0.200</w:t>
            </w:r>
          </w:p>
        </w:tc>
        <w:tc>
          <w:tcPr>
            <w:tcW w:w="949" w:type="pct"/>
            <w:tcBorders>
              <w:top w:val="single" w:sz="6" w:space="0" w:color="808080" w:themeColor="background1" w:themeShade="80"/>
              <w:bottom w:val="single" w:sz="6" w:space="0" w:color="808080" w:themeColor="background1" w:themeShade="80"/>
            </w:tcBorders>
          </w:tcPr>
          <w:p w14:paraId="57140BD8" w14:textId="77777777" w:rsidR="00FC5936" w:rsidRPr="00783571" w:rsidRDefault="00FC5936" w:rsidP="00FC5936">
            <w:pPr>
              <w:pStyle w:val="TableText"/>
              <w:spacing w:before="40" w:after="40"/>
              <w:jc w:val="center"/>
            </w:pPr>
            <w:r w:rsidRPr="00783571">
              <w:t>0.025</w:t>
            </w:r>
          </w:p>
        </w:tc>
        <w:tc>
          <w:tcPr>
            <w:tcW w:w="949" w:type="pct"/>
            <w:tcBorders>
              <w:top w:val="single" w:sz="6" w:space="0" w:color="808080" w:themeColor="background1" w:themeShade="80"/>
              <w:bottom w:val="single" w:sz="6" w:space="0" w:color="808080" w:themeColor="background1" w:themeShade="80"/>
            </w:tcBorders>
          </w:tcPr>
          <w:p w14:paraId="3717318A" w14:textId="77777777" w:rsidR="00FC5936" w:rsidRPr="00783571" w:rsidRDefault="00FC5936" w:rsidP="00FC5936">
            <w:pPr>
              <w:pStyle w:val="TableText"/>
              <w:spacing w:before="40" w:after="40"/>
              <w:jc w:val="center"/>
            </w:pPr>
            <w:r w:rsidRPr="00783571">
              <w:t>0.350</w:t>
            </w:r>
          </w:p>
        </w:tc>
      </w:tr>
      <w:tr w:rsidR="00FC5936" w:rsidRPr="00783571" w14:paraId="14D4D325" w14:textId="77777777" w:rsidTr="00FC5936">
        <w:trPr>
          <w:cantSplit/>
        </w:trPr>
        <w:tc>
          <w:tcPr>
            <w:tcW w:w="2185" w:type="pct"/>
            <w:gridSpan w:val="2"/>
            <w:tcBorders>
              <w:top w:val="single" w:sz="6" w:space="0" w:color="808080" w:themeColor="background1" w:themeShade="80"/>
              <w:bottom w:val="single" w:sz="6" w:space="0" w:color="auto"/>
            </w:tcBorders>
          </w:tcPr>
          <w:p w14:paraId="5EA77352" w14:textId="77777777" w:rsidR="00FC5936" w:rsidRPr="00783571" w:rsidRDefault="00FC5936" w:rsidP="00FC5936">
            <w:pPr>
              <w:pStyle w:val="TableTextIndent1"/>
              <w:spacing w:before="40" w:after="40"/>
            </w:pPr>
            <w:r w:rsidRPr="00783571">
              <w:t>Other</w:t>
            </w:r>
          </w:p>
        </w:tc>
        <w:tc>
          <w:tcPr>
            <w:tcW w:w="917" w:type="pct"/>
            <w:tcBorders>
              <w:top w:val="single" w:sz="6" w:space="0" w:color="808080" w:themeColor="background1" w:themeShade="80"/>
              <w:bottom w:val="single" w:sz="6" w:space="0" w:color="auto"/>
            </w:tcBorders>
          </w:tcPr>
          <w:p w14:paraId="58FFE887" w14:textId="77777777" w:rsidR="00FC5936" w:rsidRPr="00783571" w:rsidRDefault="00FC5936" w:rsidP="00FC5936">
            <w:pPr>
              <w:pStyle w:val="TableText"/>
              <w:spacing w:before="40" w:after="40"/>
              <w:jc w:val="center"/>
            </w:pPr>
            <w:r w:rsidRPr="00783571">
              <w:t>0.252</w:t>
            </w:r>
          </w:p>
        </w:tc>
        <w:tc>
          <w:tcPr>
            <w:tcW w:w="949" w:type="pct"/>
            <w:tcBorders>
              <w:top w:val="single" w:sz="6" w:space="0" w:color="808080" w:themeColor="background1" w:themeShade="80"/>
              <w:bottom w:val="single" w:sz="6" w:space="0" w:color="auto"/>
            </w:tcBorders>
          </w:tcPr>
          <w:p w14:paraId="6C8877C7" w14:textId="77777777" w:rsidR="00FC5936" w:rsidRPr="00783571" w:rsidRDefault="00FC5936" w:rsidP="00FC5936">
            <w:pPr>
              <w:pStyle w:val="TableText"/>
              <w:spacing w:before="40" w:after="40"/>
              <w:jc w:val="center"/>
            </w:pPr>
            <w:r w:rsidRPr="00783571">
              <w:t>0.025</w:t>
            </w:r>
          </w:p>
        </w:tc>
        <w:tc>
          <w:tcPr>
            <w:tcW w:w="949" w:type="pct"/>
            <w:tcBorders>
              <w:top w:val="single" w:sz="6" w:space="0" w:color="808080" w:themeColor="background1" w:themeShade="80"/>
              <w:bottom w:val="single" w:sz="6" w:space="0" w:color="auto"/>
            </w:tcBorders>
          </w:tcPr>
          <w:p w14:paraId="4A680D58" w14:textId="77777777" w:rsidR="00FC5936" w:rsidRPr="00783571" w:rsidRDefault="00FC5936" w:rsidP="00FC5936">
            <w:pPr>
              <w:pStyle w:val="TableText"/>
              <w:spacing w:before="40" w:after="40"/>
              <w:jc w:val="center"/>
            </w:pPr>
            <w:r w:rsidRPr="00783571">
              <w:t>0.350</w:t>
            </w:r>
          </w:p>
        </w:tc>
      </w:tr>
    </w:tbl>
    <w:p w14:paraId="7BA380BF" w14:textId="68E090CD" w:rsidR="00871E69" w:rsidRPr="00783571" w:rsidRDefault="00FC5936" w:rsidP="00871E69">
      <w:pPr>
        <w:pStyle w:val="Tablecont"/>
      </w:pPr>
      <w:r w:rsidRPr="00783571">
        <w:t xml:space="preserve"> </w:t>
      </w:r>
      <w:r w:rsidR="00871E69" w:rsidRPr="00783571">
        <w:t>(continued)</w:t>
      </w:r>
    </w:p>
    <w:p w14:paraId="0CC59F96" w14:textId="77777777" w:rsidR="008A678D" w:rsidRPr="00783571" w:rsidRDefault="008A678D">
      <w:pPr>
        <w:rPr>
          <w:b/>
        </w:rPr>
      </w:pPr>
      <w:r w:rsidRPr="00783571">
        <w:br w:type="page"/>
      </w:r>
    </w:p>
    <w:p w14:paraId="4A8F0CEF" w14:textId="41A011A6" w:rsidR="00871E69" w:rsidRPr="00783571" w:rsidRDefault="00871E69" w:rsidP="00903B31">
      <w:pPr>
        <w:pStyle w:val="TableTitlecont"/>
      </w:pPr>
      <w:r w:rsidRPr="00783571">
        <w:t xml:space="preserve">Table </w:t>
      </w:r>
      <w:r w:rsidR="00903B31" w:rsidRPr="00783571">
        <w:t>11</w:t>
      </w:r>
      <w:r w:rsidRPr="00783571">
        <w:t>.1.</w:t>
      </w:r>
      <w:r w:rsidRPr="00783571">
        <w:tab/>
      </w:r>
      <w:r w:rsidR="00D641F3" w:rsidRPr="00783571">
        <w:t xml:space="preserve">Bounds and Final Values of </w:t>
      </w:r>
      <w:r w:rsidRPr="00783571">
        <w:t>Continuum-of-Care Parameters Varied in Calibration: Second Time Period</w:t>
      </w:r>
      <w:r w:rsidRPr="00783571">
        <w:rPr>
          <w:vertAlign w:val="superscript"/>
        </w:rPr>
        <w:t>a</w:t>
      </w:r>
      <w:r w:rsidRPr="00783571">
        <w:t xml:space="preserve"> (continued)</w:t>
      </w:r>
    </w:p>
    <w:tbl>
      <w:tblPr>
        <w:tblW w:w="5000" w:type="pct"/>
        <w:tblBorders>
          <w:top w:val="single" w:sz="12" w:space="0" w:color="auto"/>
          <w:bottom w:val="single" w:sz="12" w:space="0" w:color="auto"/>
        </w:tblBorders>
        <w:tblCellMar>
          <w:left w:w="115" w:type="dxa"/>
          <w:right w:w="115" w:type="dxa"/>
        </w:tblCellMar>
        <w:tblLook w:val="04A0" w:firstRow="1" w:lastRow="0" w:firstColumn="1" w:lastColumn="0" w:noHBand="0" w:noVBand="1"/>
      </w:tblPr>
      <w:tblGrid>
        <w:gridCol w:w="4100"/>
        <w:gridCol w:w="1754"/>
        <w:gridCol w:w="1754"/>
        <w:gridCol w:w="1752"/>
      </w:tblGrid>
      <w:tr w:rsidR="00FC5936" w:rsidRPr="00783571" w14:paraId="27C9AB8F" w14:textId="77777777" w:rsidTr="00FC5936">
        <w:trPr>
          <w:cantSplit/>
          <w:tblHeader/>
        </w:trPr>
        <w:tc>
          <w:tcPr>
            <w:tcW w:w="2190" w:type="pct"/>
            <w:tcBorders>
              <w:top w:val="single" w:sz="12" w:space="0" w:color="auto"/>
              <w:bottom w:val="single" w:sz="6" w:space="0" w:color="auto"/>
            </w:tcBorders>
            <w:vAlign w:val="bottom"/>
          </w:tcPr>
          <w:p w14:paraId="01E91A70" w14:textId="77777777" w:rsidR="00FC5936" w:rsidRPr="00783571" w:rsidRDefault="00FC5936" w:rsidP="00FC5936">
            <w:pPr>
              <w:pStyle w:val="TableHeaders"/>
              <w:spacing w:before="40" w:after="40"/>
            </w:pPr>
            <w:r w:rsidRPr="00783571">
              <w:t>Parameter</w:t>
            </w:r>
          </w:p>
        </w:tc>
        <w:tc>
          <w:tcPr>
            <w:tcW w:w="937" w:type="pct"/>
            <w:tcBorders>
              <w:top w:val="single" w:sz="12" w:space="0" w:color="auto"/>
              <w:bottom w:val="single" w:sz="6" w:space="0" w:color="auto"/>
            </w:tcBorders>
            <w:vAlign w:val="bottom"/>
          </w:tcPr>
          <w:p w14:paraId="66A7FB33" w14:textId="77777777" w:rsidR="00FC5936" w:rsidRPr="00783571" w:rsidRDefault="00FC5936" w:rsidP="00FC5936">
            <w:pPr>
              <w:pStyle w:val="TableHeaders"/>
              <w:spacing w:before="40" w:after="40"/>
            </w:pPr>
            <w:r w:rsidRPr="00783571">
              <w:t xml:space="preserve">Calibrated Value </w:t>
            </w:r>
          </w:p>
        </w:tc>
        <w:tc>
          <w:tcPr>
            <w:tcW w:w="937" w:type="pct"/>
            <w:tcBorders>
              <w:top w:val="single" w:sz="12" w:space="0" w:color="auto"/>
              <w:bottom w:val="single" w:sz="6" w:space="0" w:color="auto"/>
            </w:tcBorders>
          </w:tcPr>
          <w:p w14:paraId="555CC7ED" w14:textId="77777777" w:rsidR="00FC5936" w:rsidRPr="00783571" w:rsidRDefault="00FC5936" w:rsidP="00FC5936">
            <w:pPr>
              <w:pStyle w:val="TableHeaders"/>
              <w:spacing w:before="40" w:after="40"/>
            </w:pPr>
            <w:r w:rsidRPr="00783571">
              <w:t>Lower Bound</w:t>
            </w:r>
          </w:p>
        </w:tc>
        <w:tc>
          <w:tcPr>
            <w:tcW w:w="936" w:type="pct"/>
            <w:tcBorders>
              <w:top w:val="single" w:sz="12" w:space="0" w:color="auto"/>
              <w:bottom w:val="single" w:sz="6" w:space="0" w:color="auto"/>
            </w:tcBorders>
          </w:tcPr>
          <w:p w14:paraId="636EAC02" w14:textId="77777777" w:rsidR="00FC5936" w:rsidRPr="00783571" w:rsidRDefault="00FC5936" w:rsidP="00FC5936">
            <w:pPr>
              <w:pStyle w:val="TableHeaders"/>
              <w:spacing w:before="40" w:after="40"/>
            </w:pPr>
            <w:r w:rsidRPr="00783571">
              <w:t>Upper Bound</w:t>
            </w:r>
          </w:p>
        </w:tc>
      </w:tr>
      <w:tr w:rsidR="00FC5936" w:rsidRPr="00783571" w14:paraId="0A62323B" w14:textId="77777777" w:rsidTr="00FC5936">
        <w:trPr>
          <w:cantSplit/>
        </w:trPr>
        <w:tc>
          <w:tcPr>
            <w:tcW w:w="3127" w:type="pct"/>
            <w:gridSpan w:val="2"/>
            <w:tcBorders>
              <w:top w:val="single" w:sz="6" w:space="0" w:color="808080" w:themeColor="background1" w:themeShade="80"/>
              <w:bottom w:val="single" w:sz="6" w:space="0" w:color="808080" w:themeColor="background1" w:themeShade="80"/>
            </w:tcBorders>
          </w:tcPr>
          <w:p w14:paraId="7EC756D3" w14:textId="77777777" w:rsidR="00FC5936" w:rsidRPr="00783571" w:rsidRDefault="00FC5936" w:rsidP="00FC5936">
            <w:pPr>
              <w:pStyle w:val="TableText"/>
              <w:spacing w:before="40" w:after="40"/>
            </w:pPr>
            <w:r w:rsidRPr="00783571">
              <w:t>Relative risk of ART prescription by race/ethnicity</w:t>
            </w:r>
          </w:p>
        </w:tc>
        <w:tc>
          <w:tcPr>
            <w:tcW w:w="937" w:type="pct"/>
            <w:tcBorders>
              <w:top w:val="single" w:sz="6" w:space="0" w:color="808080" w:themeColor="background1" w:themeShade="80"/>
              <w:bottom w:val="single" w:sz="6" w:space="0" w:color="808080" w:themeColor="background1" w:themeShade="80"/>
            </w:tcBorders>
          </w:tcPr>
          <w:p w14:paraId="405AE09A" w14:textId="77777777" w:rsidR="00FC5936" w:rsidRPr="00783571" w:rsidRDefault="00FC5936" w:rsidP="00FC5936">
            <w:pPr>
              <w:pStyle w:val="TableText"/>
              <w:spacing w:before="40" w:after="40"/>
            </w:pPr>
          </w:p>
        </w:tc>
        <w:tc>
          <w:tcPr>
            <w:tcW w:w="936" w:type="pct"/>
            <w:tcBorders>
              <w:top w:val="single" w:sz="6" w:space="0" w:color="808080" w:themeColor="background1" w:themeShade="80"/>
              <w:bottom w:val="single" w:sz="6" w:space="0" w:color="808080" w:themeColor="background1" w:themeShade="80"/>
            </w:tcBorders>
          </w:tcPr>
          <w:p w14:paraId="796748D6" w14:textId="77777777" w:rsidR="00FC5936" w:rsidRPr="00783571" w:rsidRDefault="00FC5936" w:rsidP="00FC5936">
            <w:pPr>
              <w:pStyle w:val="TableText"/>
              <w:spacing w:before="40" w:after="40"/>
            </w:pPr>
          </w:p>
        </w:tc>
      </w:tr>
      <w:tr w:rsidR="00FC5936" w:rsidRPr="00783571" w14:paraId="2CBD3A77" w14:textId="77777777" w:rsidTr="00FC5936">
        <w:trPr>
          <w:cantSplit/>
        </w:trPr>
        <w:tc>
          <w:tcPr>
            <w:tcW w:w="2190" w:type="pct"/>
            <w:tcBorders>
              <w:top w:val="single" w:sz="6" w:space="0" w:color="808080" w:themeColor="background1" w:themeShade="80"/>
              <w:bottom w:val="single" w:sz="6" w:space="0" w:color="808080" w:themeColor="background1" w:themeShade="80"/>
            </w:tcBorders>
          </w:tcPr>
          <w:p w14:paraId="742DB7E7" w14:textId="77777777" w:rsidR="00FC5936" w:rsidRPr="00783571" w:rsidRDefault="00FC5936" w:rsidP="00FC5936">
            <w:pPr>
              <w:pStyle w:val="TableTextIndent1"/>
              <w:spacing w:before="40" w:after="40"/>
            </w:pPr>
            <w:r w:rsidRPr="00783571">
              <w:t>Black</w:t>
            </w:r>
          </w:p>
        </w:tc>
        <w:tc>
          <w:tcPr>
            <w:tcW w:w="937" w:type="pct"/>
            <w:tcBorders>
              <w:top w:val="single" w:sz="6" w:space="0" w:color="808080" w:themeColor="background1" w:themeShade="80"/>
              <w:bottom w:val="single" w:sz="6" w:space="0" w:color="808080" w:themeColor="background1" w:themeShade="80"/>
            </w:tcBorders>
          </w:tcPr>
          <w:p w14:paraId="18F51B25" w14:textId="77777777" w:rsidR="00FC5936" w:rsidRPr="00783571" w:rsidRDefault="00FC5936" w:rsidP="00FC5936">
            <w:pPr>
              <w:pStyle w:val="TableText"/>
              <w:spacing w:before="40" w:after="40"/>
              <w:jc w:val="center"/>
            </w:pPr>
            <w:r w:rsidRPr="00783571">
              <w:t>1.884</w:t>
            </w:r>
          </w:p>
        </w:tc>
        <w:tc>
          <w:tcPr>
            <w:tcW w:w="937" w:type="pct"/>
            <w:tcBorders>
              <w:top w:val="single" w:sz="6" w:space="0" w:color="808080" w:themeColor="background1" w:themeShade="80"/>
              <w:bottom w:val="single" w:sz="6" w:space="0" w:color="808080" w:themeColor="background1" w:themeShade="80"/>
            </w:tcBorders>
          </w:tcPr>
          <w:p w14:paraId="0E1F2898" w14:textId="77777777" w:rsidR="00FC5936" w:rsidRPr="00783571" w:rsidRDefault="00FC5936" w:rsidP="00FC5936">
            <w:pPr>
              <w:pStyle w:val="TableText"/>
              <w:spacing w:before="40" w:after="40"/>
              <w:jc w:val="center"/>
            </w:pPr>
            <w:r w:rsidRPr="00783571">
              <w:t>0.500</w:t>
            </w:r>
          </w:p>
        </w:tc>
        <w:tc>
          <w:tcPr>
            <w:tcW w:w="936" w:type="pct"/>
            <w:tcBorders>
              <w:top w:val="single" w:sz="6" w:space="0" w:color="808080" w:themeColor="background1" w:themeShade="80"/>
              <w:bottom w:val="single" w:sz="6" w:space="0" w:color="808080" w:themeColor="background1" w:themeShade="80"/>
            </w:tcBorders>
          </w:tcPr>
          <w:p w14:paraId="5C651400" w14:textId="77777777" w:rsidR="00FC5936" w:rsidRPr="00783571" w:rsidRDefault="00FC5936" w:rsidP="00FC5936">
            <w:pPr>
              <w:pStyle w:val="TableText"/>
              <w:spacing w:before="40" w:after="40"/>
              <w:jc w:val="center"/>
            </w:pPr>
            <w:r w:rsidRPr="00783571">
              <w:t>3.000</w:t>
            </w:r>
          </w:p>
        </w:tc>
      </w:tr>
      <w:tr w:rsidR="00FC5936" w:rsidRPr="00783571" w14:paraId="005AB934" w14:textId="77777777" w:rsidTr="00FC5936">
        <w:trPr>
          <w:cantSplit/>
        </w:trPr>
        <w:tc>
          <w:tcPr>
            <w:tcW w:w="2190" w:type="pct"/>
            <w:tcBorders>
              <w:top w:val="single" w:sz="6" w:space="0" w:color="808080" w:themeColor="background1" w:themeShade="80"/>
              <w:bottom w:val="single" w:sz="6" w:space="0" w:color="808080" w:themeColor="background1" w:themeShade="80"/>
            </w:tcBorders>
          </w:tcPr>
          <w:p w14:paraId="7278A15F" w14:textId="77777777" w:rsidR="00FC5936" w:rsidRPr="00783571" w:rsidRDefault="00FC5936" w:rsidP="00FC5936">
            <w:pPr>
              <w:pStyle w:val="TableTextIndent1"/>
              <w:spacing w:before="40" w:after="40"/>
            </w:pPr>
            <w:r w:rsidRPr="00783571">
              <w:t>Hispanic</w:t>
            </w:r>
          </w:p>
        </w:tc>
        <w:tc>
          <w:tcPr>
            <w:tcW w:w="937" w:type="pct"/>
            <w:tcBorders>
              <w:top w:val="single" w:sz="6" w:space="0" w:color="808080" w:themeColor="background1" w:themeShade="80"/>
              <w:bottom w:val="single" w:sz="6" w:space="0" w:color="808080" w:themeColor="background1" w:themeShade="80"/>
            </w:tcBorders>
          </w:tcPr>
          <w:p w14:paraId="18D3B7EB" w14:textId="77777777" w:rsidR="00FC5936" w:rsidRPr="00783571" w:rsidRDefault="00FC5936" w:rsidP="00FC5936">
            <w:pPr>
              <w:pStyle w:val="TableText"/>
              <w:spacing w:before="40" w:after="40"/>
              <w:jc w:val="center"/>
            </w:pPr>
            <w:r w:rsidRPr="00783571">
              <w:t>1.258</w:t>
            </w:r>
          </w:p>
        </w:tc>
        <w:tc>
          <w:tcPr>
            <w:tcW w:w="937" w:type="pct"/>
            <w:tcBorders>
              <w:top w:val="single" w:sz="6" w:space="0" w:color="808080" w:themeColor="background1" w:themeShade="80"/>
              <w:bottom w:val="single" w:sz="6" w:space="0" w:color="808080" w:themeColor="background1" w:themeShade="80"/>
            </w:tcBorders>
          </w:tcPr>
          <w:p w14:paraId="0D437656" w14:textId="77777777" w:rsidR="00FC5936" w:rsidRPr="00783571" w:rsidRDefault="00FC5936" w:rsidP="00FC5936">
            <w:pPr>
              <w:pStyle w:val="TableText"/>
              <w:spacing w:before="40" w:after="40"/>
              <w:jc w:val="center"/>
            </w:pPr>
            <w:r w:rsidRPr="00783571">
              <w:t>0.500</w:t>
            </w:r>
          </w:p>
        </w:tc>
        <w:tc>
          <w:tcPr>
            <w:tcW w:w="936" w:type="pct"/>
            <w:tcBorders>
              <w:top w:val="single" w:sz="6" w:space="0" w:color="808080" w:themeColor="background1" w:themeShade="80"/>
              <w:bottom w:val="single" w:sz="6" w:space="0" w:color="808080" w:themeColor="background1" w:themeShade="80"/>
            </w:tcBorders>
          </w:tcPr>
          <w:p w14:paraId="701F6B0D" w14:textId="77777777" w:rsidR="00FC5936" w:rsidRPr="00783571" w:rsidRDefault="00FC5936" w:rsidP="00FC5936">
            <w:pPr>
              <w:pStyle w:val="TableText"/>
              <w:spacing w:before="40" w:after="40"/>
              <w:jc w:val="center"/>
            </w:pPr>
            <w:r w:rsidRPr="00783571">
              <w:t>3.000</w:t>
            </w:r>
          </w:p>
        </w:tc>
      </w:tr>
      <w:tr w:rsidR="00FC5936" w:rsidRPr="00783571" w14:paraId="274E5CAB" w14:textId="77777777" w:rsidTr="00FC5936">
        <w:trPr>
          <w:cantSplit/>
        </w:trPr>
        <w:tc>
          <w:tcPr>
            <w:tcW w:w="2190" w:type="pct"/>
            <w:tcBorders>
              <w:top w:val="single" w:sz="6" w:space="0" w:color="808080" w:themeColor="background1" w:themeShade="80"/>
              <w:bottom w:val="single" w:sz="6" w:space="0" w:color="808080" w:themeColor="background1" w:themeShade="80"/>
            </w:tcBorders>
          </w:tcPr>
          <w:p w14:paraId="337FAD86" w14:textId="77777777" w:rsidR="00FC5936" w:rsidRPr="00783571" w:rsidRDefault="00FC5936" w:rsidP="00FC5936">
            <w:pPr>
              <w:pStyle w:val="TableTextIndent1"/>
              <w:spacing w:before="40" w:after="40"/>
            </w:pPr>
            <w:r w:rsidRPr="00783571">
              <w:t>Other</w:t>
            </w:r>
          </w:p>
        </w:tc>
        <w:tc>
          <w:tcPr>
            <w:tcW w:w="937" w:type="pct"/>
            <w:tcBorders>
              <w:top w:val="single" w:sz="6" w:space="0" w:color="808080" w:themeColor="background1" w:themeShade="80"/>
              <w:bottom w:val="single" w:sz="6" w:space="0" w:color="808080" w:themeColor="background1" w:themeShade="80"/>
            </w:tcBorders>
          </w:tcPr>
          <w:p w14:paraId="4430B8E9" w14:textId="77777777" w:rsidR="00FC5936" w:rsidRPr="00783571" w:rsidRDefault="00FC5936" w:rsidP="00FC5936">
            <w:pPr>
              <w:pStyle w:val="TableText"/>
              <w:spacing w:before="40" w:after="40"/>
              <w:jc w:val="center"/>
            </w:pPr>
            <w:r w:rsidRPr="00783571">
              <w:t>2.566</w:t>
            </w:r>
          </w:p>
        </w:tc>
        <w:tc>
          <w:tcPr>
            <w:tcW w:w="937" w:type="pct"/>
            <w:tcBorders>
              <w:top w:val="single" w:sz="6" w:space="0" w:color="808080" w:themeColor="background1" w:themeShade="80"/>
              <w:bottom w:val="single" w:sz="6" w:space="0" w:color="808080" w:themeColor="background1" w:themeShade="80"/>
            </w:tcBorders>
          </w:tcPr>
          <w:p w14:paraId="1C329298" w14:textId="77777777" w:rsidR="00FC5936" w:rsidRPr="00783571" w:rsidRDefault="00FC5936" w:rsidP="00FC5936">
            <w:pPr>
              <w:pStyle w:val="TableText"/>
              <w:spacing w:before="40" w:after="40"/>
              <w:jc w:val="center"/>
            </w:pPr>
            <w:r w:rsidRPr="00783571">
              <w:t>0.500</w:t>
            </w:r>
          </w:p>
        </w:tc>
        <w:tc>
          <w:tcPr>
            <w:tcW w:w="936" w:type="pct"/>
            <w:tcBorders>
              <w:top w:val="single" w:sz="6" w:space="0" w:color="808080" w:themeColor="background1" w:themeShade="80"/>
              <w:bottom w:val="single" w:sz="6" w:space="0" w:color="808080" w:themeColor="background1" w:themeShade="80"/>
            </w:tcBorders>
          </w:tcPr>
          <w:p w14:paraId="5B2EA3CA" w14:textId="77777777" w:rsidR="00FC5936" w:rsidRPr="00783571" w:rsidRDefault="00FC5936" w:rsidP="00FC5936">
            <w:pPr>
              <w:pStyle w:val="TableText"/>
              <w:spacing w:before="40" w:after="40"/>
              <w:jc w:val="center"/>
            </w:pPr>
            <w:r w:rsidRPr="00783571">
              <w:t>3.000</w:t>
            </w:r>
          </w:p>
        </w:tc>
      </w:tr>
      <w:tr w:rsidR="00FC5936" w:rsidRPr="00783571" w14:paraId="31A1FBF8" w14:textId="77777777" w:rsidTr="00FC5936">
        <w:trPr>
          <w:cantSplit/>
        </w:trPr>
        <w:tc>
          <w:tcPr>
            <w:tcW w:w="3127" w:type="pct"/>
            <w:gridSpan w:val="2"/>
            <w:tcBorders>
              <w:top w:val="single" w:sz="6" w:space="0" w:color="808080" w:themeColor="background1" w:themeShade="80"/>
              <w:bottom w:val="single" w:sz="6" w:space="0" w:color="808080" w:themeColor="background1" w:themeShade="80"/>
            </w:tcBorders>
          </w:tcPr>
          <w:p w14:paraId="0445CF43" w14:textId="77777777" w:rsidR="00FC5936" w:rsidRPr="00783571" w:rsidDel="000C39BD" w:rsidRDefault="00FC5936" w:rsidP="00FC5936">
            <w:pPr>
              <w:pStyle w:val="TableText"/>
              <w:spacing w:before="40" w:after="40"/>
            </w:pPr>
            <w:r w:rsidRPr="00783571">
              <w:t>Annual probability of becoming VLS if ART-not-VLS</w:t>
            </w:r>
          </w:p>
        </w:tc>
        <w:tc>
          <w:tcPr>
            <w:tcW w:w="937" w:type="pct"/>
            <w:tcBorders>
              <w:top w:val="single" w:sz="6" w:space="0" w:color="808080" w:themeColor="background1" w:themeShade="80"/>
              <w:bottom w:val="single" w:sz="6" w:space="0" w:color="808080" w:themeColor="background1" w:themeShade="80"/>
            </w:tcBorders>
          </w:tcPr>
          <w:p w14:paraId="052CE73B" w14:textId="77777777" w:rsidR="00FC5936" w:rsidRPr="00783571" w:rsidRDefault="00FC5936" w:rsidP="00FC5936">
            <w:pPr>
              <w:pStyle w:val="TableText"/>
              <w:spacing w:before="40" w:after="40"/>
            </w:pPr>
          </w:p>
        </w:tc>
        <w:tc>
          <w:tcPr>
            <w:tcW w:w="936" w:type="pct"/>
            <w:tcBorders>
              <w:top w:val="single" w:sz="6" w:space="0" w:color="808080" w:themeColor="background1" w:themeShade="80"/>
              <w:bottom w:val="single" w:sz="6" w:space="0" w:color="808080" w:themeColor="background1" w:themeShade="80"/>
            </w:tcBorders>
          </w:tcPr>
          <w:p w14:paraId="26AF6427" w14:textId="77777777" w:rsidR="00FC5936" w:rsidRPr="00783571" w:rsidRDefault="00FC5936" w:rsidP="00FC5936">
            <w:pPr>
              <w:pStyle w:val="TableText"/>
              <w:spacing w:before="40" w:after="40"/>
            </w:pPr>
          </w:p>
        </w:tc>
      </w:tr>
      <w:tr w:rsidR="00FC5936" w:rsidRPr="00783571" w14:paraId="7E99F764" w14:textId="77777777" w:rsidTr="00FC5936">
        <w:trPr>
          <w:cantSplit/>
        </w:trPr>
        <w:tc>
          <w:tcPr>
            <w:tcW w:w="2190" w:type="pct"/>
            <w:tcBorders>
              <w:top w:val="single" w:sz="6" w:space="0" w:color="808080" w:themeColor="background1" w:themeShade="80"/>
              <w:bottom w:val="single" w:sz="6" w:space="0" w:color="808080" w:themeColor="background1" w:themeShade="80"/>
            </w:tcBorders>
          </w:tcPr>
          <w:p w14:paraId="2E4C1DBB" w14:textId="77777777" w:rsidR="00FC5936" w:rsidRPr="00783571" w:rsidRDefault="00FC5936" w:rsidP="00FC5936">
            <w:pPr>
              <w:pStyle w:val="TableTextIndent1"/>
              <w:spacing w:before="40" w:after="40"/>
            </w:pPr>
            <w:r w:rsidRPr="00783571">
              <w:t>Black</w:t>
            </w:r>
          </w:p>
        </w:tc>
        <w:tc>
          <w:tcPr>
            <w:tcW w:w="937" w:type="pct"/>
            <w:tcBorders>
              <w:top w:val="single" w:sz="6" w:space="0" w:color="808080" w:themeColor="background1" w:themeShade="80"/>
              <w:bottom w:val="single" w:sz="6" w:space="0" w:color="808080" w:themeColor="background1" w:themeShade="80"/>
            </w:tcBorders>
          </w:tcPr>
          <w:p w14:paraId="391D5119" w14:textId="77777777" w:rsidR="00FC5936" w:rsidRPr="00783571" w:rsidDel="000C39BD" w:rsidRDefault="00FC5936" w:rsidP="00FC5936">
            <w:pPr>
              <w:pStyle w:val="TableText"/>
              <w:spacing w:before="40" w:after="40"/>
              <w:jc w:val="center"/>
            </w:pPr>
            <w:r w:rsidRPr="00783571">
              <w:t>0.236</w:t>
            </w:r>
          </w:p>
        </w:tc>
        <w:tc>
          <w:tcPr>
            <w:tcW w:w="937" w:type="pct"/>
            <w:tcBorders>
              <w:top w:val="single" w:sz="6" w:space="0" w:color="808080" w:themeColor="background1" w:themeShade="80"/>
              <w:bottom w:val="single" w:sz="6" w:space="0" w:color="808080" w:themeColor="background1" w:themeShade="80"/>
            </w:tcBorders>
          </w:tcPr>
          <w:p w14:paraId="34BCEE78" w14:textId="77777777" w:rsidR="00FC5936" w:rsidRPr="00783571" w:rsidRDefault="00FC5936" w:rsidP="00FC5936">
            <w:pPr>
              <w:pStyle w:val="TableText"/>
              <w:spacing w:before="40" w:after="40"/>
              <w:jc w:val="center"/>
            </w:pPr>
            <w:r w:rsidRPr="00783571">
              <w:t>0.010</w:t>
            </w:r>
          </w:p>
        </w:tc>
        <w:tc>
          <w:tcPr>
            <w:tcW w:w="936" w:type="pct"/>
            <w:tcBorders>
              <w:top w:val="single" w:sz="6" w:space="0" w:color="808080" w:themeColor="background1" w:themeShade="80"/>
              <w:bottom w:val="single" w:sz="6" w:space="0" w:color="808080" w:themeColor="background1" w:themeShade="80"/>
            </w:tcBorders>
          </w:tcPr>
          <w:p w14:paraId="4F1548E2" w14:textId="77777777" w:rsidR="00FC5936" w:rsidRPr="00783571" w:rsidRDefault="00FC5936" w:rsidP="00FC5936">
            <w:pPr>
              <w:pStyle w:val="TableText"/>
              <w:spacing w:before="40" w:after="40"/>
              <w:jc w:val="center"/>
            </w:pPr>
            <w:r w:rsidRPr="00783571">
              <w:t>0.700</w:t>
            </w:r>
          </w:p>
        </w:tc>
      </w:tr>
      <w:tr w:rsidR="00FC5936" w:rsidRPr="00783571" w14:paraId="6FB0AADF" w14:textId="77777777" w:rsidTr="00FC5936">
        <w:trPr>
          <w:cantSplit/>
        </w:trPr>
        <w:tc>
          <w:tcPr>
            <w:tcW w:w="2190" w:type="pct"/>
            <w:tcBorders>
              <w:top w:val="single" w:sz="6" w:space="0" w:color="808080" w:themeColor="background1" w:themeShade="80"/>
              <w:bottom w:val="single" w:sz="6" w:space="0" w:color="808080" w:themeColor="background1" w:themeShade="80"/>
            </w:tcBorders>
          </w:tcPr>
          <w:p w14:paraId="73B4A9BE" w14:textId="77777777" w:rsidR="00FC5936" w:rsidRPr="00783571" w:rsidRDefault="00FC5936" w:rsidP="00FC5936">
            <w:pPr>
              <w:pStyle w:val="TableTextIndent1"/>
              <w:spacing w:before="40" w:after="40"/>
            </w:pPr>
            <w:r w:rsidRPr="00783571">
              <w:t>Hispanic</w:t>
            </w:r>
          </w:p>
        </w:tc>
        <w:tc>
          <w:tcPr>
            <w:tcW w:w="937" w:type="pct"/>
            <w:tcBorders>
              <w:top w:val="single" w:sz="6" w:space="0" w:color="808080" w:themeColor="background1" w:themeShade="80"/>
              <w:bottom w:val="single" w:sz="6" w:space="0" w:color="808080" w:themeColor="background1" w:themeShade="80"/>
            </w:tcBorders>
          </w:tcPr>
          <w:p w14:paraId="74E0C5F2" w14:textId="77777777" w:rsidR="00FC5936" w:rsidRPr="00783571" w:rsidDel="000C39BD" w:rsidRDefault="00FC5936" w:rsidP="00FC5936">
            <w:pPr>
              <w:pStyle w:val="TableText"/>
              <w:spacing w:before="40" w:after="40"/>
              <w:jc w:val="center"/>
            </w:pPr>
            <w:r w:rsidRPr="00783571">
              <w:t>0.404</w:t>
            </w:r>
          </w:p>
        </w:tc>
        <w:tc>
          <w:tcPr>
            <w:tcW w:w="937" w:type="pct"/>
            <w:tcBorders>
              <w:top w:val="single" w:sz="6" w:space="0" w:color="808080" w:themeColor="background1" w:themeShade="80"/>
              <w:bottom w:val="single" w:sz="6" w:space="0" w:color="808080" w:themeColor="background1" w:themeShade="80"/>
            </w:tcBorders>
          </w:tcPr>
          <w:p w14:paraId="6E16D2B7" w14:textId="77777777" w:rsidR="00FC5936" w:rsidRPr="00783571" w:rsidRDefault="00FC5936" w:rsidP="00FC5936">
            <w:pPr>
              <w:pStyle w:val="TableText"/>
              <w:spacing w:before="40" w:after="40"/>
              <w:jc w:val="center"/>
            </w:pPr>
            <w:r w:rsidRPr="00783571">
              <w:t>0.010</w:t>
            </w:r>
          </w:p>
        </w:tc>
        <w:tc>
          <w:tcPr>
            <w:tcW w:w="936" w:type="pct"/>
            <w:tcBorders>
              <w:top w:val="single" w:sz="6" w:space="0" w:color="808080" w:themeColor="background1" w:themeShade="80"/>
              <w:bottom w:val="single" w:sz="6" w:space="0" w:color="808080" w:themeColor="background1" w:themeShade="80"/>
            </w:tcBorders>
          </w:tcPr>
          <w:p w14:paraId="7C9EB5C8" w14:textId="77777777" w:rsidR="00FC5936" w:rsidRPr="00783571" w:rsidRDefault="00FC5936" w:rsidP="00FC5936">
            <w:pPr>
              <w:pStyle w:val="TableText"/>
              <w:spacing w:before="40" w:after="40"/>
              <w:jc w:val="center"/>
            </w:pPr>
            <w:r w:rsidRPr="00783571">
              <w:t>0.700</w:t>
            </w:r>
          </w:p>
        </w:tc>
      </w:tr>
      <w:tr w:rsidR="00FC5936" w:rsidRPr="00783571" w14:paraId="36067809" w14:textId="77777777" w:rsidTr="00FC5936">
        <w:trPr>
          <w:cantSplit/>
        </w:trPr>
        <w:tc>
          <w:tcPr>
            <w:tcW w:w="2190" w:type="pct"/>
            <w:tcBorders>
              <w:top w:val="single" w:sz="6" w:space="0" w:color="808080" w:themeColor="background1" w:themeShade="80"/>
              <w:bottom w:val="single" w:sz="12" w:space="0" w:color="auto"/>
            </w:tcBorders>
          </w:tcPr>
          <w:p w14:paraId="67981888" w14:textId="77777777" w:rsidR="00FC5936" w:rsidRPr="00783571" w:rsidRDefault="00FC5936" w:rsidP="00FC5936">
            <w:pPr>
              <w:pStyle w:val="TableTextIndent1"/>
              <w:spacing w:before="40" w:after="40"/>
            </w:pPr>
            <w:r w:rsidRPr="00783571">
              <w:t>Other</w:t>
            </w:r>
          </w:p>
        </w:tc>
        <w:tc>
          <w:tcPr>
            <w:tcW w:w="937" w:type="pct"/>
            <w:tcBorders>
              <w:top w:val="single" w:sz="6" w:space="0" w:color="808080" w:themeColor="background1" w:themeShade="80"/>
              <w:bottom w:val="single" w:sz="12" w:space="0" w:color="auto"/>
            </w:tcBorders>
          </w:tcPr>
          <w:p w14:paraId="50F20C6C" w14:textId="77777777" w:rsidR="00FC5936" w:rsidRPr="00783571" w:rsidDel="000C39BD" w:rsidRDefault="00FC5936" w:rsidP="00FC5936">
            <w:pPr>
              <w:pStyle w:val="TableText"/>
              <w:spacing w:before="40" w:after="40"/>
              <w:jc w:val="center"/>
            </w:pPr>
            <w:r w:rsidRPr="00783571">
              <w:t>0.147</w:t>
            </w:r>
          </w:p>
        </w:tc>
        <w:tc>
          <w:tcPr>
            <w:tcW w:w="937" w:type="pct"/>
            <w:tcBorders>
              <w:top w:val="single" w:sz="6" w:space="0" w:color="808080" w:themeColor="background1" w:themeShade="80"/>
              <w:bottom w:val="single" w:sz="12" w:space="0" w:color="auto"/>
            </w:tcBorders>
          </w:tcPr>
          <w:p w14:paraId="70D35E1A" w14:textId="77777777" w:rsidR="00FC5936" w:rsidRPr="00783571" w:rsidRDefault="00FC5936" w:rsidP="00FC5936">
            <w:pPr>
              <w:pStyle w:val="TableText"/>
              <w:spacing w:before="40" w:after="40"/>
              <w:jc w:val="center"/>
            </w:pPr>
            <w:r w:rsidRPr="00783571">
              <w:t>0.010</w:t>
            </w:r>
          </w:p>
        </w:tc>
        <w:tc>
          <w:tcPr>
            <w:tcW w:w="936" w:type="pct"/>
            <w:tcBorders>
              <w:top w:val="single" w:sz="6" w:space="0" w:color="808080" w:themeColor="background1" w:themeShade="80"/>
              <w:bottom w:val="single" w:sz="12" w:space="0" w:color="auto"/>
            </w:tcBorders>
          </w:tcPr>
          <w:p w14:paraId="77CE0799" w14:textId="77777777" w:rsidR="00FC5936" w:rsidRPr="00783571" w:rsidRDefault="00FC5936" w:rsidP="00FC5936">
            <w:pPr>
              <w:pStyle w:val="TableText"/>
              <w:spacing w:before="40" w:after="40"/>
              <w:jc w:val="center"/>
            </w:pPr>
            <w:r w:rsidRPr="00783571">
              <w:t>0.700</w:t>
            </w:r>
          </w:p>
        </w:tc>
      </w:tr>
    </w:tbl>
    <w:p w14:paraId="57D8C787" w14:textId="2C04883D" w:rsidR="00871E69" w:rsidRPr="00783571" w:rsidRDefault="00EC4628" w:rsidP="00814158">
      <w:pPr>
        <w:pStyle w:val="Source2"/>
      </w:pPr>
      <w:r w:rsidRPr="00783571">
        <w:t>Note: ART = antiretroviral therapy; HET = heterosexual;</w:t>
      </w:r>
      <w:r w:rsidR="00D568B5" w:rsidRPr="00783571">
        <w:t xml:space="preserve"> PWID = people who inject drugs;</w:t>
      </w:r>
      <w:r w:rsidRPr="00783571">
        <w:t xml:space="preserve"> VLS = viral load</w:t>
      </w:r>
      <w:r w:rsidR="00D568B5" w:rsidRPr="00783571">
        <w:t xml:space="preserve"> suppressed</w:t>
      </w:r>
    </w:p>
    <w:p w14:paraId="67434358" w14:textId="7734BA2B" w:rsidR="00F14E49" w:rsidRPr="00783571" w:rsidRDefault="00383B74" w:rsidP="00814158">
      <w:pPr>
        <w:pStyle w:val="Source4"/>
      </w:pPr>
      <w:r w:rsidRPr="00783571">
        <w:rPr>
          <w:vertAlign w:val="superscript"/>
        </w:rPr>
        <w:t>a</w:t>
      </w:r>
      <w:r w:rsidRPr="00783571">
        <w:t xml:space="preserve">Calibrated values reported in this </w:t>
      </w:r>
      <w:r w:rsidR="00642FB4" w:rsidRPr="00783571">
        <w:t xml:space="preserve">version of the technical report </w:t>
      </w:r>
      <w:r w:rsidR="00871E69" w:rsidRPr="00783571">
        <w:t>are from calibration set A</w:t>
      </w:r>
      <w:r w:rsidR="00E14D15" w:rsidRPr="00783571">
        <w:t>S_1</w:t>
      </w:r>
      <w:r w:rsidR="00871E69" w:rsidRPr="00783571">
        <w:t>.</w:t>
      </w:r>
    </w:p>
    <w:p w14:paraId="1A7B7DE2" w14:textId="43FE3949" w:rsidR="00FB4FDA" w:rsidRPr="00783571" w:rsidRDefault="00BB52C3" w:rsidP="00903B31">
      <w:pPr>
        <w:pStyle w:val="TableTitle"/>
        <w:rPr>
          <w:vertAlign w:val="superscript"/>
        </w:rPr>
      </w:pPr>
      <w:bookmarkStart w:id="129" w:name="_Toc510104049"/>
      <w:r w:rsidRPr="00783571">
        <w:t xml:space="preserve">Table </w:t>
      </w:r>
      <w:r w:rsidR="00903B31" w:rsidRPr="00783571">
        <w:t>11</w:t>
      </w:r>
      <w:r w:rsidR="004F4E6D" w:rsidRPr="00783571">
        <w:t>.</w:t>
      </w:r>
      <w:r w:rsidR="00B51169" w:rsidRPr="00783571">
        <w:t>2</w:t>
      </w:r>
      <w:r w:rsidR="00FB4FDA" w:rsidRPr="00783571">
        <w:t>.</w:t>
      </w:r>
      <w:r w:rsidR="00FB4FDA" w:rsidRPr="00783571">
        <w:tab/>
      </w:r>
      <w:r w:rsidR="00D641F3" w:rsidRPr="00783571">
        <w:t xml:space="preserve">Bounds and Final </w:t>
      </w:r>
      <w:r w:rsidR="00752CC5" w:rsidRPr="00783571">
        <w:t xml:space="preserve">Values of Inputs Defining </w:t>
      </w:r>
      <w:r w:rsidR="00FB4FDA" w:rsidRPr="00783571">
        <w:t>Behaviors and Infectivity Varied in Calibration</w:t>
      </w:r>
      <w:r w:rsidR="000E6D70" w:rsidRPr="00783571">
        <w:rPr>
          <w:vertAlign w:val="superscript"/>
        </w:rPr>
        <w:t>a</w:t>
      </w:r>
      <w:bookmarkEnd w:id="129"/>
    </w:p>
    <w:tbl>
      <w:tblPr>
        <w:tblW w:w="5000" w:type="pct"/>
        <w:tblBorders>
          <w:top w:val="single" w:sz="12" w:space="0" w:color="auto"/>
          <w:bottom w:val="single" w:sz="12" w:space="0" w:color="auto"/>
        </w:tblBorders>
        <w:tblCellMar>
          <w:left w:w="115" w:type="dxa"/>
          <w:right w:w="115" w:type="dxa"/>
        </w:tblCellMar>
        <w:tblLook w:val="04A0" w:firstRow="1" w:lastRow="0" w:firstColumn="1" w:lastColumn="0" w:noHBand="0" w:noVBand="1"/>
      </w:tblPr>
      <w:tblGrid>
        <w:gridCol w:w="4024"/>
        <w:gridCol w:w="1780"/>
        <w:gridCol w:w="1778"/>
        <w:gridCol w:w="1778"/>
      </w:tblGrid>
      <w:tr w:rsidR="00FC5936" w:rsidRPr="00783571" w14:paraId="22CE2541" w14:textId="77777777" w:rsidTr="00FC5936">
        <w:trPr>
          <w:cantSplit/>
          <w:tblHeader/>
        </w:trPr>
        <w:tc>
          <w:tcPr>
            <w:tcW w:w="2149" w:type="pct"/>
            <w:tcBorders>
              <w:top w:val="single" w:sz="12" w:space="0" w:color="auto"/>
              <w:bottom w:val="single" w:sz="6" w:space="0" w:color="auto"/>
            </w:tcBorders>
            <w:vAlign w:val="bottom"/>
          </w:tcPr>
          <w:p w14:paraId="0B3E1360" w14:textId="77777777" w:rsidR="00FC5936" w:rsidRPr="00783571" w:rsidRDefault="00FC5936" w:rsidP="00FC5936">
            <w:pPr>
              <w:pStyle w:val="TableHeaders"/>
              <w:spacing w:before="50" w:after="50"/>
            </w:pPr>
            <w:r w:rsidRPr="00783571">
              <w:t>Parameter</w:t>
            </w:r>
          </w:p>
        </w:tc>
        <w:tc>
          <w:tcPr>
            <w:tcW w:w="951" w:type="pct"/>
            <w:tcBorders>
              <w:top w:val="single" w:sz="12" w:space="0" w:color="auto"/>
              <w:bottom w:val="single" w:sz="6" w:space="0" w:color="auto"/>
            </w:tcBorders>
            <w:vAlign w:val="bottom"/>
          </w:tcPr>
          <w:p w14:paraId="6779FFE5" w14:textId="77777777" w:rsidR="00FC5936" w:rsidRPr="00783571" w:rsidRDefault="00FC5936" w:rsidP="00FC5936">
            <w:pPr>
              <w:pStyle w:val="TableHeaders"/>
              <w:spacing w:before="50" w:after="50"/>
            </w:pPr>
            <w:r w:rsidRPr="00783571">
              <w:t>Calibrated Value</w:t>
            </w:r>
          </w:p>
        </w:tc>
        <w:tc>
          <w:tcPr>
            <w:tcW w:w="950" w:type="pct"/>
            <w:tcBorders>
              <w:top w:val="single" w:sz="12" w:space="0" w:color="auto"/>
              <w:bottom w:val="single" w:sz="6" w:space="0" w:color="auto"/>
            </w:tcBorders>
          </w:tcPr>
          <w:p w14:paraId="4E5AF2F8" w14:textId="77777777" w:rsidR="00FC5936" w:rsidRPr="00783571" w:rsidRDefault="00FC5936" w:rsidP="00FC5936">
            <w:pPr>
              <w:pStyle w:val="TableHeaders"/>
              <w:spacing w:before="50" w:after="50"/>
            </w:pPr>
            <w:r w:rsidRPr="00783571">
              <w:t>Lower Bound</w:t>
            </w:r>
          </w:p>
        </w:tc>
        <w:tc>
          <w:tcPr>
            <w:tcW w:w="950" w:type="pct"/>
            <w:tcBorders>
              <w:top w:val="single" w:sz="12" w:space="0" w:color="auto"/>
              <w:bottom w:val="single" w:sz="6" w:space="0" w:color="auto"/>
            </w:tcBorders>
          </w:tcPr>
          <w:p w14:paraId="1227FAD3" w14:textId="77777777" w:rsidR="00FC5936" w:rsidRPr="00783571" w:rsidRDefault="00FC5936" w:rsidP="00FC5936">
            <w:pPr>
              <w:pStyle w:val="TableHeaders"/>
              <w:spacing w:before="50" w:after="50"/>
            </w:pPr>
            <w:r w:rsidRPr="00783571">
              <w:t>Upper Bound</w:t>
            </w:r>
          </w:p>
        </w:tc>
      </w:tr>
      <w:tr w:rsidR="00FC5936" w:rsidRPr="00783571" w14:paraId="0B35B32D" w14:textId="77777777" w:rsidTr="00FC5936">
        <w:trPr>
          <w:cantSplit/>
        </w:trPr>
        <w:tc>
          <w:tcPr>
            <w:tcW w:w="3100" w:type="pct"/>
            <w:gridSpan w:val="2"/>
            <w:tcBorders>
              <w:top w:val="single" w:sz="6" w:space="0" w:color="auto"/>
              <w:bottom w:val="single" w:sz="6" w:space="0" w:color="808080" w:themeColor="background1" w:themeShade="80"/>
            </w:tcBorders>
          </w:tcPr>
          <w:p w14:paraId="5977F5B8" w14:textId="77777777" w:rsidR="00FC5936" w:rsidRPr="00783571" w:rsidRDefault="00FC5936" w:rsidP="00FC5936">
            <w:pPr>
              <w:pStyle w:val="TableText"/>
              <w:spacing w:before="50" w:after="50"/>
            </w:pPr>
            <w:r w:rsidRPr="00783571">
              <w:t>Percentage of sexual partners by transmission group and sex (mixing matrix)</w:t>
            </w:r>
          </w:p>
        </w:tc>
        <w:tc>
          <w:tcPr>
            <w:tcW w:w="950" w:type="pct"/>
            <w:tcBorders>
              <w:top w:val="single" w:sz="6" w:space="0" w:color="auto"/>
              <w:bottom w:val="single" w:sz="6" w:space="0" w:color="808080" w:themeColor="background1" w:themeShade="80"/>
            </w:tcBorders>
          </w:tcPr>
          <w:p w14:paraId="6A1A7C24" w14:textId="77777777" w:rsidR="00FC5936" w:rsidRPr="00783571" w:rsidRDefault="00FC5936" w:rsidP="00FC5936">
            <w:pPr>
              <w:pStyle w:val="TableText"/>
              <w:spacing w:before="50" w:after="50"/>
            </w:pPr>
          </w:p>
        </w:tc>
        <w:tc>
          <w:tcPr>
            <w:tcW w:w="950" w:type="pct"/>
            <w:tcBorders>
              <w:top w:val="single" w:sz="6" w:space="0" w:color="auto"/>
              <w:bottom w:val="single" w:sz="6" w:space="0" w:color="808080" w:themeColor="background1" w:themeShade="80"/>
            </w:tcBorders>
          </w:tcPr>
          <w:p w14:paraId="15196B4A" w14:textId="77777777" w:rsidR="00FC5936" w:rsidRPr="00783571" w:rsidRDefault="00FC5936" w:rsidP="00FC5936">
            <w:pPr>
              <w:pStyle w:val="TableText"/>
              <w:spacing w:before="50" w:after="50"/>
            </w:pPr>
          </w:p>
        </w:tc>
      </w:tr>
      <w:tr w:rsidR="00FC5936" w:rsidRPr="00783571" w14:paraId="2B458BEC" w14:textId="77777777" w:rsidTr="00FC5936">
        <w:trPr>
          <w:cantSplit/>
        </w:trPr>
        <w:tc>
          <w:tcPr>
            <w:tcW w:w="2149" w:type="pct"/>
            <w:tcBorders>
              <w:top w:val="single" w:sz="6" w:space="0" w:color="808080" w:themeColor="background1" w:themeShade="80"/>
              <w:bottom w:val="single" w:sz="6" w:space="0" w:color="808080" w:themeColor="background1" w:themeShade="80"/>
            </w:tcBorders>
          </w:tcPr>
          <w:p w14:paraId="26278F27" w14:textId="77777777" w:rsidR="00FC5936" w:rsidRPr="00783571" w:rsidRDefault="00FC5936" w:rsidP="00FC5936">
            <w:pPr>
              <w:pStyle w:val="TableTextIndent1"/>
              <w:spacing w:before="50" w:after="50"/>
            </w:pPr>
            <w:r w:rsidRPr="00783571">
              <w:t>HET M: HET F</w:t>
            </w:r>
          </w:p>
        </w:tc>
        <w:tc>
          <w:tcPr>
            <w:tcW w:w="951" w:type="pct"/>
            <w:tcBorders>
              <w:top w:val="single" w:sz="6" w:space="0" w:color="808080" w:themeColor="background1" w:themeShade="80"/>
              <w:bottom w:val="single" w:sz="6" w:space="0" w:color="808080" w:themeColor="background1" w:themeShade="80"/>
            </w:tcBorders>
          </w:tcPr>
          <w:p w14:paraId="56ABA1C9" w14:textId="77777777" w:rsidR="00FC5936" w:rsidRPr="00783571" w:rsidRDefault="00FC5936" w:rsidP="00FC5936">
            <w:pPr>
              <w:pStyle w:val="TableText"/>
              <w:spacing w:before="50" w:after="50"/>
              <w:jc w:val="center"/>
            </w:pPr>
            <w:r w:rsidRPr="00783571">
              <w:t>0.995</w:t>
            </w:r>
          </w:p>
        </w:tc>
        <w:tc>
          <w:tcPr>
            <w:tcW w:w="950" w:type="pct"/>
            <w:tcBorders>
              <w:top w:val="single" w:sz="6" w:space="0" w:color="808080" w:themeColor="background1" w:themeShade="80"/>
              <w:bottom w:val="single" w:sz="6" w:space="0" w:color="808080" w:themeColor="background1" w:themeShade="80"/>
            </w:tcBorders>
          </w:tcPr>
          <w:p w14:paraId="116A74F6" w14:textId="77777777" w:rsidR="00FC5936" w:rsidRPr="00783571" w:rsidRDefault="00FC5936" w:rsidP="00FC5936">
            <w:pPr>
              <w:pStyle w:val="TableText"/>
              <w:spacing w:before="50" w:after="50"/>
              <w:jc w:val="center"/>
            </w:pPr>
            <w:r w:rsidRPr="00783571">
              <w:t>0.950</w:t>
            </w:r>
          </w:p>
        </w:tc>
        <w:tc>
          <w:tcPr>
            <w:tcW w:w="950" w:type="pct"/>
            <w:tcBorders>
              <w:top w:val="single" w:sz="6" w:space="0" w:color="808080" w:themeColor="background1" w:themeShade="80"/>
              <w:bottom w:val="single" w:sz="6" w:space="0" w:color="808080" w:themeColor="background1" w:themeShade="80"/>
            </w:tcBorders>
          </w:tcPr>
          <w:p w14:paraId="3C15CC25" w14:textId="77777777" w:rsidR="00FC5936" w:rsidRPr="00783571" w:rsidRDefault="00FC5936" w:rsidP="00FC5936">
            <w:pPr>
              <w:pStyle w:val="TableText"/>
              <w:spacing w:before="50" w:after="50"/>
              <w:jc w:val="center"/>
            </w:pPr>
            <w:r w:rsidRPr="00783571">
              <w:t>0.999</w:t>
            </w:r>
          </w:p>
        </w:tc>
      </w:tr>
      <w:tr w:rsidR="00FC5936" w:rsidRPr="00783571" w14:paraId="474EA160" w14:textId="77777777" w:rsidTr="00FC5936">
        <w:trPr>
          <w:cantSplit/>
        </w:trPr>
        <w:tc>
          <w:tcPr>
            <w:tcW w:w="2149" w:type="pct"/>
            <w:tcBorders>
              <w:top w:val="single" w:sz="6" w:space="0" w:color="808080" w:themeColor="background1" w:themeShade="80"/>
              <w:bottom w:val="single" w:sz="6" w:space="0" w:color="808080" w:themeColor="background1" w:themeShade="80"/>
            </w:tcBorders>
          </w:tcPr>
          <w:p w14:paraId="2615A677" w14:textId="77777777" w:rsidR="00FC5936" w:rsidRPr="00783571" w:rsidRDefault="00FC5936" w:rsidP="00FC5936">
            <w:pPr>
              <w:pStyle w:val="TableTextIndent1"/>
              <w:spacing w:before="50" w:after="50"/>
            </w:pPr>
            <w:r w:rsidRPr="00783571">
              <w:t>HET F: HET M</w:t>
            </w:r>
          </w:p>
        </w:tc>
        <w:tc>
          <w:tcPr>
            <w:tcW w:w="951" w:type="pct"/>
            <w:tcBorders>
              <w:top w:val="single" w:sz="6" w:space="0" w:color="808080" w:themeColor="background1" w:themeShade="80"/>
              <w:bottom w:val="single" w:sz="6" w:space="0" w:color="808080" w:themeColor="background1" w:themeShade="80"/>
            </w:tcBorders>
          </w:tcPr>
          <w:p w14:paraId="279FF2E2" w14:textId="77777777" w:rsidR="00FC5936" w:rsidRPr="00783571" w:rsidRDefault="00FC5936" w:rsidP="00FC5936">
            <w:pPr>
              <w:pStyle w:val="TableText"/>
              <w:spacing w:before="50" w:after="50"/>
              <w:jc w:val="center"/>
            </w:pPr>
            <w:r w:rsidRPr="00783571">
              <w:t>0.972</w:t>
            </w:r>
          </w:p>
        </w:tc>
        <w:tc>
          <w:tcPr>
            <w:tcW w:w="950" w:type="pct"/>
            <w:tcBorders>
              <w:top w:val="single" w:sz="6" w:space="0" w:color="808080" w:themeColor="background1" w:themeShade="80"/>
              <w:bottom w:val="single" w:sz="6" w:space="0" w:color="808080" w:themeColor="background1" w:themeShade="80"/>
            </w:tcBorders>
          </w:tcPr>
          <w:p w14:paraId="3E357ECD" w14:textId="77777777" w:rsidR="00FC5936" w:rsidRPr="00783571" w:rsidRDefault="00FC5936" w:rsidP="00FC5936">
            <w:pPr>
              <w:pStyle w:val="TableText"/>
              <w:spacing w:before="50" w:after="50"/>
              <w:jc w:val="center"/>
            </w:pPr>
            <w:r w:rsidRPr="00783571">
              <w:t>0.960</w:t>
            </w:r>
          </w:p>
        </w:tc>
        <w:tc>
          <w:tcPr>
            <w:tcW w:w="950" w:type="pct"/>
            <w:tcBorders>
              <w:top w:val="single" w:sz="6" w:space="0" w:color="808080" w:themeColor="background1" w:themeShade="80"/>
              <w:bottom w:val="single" w:sz="6" w:space="0" w:color="808080" w:themeColor="background1" w:themeShade="80"/>
            </w:tcBorders>
          </w:tcPr>
          <w:p w14:paraId="254E48E1" w14:textId="77777777" w:rsidR="00FC5936" w:rsidRPr="00783571" w:rsidRDefault="00FC5936" w:rsidP="00FC5936">
            <w:pPr>
              <w:pStyle w:val="TableText"/>
              <w:spacing w:before="50" w:after="50"/>
              <w:jc w:val="center"/>
            </w:pPr>
            <w:r w:rsidRPr="00783571">
              <w:t>0.980</w:t>
            </w:r>
          </w:p>
        </w:tc>
      </w:tr>
      <w:tr w:rsidR="00FC5936" w:rsidRPr="00783571" w14:paraId="0F18083E" w14:textId="77777777" w:rsidTr="00FC5936">
        <w:trPr>
          <w:cantSplit/>
        </w:trPr>
        <w:tc>
          <w:tcPr>
            <w:tcW w:w="2149" w:type="pct"/>
            <w:tcBorders>
              <w:top w:val="single" w:sz="6" w:space="0" w:color="808080" w:themeColor="background1" w:themeShade="80"/>
              <w:bottom w:val="single" w:sz="6" w:space="0" w:color="808080" w:themeColor="background1" w:themeShade="80"/>
            </w:tcBorders>
          </w:tcPr>
          <w:p w14:paraId="2E91BE36" w14:textId="77777777" w:rsidR="00FC5936" w:rsidRPr="00783571" w:rsidRDefault="00FC5936" w:rsidP="00FC5936">
            <w:pPr>
              <w:pStyle w:val="TableTextIndent1"/>
              <w:spacing w:before="50" w:after="50"/>
            </w:pPr>
            <w:r w:rsidRPr="00783571">
              <w:t>HET F: PWID M</w:t>
            </w:r>
          </w:p>
        </w:tc>
        <w:tc>
          <w:tcPr>
            <w:tcW w:w="951" w:type="pct"/>
            <w:tcBorders>
              <w:top w:val="single" w:sz="6" w:space="0" w:color="808080" w:themeColor="background1" w:themeShade="80"/>
              <w:bottom w:val="single" w:sz="6" w:space="0" w:color="808080" w:themeColor="background1" w:themeShade="80"/>
            </w:tcBorders>
          </w:tcPr>
          <w:p w14:paraId="283AEB65" w14:textId="77777777" w:rsidR="00FC5936" w:rsidRPr="00783571" w:rsidRDefault="00FC5936" w:rsidP="00FC5936">
            <w:pPr>
              <w:pStyle w:val="TableText"/>
              <w:spacing w:before="50" w:after="50"/>
              <w:jc w:val="center"/>
            </w:pPr>
            <w:r w:rsidRPr="00783571">
              <w:t>0.002</w:t>
            </w:r>
          </w:p>
        </w:tc>
        <w:tc>
          <w:tcPr>
            <w:tcW w:w="950" w:type="pct"/>
            <w:tcBorders>
              <w:top w:val="single" w:sz="6" w:space="0" w:color="808080" w:themeColor="background1" w:themeShade="80"/>
              <w:bottom w:val="single" w:sz="6" w:space="0" w:color="808080" w:themeColor="background1" w:themeShade="80"/>
            </w:tcBorders>
          </w:tcPr>
          <w:p w14:paraId="776549FF" w14:textId="77777777" w:rsidR="00FC5936" w:rsidRPr="00783571" w:rsidRDefault="00FC5936" w:rsidP="00FC5936">
            <w:pPr>
              <w:pStyle w:val="TableText"/>
              <w:spacing w:before="50" w:after="50"/>
              <w:jc w:val="center"/>
            </w:pPr>
            <w:r w:rsidRPr="00783571">
              <w:t>0.000</w:t>
            </w:r>
          </w:p>
        </w:tc>
        <w:tc>
          <w:tcPr>
            <w:tcW w:w="950" w:type="pct"/>
            <w:tcBorders>
              <w:top w:val="single" w:sz="6" w:space="0" w:color="808080" w:themeColor="background1" w:themeShade="80"/>
              <w:bottom w:val="single" w:sz="6" w:space="0" w:color="808080" w:themeColor="background1" w:themeShade="80"/>
            </w:tcBorders>
          </w:tcPr>
          <w:p w14:paraId="03D4A058" w14:textId="77777777" w:rsidR="00FC5936" w:rsidRPr="00783571" w:rsidRDefault="00FC5936" w:rsidP="00FC5936">
            <w:pPr>
              <w:pStyle w:val="TableText"/>
              <w:spacing w:before="50" w:after="50"/>
              <w:jc w:val="center"/>
            </w:pPr>
            <w:r w:rsidRPr="00783571">
              <w:t>0.005</w:t>
            </w:r>
          </w:p>
        </w:tc>
      </w:tr>
      <w:tr w:rsidR="00FC5936" w:rsidRPr="00783571" w14:paraId="5C2B978E" w14:textId="77777777" w:rsidTr="00FC5936">
        <w:trPr>
          <w:cantSplit/>
        </w:trPr>
        <w:tc>
          <w:tcPr>
            <w:tcW w:w="2149" w:type="pct"/>
            <w:tcBorders>
              <w:top w:val="single" w:sz="6" w:space="0" w:color="808080" w:themeColor="background1" w:themeShade="80"/>
              <w:bottom w:val="single" w:sz="6" w:space="0" w:color="808080" w:themeColor="background1" w:themeShade="80"/>
            </w:tcBorders>
          </w:tcPr>
          <w:p w14:paraId="2800F5D0" w14:textId="77777777" w:rsidR="00FC5936" w:rsidRPr="00783571" w:rsidRDefault="00FC5936" w:rsidP="00FC5936">
            <w:pPr>
              <w:pStyle w:val="TableTextIndent1"/>
              <w:spacing w:before="50" w:after="50"/>
            </w:pPr>
            <w:r w:rsidRPr="00783571">
              <w:t>MSM: HET F</w:t>
            </w:r>
          </w:p>
        </w:tc>
        <w:tc>
          <w:tcPr>
            <w:tcW w:w="951" w:type="pct"/>
            <w:tcBorders>
              <w:top w:val="single" w:sz="6" w:space="0" w:color="808080" w:themeColor="background1" w:themeShade="80"/>
              <w:bottom w:val="single" w:sz="6" w:space="0" w:color="808080" w:themeColor="background1" w:themeShade="80"/>
            </w:tcBorders>
          </w:tcPr>
          <w:p w14:paraId="47E2E462" w14:textId="77777777" w:rsidR="00FC5936" w:rsidRPr="00783571" w:rsidRDefault="00FC5936" w:rsidP="00FC5936">
            <w:pPr>
              <w:pStyle w:val="TableText"/>
              <w:spacing w:before="50" w:after="50"/>
              <w:jc w:val="center"/>
            </w:pPr>
            <w:r w:rsidRPr="00783571">
              <w:t>0.393</w:t>
            </w:r>
          </w:p>
        </w:tc>
        <w:tc>
          <w:tcPr>
            <w:tcW w:w="950" w:type="pct"/>
            <w:tcBorders>
              <w:top w:val="single" w:sz="6" w:space="0" w:color="808080" w:themeColor="background1" w:themeShade="80"/>
              <w:bottom w:val="single" w:sz="6" w:space="0" w:color="808080" w:themeColor="background1" w:themeShade="80"/>
            </w:tcBorders>
          </w:tcPr>
          <w:p w14:paraId="666069CD" w14:textId="77777777" w:rsidR="00FC5936" w:rsidRPr="00783571" w:rsidRDefault="00FC5936" w:rsidP="00FC5936">
            <w:pPr>
              <w:pStyle w:val="TableText"/>
              <w:spacing w:before="50" w:after="50"/>
              <w:jc w:val="center"/>
            </w:pPr>
            <w:r w:rsidRPr="00783571">
              <w:t>0.000</w:t>
            </w:r>
          </w:p>
        </w:tc>
        <w:tc>
          <w:tcPr>
            <w:tcW w:w="950" w:type="pct"/>
            <w:tcBorders>
              <w:top w:val="single" w:sz="6" w:space="0" w:color="808080" w:themeColor="background1" w:themeShade="80"/>
              <w:bottom w:val="single" w:sz="6" w:space="0" w:color="808080" w:themeColor="background1" w:themeShade="80"/>
            </w:tcBorders>
          </w:tcPr>
          <w:p w14:paraId="1BC7D463" w14:textId="77777777" w:rsidR="00FC5936" w:rsidRPr="00783571" w:rsidRDefault="00FC5936" w:rsidP="00FC5936">
            <w:pPr>
              <w:pStyle w:val="TableText"/>
              <w:spacing w:before="50" w:after="50"/>
              <w:jc w:val="center"/>
            </w:pPr>
            <w:r w:rsidRPr="00783571">
              <w:t>0.450</w:t>
            </w:r>
          </w:p>
        </w:tc>
      </w:tr>
      <w:tr w:rsidR="00FC5936" w:rsidRPr="00783571" w14:paraId="2F482AFD" w14:textId="77777777" w:rsidTr="00FC5936">
        <w:trPr>
          <w:cantSplit/>
        </w:trPr>
        <w:tc>
          <w:tcPr>
            <w:tcW w:w="2149" w:type="pct"/>
            <w:tcBorders>
              <w:top w:val="single" w:sz="6" w:space="0" w:color="808080" w:themeColor="background1" w:themeShade="80"/>
              <w:bottom w:val="single" w:sz="6" w:space="0" w:color="808080" w:themeColor="background1" w:themeShade="80"/>
            </w:tcBorders>
          </w:tcPr>
          <w:p w14:paraId="0F620844" w14:textId="77777777" w:rsidR="00FC5936" w:rsidRPr="00783571" w:rsidRDefault="00FC5936" w:rsidP="00FC5936">
            <w:pPr>
              <w:pStyle w:val="TableTextIndent1"/>
              <w:spacing w:before="50" w:after="50"/>
            </w:pPr>
            <w:r w:rsidRPr="00783571">
              <w:t>MSM: PWID F</w:t>
            </w:r>
          </w:p>
        </w:tc>
        <w:tc>
          <w:tcPr>
            <w:tcW w:w="951" w:type="pct"/>
            <w:tcBorders>
              <w:top w:val="single" w:sz="6" w:space="0" w:color="808080" w:themeColor="background1" w:themeShade="80"/>
              <w:bottom w:val="single" w:sz="6" w:space="0" w:color="808080" w:themeColor="background1" w:themeShade="80"/>
            </w:tcBorders>
          </w:tcPr>
          <w:p w14:paraId="3EE3DED6" w14:textId="77777777" w:rsidR="00FC5936" w:rsidRPr="00783571" w:rsidRDefault="00FC5936" w:rsidP="00FC5936">
            <w:pPr>
              <w:pStyle w:val="TableText"/>
              <w:spacing w:before="50" w:after="50"/>
              <w:jc w:val="center"/>
            </w:pPr>
            <w:r w:rsidRPr="00783571">
              <w:t>0.003</w:t>
            </w:r>
          </w:p>
        </w:tc>
        <w:tc>
          <w:tcPr>
            <w:tcW w:w="950" w:type="pct"/>
            <w:tcBorders>
              <w:top w:val="single" w:sz="6" w:space="0" w:color="808080" w:themeColor="background1" w:themeShade="80"/>
              <w:bottom w:val="single" w:sz="6" w:space="0" w:color="808080" w:themeColor="background1" w:themeShade="80"/>
            </w:tcBorders>
          </w:tcPr>
          <w:p w14:paraId="46E8922E" w14:textId="77777777" w:rsidR="00FC5936" w:rsidRPr="00783571" w:rsidRDefault="00FC5936" w:rsidP="00FC5936">
            <w:pPr>
              <w:pStyle w:val="TableText"/>
              <w:spacing w:before="50" w:after="50"/>
              <w:jc w:val="center"/>
            </w:pPr>
            <w:r w:rsidRPr="00783571">
              <w:t>0.000</w:t>
            </w:r>
          </w:p>
        </w:tc>
        <w:tc>
          <w:tcPr>
            <w:tcW w:w="950" w:type="pct"/>
            <w:tcBorders>
              <w:top w:val="single" w:sz="6" w:space="0" w:color="808080" w:themeColor="background1" w:themeShade="80"/>
              <w:bottom w:val="single" w:sz="6" w:space="0" w:color="808080" w:themeColor="background1" w:themeShade="80"/>
            </w:tcBorders>
          </w:tcPr>
          <w:p w14:paraId="633CD1C4" w14:textId="77777777" w:rsidR="00FC5936" w:rsidRPr="00783571" w:rsidRDefault="00FC5936" w:rsidP="00FC5936">
            <w:pPr>
              <w:pStyle w:val="TableText"/>
              <w:spacing w:before="50" w:after="50"/>
              <w:jc w:val="center"/>
            </w:pPr>
            <w:r w:rsidRPr="00783571">
              <w:t>0.005</w:t>
            </w:r>
          </w:p>
        </w:tc>
      </w:tr>
      <w:tr w:rsidR="00FC5936" w:rsidRPr="00783571" w14:paraId="5E34EAE7" w14:textId="77777777" w:rsidTr="00FC5936">
        <w:trPr>
          <w:cantSplit/>
        </w:trPr>
        <w:tc>
          <w:tcPr>
            <w:tcW w:w="2149" w:type="pct"/>
            <w:tcBorders>
              <w:top w:val="single" w:sz="6" w:space="0" w:color="808080" w:themeColor="background1" w:themeShade="80"/>
              <w:bottom w:val="single" w:sz="6" w:space="0" w:color="808080" w:themeColor="background1" w:themeShade="80"/>
            </w:tcBorders>
          </w:tcPr>
          <w:p w14:paraId="7EA5FD21" w14:textId="77777777" w:rsidR="00FC5936" w:rsidRPr="00783571" w:rsidRDefault="00FC5936" w:rsidP="00FC5936">
            <w:pPr>
              <w:pStyle w:val="TableTextIndent1"/>
              <w:spacing w:before="50" w:after="50"/>
            </w:pPr>
            <w:r w:rsidRPr="00783571">
              <w:t>PWID M: PWID F</w:t>
            </w:r>
          </w:p>
        </w:tc>
        <w:tc>
          <w:tcPr>
            <w:tcW w:w="951" w:type="pct"/>
            <w:tcBorders>
              <w:top w:val="single" w:sz="6" w:space="0" w:color="808080" w:themeColor="background1" w:themeShade="80"/>
              <w:bottom w:val="single" w:sz="6" w:space="0" w:color="808080" w:themeColor="background1" w:themeShade="80"/>
            </w:tcBorders>
          </w:tcPr>
          <w:p w14:paraId="40ECD74B" w14:textId="77777777" w:rsidR="00FC5936" w:rsidRPr="00783571" w:rsidRDefault="00FC5936" w:rsidP="00FC5936">
            <w:pPr>
              <w:pStyle w:val="TableText"/>
              <w:spacing w:before="50" w:after="50"/>
              <w:jc w:val="center"/>
            </w:pPr>
            <w:r w:rsidRPr="00783571">
              <w:t>0.302</w:t>
            </w:r>
          </w:p>
        </w:tc>
        <w:tc>
          <w:tcPr>
            <w:tcW w:w="950" w:type="pct"/>
            <w:tcBorders>
              <w:top w:val="single" w:sz="6" w:space="0" w:color="808080" w:themeColor="background1" w:themeShade="80"/>
              <w:bottom w:val="single" w:sz="6" w:space="0" w:color="808080" w:themeColor="background1" w:themeShade="80"/>
            </w:tcBorders>
          </w:tcPr>
          <w:p w14:paraId="590C3F45" w14:textId="77777777" w:rsidR="00FC5936" w:rsidRPr="00783571" w:rsidRDefault="00FC5936" w:rsidP="00FC5936">
            <w:pPr>
              <w:pStyle w:val="TableText"/>
              <w:spacing w:before="50" w:after="50"/>
              <w:jc w:val="center"/>
            </w:pPr>
            <w:r w:rsidRPr="00783571">
              <w:t>0.100</w:t>
            </w:r>
          </w:p>
        </w:tc>
        <w:tc>
          <w:tcPr>
            <w:tcW w:w="950" w:type="pct"/>
            <w:tcBorders>
              <w:top w:val="single" w:sz="6" w:space="0" w:color="808080" w:themeColor="background1" w:themeShade="80"/>
              <w:bottom w:val="single" w:sz="6" w:space="0" w:color="808080" w:themeColor="background1" w:themeShade="80"/>
            </w:tcBorders>
          </w:tcPr>
          <w:p w14:paraId="45E430E7" w14:textId="77777777" w:rsidR="00FC5936" w:rsidRPr="00783571" w:rsidRDefault="00FC5936" w:rsidP="00FC5936">
            <w:pPr>
              <w:pStyle w:val="TableText"/>
              <w:spacing w:before="50" w:after="50"/>
              <w:jc w:val="center"/>
            </w:pPr>
            <w:r w:rsidRPr="00783571">
              <w:t>0.800</w:t>
            </w:r>
          </w:p>
        </w:tc>
      </w:tr>
      <w:tr w:rsidR="00FC5936" w:rsidRPr="00783571" w14:paraId="172BF5AE" w14:textId="77777777" w:rsidTr="00FC5936">
        <w:trPr>
          <w:cantSplit/>
        </w:trPr>
        <w:tc>
          <w:tcPr>
            <w:tcW w:w="2149" w:type="pct"/>
            <w:tcBorders>
              <w:top w:val="single" w:sz="6" w:space="0" w:color="808080" w:themeColor="background1" w:themeShade="80"/>
              <w:bottom w:val="single" w:sz="6" w:space="0" w:color="808080" w:themeColor="background1" w:themeShade="80"/>
            </w:tcBorders>
          </w:tcPr>
          <w:p w14:paraId="2F2489B8" w14:textId="77777777" w:rsidR="00FC5936" w:rsidRPr="00783571" w:rsidRDefault="00FC5936" w:rsidP="00FC5936">
            <w:pPr>
              <w:pStyle w:val="TableTextIndent1"/>
              <w:spacing w:before="50" w:after="50"/>
            </w:pPr>
            <w:r w:rsidRPr="00783571">
              <w:t>PWID F: PWID M</w:t>
            </w:r>
          </w:p>
        </w:tc>
        <w:tc>
          <w:tcPr>
            <w:tcW w:w="951" w:type="pct"/>
            <w:tcBorders>
              <w:top w:val="single" w:sz="6" w:space="0" w:color="808080" w:themeColor="background1" w:themeShade="80"/>
              <w:bottom w:val="single" w:sz="6" w:space="0" w:color="808080" w:themeColor="background1" w:themeShade="80"/>
            </w:tcBorders>
          </w:tcPr>
          <w:p w14:paraId="27C41D9B" w14:textId="77777777" w:rsidR="00FC5936" w:rsidRPr="00783571" w:rsidRDefault="00FC5936" w:rsidP="00FC5936">
            <w:pPr>
              <w:pStyle w:val="TableText"/>
              <w:spacing w:before="50" w:after="50"/>
              <w:jc w:val="center"/>
            </w:pPr>
            <w:r w:rsidRPr="00783571">
              <w:t>0.621</w:t>
            </w:r>
          </w:p>
        </w:tc>
        <w:tc>
          <w:tcPr>
            <w:tcW w:w="950" w:type="pct"/>
            <w:tcBorders>
              <w:top w:val="single" w:sz="6" w:space="0" w:color="808080" w:themeColor="background1" w:themeShade="80"/>
              <w:bottom w:val="single" w:sz="6" w:space="0" w:color="808080" w:themeColor="background1" w:themeShade="80"/>
            </w:tcBorders>
          </w:tcPr>
          <w:p w14:paraId="29B07AE8" w14:textId="77777777" w:rsidR="00FC5936" w:rsidRPr="00783571" w:rsidRDefault="00FC5936" w:rsidP="00FC5936">
            <w:pPr>
              <w:pStyle w:val="TableText"/>
              <w:spacing w:before="50" w:after="50"/>
              <w:jc w:val="center"/>
            </w:pPr>
            <w:r w:rsidRPr="00783571">
              <w:t>0.100</w:t>
            </w:r>
          </w:p>
        </w:tc>
        <w:tc>
          <w:tcPr>
            <w:tcW w:w="950" w:type="pct"/>
            <w:tcBorders>
              <w:top w:val="single" w:sz="6" w:space="0" w:color="808080" w:themeColor="background1" w:themeShade="80"/>
              <w:bottom w:val="single" w:sz="6" w:space="0" w:color="808080" w:themeColor="background1" w:themeShade="80"/>
            </w:tcBorders>
          </w:tcPr>
          <w:p w14:paraId="7267E793" w14:textId="77777777" w:rsidR="00FC5936" w:rsidRPr="00783571" w:rsidRDefault="00FC5936" w:rsidP="00FC5936">
            <w:pPr>
              <w:pStyle w:val="TableText"/>
              <w:spacing w:before="50" w:after="50"/>
              <w:jc w:val="center"/>
            </w:pPr>
            <w:r w:rsidRPr="00783571">
              <w:t>0.800</w:t>
            </w:r>
          </w:p>
        </w:tc>
      </w:tr>
      <w:tr w:rsidR="00FC5936" w:rsidRPr="00783571" w14:paraId="72743A5E" w14:textId="77777777" w:rsidTr="00FC5936">
        <w:trPr>
          <w:cantSplit/>
        </w:trPr>
        <w:tc>
          <w:tcPr>
            <w:tcW w:w="3100" w:type="pct"/>
            <w:gridSpan w:val="2"/>
            <w:tcBorders>
              <w:top w:val="single" w:sz="6" w:space="0" w:color="808080" w:themeColor="background1" w:themeShade="80"/>
              <w:bottom w:val="single" w:sz="6" w:space="0" w:color="808080" w:themeColor="background1" w:themeShade="80"/>
            </w:tcBorders>
          </w:tcPr>
          <w:p w14:paraId="0C7CD0AE" w14:textId="77777777" w:rsidR="00FC5936" w:rsidRPr="00783571" w:rsidRDefault="00FC5936" w:rsidP="00FC5936">
            <w:pPr>
              <w:pStyle w:val="TableText"/>
              <w:spacing w:before="50" w:after="50"/>
            </w:pPr>
            <w:r w:rsidRPr="00783571">
              <w:t>Percentage of sexual partners by risk level (mixing matrix)</w:t>
            </w:r>
          </w:p>
        </w:tc>
        <w:tc>
          <w:tcPr>
            <w:tcW w:w="950" w:type="pct"/>
            <w:tcBorders>
              <w:top w:val="single" w:sz="6" w:space="0" w:color="808080" w:themeColor="background1" w:themeShade="80"/>
              <w:bottom w:val="single" w:sz="6" w:space="0" w:color="808080" w:themeColor="background1" w:themeShade="80"/>
            </w:tcBorders>
          </w:tcPr>
          <w:p w14:paraId="2B5E6D18" w14:textId="77777777" w:rsidR="00FC5936" w:rsidRPr="00783571" w:rsidRDefault="00FC5936" w:rsidP="00FC5936">
            <w:pPr>
              <w:pStyle w:val="TableText"/>
              <w:spacing w:before="50" w:after="50"/>
            </w:pPr>
          </w:p>
        </w:tc>
        <w:tc>
          <w:tcPr>
            <w:tcW w:w="950" w:type="pct"/>
            <w:tcBorders>
              <w:top w:val="single" w:sz="6" w:space="0" w:color="808080" w:themeColor="background1" w:themeShade="80"/>
              <w:bottom w:val="single" w:sz="6" w:space="0" w:color="808080" w:themeColor="background1" w:themeShade="80"/>
            </w:tcBorders>
          </w:tcPr>
          <w:p w14:paraId="608BE8F0" w14:textId="77777777" w:rsidR="00FC5936" w:rsidRPr="00783571" w:rsidRDefault="00FC5936" w:rsidP="00FC5936">
            <w:pPr>
              <w:pStyle w:val="TableText"/>
              <w:spacing w:before="50" w:after="50"/>
            </w:pPr>
          </w:p>
        </w:tc>
      </w:tr>
      <w:tr w:rsidR="00FC5936" w:rsidRPr="00783571" w14:paraId="2A4F4C19" w14:textId="77777777" w:rsidTr="00FC5936">
        <w:trPr>
          <w:cantSplit/>
        </w:trPr>
        <w:tc>
          <w:tcPr>
            <w:tcW w:w="2149" w:type="pct"/>
            <w:tcBorders>
              <w:top w:val="single" w:sz="6" w:space="0" w:color="808080" w:themeColor="background1" w:themeShade="80"/>
              <w:bottom w:val="single" w:sz="6" w:space="0" w:color="808080" w:themeColor="background1" w:themeShade="80"/>
            </w:tcBorders>
          </w:tcPr>
          <w:p w14:paraId="6FF019AA" w14:textId="77777777" w:rsidR="00FC5936" w:rsidRPr="00783571" w:rsidRDefault="00FC5936" w:rsidP="00FC5936">
            <w:pPr>
              <w:pStyle w:val="TableTextIndent1"/>
              <w:spacing w:before="50" w:after="50"/>
            </w:pPr>
            <w:r w:rsidRPr="00783571">
              <w:t>HET/PWID—Low: Low</w:t>
            </w:r>
          </w:p>
        </w:tc>
        <w:tc>
          <w:tcPr>
            <w:tcW w:w="951" w:type="pct"/>
            <w:tcBorders>
              <w:top w:val="single" w:sz="6" w:space="0" w:color="808080" w:themeColor="background1" w:themeShade="80"/>
              <w:bottom w:val="single" w:sz="6" w:space="0" w:color="808080" w:themeColor="background1" w:themeShade="80"/>
            </w:tcBorders>
          </w:tcPr>
          <w:p w14:paraId="69156FCA" w14:textId="77777777" w:rsidR="00FC5936" w:rsidRPr="00783571" w:rsidRDefault="00FC5936" w:rsidP="00FC5936">
            <w:pPr>
              <w:pStyle w:val="TableText"/>
              <w:spacing w:before="50" w:after="50"/>
              <w:jc w:val="center"/>
            </w:pPr>
            <w:r w:rsidRPr="00783571">
              <w:t>0.964</w:t>
            </w:r>
          </w:p>
        </w:tc>
        <w:tc>
          <w:tcPr>
            <w:tcW w:w="950" w:type="pct"/>
            <w:tcBorders>
              <w:top w:val="single" w:sz="6" w:space="0" w:color="808080" w:themeColor="background1" w:themeShade="80"/>
              <w:bottom w:val="single" w:sz="6" w:space="0" w:color="808080" w:themeColor="background1" w:themeShade="80"/>
            </w:tcBorders>
          </w:tcPr>
          <w:p w14:paraId="766E7AE9" w14:textId="77777777" w:rsidR="00FC5936" w:rsidRPr="00783571" w:rsidRDefault="00FC5936" w:rsidP="00FC5936">
            <w:pPr>
              <w:pStyle w:val="TableText"/>
              <w:spacing w:before="50" w:after="50"/>
              <w:jc w:val="center"/>
            </w:pPr>
            <w:r w:rsidRPr="00783571">
              <w:t>0.850</w:t>
            </w:r>
          </w:p>
        </w:tc>
        <w:tc>
          <w:tcPr>
            <w:tcW w:w="950" w:type="pct"/>
            <w:tcBorders>
              <w:top w:val="single" w:sz="6" w:space="0" w:color="808080" w:themeColor="background1" w:themeShade="80"/>
              <w:bottom w:val="single" w:sz="6" w:space="0" w:color="808080" w:themeColor="background1" w:themeShade="80"/>
            </w:tcBorders>
          </w:tcPr>
          <w:p w14:paraId="076E3762" w14:textId="77777777" w:rsidR="00FC5936" w:rsidRPr="00783571" w:rsidRDefault="00FC5936" w:rsidP="00FC5936">
            <w:pPr>
              <w:pStyle w:val="TableText"/>
              <w:spacing w:before="50" w:after="50"/>
              <w:jc w:val="center"/>
            </w:pPr>
            <w:r w:rsidRPr="00783571">
              <w:t>0.999</w:t>
            </w:r>
          </w:p>
        </w:tc>
      </w:tr>
      <w:tr w:rsidR="00FC5936" w:rsidRPr="00783571" w14:paraId="77A603F9" w14:textId="77777777" w:rsidTr="00FC5936">
        <w:trPr>
          <w:cantSplit/>
        </w:trPr>
        <w:tc>
          <w:tcPr>
            <w:tcW w:w="2149" w:type="pct"/>
            <w:tcBorders>
              <w:top w:val="single" w:sz="6" w:space="0" w:color="808080" w:themeColor="background1" w:themeShade="80"/>
              <w:bottom w:val="single" w:sz="6" w:space="0" w:color="808080" w:themeColor="background1" w:themeShade="80"/>
            </w:tcBorders>
          </w:tcPr>
          <w:p w14:paraId="3F2715FA" w14:textId="77777777" w:rsidR="00FC5936" w:rsidRPr="00783571" w:rsidRDefault="00FC5936" w:rsidP="00FC5936">
            <w:pPr>
              <w:pStyle w:val="TableTextIndent1"/>
              <w:spacing w:before="50" w:after="50"/>
            </w:pPr>
            <w:r w:rsidRPr="00783571">
              <w:t>HET/PWID—High: High</w:t>
            </w:r>
          </w:p>
        </w:tc>
        <w:tc>
          <w:tcPr>
            <w:tcW w:w="951" w:type="pct"/>
            <w:tcBorders>
              <w:top w:val="single" w:sz="6" w:space="0" w:color="808080" w:themeColor="background1" w:themeShade="80"/>
              <w:bottom w:val="single" w:sz="6" w:space="0" w:color="808080" w:themeColor="background1" w:themeShade="80"/>
            </w:tcBorders>
          </w:tcPr>
          <w:p w14:paraId="5982E8D1" w14:textId="77777777" w:rsidR="00FC5936" w:rsidRPr="00783571" w:rsidRDefault="00FC5936" w:rsidP="00FC5936">
            <w:pPr>
              <w:pStyle w:val="TableText"/>
              <w:spacing w:before="50" w:after="50"/>
              <w:jc w:val="center"/>
            </w:pPr>
            <w:r w:rsidRPr="00783571">
              <w:t>0.776</w:t>
            </w:r>
          </w:p>
        </w:tc>
        <w:tc>
          <w:tcPr>
            <w:tcW w:w="950" w:type="pct"/>
            <w:tcBorders>
              <w:top w:val="single" w:sz="6" w:space="0" w:color="808080" w:themeColor="background1" w:themeShade="80"/>
              <w:bottom w:val="single" w:sz="6" w:space="0" w:color="808080" w:themeColor="background1" w:themeShade="80"/>
            </w:tcBorders>
          </w:tcPr>
          <w:p w14:paraId="0E2A8155" w14:textId="77777777" w:rsidR="00FC5936" w:rsidRPr="00783571" w:rsidRDefault="00FC5936" w:rsidP="00FC5936">
            <w:pPr>
              <w:pStyle w:val="TableText"/>
              <w:spacing w:before="50" w:after="50"/>
              <w:jc w:val="center"/>
            </w:pPr>
            <w:r w:rsidRPr="00783571">
              <w:t>0.600</w:t>
            </w:r>
          </w:p>
        </w:tc>
        <w:tc>
          <w:tcPr>
            <w:tcW w:w="950" w:type="pct"/>
            <w:tcBorders>
              <w:top w:val="single" w:sz="6" w:space="0" w:color="808080" w:themeColor="background1" w:themeShade="80"/>
              <w:bottom w:val="single" w:sz="6" w:space="0" w:color="808080" w:themeColor="background1" w:themeShade="80"/>
            </w:tcBorders>
          </w:tcPr>
          <w:p w14:paraId="0FB04078" w14:textId="77777777" w:rsidR="00FC5936" w:rsidRPr="00783571" w:rsidRDefault="00FC5936" w:rsidP="00FC5936">
            <w:pPr>
              <w:pStyle w:val="TableText"/>
              <w:spacing w:before="50" w:after="50"/>
              <w:jc w:val="center"/>
            </w:pPr>
            <w:r w:rsidRPr="00783571">
              <w:t>0.990</w:t>
            </w:r>
          </w:p>
        </w:tc>
      </w:tr>
      <w:tr w:rsidR="00FC5936" w:rsidRPr="00783571" w14:paraId="7886BBC4" w14:textId="77777777" w:rsidTr="00FC5936">
        <w:trPr>
          <w:cantSplit/>
        </w:trPr>
        <w:tc>
          <w:tcPr>
            <w:tcW w:w="2149" w:type="pct"/>
            <w:tcBorders>
              <w:top w:val="single" w:sz="6" w:space="0" w:color="808080" w:themeColor="background1" w:themeShade="80"/>
              <w:bottom w:val="single" w:sz="6" w:space="0" w:color="808080" w:themeColor="background1" w:themeShade="80"/>
            </w:tcBorders>
          </w:tcPr>
          <w:p w14:paraId="36F35321" w14:textId="77777777" w:rsidR="00FC5936" w:rsidRPr="00783571" w:rsidRDefault="00FC5936" w:rsidP="00FC5936">
            <w:pPr>
              <w:pStyle w:val="TableTextIndent1"/>
              <w:spacing w:before="50" w:after="50"/>
            </w:pPr>
            <w:r w:rsidRPr="00783571">
              <w:t>MSM—Low: Low</w:t>
            </w:r>
          </w:p>
        </w:tc>
        <w:tc>
          <w:tcPr>
            <w:tcW w:w="951" w:type="pct"/>
            <w:tcBorders>
              <w:top w:val="single" w:sz="6" w:space="0" w:color="808080" w:themeColor="background1" w:themeShade="80"/>
              <w:bottom w:val="single" w:sz="6" w:space="0" w:color="808080" w:themeColor="background1" w:themeShade="80"/>
            </w:tcBorders>
          </w:tcPr>
          <w:p w14:paraId="2FC8F394" w14:textId="77777777" w:rsidR="00FC5936" w:rsidRPr="00783571" w:rsidRDefault="00FC5936" w:rsidP="00FC5936">
            <w:pPr>
              <w:pStyle w:val="TableText"/>
              <w:spacing w:before="50" w:after="50"/>
              <w:jc w:val="center"/>
            </w:pPr>
            <w:r w:rsidRPr="00783571">
              <w:t>0.962</w:t>
            </w:r>
          </w:p>
        </w:tc>
        <w:tc>
          <w:tcPr>
            <w:tcW w:w="950" w:type="pct"/>
            <w:tcBorders>
              <w:top w:val="single" w:sz="6" w:space="0" w:color="808080" w:themeColor="background1" w:themeShade="80"/>
              <w:bottom w:val="single" w:sz="6" w:space="0" w:color="808080" w:themeColor="background1" w:themeShade="80"/>
            </w:tcBorders>
          </w:tcPr>
          <w:p w14:paraId="4B353F65" w14:textId="77777777" w:rsidR="00FC5936" w:rsidRPr="00783571" w:rsidRDefault="00FC5936" w:rsidP="00FC5936">
            <w:pPr>
              <w:pStyle w:val="TableText"/>
              <w:spacing w:before="50" w:after="50"/>
              <w:jc w:val="center"/>
            </w:pPr>
            <w:r w:rsidRPr="00783571">
              <w:t>0.850</w:t>
            </w:r>
          </w:p>
        </w:tc>
        <w:tc>
          <w:tcPr>
            <w:tcW w:w="950" w:type="pct"/>
            <w:tcBorders>
              <w:top w:val="single" w:sz="6" w:space="0" w:color="808080" w:themeColor="background1" w:themeShade="80"/>
              <w:bottom w:val="single" w:sz="6" w:space="0" w:color="808080" w:themeColor="background1" w:themeShade="80"/>
            </w:tcBorders>
          </w:tcPr>
          <w:p w14:paraId="54CDDC3C" w14:textId="77777777" w:rsidR="00FC5936" w:rsidRPr="00783571" w:rsidRDefault="00FC5936" w:rsidP="00FC5936">
            <w:pPr>
              <w:pStyle w:val="TableText"/>
              <w:spacing w:before="50" w:after="50"/>
              <w:jc w:val="center"/>
            </w:pPr>
            <w:r w:rsidRPr="00783571">
              <w:t>0.990</w:t>
            </w:r>
          </w:p>
        </w:tc>
      </w:tr>
      <w:tr w:rsidR="00FC5936" w:rsidRPr="00783571" w14:paraId="16EFA5F0" w14:textId="77777777" w:rsidTr="00FC5936">
        <w:trPr>
          <w:cantSplit/>
        </w:trPr>
        <w:tc>
          <w:tcPr>
            <w:tcW w:w="2149" w:type="pct"/>
            <w:tcBorders>
              <w:top w:val="single" w:sz="6" w:space="0" w:color="808080" w:themeColor="background1" w:themeShade="80"/>
              <w:bottom w:val="single" w:sz="6" w:space="0" w:color="auto"/>
            </w:tcBorders>
          </w:tcPr>
          <w:p w14:paraId="63DE4377" w14:textId="77777777" w:rsidR="00FC5936" w:rsidRPr="00783571" w:rsidRDefault="00FC5936" w:rsidP="00FC5936">
            <w:pPr>
              <w:pStyle w:val="TableTextIndent1"/>
              <w:spacing w:before="50" w:after="50"/>
            </w:pPr>
            <w:r w:rsidRPr="00783571">
              <w:t>MSM—High: High</w:t>
            </w:r>
          </w:p>
        </w:tc>
        <w:tc>
          <w:tcPr>
            <w:tcW w:w="951" w:type="pct"/>
            <w:tcBorders>
              <w:top w:val="single" w:sz="6" w:space="0" w:color="808080" w:themeColor="background1" w:themeShade="80"/>
              <w:bottom w:val="single" w:sz="6" w:space="0" w:color="auto"/>
            </w:tcBorders>
          </w:tcPr>
          <w:p w14:paraId="60CF1068" w14:textId="77777777" w:rsidR="00FC5936" w:rsidRPr="00783571" w:rsidRDefault="00FC5936" w:rsidP="00FC5936">
            <w:pPr>
              <w:pStyle w:val="TableText"/>
              <w:spacing w:before="50" w:after="50"/>
              <w:jc w:val="center"/>
            </w:pPr>
            <w:r w:rsidRPr="00783571">
              <w:t>0.769</w:t>
            </w:r>
          </w:p>
        </w:tc>
        <w:tc>
          <w:tcPr>
            <w:tcW w:w="950" w:type="pct"/>
            <w:tcBorders>
              <w:top w:val="single" w:sz="6" w:space="0" w:color="808080" w:themeColor="background1" w:themeShade="80"/>
              <w:bottom w:val="single" w:sz="6" w:space="0" w:color="auto"/>
            </w:tcBorders>
          </w:tcPr>
          <w:p w14:paraId="02B5605E" w14:textId="77777777" w:rsidR="00FC5936" w:rsidRPr="00783571" w:rsidRDefault="00FC5936" w:rsidP="00FC5936">
            <w:pPr>
              <w:pStyle w:val="TableText"/>
              <w:spacing w:before="50" w:after="50"/>
              <w:jc w:val="center"/>
            </w:pPr>
            <w:r w:rsidRPr="00783571">
              <w:t>0.600</w:t>
            </w:r>
          </w:p>
        </w:tc>
        <w:tc>
          <w:tcPr>
            <w:tcW w:w="950" w:type="pct"/>
            <w:tcBorders>
              <w:top w:val="single" w:sz="6" w:space="0" w:color="808080" w:themeColor="background1" w:themeShade="80"/>
              <w:bottom w:val="single" w:sz="6" w:space="0" w:color="auto"/>
            </w:tcBorders>
          </w:tcPr>
          <w:p w14:paraId="033EAFEC" w14:textId="77777777" w:rsidR="00FC5936" w:rsidRPr="00783571" w:rsidRDefault="00FC5936" w:rsidP="00FC5936">
            <w:pPr>
              <w:pStyle w:val="TableText"/>
              <w:spacing w:before="50" w:after="50"/>
              <w:jc w:val="center"/>
            </w:pPr>
            <w:r w:rsidRPr="00783571">
              <w:t>0.990</w:t>
            </w:r>
          </w:p>
        </w:tc>
      </w:tr>
    </w:tbl>
    <w:p w14:paraId="085FE6A3" w14:textId="342E7886" w:rsidR="00871E69" w:rsidRPr="00783571" w:rsidRDefault="00FC5936" w:rsidP="00871E69">
      <w:pPr>
        <w:pStyle w:val="Tablecont"/>
      </w:pPr>
      <w:r w:rsidRPr="00783571">
        <w:t xml:space="preserve"> </w:t>
      </w:r>
      <w:r w:rsidR="00871E69" w:rsidRPr="00783571">
        <w:t>(continued)</w:t>
      </w:r>
    </w:p>
    <w:p w14:paraId="0E0F91B2" w14:textId="77777777" w:rsidR="00FC5936" w:rsidRPr="00783571" w:rsidRDefault="00FC5936">
      <w:pPr>
        <w:rPr>
          <w:b/>
        </w:rPr>
      </w:pPr>
      <w:r w:rsidRPr="00783571">
        <w:br w:type="page"/>
      </w:r>
    </w:p>
    <w:p w14:paraId="621FA5EC" w14:textId="3CD68DED" w:rsidR="00871E69" w:rsidRPr="00783571" w:rsidRDefault="00871E69" w:rsidP="00903B31">
      <w:pPr>
        <w:pStyle w:val="TableTitlecont"/>
      </w:pPr>
      <w:r w:rsidRPr="00783571">
        <w:t xml:space="preserve">Table </w:t>
      </w:r>
      <w:r w:rsidR="00903B31" w:rsidRPr="00783571">
        <w:t>11</w:t>
      </w:r>
      <w:r w:rsidRPr="00783571">
        <w:t>.2.</w:t>
      </w:r>
      <w:r w:rsidRPr="00783571">
        <w:tab/>
      </w:r>
      <w:r w:rsidR="00D641F3" w:rsidRPr="00783571">
        <w:t xml:space="preserve">Bounds and Final </w:t>
      </w:r>
      <w:r w:rsidRPr="00783571">
        <w:t>Values of Inputs Defining Behaviors and Infectivity Varied in Calibration (continued)</w:t>
      </w:r>
    </w:p>
    <w:tbl>
      <w:tblPr>
        <w:tblW w:w="5000" w:type="pct"/>
        <w:tblBorders>
          <w:top w:val="single" w:sz="12" w:space="0" w:color="auto"/>
          <w:bottom w:val="single" w:sz="12" w:space="0" w:color="auto"/>
        </w:tblBorders>
        <w:tblCellMar>
          <w:left w:w="115" w:type="dxa"/>
          <w:right w:w="115" w:type="dxa"/>
        </w:tblCellMar>
        <w:tblLook w:val="04A0" w:firstRow="1" w:lastRow="0" w:firstColumn="1" w:lastColumn="0" w:noHBand="0" w:noVBand="1"/>
      </w:tblPr>
      <w:tblGrid>
        <w:gridCol w:w="4025"/>
        <w:gridCol w:w="1780"/>
        <w:gridCol w:w="1778"/>
        <w:gridCol w:w="1777"/>
      </w:tblGrid>
      <w:tr w:rsidR="00FC5936" w:rsidRPr="00783571" w14:paraId="5A9C256C" w14:textId="77777777" w:rsidTr="00BE6EBA">
        <w:trPr>
          <w:cantSplit/>
          <w:tblHeader/>
        </w:trPr>
        <w:tc>
          <w:tcPr>
            <w:tcW w:w="2150" w:type="pct"/>
            <w:tcBorders>
              <w:top w:val="single" w:sz="12" w:space="0" w:color="auto"/>
              <w:bottom w:val="single" w:sz="6" w:space="0" w:color="auto"/>
            </w:tcBorders>
            <w:vAlign w:val="bottom"/>
          </w:tcPr>
          <w:p w14:paraId="71155F7C" w14:textId="77777777" w:rsidR="00FC5936" w:rsidRPr="00783571" w:rsidRDefault="00FC5936" w:rsidP="00FC5936">
            <w:pPr>
              <w:pStyle w:val="TableHeaders"/>
            </w:pPr>
            <w:r w:rsidRPr="00783571">
              <w:t>Parameter</w:t>
            </w:r>
          </w:p>
        </w:tc>
        <w:tc>
          <w:tcPr>
            <w:tcW w:w="951" w:type="pct"/>
            <w:tcBorders>
              <w:top w:val="single" w:sz="12" w:space="0" w:color="auto"/>
              <w:bottom w:val="single" w:sz="6" w:space="0" w:color="auto"/>
            </w:tcBorders>
            <w:vAlign w:val="bottom"/>
          </w:tcPr>
          <w:p w14:paraId="5BFD0CA2" w14:textId="77777777" w:rsidR="00FC5936" w:rsidRPr="00783571" w:rsidRDefault="00FC5936" w:rsidP="00FC5936">
            <w:pPr>
              <w:pStyle w:val="TableHeaders"/>
            </w:pPr>
            <w:r w:rsidRPr="00783571">
              <w:t>Calibrated Value</w:t>
            </w:r>
          </w:p>
        </w:tc>
        <w:tc>
          <w:tcPr>
            <w:tcW w:w="950" w:type="pct"/>
            <w:tcBorders>
              <w:top w:val="single" w:sz="12" w:space="0" w:color="auto"/>
              <w:bottom w:val="single" w:sz="6" w:space="0" w:color="auto"/>
            </w:tcBorders>
          </w:tcPr>
          <w:p w14:paraId="15DA94F8" w14:textId="77777777" w:rsidR="00FC5936" w:rsidRPr="00783571" w:rsidRDefault="00FC5936" w:rsidP="00FC5936">
            <w:pPr>
              <w:pStyle w:val="TableHeaders"/>
            </w:pPr>
            <w:r w:rsidRPr="00783571">
              <w:t>Lower Bound</w:t>
            </w:r>
          </w:p>
        </w:tc>
        <w:tc>
          <w:tcPr>
            <w:tcW w:w="949" w:type="pct"/>
            <w:tcBorders>
              <w:top w:val="single" w:sz="12" w:space="0" w:color="auto"/>
              <w:bottom w:val="single" w:sz="6" w:space="0" w:color="auto"/>
            </w:tcBorders>
          </w:tcPr>
          <w:p w14:paraId="7D91BA11" w14:textId="77777777" w:rsidR="00FC5936" w:rsidRPr="00783571" w:rsidRDefault="00FC5936" w:rsidP="00FC5936">
            <w:pPr>
              <w:pStyle w:val="TableHeaders"/>
            </w:pPr>
            <w:r w:rsidRPr="00783571">
              <w:t>Upper Bound</w:t>
            </w:r>
          </w:p>
        </w:tc>
      </w:tr>
      <w:tr w:rsidR="00FC5936" w:rsidRPr="00783571" w14:paraId="70FD87C6" w14:textId="77777777" w:rsidTr="00BE6EBA">
        <w:trPr>
          <w:cantSplit/>
        </w:trPr>
        <w:tc>
          <w:tcPr>
            <w:tcW w:w="3101" w:type="pct"/>
            <w:gridSpan w:val="2"/>
            <w:tcBorders>
              <w:top w:val="single" w:sz="6" w:space="0" w:color="auto"/>
              <w:bottom w:val="single" w:sz="6" w:space="0" w:color="808080" w:themeColor="background1" w:themeShade="80"/>
            </w:tcBorders>
          </w:tcPr>
          <w:p w14:paraId="335474D4" w14:textId="77777777" w:rsidR="00FC5936" w:rsidRPr="00783571" w:rsidRDefault="00FC5936" w:rsidP="00FC5936">
            <w:pPr>
              <w:pStyle w:val="TableText"/>
              <w:spacing w:before="50" w:after="50"/>
            </w:pPr>
            <w:r w:rsidRPr="00783571">
              <w:t>Percentage of sexual partners by race (mixing matrix)</w:t>
            </w:r>
          </w:p>
        </w:tc>
        <w:tc>
          <w:tcPr>
            <w:tcW w:w="950" w:type="pct"/>
            <w:tcBorders>
              <w:top w:val="single" w:sz="6" w:space="0" w:color="auto"/>
              <w:bottom w:val="single" w:sz="6" w:space="0" w:color="808080" w:themeColor="background1" w:themeShade="80"/>
            </w:tcBorders>
          </w:tcPr>
          <w:p w14:paraId="4A12C5A0" w14:textId="77777777" w:rsidR="00FC5936" w:rsidRPr="00783571" w:rsidRDefault="00FC5936" w:rsidP="00FC5936">
            <w:pPr>
              <w:pStyle w:val="TableText"/>
              <w:spacing w:before="50" w:after="50"/>
            </w:pPr>
          </w:p>
        </w:tc>
        <w:tc>
          <w:tcPr>
            <w:tcW w:w="949" w:type="pct"/>
            <w:tcBorders>
              <w:top w:val="single" w:sz="6" w:space="0" w:color="auto"/>
              <w:bottom w:val="single" w:sz="6" w:space="0" w:color="808080" w:themeColor="background1" w:themeShade="80"/>
            </w:tcBorders>
          </w:tcPr>
          <w:p w14:paraId="4D347872" w14:textId="77777777" w:rsidR="00FC5936" w:rsidRPr="00783571" w:rsidRDefault="00FC5936" w:rsidP="00FC5936">
            <w:pPr>
              <w:pStyle w:val="TableText"/>
              <w:spacing w:before="50" w:after="50"/>
            </w:pPr>
          </w:p>
        </w:tc>
      </w:tr>
      <w:tr w:rsidR="00FC5936" w:rsidRPr="00783571" w14:paraId="14AC0CBB"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494EB961" w14:textId="77777777" w:rsidR="00FC5936" w:rsidRPr="00783571" w:rsidRDefault="00FC5936" w:rsidP="00FC5936">
            <w:pPr>
              <w:pStyle w:val="TableTextIndent1"/>
              <w:spacing w:before="50" w:after="50"/>
            </w:pPr>
            <w:r w:rsidRPr="00783571">
              <w:t>Black: Hispanic</w:t>
            </w:r>
          </w:p>
        </w:tc>
        <w:tc>
          <w:tcPr>
            <w:tcW w:w="951" w:type="pct"/>
            <w:tcBorders>
              <w:top w:val="single" w:sz="6" w:space="0" w:color="808080" w:themeColor="background1" w:themeShade="80"/>
              <w:bottom w:val="single" w:sz="6" w:space="0" w:color="808080" w:themeColor="background1" w:themeShade="80"/>
            </w:tcBorders>
          </w:tcPr>
          <w:p w14:paraId="6C2AA137" w14:textId="77777777" w:rsidR="00FC5936" w:rsidRPr="00783571" w:rsidRDefault="00FC5936" w:rsidP="00FC5936">
            <w:pPr>
              <w:pStyle w:val="TableText"/>
              <w:spacing w:before="50" w:after="50"/>
              <w:jc w:val="center"/>
            </w:pPr>
            <w:r w:rsidRPr="00783571">
              <w:t>0.028</w:t>
            </w:r>
          </w:p>
        </w:tc>
        <w:tc>
          <w:tcPr>
            <w:tcW w:w="950" w:type="pct"/>
            <w:tcBorders>
              <w:top w:val="single" w:sz="6" w:space="0" w:color="808080" w:themeColor="background1" w:themeShade="80"/>
              <w:bottom w:val="single" w:sz="6" w:space="0" w:color="808080" w:themeColor="background1" w:themeShade="80"/>
            </w:tcBorders>
          </w:tcPr>
          <w:p w14:paraId="3A77B929" w14:textId="77777777" w:rsidR="00FC5936" w:rsidRPr="00783571" w:rsidRDefault="00FC5936" w:rsidP="00FC5936">
            <w:pPr>
              <w:pStyle w:val="TableText"/>
              <w:spacing w:before="50" w:after="50"/>
              <w:jc w:val="center"/>
            </w:pPr>
            <w:r w:rsidRPr="00783571">
              <w:t>0.005</w:t>
            </w:r>
          </w:p>
        </w:tc>
        <w:tc>
          <w:tcPr>
            <w:tcW w:w="949" w:type="pct"/>
            <w:tcBorders>
              <w:top w:val="single" w:sz="6" w:space="0" w:color="808080" w:themeColor="background1" w:themeShade="80"/>
              <w:bottom w:val="single" w:sz="6" w:space="0" w:color="808080" w:themeColor="background1" w:themeShade="80"/>
            </w:tcBorders>
          </w:tcPr>
          <w:p w14:paraId="1E072F3E" w14:textId="77777777" w:rsidR="00FC5936" w:rsidRPr="00783571" w:rsidRDefault="00FC5936" w:rsidP="00FC5936">
            <w:pPr>
              <w:pStyle w:val="TableText"/>
              <w:spacing w:before="50" w:after="50"/>
              <w:jc w:val="center"/>
            </w:pPr>
            <w:r w:rsidRPr="00783571">
              <w:t>0.050</w:t>
            </w:r>
          </w:p>
        </w:tc>
      </w:tr>
      <w:tr w:rsidR="00FC5936" w:rsidRPr="00783571" w14:paraId="4C5ECC7D"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2771260C" w14:textId="77777777" w:rsidR="00FC5936" w:rsidRPr="00783571" w:rsidRDefault="00FC5936" w:rsidP="00FC5936">
            <w:pPr>
              <w:pStyle w:val="TableTextIndent1"/>
              <w:spacing w:before="50" w:after="50"/>
            </w:pPr>
            <w:r w:rsidRPr="00783571">
              <w:t>Black: Other</w:t>
            </w:r>
          </w:p>
        </w:tc>
        <w:tc>
          <w:tcPr>
            <w:tcW w:w="951" w:type="pct"/>
            <w:tcBorders>
              <w:top w:val="single" w:sz="6" w:space="0" w:color="808080" w:themeColor="background1" w:themeShade="80"/>
              <w:bottom w:val="single" w:sz="6" w:space="0" w:color="808080" w:themeColor="background1" w:themeShade="80"/>
            </w:tcBorders>
          </w:tcPr>
          <w:p w14:paraId="3ACD521B" w14:textId="77777777" w:rsidR="00FC5936" w:rsidRPr="00783571" w:rsidRDefault="00FC5936" w:rsidP="00FC5936">
            <w:pPr>
              <w:pStyle w:val="TableText"/>
              <w:spacing w:before="50" w:after="50"/>
              <w:jc w:val="center"/>
            </w:pPr>
            <w:r w:rsidRPr="00783571">
              <w:t>0.078</w:t>
            </w:r>
          </w:p>
        </w:tc>
        <w:tc>
          <w:tcPr>
            <w:tcW w:w="950" w:type="pct"/>
            <w:tcBorders>
              <w:top w:val="single" w:sz="6" w:space="0" w:color="808080" w:themeColor="background1" w:themeShade="80"/>
              <w:bottom w:val="single" w:sz="6" w:space="0" w:color="808080" w:themeColor="background1" w:themeShade="80"/>
            </w:tcBorders>
          </w:tcPr>
          <w:p w14:paraId="71D3B50A" w14:textId="77777777" w:rsidR="00FC5936" w:rsidRPr="00783571" w:rsidRDefault="00FC5936" w:rsidP="00FC5936">
            <w:pPr>
              <w:pStyle w:val="TableText"/>
              <w:spacing w:before="50" w:after="50"/>
              <w:jc w:val="center"/>
            </w:pPr>
            <w:r w:rsidRPr="00783571">
              <w:t>0.035</w:t>
            </w:r>
          </w:p>
        </w:tc>
        <w:tc>
          <w:tcPr>
            <w:tcW w:w="949" w:type="pct"/>
            <w:tcBorders>
              <w:top w:val="single" w:sz="6" w:space="0" w:color="808080" w:themeColor="background1" w:themeShade="80"/>
              <w:bottom w:val="single" w:sz="6" w:space="0" w:color="808080" w:themeColor="background1" w:themeShade="80"/>
            </w:tcBorders>
          </w:tcPr>
          <w:p w14:paraId="61D53BAA" w14:textId="77777777" w:rsidR="00FC5936" w:rsidRPr="00783571" w:rsidRDefault="00FC5936" w:rsidP="00FC5936">
            <w:pPr>
              <w:pStyle w:val="TableText"/>
              <w:spacing w:before="50" w:after="50"/>
              <w:jc w:val="center"/>
            </w:pPr>
            <w:r w:rsidRPr="00783571">
              <w:t>0.120</w:t>
            </w:r>
          </w:p>
        </w:tc>
      </w:tr>
      <w:tr w:rsidR="00FC5936" w:rsidRPr="00783571" w14:paraId="07FD6232"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6BD7A82E" w14:textId="77777777" w:rsidR="00FC5936" w:rsidRPr="00783571" w:rsidRDefault="00FC5936" w:rsidP="00FC5936">
            <w:pPr>
              <w:pStyle w:val="TableTextIndent1"/>
              <w:spacing w:before="50" w:after="50"/>
            </w:pPr>
            <w:r w:rsidRPr="00783571">
              <w:t>Hispanic: Black</w:t>
            </w:r>
          </w:p>
        </w:tc>
        <w:tc>
          <w:tcPr>
            <w:tcW w:w="951" w:type="pct"/>
            <w:tcBorders>
              <w:top w:val="single" w:sz="6" w:space="0" w:color="808080" w:themeColor="background1" w:themeShade="80"/>
              <w:bottom w:val="single" w:sz="6" w:space="0" w:color="808080" w:themeColor="background1" w:themeShade="80"/>
            </w:tcBorders>
          </w:tcPr>
          <w:p w14:paraId="4B5BE592" w14:textId="77777777" w:rsidR="00FC5936" w:rsidRPr="00783571" w:rsidRDefault="00FC5936" w:rsidP="00FC5936">
            <w:pPr>
              <w:pStyle w:val="TableText"/>
              <w:spacing w:before="50" w:after="50"/>
              <w:jc w:val="center"/>
            </w:pPr>
            <w:r w:rsidRPr="00783571">
              <w:t>0.048</w:t>
            </w:r>
          </w:p>
        </w:tc>
        <w:tc>
          <w:tcPr>
            <w:tcW w:w="950" w:type="pct"/>
            <w:tcBorders>
              <w:top w:val="single" w:sz="6" w:space="0" w:color="808080" w:themeColor="background1" w:themeShade="80"/>
              <w:bottom w:val="single" w:sz="6" w:space="0" w:color="808080" w:themeColor="background1" w:themeShade="80"/>
            </w:tcBorders>
          </w:tcPr>
          <w:p w14:paraId="1F82EB6E" w14:textId="77777777" w:rsidR="00FC5936" w:rsidRPr="00783571" w:rsidRDefault="00FC5936" w:rsidP="00FC5936">
            <w:pPr>
              <w:pStyle w:val="TableText"/>
              <w:spacing w:before="50" w:after="50"/>
              <w:jc w:val="center"/>
            </w:pPr>
            <w:r w:rsidRPr="00783571">
              <w:t>0.010</w:t>
            </w:r>
          </w:p>
        </w:tc>
        <w:tc>
          <w:tcPr>
            <w:tcW w:w="949" w:type="pct"/>
            <w:tcBorders>
              <w:top w:val="single" w:sz="6" w:space="0" w:color="808080" w:themeColor="background1" w:themeShade="80"/>
              <w:bottom w:val="single" w:sz="6" w:space="0" w:color="808080" w:themeColor="background1" w:themeShade="80"/>
            </w:tcBorders>
          </w:tcPr>
          <w:p w14:paraId="7C8EA92F" w14:textId="77777777" w:rsidR="00FC5936" w:rsidRPr="00783571" w:rsidRDefault="00FC5936" w:rsidP="00FC5936">
            <w:pPr>
              <w:pStyle w:val="TableText"/>
              <w:spacing w:before="50" w:after="50"/>
              <w:jc w:val="center"/>
            </w:pPr>
            <w:r w:rsidRPr="00783571">
              <w:t>0.100</w:t>
            </w:r>
          </w:p>
        </w:tc>
      </w:tr>
      <w:tr w:rsidR="00FC5936" w:rsidRPr="00783571" w14:paraId="143ABFB2"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1EACBDDB" w14:textId="77777777" w:rsidR="00FC5936" w:rsidRPr="00783571" w:rsidRDefault="00FC5936" w:rsidP="00FC5936">
            <w:pPr>
              <w:pStyle w:val="TableTextIndent1"/>
              <w:spacing w:before="50" w:after="50"/>
            </w:pPr>
            <w:r w:rsidRPr="00783571">
              <w:t>Hispanic: Other</w:t>
            </w:r>
          </w:p>
        </w:tc>
        <w:tc>
          <w:tcPr>
            <w:tcW w:w="951" w:type="pct"/>
            <w:tcBorders>
              <w:top w:val="single" w:sz="6" w:space="0" w:color="808080" w:themeColor="background1" w:themeShade="80"/>
              <w:bottom w:val="single" w:sz="6" w:space="0" w:color="808080" w:themeColor="background1" w:themeShade="80"/>
            </w:tcBorders>
          </w:tcPr>
          <w:p w14:paraId="63FC3C0B" w14:textId="77777777" w:rsidR="00FC5936" w:rsidRPr="00783571" w:rsidRDefault="00FC5936" w:rsidP="00FC5936">
            <w:pPr>
              <w:pStyle w:val="TableText"/>
              <w:spacing w:before="50" w:after="50"/>
              <w:jc w:val="center"/>
            </w:pPr>
            <w:r w:rsidRPr="00783571">
              <w:t>0.278</w:t>
            </w:r>
          </w:p>
        </w:tc>
        <w:tc>
          <w:tcPr>
            <w:tcW w:w="950" w:type="pct"/>
            <w:tcBorders>
              <w:top w:val="single" w:sz="6" w:space="0" w:color="808080" w:themeColor="background1" w:themeShade="80"/>
              <w:bottom w:val="single" w:sz="6" w:space="0" w:color="808080" w:themeColor="background1" w:themeShade="80"/>
            </w:tcBorders>
          </w:tcPr>
          <w:p w14:paraId="5E9868C2" w14:textId="77777777" w:rsidR="00FC5936" w:rsidRPr="00783571" w:rsidRDefault="00FC5936" w:rsidP="00FC5936">
            <w:pPr>
              <w:pStyle w:val="TableText"/>
              <w:spacing w:before="50" w:after="50"/>
              <w:jc w:val="center"/>
            </w:pPr>
            <w:r w:rsidRPr="00783571">
              <w:t>0.150</w:t>
            </w:r>
          </w:p>
        </w:tc>
        <w:tc>
          <w:tcPr>
            <w:tcW w:w="949" w:type="pct"/>
            <w:tcBorders>
              <w:top w:val="single" w:sz="6" w:space="0" w:color="808080" w:themeColor="background1" w:themeShade="80"/>
              <w:bottom w:val="single" w:sz="6" w:space="0" w:color="808080" w:themeColor="background1" w:themeShade="80"/>
            </w:tcBorders>
          </w:tcPr>
          <w:p w14:paraId="17F7B07F" w14:textId="77777777" w:rsidR="00FC5936" w:rsidRPr="00783571" w:rsidRDefault="00FC5936" w:rsidP="00FC5936">
            <w:pPr>
              <w:pStyle w:val="TableText"/>
              <w:spacing w:before="50" w:after="50"/>
              <w:jc w:val="center"/>
            </w:pPr>
            <w:r w:rsidRPr="00783571">
              <w:t>0.400</w:t>
            </w:r>
          </w:p>
        </w:tc>
      </w:tr>
      <w:tr w:rsidR="00FC5936" w:rsidRPr="00783571" w14:paraId="7A782C46"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2CD8D50D" w14:textId="77777777" w:rsidR="00FC5936" w:rsidRPr="00783571" w:rsidRDefault="00FC5936" w:rsidP="00FC5936">
            <w:pPr>
              <w:pStyle w:val="TableTextIndent1"/>
              <w:spacing w:before="50" w:after="50"/>
            </w:pPr>
            <w:r w:rsidRPr="00783571">
              <w:t>Other: Black</w:t>
            </w:r>
          </w:p>
        </w:tc>
        <w:tc>
          <w:tcPr>
            <w:tcW w:w="951" w:type="pct"/>
            <w:tcBorders>
              <w:top w:val="single" w:sz="6" w:space="0" w:color="808080" w:themeColor="background1" w:themeShade="80"/>
              <w:bottom w:val="single" w:sz="6" w:space="0" w:color="808080" w:themeColor="background1" w:themeShade="80"/>
            </w:tcBorders>
          </w:tcPr>
          <w:p w14:paraId="15720ED8" w14:textId="77777777" w:rsidR="00FC5936" w:rsidRPr="00783571" w:rsidRDefault="00FC5936" w:rsidP="00FC5936">
            <w:pPr>
              <w:pStyle w:val="TableText"/>
              <w:spacing w:before="50" w:after="50"/>
              <w:jc w:val="center"/>
            </w:pPr>
            <w:r w:rsidRPr="00783571">
              <w:t>0.046</w:t>
            </w:r>
          </w:p>
        </w:tc>
        <w:tc>
          <w:tcPr>
            <w:tcW w:w="950" w:type="pct"/>
            <w:tcBorders>
              <w:top w:val="single" w:sz="6" w:space="0" w:color="808080" w:themeColor="background1" w:themeShade="80"/>
              <w:bottom w:val="single" w:sz="6" w:space="0" w:color="808080" w:themeColor="background1" w:themeShade="80"/>
            </w:tcBorders>
          </w:tcPr>
          <w:p w14:paraId="53B03402" w14:textId="77777777" w:rsidR="00FC5936" w:rsidRPr="00783571" w:rsidRDefault="00FC5936" w:rsidP="00FC5936">
            <w:pPr>
              <w:pStyle w:val="TableText"/>
              <w:spacing w:before="50" w:after="50"/>
              <w:jc w:val="center"/>
            </w:pPr>
            <w:r w:rsidRPr="00783571">
              <w:t>0.010</w:t>
            </w:r>
          </w:p>
        </w:tc>
        <w:tc>
          <w:tcPr>
            <w:tcW w:w="949" w:type="pct"/>
            <w:tcBorders>
              <w:top w:val="single" w:sz="6" w:space="0" w:color="808080" w:themeColor="background1" w:themeShade="80"/>
              <w:bottom w:val="single" w:sz="6" w:space="0" w:color="808080" w:themeColor="background1" w:themeShade="80"/>
            </w:tcBorders>
          </w:tcPr>
          <w:p w14:paraId="29C80BC4" w14:textId="77777777" w:rsidR="00FC5936" w:rsidRPr="00783571" w:rsidRDefault="00FC5936" w:rsidP="00FC5936">
            <w:pPr>
              <w:pStyle w:val="TableText"/>
              <w:spacing w:before="50" w:after="50"/>
              <w:jc w:val="center"/>
            </w:pPr>
            <w:r w:rsidRPr="00783571">
              <w:t>0.100</w:t>
            </w:r>
          </w:p>
        </w:tc>
      </w:tr>
      <w:tr w:rsidR="00FC5936" w:rsidRPr="00783571" w14:paraId="75259CF8"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6F4783F8" w14:textId="77777777" w:rsidR="00FC5936" w:rsidRPr="00783571" w:rsidRDefault="00FC5936" w:rsidP="00FC5936">
            <w:pPr>
              <w:pStyle w:val="TableTextIndent1"/>
              <w:spacing w:before="50" w:after="50"/>
            </w:pPr>
            <w:r w:rsidRPr="00783571">
              <w:t>Other: Hispanic</w:t>
            </w:r>
          </w:p>
        </w:tc>
        <w:tc>
          <w:tcPr>
            <w:tcW w:w="951" w:type="pct"/>
            <w:tcBorders>
              <w:top w:val="single" w:sz="6" w:space="0" w:color="808080" w:themeColor="background1" w:themeShade="80"/>
              <w:bottom w:val="single" w:sz="6" w:space="0" w:color="808080" w:themeColor="background1" w:themeShade="80"/>
            </w:tcBorders>
          </w:tcPr>
          <w:p w14:paraId="259EBBC1" w14:textId="77777777" w:rsidR="00FC5936" w:rsidRPr="00783571" w:rsidRDefault="00FC5936" w:rsidP="00FC5936">
            <w:pPr>
              <w:pStyle w:val="TableText"/>
              <w:spacing w:before="50" w:after="50"/>
              <w:jc w:val="center"/>
            </w:pPr>
            <w:r w:rsidRPr="00783571">
              <w:t>0.061</w:t>
            </w:r>
          </w:p>
        </w:tc>
        <w:tc>
          <w:tcPr>
            <w:tcW w:w="950" w:type="pct"/>
            <w:tcBorders>
              <w:top w:val="single" w:sz="6" w:space="0" w:color="808080" w:themeColor="background1" w:themeShade="80"/>
              <w:bottom w:val="single" w:sz="6" w:space="0" w:color="808080" w:themeColor="background1" w:themeShade="80"/>
            </w:tcBorders>
          </w:tcPr>
          <w:p w14:paraId="55959BED" w14:textId="77777777" w:rsidR="00FC5936" w:rsidRPr="00783571" w:rsidRDefault="00FC5936" w:rsidP="00FC5936">
            <w:pPr>
              <w:pStyle w:val="TableText"/>
              <w:spacing w:before="50" w:after="50"/>
              <w:jc w:val="center"/>
            </w:pPr>
            <w:r w:rsidRPr="00783571">
              <w:t>0.010</w:t>
            </w:r>
          </w:p>
        </w:tc>
        <w:tc>
          <w:tcPr>
            <w:tcW w:w="949" w:type="pct"/>
            <w:tcBorders>
              <w:top w:val="single" w:sz="6" w:space="0" w:color="808080" w:themeColor="background1" w:themeShade="80"/>
              <w:bottom w:val="single" w:sz="6" w:space="0" w:color="808080" w:themeColor="background1" w:themeShade="80"/>
            </w:tcBorders>
          </w:tcPr>
          <w:p w14:paraId="678BB181" w14:textId="77777777" w:rsidR="00FC5936" w:rsidRPr="00783571" w:rsidRDefault="00FC5936" w:rsidP="00FC5936">
            <w:pPr>
              <w:pStyle w:val="TableText"/>
              <w:spacing w:before="50" w:after="50"/>
              <w:jc w:val="center"/>
            </w:pPr>
            <w:r w:rsidRPr="00783571">
              <w:t>0.100</w:t>
            </w:r>
          </w:p>
        </w:tc>
      </w:tr>
      <w:tr w:rsidR="00BE6EBA" w:rsidRPr="00783571" w14:paraId="64B61444" w14:textId="77777777" w:rsidTr="00BE6EBA">
        <w:trPr>
          <w:cantSplit/>
        </w:trPr>
        <w:tc>
          <w:tcPr>
            <w:tcW w:w="4051" w:type="pct"/>
            <w:gridSpan w:val="3"/>
            <w:tcBorders>
              <w:top w:val="single" w:sz="6" w:space="0" w:color="808080" w:themeColor="background1" w:themeShade="80"/>
              <w:bottom w:val="single" w:sz="6" w:space="0" w:color="808080" w:themeColor="background1" w:themeShade="80"/>
            </w:tcBorders>
          </w:tcPr>
          <w:p w14:paraId="0E0238CF" w14:textId="47071B30" w:rsidR="00BE6EBA" w:rsidRPr="00783571" w:rsidRDefault="00BE6EBA" w:rsidP="00FC5936">
            <w:pPr>
              <w:pStyle w:val="TableText"/>
              <w:spacing w:before="50" w:after="50"/>
            </w:pPr>
            <w:r w:rsidRPr="00783571">
              <w:t>Percentage of needle partners by transmission group and sex (mixing matrix)</w:t>
            </w:r>
          </w:p>
        </w:tc>
        <w:tc>
          <w:tcPr>
            <w:tcW w:w="949" w:type="pct"/>
            <w:tcBorders>
              <w:top w:val="single" w:sz="6" w:space="0" w:color="808080" w:themeColor="background1" w:themeShade="80"/>
              <w:bottom w:val="single" w:sz="6" w:space="0" w:color="808080" w:themeColor="background1" w:themeShade="80"/>
            </w:tcBorders>
          </w:tcPr>
          <w:p w14:paraId="064A1FE4" w14:textId="77777777" w:rsidR="00BE6EBA" w:rsidRPr="00783571" w:rsidRDefault="00BE6EBA" w:rsidP="00FC5936">
            <w:pPr>
              <w:pStyle w:val="TableText"/>
              <w:spacing w:before="50" w:after="50"/>
            </w:pPr>
          </w:p>
        </w:tc>
      </w:tr>
      <w:tr w:rsidR="00FC5936" w:rsidRPr="00783571" w14:paraId="15F09893"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38345583" w14:textId="77777777" w:rsidR="00FC5936" w:rsidRPr="00783571" w:rsidRDefault="00FC5936" w:rsidP="00FC5936">
            <w:pPr>
              <w:pStyle w:val="TableTextIndent1"/>
              <w:spacing w:before="50" w:after="50"/>
            </w:pPr>
            <w:r w:rsidRPr="00783571">
              <w:t>PWID M: PWID F</w:t>
            </w:r>
          </w:p>
        </w:tc>
        <w:tc>
          <w:tcPr>
            <w:tcW w:w="951" w:type="pct"/>
            <w:tcBorders>
              <w:top w:val="single" w:sz="6" w:space="0" w:color="808080" w:themeColor="background1" w:themeShade="80"/>
              <w:bottom w:val="single" w:sz="6" w:space="0" w:color="808080" w:themeColor="background1" w:themeShade="80"/>
            </w:tcBorders>
          </w:tcPr>
          <w:p w14:paraId="4AC15024" w14:textId="77777777" w:rsidR="00FC5936" w:rsidRPr="00783571" w:rsidRDefault="00FC5936" w:rsidP="00FC5936">
            <w:pPr>
              <w:pStyle w:val="TableText"/>
              <w:spacing w:before="50" w:after="50"/>
              <w:jc w:val="center"/>
            </w:pPr>
            <w:r w:rsidRPr="00783571">
              <w:t>0.37</w:t>
            </w:r>
          </w:p>
        </w:tc>
        <w:tc>
          <w:tcPr>
            <w:tcW w:w="950" w:type="pct"/>
            <w:tcBorders>
              <w:top w:val="single" w:sz="6" w:space="0" w:color="808080" w:themeColor="background1" w:themeShade="80"/>
              <w:bottom w:val="single" w:sz="6" w:space="0" w:color="808080" w:themeColor="background1" w:themeShade="80"/>
            </w:tcBorders>
          </w:tcPr>
          <w:p w14:paraId="752C4ED7" w14:textId="77777777" w:rsidR="00FC5936" w:rsidRPr="00783571" w:rsidRDefault="00FC5936" w:rsidP="00FC5936">
            <w:pPr>
              <w:pStyle w:val="TableText"/>
              <w:spacing w:before="50" w:after="50"/>
              <w:jc w:val="center"/>
            </w:pPr>
            <w:r w:rsidRPr="00783571">
              <w:t>0.37005</w:t>
            </w:r>
          </w:p>
        </w:tc>
        <w:tc>
          <w:tcPr>
            <w:tcW w:w="949" w:type="pct"/>
            <w:tcBorders>
              <w:top w:val="single" w:sz="6" w:space="0" w:color="808080" w:themeColor="background1" w:themeShade="80"/>
              <w:bottom w:val="single" w:sz="6" w:space="0" w:color="808080" w:themeColor="background1" w:themeShade="80"/>
            </w:tcBorders>
          </w:tcPr>
          <w:p w14:paraId="3FD97F2C" w14:textId="77777777" w:rsidR="00FC5936" w:rsidRPr="00783571" w:rsidRDefault="00FC5936" w:rsidP="00FC5936">
            <w:pPr>
              <w:pStyle w:val="TableText"/>
              <w:spacing w:before="50" w:after="50"/>
              <w:jc w:val="center"/>
            </w:pPr>
            <w:r w:rsidRPr="00783571">
              <w:t>0.37015</w:t>
            </w:r>
          </w:p>
        </w:tc>
      </w:tr>
      <w:tr w:rsidR="00FC5936" w:rsidRPr="00783571" w14:paraId="38C3C1BE"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4A19EDDC" w14:textId="77777777" w:rsidR="00FC5936" w:rsidRPr="00783571" w:rsidRDefault="00FC5936" w:rsidP="00FC5936">
            <w:pPr>
              <w:pStyle w:val="TableTextIndent1"/>
              <w:spacing w:before="50" w:after="50"/>
            </w:pPr>
            <w:r w:rsidRPr="00783571">
              <w:t>PWID F: PWID M</w:t>
            </w:r>
          </w:p>
        </w:tc>
        <w:tc>
          <w:tcPr>
            <w:tcW w:w="951" w:type="pct"/>
            <w:tcBorders>
              <w:top w:val="single" w:sz="6" w:space="0" w:color="808080" w:themeColor="background1" w:themeShade="80"/>
              <w:bottom w:val="single" w:sz="6" w:space="0" w:color="808080" w:themeColor="background1" w:themeShade="80"/>
            </w:tcBorders>
          </w:tcPr>
          <w:p w14:paraId="5FC6DC13" w14:textId="77777777" w:rsidR="00FC5936" w:rsidRPr="00783571" w:rsidRDefault="00FC5936" w:rsidP="00FC5936">
            <w:pPr>
              <w:pStyle w:val="TableText"/>
              <w:spacing w:before="50" w:after="50"/>
              <w:jc w:val="center"/>
            </w:pPr>
            <w:r w:rsidRPr="00783571">
              <w:t>0.63</w:t>
            </w:r>
          </w:p>
        </w:tc>
        <w:tc>
          <w:tcPr>
            <w:tcW w:w="950" w:type="pct"/>
            <w:tcBorders>
              <w:top w:val="single" w:sz="6" w:space="0" w:color="808080" w:themeColor="background1" w:themeShade="80"/>
              <w:bottom w:val="single" w:sz="6" w:space="0" w:color="808080" w:themeColor="background1" w:themeShade="80"/>
            </w:tcBorders>
          </w:tcPr>
          <w:p w14:paraId="6AF5A5DB" w14:textId="77777777" w:rsidR="00FC5936" w:rsidRPr="00783571" w:rsidRDefault="00FC5936" w:rsidP="00FC5936">
            <w:pPr>
              <w:pStyle w:val="TableText"/>
              <w:spacing w:before="50" w:after="50"/>
              <w:jc w:val="center"/>
            </w:pPr>
            <w:r w:rsidRPr="00783571">
              <w:t>0.6295</w:t>
            </w:r>
          </w:p>
        </w:tc>
        <w:tc>
          <w:tcPr>
            <w:tcW w:w="949" w:type="pct"/>
            <w:tcBorders>
              <w:top w:val="single" w:sz="6" w:space="0" w:color="808080" w:themeColor="background1" w:themeShade="80"/>
              <w:bottom w:val="single" w:sz="6" w:space="0" w:color="808080" w:themeColor="background1" w:themeShade="80"/>
            </w:tcBorders>
          </w:tcPr>
          <w:p w14:paraId="6CE8C468" w14:textId="77777777" w:rsidR="00FC5936" w:rsidRPr="00783571" w:rsidRDefault="00FC5936" w:rsidP="00FC5936">
            <w:pPr>
              <w:pStyle w:val="TableText"/>
              <w:spacing w:before="50" w:after="50"/>
              <w:jc w:val="center"/>
            </w:pPr>
            <w:r w:rsidRPr="00783571">
              <w:t>0.6305</w:t>
            </w:r>
          </w:p>
        </w:tc>
      </w:tr>
      <w:tr w:rsidR="00FC5936" w:rsidRPr="00783571" w14:paraId="46205F0C" w14:textId="77777777" w:rsidTr="00BE6EBA">
        <w:trPr>
          <w:cantSplit/>
        </w:trPr>
        <w:tc>
          <w:tcPr>
            <w:tcW w:w="3101" w:type="pct"/>
            <w:gridSpan w:val="2"/>
            <w:tcBorders>
              <w:top w:val="single" w:sz="6" w:space="0" w:color="808080" w:themeColor="background1" w:themeShade="80"/>
              <w:bottom w:val="single" w:sz="6" w:space="0" w:color="808080" w:themeColor="background1" w:themeShade="80"/>
            </w:tcBorders>
          </w:tcPr>
          <w:p w14:paraId="48EC6885" w14:textId="77777777" w:rsidR="00FC5936" w:rsidRPr="00783571" w:rsidRDefault="00FC5936" w:rsidP="00FC5936">
            <w:pPr>
              <w:pStyle w:val="TableText"/>
            </w:pPr>
            <w:r w:rsidRPr="00783571">
              <w:t>Base probability of transmission per unprotected sex act</w:t>
            </w:r>
          </w:p>
        </w:tc>
        <w:tc>
          <w:tcPr>
            <w:tcW w:w="950" w:type="pct"/>
            <w:tcBorders>
              <w:top w:val="single" w:sz="6" w:space="0" w:color="808080" w:themeColor="background1" w:themeShade="80"/>
              <w:bottom w:val="single" w:sz="6" w:space="0" w:color="808080" w:themeColor="background1" w:themeShade="80"/>
            </w:tcBorders>
          </w:tcPr>
          <w:p w14:paraId="30728FA2" w14:textId="77777777" w:rsidR="00FC5936" w:rsidRPr="00783571" w:rsidRDefault="00FC5936" w:rsidP="00FC5936">
            <w:pPr>
              <w:pStyle w:val="TableText"/>
            </w:pPr>
          </w:p>
        </w:tc>
        <w:tc>
          <w:tcPr>
            <w:tcW w:w="949" w:type="pct"/>
            <w:tcBorders>
              <w:top w:val="single" w:sz="6" w:space="0" w:color="808080" w:themeColor="background1" w:themeShade="80"/>
              <w:bottom w:val="single" w:sz="6" w:space="0" w:color="808080" w:themeColor="background1" w:themeShade="80"/>
            </w:tcBorders>
          </w:tcPr>
          <w:p w14:paraId="35FD011C" w14:textId="77777777" w:rsidR="00FC5936" w:rsidRPr="00783571" w:rsidRDefault="00FC5936" w:rsidP="00FC5936">
            <w:pPr>
              <w:pStyle w:val="TableText"/>
            </w:pPr>
          </w:p>
        </w:tc>
      </w:tr>
      <w:tr w:rsidR="00FC5936" w:rsidRPr="00783571" w14:paraId="1C677E1A"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62EB1AF6" w14:textId="77777777" w:rsidR="00FC5936" w:rsidRPr="00783571" w:rsidRDefault="00FC5936" w:rsidP="00FC5936">
            <w:pPr>
              <w:pStyle w:val="TableTextIndent1"/>
            </w:pPr>
            <w:r w:rsidRPr="00783571">
              <w:t>Vaginal insertive</w:t>
            </w:r>
          </w:p>
        </w:tc>
        <w:tc>
          <w:tcPr>
            <w:tcW w:w="951" w:type="pct"/>
            <w:tcBorders>
              <w:top w:val="single" w:sz="6" w:space="0" w:color="808080" w:themeColor="background1" w:themeShade="80"/>
              <w:bottom w:val="single" w:sz="6" w:space="0" w:color="808080" w:themeColor="background1" w:themeShade="80"/>
            </w:tcBorders>
          </w:tcPr>
          <w:p w14:paraId="707633C5" w14:textId="77777777" w:rsidR="00FC5936" w:rsidRPr="00783571" w:rsidRDefault="00FC5936" w:rsidP="00FC5936">
            <w:pPr>
              <w:pStyle w:val="TableText"/>
              <w:jc w:val="center"/>
            </w:pPr>
            <w:r w:rsidRPr="00783571">
              <w:t>0.00041</w:t>
            </w:r>
          </w:p>
        </w:tc>
        <w:tc>
          <w:tcPr>
            <w:tcW w:w="950" w:type="pct"/>
            <w:tcBorders>
              <w:top w:val="single" w:sz="6" w:space="0" w:color="808080" w:themeColor="background1" w:themeShade="80"/>
              <w:bottom w:val="single" w:sz="6" w:space="0" w:color="808080" w:themeColor="background1" w:themeShade="80"/>
            </w:tcBorders>
          </w:tcPr>
          <w:p w14:paraId="01ACF5B2" w14:textId="77777777" w:rsidR="00FC5936" w:rsidRPr="00783571" w:rsidRDefault="00FC5936" w:rsidP="00FC5936">
            <w:pPr>
              <w:pStyle w:val="TableText"/>
              <w:jc w:val="center"/>
            </w:pPr>
            <w:r w:rsidRPr="00783571">
              <w:t>0.0001</w:t>
            </w:r>
          </w:p>
        </w:tc>
        <w:tc>
          <w:tcPr>
            <w:tcW w:w="949" w:type="pct"/>
            <w:tcBorders>
              <w:top w:val="single" w:sz="6" w:space="0" w:color="808080" w:themeColor="background1" w:themeShade="80"/>
              <w:bottom w:val="single" w:sz="6" w:space="0" w:color="808080" w:themeColor="background1" w:themeShade="80"/>
            </w:tcBorders>
          </w:tcPr>
          <w:p w14:paraId="635A5B25" w14:textId="77777777" w:rsidR="00FC5936" w:rsidRPr="00783571" w:rsidRDefault="00FC5936" w:rsidP="00FC5936">
            <w:pPr>
              <w:pStyle w:val="TableText"/>
              <w:jc w:val="center"/>
            </w:pPr>
            <w:r w:rsidRPr="00783571">
              <w:t>0.0008</w:t>
            </w:r>
          </w:p>
        </w:tc>
      </w:tr>
      <w:tr w:rsidR="00FC5936" w:rsidRPr="00783571" w14:paraId="72ADFEAF"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495D65E4" w14:textId="77777777" w:rsidR="00FC5936" w:rsidRPr="00783571" w:rsidRDefault="00FC5936" w:rsidP="00FC5936">
            <w:pPr>
              <w:pStyle w:val="TableTextIndent1"/>
            </w:pPr>
            <w:r w:rsidRPr="00783571">
              <w:t>Vaginal receptive</w:t>
            </w:r>
          </w:p>
        </w:tc>
        <w:tc>
          <w:tcPr>
            <w:tcW w:w="951" w:type="pct"/>
            <w:tcBorders>
              <w:top w:val="single" w:sz="6" w:space="0" w:color="808080" w:themeColor="background1" w:themeShade="80"/>
              <w:bottom w:val="single" w:sz="6" w:space="0" w:color="808080" w:themeColor="background1" w:themeShade="80"/>
            </w:tcBorders>
          </w:tcPr>
          <w:p w14:paraId="1F1AA962" w14:textId="77777777" w:rsidR="00FC5936" w:rsidRPr="00783571" w:rsidRDefault="00FC5936" w:rsidP="00FC5936">
            <w:pPr>
              <w:pStyle w:val="TableText"/>
              <w:jc w:val="center"/>
            </w:pPr>
            <w:r w:rsidRPr="00783571">
              <w:t>0.00061</w:t>
            </w:r>
          </w:p>
        </w:tc>
        <w:tc>
          <w:tcPr>
            <w:tcW w:w="950" w:type="pct"/>
            <w:tcBorders>
              <w:top w:val="single" w:sz="6" w:space="0" w:color="808080" w:themeColor="background1" w:themeShade="80"/>
              <w:bottom w:val="single" w:sz="6" w:space="0" w:color="808080" w:themeColor="background1" w:themeShade="80"/>
            </w:tcBorders>
          </w:tcPr>
          <w:p w14:paraId="5CE0C800" w14:textId="77777777" w:rsidR="00FC5936" w:rsidRPr="00783571" w:rsidRDefault="00FC5936" w:rsidP="00FC5936">
            <w:pPr>
              <w:pStyle w:val="TableText"/>
              <w:jc w:val="center"/>
            </w:pPr>
            <w:r w:rsidRPr="00783571">
              <w:t>0.0004</w:t>
            </w:r>
          </w:p>
        </w:tc>
        <w:tc>
          <w:tcPr>
            <w:tcW w:w="949" w:type="pct"/>
            <w:tcBorders>
              <w:top w:val="single" w:sz="6" w:space="0" w:color="808080" w:themeColor="background1" w:themeShade="80"/>
              <w:bottom w:val="single" w:sz="6" w:space="0" w:color="808080" w:themeColor="background1" w:themeShade="80"/>
            </w:tcBorders>
          </w:tcPr>
          <w:p w14:paraId="36659911" w14:textId="77777777" w:rsidR="00FC5936" w:rsidRPr="00783571" w:rsidRDefault="00FC5936" w:rsidP="00FC5936">
            <w:pPr>
              <w:pStyle w:val="TableText"/>
              <w:jc w:val="center"/>
            </w:pPr>
            <w:r w:rsidRPr="00783571">
              <w:t>0.0009</w:t>
            </w:r>
          </w:p>
        </w:tc>
      </w:tr>
      <w:tr w:rsidR="00FC5936" w:rsidRPr="00783571" w14:paraId="4C5B6653"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181073CA" w14:textId="77777777" w:rsidR="00FC5936" w:rsidRPr="00783571" w:rsidRDefault="00FC5936" w:rsidP="00FC5936">
            <w:pPr>
              <w:pStyle w:val="TableTextIndent1"/>
            </w:pPr>
            <w:r w:rsidRPr="00783571">
              <w:t>Anal insertive</w:t>
            </w:r>
          </w:p>
        </w:tc>
        <w:tc>
          <w:tcPr>
            <w:tcW w:w="951" w:type="pct"/>
            <w:tcBorders>
              <w:top w:val="single" w:sz="6" w:space="0" w:color="808080" w:themeColor="background1" w:themeShade="80"/>
              <w:bottom w:val="single" w:sz="6" w:space="0" w:color="808080" w:themeColor="background1" w:themeShade="80"/>
            </w:tcBorders>
          </w:tcPr>
          <w:p w14:paraId="4A36DBBB" w14:textId="77777777" w:rsidR="00FC5936" w:rsidRPr="00783571" w:rsidRDefault="00FC5936" w:rsidP="00FC5936">
            <w:pPr>
              <w:pStyle w:val="TableText"/>
              <w:jc w:val="center"/>
            </w:pPr>
            <w:r w:rsidRPr="00783571">
              <w:t>0.0006</w:t>
            </w:r>
          </w:p>
        </w:tc>
        <w:tc>
          <w:tcPr>
            <w:tcW w:w="950" w:type="pct"/>
            <w:tcBorders>
              <w:top w:val="single" w:sz="6" w:space="0" w:color="808080" w:themeColor="background1" w:themeShade="80"/>
              <w:bottom w:val="single" w:sz="6" w:space="0" w:color="808080" w:themeColor="background1" w:themeShade="80"/>
            </w:tcBorders>
          </w:tcPr>
          <w:p w14:paraId="35987C7C" w14:textId="77777777" w:rsidR="00FC5936" w:rsidRPr="00783571" w:rsidRDefault="00FC5936" w:rsidP="00FC5936">
            <w:pPr>
              <w:pStyle w:val="TableText"/>
              <w:jc w:val="center"/>
            </w:pPr>
            <w:r w:rsidRPr="00783571">
              <w:t>0.0003</w:t>
            </w:r>
          </w:p>
        </w:tc>
        <w:tc>
          <w:tcPr>
            <w:tcW w:w="949" w:type="pct"/>
            <w:tcBorders>
              <w:top w:val="single" w:sz="6" w:space="0" w:color="808080" w:themeColor="background1" w:themeShade="80"/>
              <w:bottom w:val="single" w:sz="6" w:space="0" w:color="808080" w:themeColor="background1" w:themeShade="80"/>
            </w:tcBorders>
          </w:tcPr>
          <w:p w14:paraId="35EC7BF0" w14:textId="77777777" w:rsidR="00FC5936" w:rsidRPr="00783571" w:rsidRDefault="00FC5936" w:rsidP="00FC5936">
            <w:pPr>
              <w:pStyle w:val="TableText"/>
              <w:jc w:val="center"/>
            </w:pPr>
            <w:r w:rsidRPr="00783571">
              <w:t>0.001</w:t>
            </w:r>
          </w:p>
        </w:tc>
      </w:tr>
      <w:tr w:rsidR="00FC5936" w:rsidRPr="00783571" w14:paraId="0AD4FA94"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69716A92" w14:textId="77777777" w:rsidR="00FC5936" w:rsidRPr="00783571" w:rsidRDefault="00FC5936" w:rsidP="00FC5936">
            <w:pPr>
              <w:pStyle w:val="TableTextIndent1"/>
            </w:pPr>
            <w:r w:rsidRPr="00783571">
              <w:t>Anal receptive</w:t>
            </w:r>
          </w:p>
        </w:tc>
        <w:tc>
          <w:tcPr>
            <w:tcW w:w="951" w:type="pct"/>
            <w:tcBorders>
              <w:top w:val="single" w:sz="6" w:space="0" w:color="808080" w:themeColor="background1" w:themeShade="80"/>
              <w:bottom w:val="single" w:sz="6" w:space="0" w:color="808080" w:themeColor="background1" w:themeShade="80"/>
            </w:tcBorders>
          </w:tcPr>
          <w:p w14:paraId="3F125CDF" w14:textId="77777777" w:rsidR="00FC5936" w:rsidRPr="00783571" w:rsidRDefault="00FC5936" w:rsidP="00FC5936">
            <w:pPr>
              <w:pStyle w:val="TableText"/>
              <w:jc w:val="center"/>
            </w:pPr>
            <w:r w:rsidRPr="00783571">
              <w:t>0.0089</w:t>
            </w:r>
          </w:p>
        </w:tc>
        <w:tc>
          <w:tcPr>
            <w:tcW w:w="950" w:type="pct"/>
            <w:tcBorders>
              <w:top w:val="single" w:sz="6" w:space="0" w:color="808080" w:themeColor="background1" w:themeShade="80"/>
              <w:bottom w:val="single" w:sz="6" w:space="0" w:color="808080" w:themeColor="background1" w:themeShade="80"/>
            </w:tcBorders>
          </w:tcPr>
          <w:p w14:paraId="3E81BE30" w14:textId="77777777" w:rsidR="00FC5936" w:rsidRPr="00783571" w:rsidRDefault="00FC5936" w:rsidP="00FC5936">
            <w:pPr>
              <w:pStyle w:val="TableText"/>
              <w:jc w:val="center"/>
            </w:pPr>
            <w:r w:rsidRPr="00783571">
              <w:t>0.0080</w:t>
            </w:r>
          </w:p>
        </w:tc>
        <w:tc>
          <w:tcPr>
            <w:tcW w:w="949" w:type="pct"/>
            <w:tcBorders>
              <w:top w:val="single" w:sz="6" w:space="0" w:color="808080" w:themeColor="background1" w:themeShade="80"/>
              <w:bottom w:val="single" w:sz="6" w:space="0" w:color="808080" w:themeColor="background1" w:themeShade="80"/>
            </w:tcBorders>
          </w:tcPr>
          <w:p w14:paraId="126A15DA" w14:textId="77777777" w:rsidR="00FC5936" w:rsidRPr="00783571" w:rsidRDefault="00FC5936" w:rsidP="00FC5936">
            <w:pPr>
              <w:pStyle w:val="TableText"/>
              <w:jc w:val="center"/>
            </w:pPr>
            <w:r w:rsidRPr="00783571">
              <w:t>0.014</w:t>
            </w:r>
          </w:p>
        </w:tc>
      </w:tr>
      <w:tr w:rsidR="00FC5936" w:rsidRPr="00783571" w14:paraId="080D319B"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279DC3F4" w14:textId="77777777" w:rsidR="00FC5936" w:rsidRPr="00783571" w:rsidRDefault="00FC5936" w:rsidP="00FC5936">
            <w:pPr>
              <w:pStyle w:val="TableTextIndent1"/>
              <w:ind w:left="0"/>
            </w:pPr>
            <w:r w:rsidRPr="00783571">
              <w:t>Probability of transmission per shared needle</w:t>
            </w:r>
          </w:p>
        </w:tc>
        <w:tc>
          <w:tcPr>
            <w:tcW w:w="951" w:type="pct"/>
            <w:tcBorders>
              <w:top w:val="single" w:sz="6" w:space="0" w:color="808080" w:themeColor="background1" w:themeShade="80"/>
              <w:bottom w:val="single" w:sz="6" w:space="0" w:color="808080" w:themeColor="background1" w:themeShade="80"/>
            </w:tcBorders>
          </w:tcPr>
          <w:p w14:paraId="6A73265A" w14:textId="77777777" w:rsidR="00FC5936" w:rsidRPr="00783571" w:rsidRDefault="00FC5936" w:rsidP="00FC5936">
            <w:pPr>
              <w:pStyle w:val="TableText"/>
              <w:jc w:val="center"/>
            </w:pPr>
            <w:r w:rsidRPr="00783571">
              <w:t>0.0016</w:t>
            </w:r>
          </w:p>
        </w:tc>
        <w:tc>
          <w:tcPr>
            <w:tcW w:w="950" w:type="pct"/>
            <w:tcBorders>
              <w:top w:val="single" w:sz="6" w:space="0" w:color="808080" w:themeColor="background1" w:themeShade="80"/>
              <w:bottom w:val="single" w:sz="6" w:space="0" w:color="808080" w:themeColor="background1" w:themeShade="80"/>
            </w:tcBorders>
          </w:tcPr>
          <w:p w14:paraId="5E934C2B" w14:textId="77777777" w:rsidR="00FC5936" w:rsidRPr="00783571" w:rsidRDefault="00FC5936" w:rsidP="00FC5936">
            <w:pPr>
              <w:pStyle w:val="TableText"/>
              <w:jc w:val="center"/>
            </w:pPr>
            <w:r w:rsidRPr="00783571">
              <w:t>0.0010</w:t>
            </w:r>
          </w:p>
        </w:tc>
        <w:tc>
          <w:tcPr>
            <w:tcW w:w="949" w:type="pct"/>
            <w:tcBorders>
              <w:top w:val="single" w:sz="6" w:space="0" w:color="808080" w:themeColor="background1" w:themeShade="80"/>
              <w:bottom w:val="single" w:sz="6" w:space="0" w:color="808080" w:themeColor="background1" w:themeShade="80"/>
            </w:tcBorders>
          </w:tcPr>
          <w:p w14:paraId="53DE0907" w14:textId="77777777" w:rsidR="00FC5936" w:rsidRPr="00783571" w:rsidRDefault="00FC5936" w:rsidP="00FC5936">
            <w:pPr>
              <w:pStyle w:val="TableText"/>
              <w:jc w:val="center"/>
            </w:pPr>
            <w:r w:rsidRPr="00783571">
              <w:t>0.005</w:t>
            </w:r>
          </w:p>
        </w:tc>
      </w:tr>
      <w:tr w:rsidR="00FC5936" w:rsidRPr="00783571" w14:paraId="552CC7F7"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7D34B589" w14:textId="77777777" w:rsidR="00FC5936" w:rsidRPr="00783571" w:rsidRDefault="00FC5936" w:rsidP="00FC5936">
            <w:pPr>
              <w:pStyle w:val="TableTextIndent1"/>
              <w:ind w:left="0"/>
            </w:pPr>
            <w:r w:rsidRPr="00783571">
              <w:t>Percentage of injections that are shared</w:t>
            </w:r>
          </w:p>
        </w:tc>
        <w:tc>
          <w:tcPr>
            <w:tcW w:w="951" w:type="pct"/>
            <w:tcBorders>
              <w:top w:val="single" w:sz="6" w:space="0" w:color="808080" w:themeColor="background1" w:themeShade="80"/>
              <w:bottom w:val="single" w:sz="6" w:space="0" w:color="808080" w:themeColor="background1" w:themeShade="80"/>
            </w:tcBorders>
          </w:tcPr>
          <w:p w14:paraId="6A254BBE" w14:textId="77777777" w:rsidR="00FC5936" w:rsidRPr="00783571" w:rsidDel="00FF79B9" w:rsidRDefault="00FC5936" w:rsidP="00FC5936">
            <w:pPr>
              <w:pStyle w:val="TableText"/>
              <w:jc w:val="center"/>
            </w:pPr>
            <w:r w:rsidRPr="00783571">
              <w:t>0.126</w:t>
            </w:r>
          </w:p>
        </w:tc>
        <w:tc>
          <w:tcPr>
            <w:tcW w:w="950" w:type="pct"/>
            <w:tcBorders>
              <w:top w:val="single" w:sz="6" w:space="0" w:color="808080" w:themeColor="background1" w:themeShade="80"/>
              <w:bottom w:val="single" w:sz="6" w:space="0" w:color="808080" w:themeColor="background1" w:themeShade="80"/>
            </w:tcBorders>
          </w:tcPr>
          <w:p w14:paraId="33D7A558" w14:textId="77777777" w:rsidR="00FC5936" w:rsidRPr="00783571" w:rsidRDefault="00FC5936" w:rsidP="00FC5936">
            <w:pPr>
              <w:pStyle w:val="TableText"/>
              <w:jc w:val="center"/>
            </w:pPr>
            <w:r w:rsidRPr="00783571">
              <w:t>0.050</w:t>
            </w:r>
          </w:p>
        </w:tc>
        <w:tc>
          <w:tcPr>
            <w:tcW w:w="949" w:type="pct"/>
            <w:tcBorders>
              <w:top w:val="single" w:sz="6" w:space="0" w:color="808080" w:themeColor="background1" w:themeShade="80"/>
              <w:bottom w:val="single" w:sz="6" w:space="0" w:color="808080" w:themeColor="background1" w:themeShade="80"/>
            </w:tcBorders>
          </w:tcPr>
          <w:p w14:paraId="72EEFB54" w14:textId="77777777" w:rsidR="00FC5936" w:rsidRPr="00783571" w:rsidRDefault="00FC5936" w:rsidP="00FC5936">
            <w:pPr>
              <w:pStyle w:val="TableText"/>
              <w:jc w:val="center"/>
            </w:pPr>
            <w:r w:rsidRPr="00783571">
              <w:t>0.300</w:t>
            </w:r>
          </w:p>
        </w:tc>
      </w:tr>
      <w:tr w:rsidR="00FC5936" w:rsidRPr="00783571" w14:paraId="36AECEE9"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320031B6" w14:textId="77777777" w:rsidR="00FC5936" w:rsidRPr="00783571" w:rsidRDefault="00FC5936" w:rsidP="00FC5936">
            <w:pPr>
              <w:pStyle w:val="TableTextIndent1"/>
              <w:ind w:left="0"/>
            </w:pPr>
            <w:r w:rsidRPr="00783571">
              <w:t>Reduction in transmission per shared needle if VLS vs. not VLS</w:t>
            </w:r>
          </w:p>
        </w:tc>
        <w:tc>
          <w:tcPr>
            <w:tcW w:w="951" w:type="pct"/>
            <w:tcBorders>
              <w:top w:val="single" w:sz="6" w:space="0" w:color="808080" w:themeColor="background1" w:themeShade="80"/>
              <w:bottom w:val="single" w:sz="6" w:space="0" w:color="808080" w:themeColor="background1" w:themeShade="80"/>
            </w:tcBorders>
          </w:tcPr>
          <w:p w14:paraId="4C7FEAEF" w14:textId="77777777" w:rsidR="00FC5936" w:rsidRPr="00783571" w:rsidDel="00FF79B9" w:rsidRDefault="00FC5936" w:rsidP="00FC5936">
            <w:pPr>
              <w:pStyle w:val="TableText"/>
              <w:jc w:val="center"/>
            </w:pPr>
            <w:r w:rsidRPr="00783571">
              <w:t>0.665</w:t>
            </w:r>
          </w:p>
        </w:tc>
        <w:tc>
          <w:tcPr>
            <w:tcW w:w="950" w:type="pct"/>
            <w:tcBorders>
              <w:top w:val="single" w:sz="6" w:space="0" w:color="808080" w:themeColor="background1" w:themeShade="80"/>
              <w:bottom w:val="single" w:sz="6" w:space="0" w:color="808080" w:themeColor="background1" w:themeShade="80"/>
            </w:tcBorders>
          </w:tcPr>
          <w:p w14:paraId="6264A82A" w14:textId="77777777" w:rsidR="00FC5936" w:rsidRPr="00783571" w:rsidRDefault="00FC5936" w:rsidP="00FC5936">
            <w:pPr>
              <w:pStyle w:val="TableText"/>
              <w:jc w:val="center"/>
            </w:pPr>
            <w:r w:rsidRPr="00783571">
              <w:t>0.500</w:t>
            </w:r>
          </w:p>
        </w:tc>
        <w:tc>
          <w:tcPr>
            <w:tcW w:w="949" w:type="pct"/>
            <w:tcBorders>
              <w:top w:val="single" w:sz="6" w:space="0" w:color="808080" w:themeColor="background1" w:themeShade="80"/>
              <w:bottom w:val="single" w:sz="6" w:space="0" w:color="808080" w:themeColor="background1" w:themeShade="80"/>
            </w:tcBorders>
          </w:tcPr>
          <w:p w14:paraId="4A944F30" w14:textId="77777777" w:rsidR="00FC5936" w:rsidRPr="00783571" w:rsidRDefault="00FC5936" w:rsidP="00FC5936">
            <w:pPr>
              <w:pStyle w:val="TableText"/>
              <w:jc w:val="center"/>
            </w:pPr>
            <w:r w:rsidRPr="00783571">
              <w:t>0.990</w:t>
            </w:r>
          </w:p>
        </w:tc>
      </w:tr>
      <w:tr w:rsidR="00FC5936" w:rsidRPr="00783571" w14:paraId="6314B001"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6B449EC1" w14:textId="77777777" w:rsidR="00FC5936" w:rsidRPr="00783571" w:rsidRDefault="00FC5936" w:rsidP="00FC5936">
            <w:pPr>
              <w:pStyle w:val="TableText"/>
            </w:pPr>
            <w:r w:rsidRPr="00783571">
              <w:t xml:space="preserve">Percentage of M–F partnerships with AI and VI if both AI and VI </w:t>
            </w:r>
          </w:p>
        </w:tc>
        <w:tc>
          <w:tcPr>
            <w:tcW w:w="951" w:type="pct"/>
            <w:tcBorders>
              <w:top w:val="single" w:sz="6" w:space="0" w:color="808080" w:themeColor="background1" w:themeShade="80"/>
              <w:bottom w:val="single" w:sz="6" w:space="0" w:color="808080" w:themeColor="background1" w:themeShade="80"/>
            </w:tcBorders>
          </w:tcPr>
          <w:p w14:paraId="428B3159" w14:textId="77777777" w:rsidR="00FC5936" w:rsidRPr="00783571" w:rsidRDefault="00FC5936" w:rsidP="00FC5936">
            <w:pPr>
              <w:pStyle w:val="TableText"/>
              <w:jc w:val="center"/>
            </w:pPr>
            <w:r w:rsidRPr="00783571">
              <w:t>0.801</w:t>
            </w:r>
          </w:p>
        </w:tc>
        <w:tc>
          <w:tcPr>
            <w:tcW w:w="950" w:type="pct"/>
            <w:tcBorders>
              <w:top w:val="single" w:sz="6" w:space="0" w:color="808080" w:themeColor="background1" w:themeShade="80"/>
              <w:bottom w:val="single" w:sz="6" w:space="0" w:color="808080" w:themeColor="background1" w:themeShade="80"/>
            </w:tcBorders>
          </w:tcPr>
          <w:p w14:paraId="70F0F813" w14:textId="77777777" w:rsidR="00FC5936" w:rsidRPr="00783571" w:rsidRDefault="00FC5936" w:rsidP="00FC5936">
            <w:pPr>
              <w:pStyle w:val="TableText"/>
              <w:jc w:val="center"/>
            </w:pPr>
            <w:r w:rsidRPr="00783571">
              <w:t>0.650</w:t>
            </w:r>
          </w:p>
        </w:tc>
        <w:tc>
          <w:tcPr>
            <w:tcW w:w="949" w:type="pct"/>
            <w:tcBorders>
              <w:top w:val="single" w:sz="6" w:space="0" w:color="808080" w:themeColor="background1" w:themeShade="80"/>
              <w:bottom w:val="single" w:sz="6" w:space="0" w:color="808080" w:themeColor="background1" w:themeShade="80"/>
            </w:tcBorders>
          </w:tcPr>
          <w:p w14:paraId="6769DB73" w14:textId="77777777" w:rsidR="00FC5936" w:rsidRPr="00783571" w:rsidRDefault="00FC5936" w:rsidP="00FC5936">
            <w:pPr>
              <w:pStyle w:val="TableText"/>
              <w:jc w:val="center"/>
            </w:pPr>
            <w:r w:rsidRPr="00783571">
              <w:t>0.950</w:t>
            </w:r>
          </w:p>
        </w:tc>
      </w:tr>
      <w:tr w:rsidR="00FC5936" w:rsidRPr="00783571" w14:paraId="74AA25C6" w14:textId="77777777" w:rsidTr="00BE6EBA">
        <w:trPr>
          <w:cantSplit/>
        </w:trPr>
        <w:tc>
          <w:tcPr>
            <w:tcW w:w="3101" w:type="pct"/>
            <w:gridSpan w:val="2"/>
            <w:tcBorders>
              <w:top w:val="single" w:sz="6" w:space="0" w:color="808080" w:themeColor="background1" w:themeShade="80"/>
              <w:bottom w:val="single" w:sz="6" w:space="0" w:color="808080" w:themeColor="background1" w:themeShade="80"/>
            </w:tcBorders>
          </w:tcPr>
          <w:p w14:paraId="2BB0FF6A" w14:textId="77777777" w:rsidR="00FC5936" w:rsidRPr="00783571" w:rsidRDefault="00FC5936" w:rsidP="00FC5936">
            <w:pPr>
              <w:pStyle w:val="TableText"/>
            </w:pPr>
            <w:r w:rsidRPr="00783571">
              <w:t>Length of time (in years) in each HIV stage if ART-not-VLS</w:t>
            </w:r>
          </w:p>
        </w:tc>
        <w:tc>
          <w:tcPr>
            <w:tcW w:w="950" w:type="pct"/>
            <w:tcBorders>
              <w:top w:val="single" w:sz="6" w:space="0" w:color="808080" w:themeColor="background1" w:themeShade="80"/>
              <w:bottom w:val="single" w:sz="6" w:space="0" w:color="808080" w:themeColor="background1" w:themeShade="80"/>
            </w:tcBorders>
          </w:tcPr>
          <w:p w14:paraId="4043524F" w14:textId="77777777" w:rsidR="00FC5936" w:rsidRPr="00783571" w:rsidRDefault="00FC5936" w:rsidP="00FC5936">
            <w:pPr>
              <w:pStyle w:val="TableText"/>
            </w:pPr>
          </w:p>
        </w:tc>
        <w:tc>
          <w:tcPr>
            <w:tcW w:w="949" w:type="pct"/>
            <w:tcBorders>
              <w:top w:val="single" w:sz="6" w:space="0" w:color="808080" w:themeColor="background1" w:themeShade="80"/>
              <w:bottom w:val="single" w:sz="6" w:space="0" w:color="808080" w:themeColor="background1" w:themeShade="80"/>
            </w:tcBorders>
          </w:tcPr>
          <w:p w14:paraId="71B98181" w14:textId="77777777" w:rsidR="00FC5936" w:rsidRPr="00783571" w:rsidRDefault="00FC5936" w:rsidP="00FC5936">
            <w:pPr>
              <w:pStyle w:val="TableText"/>
            </w:pPr>
          </w:p>
        </w:tc>
      </w:tr>
      <w:tr w:rsidR="00FC5936" w:rsidRPr="00783571" w14:paraId="5CA915BB"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3E781D22" w14:textId="77777777" w:rsidR="00FC5936" w:rsidRPr="00783571" w:rsidRDefault="00FC5936" w:rsidP="00FC5936">
            <w:pPr>
              <w:pStyle w:val="TableText"/>
              <w:ind w:left="274"/>
            </w:pPr>
            <w:r w:rsidRPr="00783571">
              <w:t>CD4 &gt; 500</w:t>
            </w:r>
          </w:p>
        </w:tc>
        <w:tc>
          <w:tcPr>
            <w:tcW w:w="951" w:type="pct"/>
            <w:tcBorders>
              <w:top w:val="single" w:sz="6" w:space="0" w:color="808080" w:themeColor="background1" w:themeShade="80"/>
              <w:bottom w:val="single" w:sz="6" w:space="0" w:color="808080" w:themeColor="background1" w:themeShade="80"/>
            </w:tcBorders>
          </w:tcPr>
          <w:p w14:paraId="2102731A" w14:textId="77777777" w:rsidR="00FC5936" w:rsidRPr="00783571" w:rsidRDefault="00FC5936" w:rsidP="00FC5936">
            <w:pPr>
              <w:pStyle w:val="TableText"/>
              <w:jc w:val="center"/>
            </w:pPr>
            <w:r w:rsidRPr="00783571">
              <w:t>37.793</w:t>
            </w:r>
          </w:p>
        </w:tc>
        <w:tc>
          <w:tcPr>
            <w:tcW w:w="950" w:type="pct"/>
            <w:tcBorders>
              <w:top w:val="single" w:sz="6" w:space="0" w:color="808080" w:themeColor="background1" w:themeShade="80"/>
              <w:bottom w:val="single" w:sz="6" w:space="0" w:color="808080" w:themeColor="background1" w:themeShade="80"/>
            </w:tcBorders>
          </w:tcPr>
          <w:p w14:paraId="76066670" w14:textId="77777777" w:rsidR="00FC5936" w:rsidRPr="00783571" w:rsidRDefault="00FC5936" w:rsidP="00FC5936">
            <w:pPr>
              <w:pStyle w:val="TableText"/>
              <w:jc w:val="center"/>
            </w:pPr>
            <w:r w:rsidRPr="00783571">
              <w:t>5.000</w:t>
            </w:r>
          </w:p>
        </w:tc>
        <w:tc>
          <w:tcPr>
            <w:tcW w:w="949" w:type="pct"/>
            <w:tcBorders>
              <w:top w:val="single" w:sz="6" w:space="0" w:color="808080" w:themeColor="background1" w:themeShade="80"/>
              <w:bottom w:val="single" w:sz="6" w:space="0" w:color="808080" w:themeColor="background1" w:themeShade="80"/>
            </w:tcBorders>
          </w:tcPr>
          <w:p w14:paraId="6E94C727" w14:textId="77777777" w:rsidR="00FC5936" w:rsidRPr="00783571" w:rsidRDefault="00FC5936" w:rsidP="00FC5936">
            <w:pPr>
              <w:pStyle w:val="TableText"/>
              <w:jc w:val="center"/>
            </w:pPr>
            <w:r w:rsidRPr="00783571">
              <w:t>50.000</w:t>
            </w:r>
          </w:p>
        </w:tc>
      </w:tr>
      <w:tr w:rsidR="00FC5936" w:rsidRPr="00783571" w14:paraId="136ABE81"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5DB39CCB" w14:textId="77777777" w:rsidR="00FC5936" w:rsidRPr="00783571" w:rsidRDefault="00FC5936" w:rsidP="00FC5936">
            <w:pPr>
              <w:pStyle w:val="TableText"/>
              <w:ind w:left="274"/>
            </w:pPr>
            <w:r w:rsidRPr="00783571">
              <w:t>CD4 350–500</w:t>
            </w:r>
          </w:p>
        </w:tc>
        <w:tc>
          <w:tcPr>
            <w:tcW w:w="951" w:type="pct"/>
            <w:tcBorders>
              <w:top w:val="single" w:sz="6" w:space="0" w:color="808080" w:themeColor="background1" w:themeShade="80"/>
              <w:bottom w:val="single" w:sz="6" w:space="0" w:color="808080" w:themeColor="background1" w:themeShade="80"/>
            </w:tcBorders>
          </w:tcPr>
          <w:p w14:paraId="4E930D3C" w14:textId="77777777" w:rsidR="00FC5936" w:rsidRPr="00783571" w:rsidRDefault="00FC5936" w:rsidP="00FC5936">
            <w:pPr>
              <w:pStyle w:val="TableText"/>
              <w:jc w:val="center"/>
            </w:pPr>
            <w:r w:rsidRPr="00783571">
              <w:t>39.583</w:t>
            </w:r>
          </w:p>
        </w:tc>
        <w:tc>
          <w:tcPr>
            <w:tcW w:w="950" w:type="pct"/>
            <w:tcBorders>
              <w:top w:val="single" w:sz="6" w:space="0" w:color="808080" w:themeColor="background1" w:themeShade="80"/>
              <w:bottom w:val="single" w:sz="6" w:space="0" w:color="808080" w:themeColor="background1" w:themeShade="80"/>
            </w:tcBorders>
          </w:tcPr>
          <w:p w14:paraId="7A6F8971" w14:textId="77777777" w:rsidR="00FC5936" w:rsidRPr="00783571" w:rsidRDefault="00FC5936" w:rsidP="00FC5936">
            <w:pPr>
              <w:pStyle w:val="TableText"/>
              <w:jc w:val="center"/>
            </w:pPr>
            <w:r w:rsidRPr="00783571">
              <w:t>5.000</w:t>
            </w:r>
          </w:p>
        </w:tc>
        <w:tc>
          <w:tcPr>
            <w:tcW w:w="949" w:type="pct"/>
            <w:tcBorders>
              <w:top w:val="single" w:sz="6" w:space="0" w:color="808080" w:themeColor="background1" w:themeShade="80"/>
              <w:bottom w:val="single" w:sz="6" w:space="0" w:color="808080" w:themeColor="background1" w:themeShade="80"/>
            </w:tcBorders>
          </w:tcPr>
          <w:p w14:paraId="23F89B4E" w14:textId="77777777" w:rsidR="00FC5936" w:rsidRPr="00783571" w:rsidRDefault="00FC5936" w:rsidP="00FC5936">
            <w:pPr>
              <w:pStyle w:val="TableText"/>
              <w:jc w:val="center"/>
            </w:pPr>
            <w:r w:rsidRPr="00783571">
              <w:t>50.000</w:t>
            </w:r>
          </w:p>
        </w:tc>
      </w:tr>
      <w:tr w:rsidR="00FC5936" w:rsidRPr="00783571" w14:paraId="2BDE4129" w14:textId="77777777" w:rsidTr="00BE6EBA">
        <w:trPr>
          <w:cantSplit/>
        </w:trPr>
        <w:tc>
          <w:tcPr>
            <w:tcW w:w="2150" w:type="pct"/>
            <w:tcBorders>
              <w:top w:val="single" w:sz="6" w:space="0" w:color="808080" w:themeColor="background1" w:themeShade="80"/>
              <w:bottom w:val="single" w:sz="4" w:space="0" w:color="808080" w:themeColor="background1" w:themeShade="80"/>
            </w:tcBorders>
          </w:tcPr>
          <w:p w14:paraId="011B1310" w14:textId="77777777" w:rsidR="00FC5936" w:rsidRPr="00783571" w:rsidRDefault="00FC5936" w:rsidP="00FC5936">
            <w:pPr>
              <w:pStyle w:val="TableText"/>
              <w:ind w:left="274"/>
            </w:pPr>
            <w:r w:rsidRPr="00783571">
              <w:t>CD4 200–350</w:t>
            </w:r>
          </w:p>
        </w:tc>
        <w:tc>
          <w:tcPr>
            <w:tcW w:w="951" w:type="pct"/>
            <w:tcBorders>
              <w:top w:val="single" w:sz="6" w:space="0" w:color="808080" w:themeColor="background1" w:themeShade="80"/>
              <w:bottom w:val="single" w:sz="4" w:space="0" w:color="808080" w:themeColor="background1" w:themeShade="80"/>
            </w:tcBorders>
          </w:tcPr>
          <w:p w14:paraId="06B70922" w14:textId="77777777" w:rsidR="00FC5936" w:rsidRPr="00783571" w:rsidRDefault="00FC5936" w:rsidP="00FC5936">
            <w:pPr>
              <w:pStyle w:val="TableText"/>
              <w:jc w:val="center"/>
            </w:pPr>
            <w:r w:rsidRPr="00783571">
              <w:t>38.414</w:t>
            </w:r>
          </w:p>
        </w:tc>
        <w:tc>
          <w:tcPr>
            <w:tcW w:w="950" w:type="pct"/>
            <w:tcBorders>
              <w:top w:val="single" w:sz="6" w:space="0" w:color="808080" w:themeColor="background1" w:themeShade="80"/>
              <w:bottom w:val="single" w:sz="4" w:space="0" w:color="808080" w:themeColor="background1" w:themeShade="80"/>
            </w:tcBorders>
          </w:tcPr>
          <w:p w14:paraId="36E6194C" w14:textId="77777777" w:rsidR="00FC5936" w:rsidRPr="00783571" w:rsidRDefault="00FC5936" w:rsidP="00FC5936">
            <w:pPr>
              <w:pStyle w:val="TableText"/>
              <w:jc w:val="center"/>
            </w:pPr>
            <w:r w:rsidRPr="00783571">
              <w:t>5.000</w:t>
            </w:r>
          </w:p>
        </w:tc>
        <w:tc>
          <w:tcPr>
            <w:tcW w:w="949" w:type="pct"/>
            <w:tcBorders>
              <w:top w:val="single" w:sz="6" w:space="0" w:color="808080" w:themeColor="background1" w:themeShade="80"/>
              <w:bottom w:val="single" w:sz="4" w:space="0" w:color="808080" w:themeColor="background1" w:themeShade="80"/>
            </w:tcBorders>
          </w:tcPr>
          <w:p w14:paraId="34654393" w14:textId="77777777" w:rsidR="00FC5936" w:rsidRPr="00783571" w:rsidRDefault="00FC5936" w:rsidP="00FC5936">
            <w:pPr>
              <w:pStyle w:val="TableText"/>
              <w:jc w:val="center"/>
            </w:pPr>
            <w:r w:rsidRPr="00783571">
              <w:t>60.000</w:t>
            </w:r>
          </w:p>
        </w:tc>
      </w:tr>
      <w:tr w:rsidR="00FC5936" w:rsidRPr="00783571" w14:paraId="4B10A845" w14:textId="77777777" w:rsidTr="00BE6EBA">
        <w:trPr>
          <w:cantSplit/>
        </w:trPr>
        <w:tc>
          <w:tcPr>
            <w:tcW w:w="3101" w:type="pct"/>
            <w:gridSpan w:val="2"/>
            <w:tcBorders>
              <w:top w:val="single" w:sz="6" w:space="0" w:color="808080" w:themeColor="background1" w:themeShade="80"/>
              <w:bottom w:val="single" w:sz="6" w:space="0" w:color="808080" w:themeColor="background1" w:themeShade="80"/>
            </w:tcBorders>
          </w:tcPr>
          <w:p w14:paraId="45D1B48B" w14:textId="4AC32F6B" w:rsidR="00FC5936" w:rsidRPr="00783571" w:rsidRDefault="00FC5936" w:rsidP="00BE6EBA">
            <w:pPr>
              <w:pStyle w:val="TableText"/>
            </w:pPr>
            <w:r w:rsidRPr="00783571">
              <w:t>Annual rate of declining one disease stage while VLS</w:t>
            </w:r>
          </w:p>
        </w:tc>
        <w:tc>
          <w:tcPr>
            <w:tcW w:w="950" w:type="pct"/>
            <w:tcBorders>
              <w:top w:val="single" w:sz="6" w:space="0" w:color="808080" w:themeColor="background1" w:themeShade="80"/>
              <w:bottom w:val="single" w:sz="6" w:space="0" w:color="808080" w:themeColor="background1" w:themeShade="80"/>
            </w:tcBorders>
          </w:tcPr>
          <w:p w14:paraId="19080CF1" w14:textId="77777777" w:rsidR="00FC5936" w:rsidRPr="00783571" w:rsidRDefault="00FC5936" w:rsidP="00FC5936">
            <w:pPr>
              <w:pStyle w:val="TableText"/>
              <w:jc w:val="center"/>
            </w:pPr>
          </w:p>
        </w:tc>
        <w:tc>
          <w:tcPr>
            <w:tcW w:w="949" w:type="pct"/>
            <w:tcBorders>
              <w:top w:val="single" w:sz="6" w:space="0" w:color="808080" w:themeColor="background1" w:themeShade="80"/>
              <w:bottom w:val="single" w:sz="6" w:space="0" w:color="808080" w:themeColor="background1" w:themeShade="80"/>
            </w:tcBorders>
          </w:tcPr>
          <w:p w14:paraId="64E54839" w14:textId="77777777" w:rsidR="00FC5936" w:rsidRPr="00783571" w:rsidRDefault="00FC5936" w:rsidP="00FC5936">
            <w:pPr>
              <w:pStyle w:val="TableText"/>
              <w:jc w:val="center"/>
            </w:pPr>
          </w:p>
        </w:tc>
      </w:tr>
      <w:tr w:rsidR="00FC5936" w:rsidRPr="00783571" w14:paraId="39DF55BD"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591438AE" w14:textId="77777777" w:rsidR="00FC5936" w:rsidRPr="00783571" w:rsidRDefault="00FC5936" w:rsidP="00FC5936">
            <w:pPr>
              <w:pStyle w:val="TableText"/>
              <w:ind w:left="274"/>
            </w:pPr>
            <w:r w:rsidRPr="00783571">
              <w:t>CD4 &gt; 500</w:t>
            </w:r>
          </w:p>
        </w:tc>
        <w:tc>
          <w:tcPr>
            <w:tcW w:w="951" w:type="pct"/>
            <w:tcBorders>
              <w:top w:val="single" w:sz="6" w:space="0" w:color="808080" w:themeColor="background1" w:themeShade="80"/>
              <w:bottom w:val="single" w:sz="6" w:space="0" w:color="808080" w:themeColor="background1" w:themeShade="80"/>
            </w:tcBorders>
          </w:tcPr>
          <w:p w14:paraId="77CF4E57" w14:textId="77777777" w:rsidR="00FC5936" w:rsidRPr="00783571" w:rsidRDefault="00FC5936" w:rsidP="00FC5936">
            <w:pPr>
              <w:pStyle w:val="TableText"/>
              <w:jc w:val="center"/>
            </w:pPr>
            <w:r w:rsidRPr="00783571">
              <w:t>0.045</w:t>
            </w:r>
          </w:p>
        </w:tc>
        <w:tc>
          <w:tcPr>
            <w:tcW w:w="950" w:type="pct"/>
            <w:tcBorders>
              <w:top w:val="single" w:sz="6" w:space="0" w:color="808080" w:themeColor="background1" w:themeShade="80"/>
              <w:bottom w:val="single" w:sz="6" w:space="0" w:color="808080" w:themeColor="background1" w:themeShade="80"/>
            </w:tcBorders>
          </w:tcPr>
          <w:p w14:paraId="66FD455B" w14:textId="77777777" w:rsidR="00FC5936" w:rsidRPr="00783571" w:rsidRDefault="00FC5936" w:rsidP="00FC5936">
            <w:pPr>
              <w:pStyle w:val="TableText"/>
              <w:jc w:val="center"/>
            </w:pPr>
            <w:r w:rsidRPr="00783571">
              <w:t>0.010</w:t>
            </w:r>
          </w:p>
        </w:tc>
        <w:tc>
          <w:tcPr>
            <w:tcW w:w="949" w:type="pct"/>
            <w:tcBorders>
              <w:top w:val="single" w:sz="6" w:space="0" w:color="808080" w:themeColor="background1" w:themeShade="80"/>
              <w:bottom w:val="single" w:sz="6" w:space="0" w:color="808080" w:themeColor="background1" w:themeShade="80"/>
            </w:tcBorders>
          </w:tcPr>
          <w:p w14:paraId="1D5AA7AD" w14:textId="77777777" w:rsidR="00FC5936" w:rsidRPr="00783571" w:rsidRDefault="00FC5936" w:rsidP="00FC5936">
            <w:pPr>
              <w:pStyle w:val="TableText"/>
              <w:jc w:val="center"/>
            </w:pPr>
            <w:r w:rsidRPr="00783571">
              <w:t>0.080</w:t>
            </w:r>
          </w:p>
        </w:tc>
      </w:tr>
      <w:tr w:rsidR="00FC5936" w:rsidRPr="00783571" w14:paraId="0155F8D8"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47E90ED9" w14:textId="77777777" w:rsidR="00FC5936" w:rsidRPr="00783571" w:rsidRDefault="00FC5936" w:rsidP="00FC5936">
            <w:pPr>
              <w:pStyle w:val="TableText"/>
              <w:ind w:left="274"/>
            </w:pPr>
            <w:r w:rsidRPr="00783571">
              <w:t>CD4 350–500</w:t>
            </w:r>
          </w:p>
        </w:tc>
        <w:tc>
          <w:tcPr>
            <w:tcW w:w="951" w:type="pct"/>
            <w:tcBorders>
              <w:top w:val="single" w:sz="6" w:space="0" w:color="808080" w:themeColor="background1" w:themeShade="80"/>
              <w:bottom w:val="single" w:sz="6" w:space="0" w:color="808080" w:themeColor="background1" w:themeShade="80"/>
            </w:tcBorders>
          </w:tcPr>
          <w:p w14:paraId="52EB76D8" w14:textId="77777777" w:rsidR="00FC5936" w:rsidRPr="00783571" w:rsidRDefault="00FC5936" w:rsidP="00FC5936">
            <w:pPr>
              <w:pStyle w:val="TableText"/>
              <w:jc w:val="center"/>
            </w:pPr>
            <w:r w:rsidRPr="00783571">
              <w:t>0.045</w:t>
            </w:r>
          </w:p>
        </w:tc>
        <w:tc>
          <w:tcPr>
            <w:tcW w:w="950" w:type="pct"/>
            <w:tcBorders>
              <w:top w:val="single" w:sz="6" w:space="0" w:color="808080" w:themeColor="background1" w:themeShade="80"/>
              <w:bottom w:val="single" w:sz="6" w:space="0" w:color="808080" w:themeColor="background1" w:themeShade="80"/>
            </w:tcBorders>
          </w:tcPr>
          <w:p w14:paraId="2E3B1868" w14:textId="77777777" w:rsidR="00FC5936" w:rsidRPr="00783571" w:rsidRDefault="00FC5936" w:rsidP="00FC5936">
            <w:pPr>
              <w:pStyle w:val="TableText"/>
              <w:jc w:val="center"/>
            </w:pPr>
            <w:r w:rsidRPr="00783571">
              <w:t>0.010</w:t>
            </w:r>
          </w:p>
        </w:tc>
        <w:tc>
          <w:tcPr>
            <w:tcW w:w="949" w:type="pct"/>
            <w:tcBorders>
              <w:top w:val="single" w:sz="6" w:space="0" w:color="808080" w:themeColor="background1" w:themeShade="80"/>
              <w:bottom w:val="single" w:sz="6" w:space="0" w:color="808080" w:themeColor="background1" w:themeShade="80"/>
            </w:tcBorders>
          </w:tcPr>
          <w:p w14:paraId="2C2422C0" w14:textId="77777777" w:rsidR="00FC5936" w:rsidRPr="00783571" w:rsidRDefault="00FC5936" w:rsidP="00FC5936">
            <w:pPr>
              <w:pStyle w:val="TableText"/>
              <w:jc w:val="center"/>
            </w:pPr>
            <w:r w:rsidRPr="00783571">
              <w:t>0.080</w:t>
            </w:r>
          </w:p>
        </w:tc>
      </w:tr>
      <w:tr w:rsidR="00FC5936" w:rsidRPr="00783571" w14:paraId="4CF79601"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5A3828D2" w14:textId="77777777" w:rsidR="00FC5936" w:rsidRPr="00783571" w:rsidRDefault="00FC5936" w:rsidP="00FC5936">
            <w:pPr>
              <w:pStyle w:val="TableText"/>
              <w:ind w:left="274"/>
            </w:pPr>
            <w:r w:rsidRPr="00783571">
              <w:t>CD4 200–350</w:t>
            </w:r>
          </w:p>
        </w:tc>
        <w:tc>
          <w:tcPr>
            <w:tcW w:w="951" w:type="pct"/>
            <w:tcBorders>
              <w:top w:val="single" w:sz="6" w:space="0" w:color="808080" w:themeColor="background1" w:themeShade="80"/>
              <w:bottom w:val="single" w:sz="6" w:space="0" w:color="808080" w:themeColor="background1" w:themeShade="80"/>
            </w:tcBorders>
          </w:tcPr>
          <w:p w14:paraId="3782DC87" w14:textId="77777777" w:rsidR="00FC5936" w:rsidRPr="00783571" w:rsidRDefault="00FC5936" w:rsidP="00FC5936">
            <w:pPr>
              <w:pStyle w:val="TableText"/>
              <w:jc w:val="center"/>
            </w:pPr>
            <w:r w:rsidRPr="00783571">
              <w:t>0.045</w:t>
            </w:r>
          </w:p>
        </w:tc>
        <w:tc>
          <w:tcPr>
            <w:tcW w:w="950" w:type="pct"/>
            <w:tcBorders>
              <w:top w:val="single" w:sz="6" w:space="0" w:color="808080" w:themeColor="background1" w:themeShade="80"/>
              <w:bottom w:val="single" w:sz="6" w:space="0" w:color="808080" w:themeColor="background1" w:themeShade="80"/>
            </w:tcBorders>
          </w:tcPr>
          <w:p w14:paraId="3252FCFD" w14:textId="77777777" w:rsidR="00FC5936" w:rsidRPr="00783571" w:rsidRDefault="00FC5936" w:rsidP="00FC5936">
            <w:pPr>
              <w:pStyle w:val="TableText"/>
              <w:jc w:val="center"/>
            </w:pPr>
            <w:r w:rsidRPr="00783571">
              <w:t>0.010</w:t>
            </w:r>
          </w:p>
        </w:tc>
        <w:tc>
          <w:tcPr>
            <w:tcW w:w="949" w:type="pct"/>
            <w:tcBorders>
              <w:top w:val="single" w:sz="6" w:space="0" w:color="808080" w:themeColor="background1" w:themeShade="80"/>
              <w:bottom w:val="single" w:sz="6" w:space="0" w:color="808080" w:themeColor="background1" w:themeShade="80"/>
            </w:tcBorders>
          </w:tcPr>
          <w:p w14:paraId="34C03680" w14:textId="77777777" w:rsidR="00FC5936" w:rsidRPr="00783571" w:rsidRDefault="00FC5936" w:rsidP="00FC5936">
            <w:pPr>
              <w:pStyle w:val="TableText"/>
              <w:jc w:val="center"/>
            </w:pPr>
            <w:r w:rsidRPr="00783571">
              <w:t>0.080</w:t>
            </w:r>
          </w:p>
        </w:tc>
      </w:tr>
      <w:tr w:rsidR="00BE6EBA" w:rsidRPr="00783571" w14:paraId="7BD5EB94" w14:textId="77777777" w:rsidTr="00BE6EBA">
        <w:trPr>
          <w:cantSplit/>
        </w:trPr>
        <w:tc>
          <w:tcPr>
            <w:tcW w:w="3101" w:type="pct"/>
            <w:gridSpan w:val="2"/>
            <w:tcBorders>
              <w:top w:val="single" w:sz="6" w:space="0" w:color="808080" w:themeColor="background1" w:themeShade="80"/>
              <w:bottom w:val="single" w:sz="6" w:space="0" w:color="808080" w:themeColor="background1" w:themeShade="80"/>
            </w:tcBorders>
          </w:tcPr>
          <w:p w14:paraId="00073606" w14:textId="1D84C275" w:rsidR="00BE6EBA" w:rsidRPr="00783571" w:rsidRDefault="00BE6EBA" w:rsidP="00BE6EBA">
            <w:pPr>
              <w:pStyle w:val="TableText"/>
            </w:pPr>
            <w:r w:rsidRPr="00783571">
              <w:t>Annual rate of improving one disease stage while VLS</w:t>
            </w:r>
          </w:p>
        </w:tc>
        <w:tc>
          <w:tcPr>
            <w:tcW w:w="950" w:type="pct"/>
            <w:tcBorders>
              <w:top w:val="single" w:sz="6" w:space="0" w:color="808080" w:themeColor="background1" w:themeShade="80"/>
              <w:bottom w:val="single" w:sz="6" w:space="0" w:color="808080" w:themeColor="background1" w:themeShade="80"/>
            </w:tcBorders>
          </w:tcPr>
          <w:p w14:paraId="2FB02719" w14:textId="77777777" w:rsidR="00BE6EBA" w:rsidRPr="00783571" w:rsidRDefault="00BE6EBA" w:rsidP="00FC5936">
            <w:pPr>
              <w:pStyle w:val="TableText"/>
              <w:jc w:val="center"/>
            </w:pPr>
          </w:p>
        </w:tc>
        <w:tc>
          <w:tcPr>
            <w:tcW w:w="949" w:type="pct"/>
            <w:tcBorders>
              <w:top w:val="single" w:sz="6" w:space="0" w:color="808080" w:themeColor="background1" w:themeShade="80"/>
              <w:bottom w:val="single" w:sz="6" w:space="0" w:color="808080" w:themeColor="background1" w:themeShade="80"/>
            </w:tcBorders>
          </w:tcPr>
          <w:p w14:paraId="13D8B64A" w14:textId="77777777" w:rsidR="00BE6EBA" w:rsidRPr="00783571" w:rsidRDefault="00BE6EBA" w:rsidP="00FC5936">
            <w:pPr>
              <w:pStyle w:val="TableText"/>
              <w:jc w:val="center"/>
            </w:pPr>
          </w:p>
        </w:tc>
      </w:tr>
      <w:tr w:rsidR="00FC5936" w:rsidRPr="00783571" w14:paraId="10092F5C"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58BB7D88" w14:textId="77777777" w:rsidR="00FC5936" w:rsidRPr="00783571" w:rsidRDefault="00FC5936" w:rsidP="00FC5936">
            <w:pPr>
              <w:pStyle w:val="TableText"/>
              <w:ind w:left="274"/>
            </w:pPr>
            <w:r w:rsidRPr="00783571">
              <w:t>CD4 350–500</w:t>
            </w:r>
          </w:p>
        </w:tc>
        <w:tc>
          <w:tcPr>
            <w:tcW w:w="951" w:type="pct"/>
            <w:tcBorders>
              <w:top w:val="single" w:sz="6" w:space="0" w:color="808080" w:themeColor="background1" w:themeShade="80"/>
              <w:bottom w:val="single" w:sz="6" w:space="0" w:color="808080" w:themeColor="background1" w:themeShade="80"/>
            </w:tcBorders>
          </w:tcPr>
          <w:p w14:paraId="2BCBB27C" w14:textId="77777777" w:rsidR="00FC5936" w:rsidRPr="00783571" w:rsidRDefault="00FC5936" w:rsidP="00FC5936">
            <w:pPr>
              <w:pStyle w:val="TableText"/>
              <w:jc w:val="center"/>
            </w:pPr>
            <w:r w:rsidRPr="00783571">
              <w:t>0.432</w:t>
            </w:r>
          </w:p>
        </w:tc>
        <w:tc>
          <w:tcPr>
            <w:tcW w:w="950" w:type="pct"/>
            <w:tcBorders>
              <w:top w:val="single" w:sz="6" w:space="0" w:color="808080" w:themeColor="background1" w:themeShade="80"/>
              <w:bottom w:val="single" w:sz="6" w:space="0" w:color="808080" w:themeColor="background1" w:themeShade="80"/>
            </w:tcBorders>
          </w:tcPr>
          <w:p w14:paraId="408AFDFD" w14:textId="77777777" w:rsidR="00FC5936" w:rsidRPr="00783571" w:rsidRDefault="00FC5936" w:rsidP="00FC5936">
            <w:pPr>
              <w:pStyle w:val="TableText"/>
              <w:jc w:val="center"/>
            </w:pPr>
            <w:r w:rsidRPr="00783571">
              <w:t>0.250</w:t>
            </w:r>
          </w:p>
        </w:tc>
        <w:tc>
          <w:tcPr>
            <w:tcW w:w="949" w:type="pct"/>
            <w:tcBorders>
              <w:top w:val="single" w:sz="6" w:space="0" w:color="808080" w:themeColor="background1" w:themeShade="80"/>
              <w:bottom w:val="single" w:sz="6" w:space="0" w:color="808080" w:themeColor="background1" w:themeShade="80"/>
            </w:tcBorders>
          </w:tcPr>
          <w:p w14:paraId="2F3E9C91" w14:textId="77777777" w:rsidR="00FC5936" w:rsidRPr="00783571" w:rsidRDefault="00FC5936" w:rsidP="00FC5936">
            <w:pPr>
              <w:pStyle w:val="TableText"/>
              <w:jc w:val="center"/>
            </w:pPr>
            <w:r w:rsidRPr="00783571">
              <w:t>0.650</w:t>
            </w:r>
          </w:p>
        </w:tc>
      </w:tr>
      <w:tr w:rsidR="00FC5936" w:rsidRPr="00783571" w14:paraId="1B8BC5A3" w14:textId="77777777" w:rsidTr="00BE6EBA">
        <w:trPr>
          <w:cantSplit/>
        </w:trPr>
        <w:tc>
          <w:tcPr>
            <w:tcW w:w="2150" w:type="pct"/>
            <w:tcBorders>
              <w:top w:val="single" w:sz="6" w:space="0" w:color="808080" w:themeColor="background1" w:themeShade="80"/>
              <w:bottom w:val="single" w:sz="6" w:space="0" w:color="808080" w:themeColor="background1" w:themeShade="80"/>
            </w:tcBorders>
          </w:tcPr>
          <w:p w14:paraId="4B6A973D" w14:textId="77777777" w:rsidR="00FC5936" w:rsidRPr="00783571" w:rsidRDefault="00FC5936" w:rsidP="00FC5936">
            <w:pPr>
              <w:pStyle w:val="TableText"/>
              <w:ind w:left="274"/>
            </w:pPr>
            <w:r w:rsidRPr="00783571">
              <w:t>CD4 200–350</w:t>
            </w:r>
          </w:p>
        </w:tc>
        <w:tc>
          <w:tcPr>
            <w:tcW w:w="951" w:type="pct"/>
            <w:tcBorders>
              <w:top w:val="single" w:sz="6" w:space="0" w:color="808080" w:themeColor="background1" w:themeShade="80"/>
              <w:bottom w:val="single" w:sz="6" w:space="0" w:color="808080" w:themeColor="background1" w:themeShade="80"/>
            </w:tcBorders>
          </w:tcPr>
          <w:p w14:paraId="5338EF8D" w14:textId="77777777" w:rsidR="00FC5936" w:rsidRPr="00783571" w:rsidRDefault="00FC5936" w:rsidP="00FC5936">
            <w:pPr>
              <w:pStyle w:val="TableText"/>
              <w:jc w:val="center"/>
            </w:pPr>
            <w:r w:rsidRPr="00783571">
              <w:t>0.428</w:t>
            </w:r>
          </w:p>
        </w:tc>
        <w:tc>
          <w:tcPr>
            <w:tcW w:w="950" w:type="pct"/>
            <w:tcBorders>
              <w:top w:val="single" w:sz="6" w:space="0" w:color="808080" w:themeColor="background1" w:themeShade="80"/>
              <w:bottom w:val="single" w:sz="6" w:space="0" w:color="808080" w:themeColor="background1" w:themeShade="80"/>
            </w:tcBorders>
          </w:tcPr>
          <w:p w14:paraId="4A4ADFBF" w14:textId="77777777" w:rsidR="00FC5936" w:rsidRPr="00783571" w:rsidRDefault="00FC5936" w:rsidP="00FC5936">
            <w:pPr>
              <w:pStyle w:val="TableText"/>
              <w:jc w:val="center"/>
            </w:pPr>
            <w:r w:rsidRPr="00783571">
              <w:t>0.250</w:t>
            </w:r>
          </w:p>
        </w:tc>
        <w:tc>
          <w:tcPr>
            <w:tcW w:w="949" w:type="pct"/>
            <w:tcBorders>
              <w:top w:val="single" w:sz="6" w:space="0" w:color="808080" w:themeColor="background1" w:themeShade="80"/>
              <w:bottom w:val="single" w:sz="6" w:space="0" w:color="808080" w:themeColor="background1" w:themeShade="80"/>
            </w:tcBorders>
          </w:tcPr>
          <w:p w14:paraId="35766EF7" w14:textId="77777777" w:rsidR="00FC5936" w:rsidRPr="00783571" w:rsidRDefault="00FC5936" w:rsidP="00FC5936">
            <w:pPr>
              <w:pStyle w:val="TableText"/>
              <w:jc w:val="center"/>
            </w:pPr>
            <w:r w:rsidRPr="00783571">
              <w:t>0.650</w:t>
            </w:r>
          </w:p>
        </w:tc>
      </w:tr>
      <w:tr w:rsidR="00FC5936" w:rsidRPr="00783571" w14:paraId="521D6EA5" w14:textId="77777777" w:rsidTr="00BE6EBA">
        <w:trPr>
          <w:cantSplit/>
        </w:trPr>
        <w:tc>
          <w:tcPr>
            <w:tcW w:w="2150" w:type="pct"/>
            <w:tcBorders>
              <w:top w:val="single" w:sz="6" w:space="0" w:color="808080" w:themeColor="background1" w:themeShade="80"/>
              <w:bottom w:val="single" w:sz="12" w:space="0" w:color="auto"/>
            </w:tcBorders>
          </w:tcPr>
          <w:p w14:paraId="5C29B1C4" w14:textId="77777777" w:rsidR="00FC5936" w:rsidRPr="00783571" w:rsidRDefault="00FC5936" w:rsidP="00FC5936">
            <w:pPr>
              <w:pStyle w:val="TableText"/>
              <w:ind w:left="274"/>
            </w:pPr>
            <w:r w:rsidRPr="00783571">
              <w:t>CD4 &lt; 200</w:t>
            </w:r>
          </w:p>
        </w:tc>
        <w:tc>
          <w:tcPr>
            <w:tcW w:w="951" w:type="pct"/>
            <w:tcBorders>
              <w:top w:val="single" w:sz="6" w:space="0" w:color="808080" w:themeColor="background1" w:themeShade="80"/>
              <w:bottom w:val="single" w:sz="12" w:space="0" w:color="auto"/>
            </w:tcBorders>
          </w:tcPr>
          <w:p w14:paraId="469584D8" w14:textId="77777777" w:rsidR="00FC5936" w:rsidRPr="00783571" w:rsidRDefault="00FC5936" w:rsidP="00FC5936">
            <w:pPr>
              <w:pStyle w:val="TableText"/>
              <w:jc w:val="center"/>
            </w:pPr>
            <w:r w:rsidRPr="00783571">
              <w:t>0.397</w:t>
            </w:r>
          </w:p>
        </w:tc>
        <w:tc>
          <w:tcPr>
            <w:tcW w:w="950" w:type="pct"/>
            <w:tcBorders>
              <w:top w:val="single" w:sz="6" w:space="0" w:color="808080" w:themeColor="background1" w:themeShade="80"/>
              <w:bottom w:val="single" w:sz="12" w:space="0" w:color="auto"/>
            </w:tcBorders>
          </w:tcPr>
          <w:p w14:paraId="711627BC" w14:textId="77777777" w:rsidR="00FC5936" w:rsidRPr="00783571" w:rsidRDefault="00FC5936" w:rsidP="00FC5936">
            <w:pPr>
              <w:pStyle w:val="TableText"/>
              <w:jc w:val="center"/>
            </w:pPr>
            <w:r w:rsidRPr="00783571">
              <w:t>0.250</w:t>
            </w:r>
          </w:p>
        </w:tc>
        <w:tc>
          <w:tcPr>
            <w:tcW w:w="949" w:type="pct"/>
            <w:tcBorders>
              <w:top w:val="single" w:sz="6" w:space="0" w:color="808080" w:themeColor="background1" w:themeShade="80"/>
              <w:bottom w:val="single" w:sz="12" w:space="0" w:color="auto"/>
            </w:tcBorders>
          </w:tcPr>
          <w:p w14:paraId="79FF4C42" w14:textId="77777777" w:rsidR="00FC5936" w:rsidRPr="00783571" w:rsidRDefault="00FC5936" w:rsidP="00FC5936">
            <w:pPr>
              <w:pStyle w:val="TableText"/>
              <w:jc w:val="center"/>
            </w:pPr>
            <w:r w:rsidRPr="00783571">
              <w:t>0.650</w:t>
            </w:r>
          </w:p>
        </w:tc>
      </w:tr>
    </w:tbl>
    <w:p w14:paraId="11CC5DAE" w14:textId="77777777" w:rsidR="00BE6EBA" w:rsidRPr="00783571" w:rsidRDefault="00BE6EBA" w:rsidP="00BE6EBA">
      <w:pPr>
        <w:pStyle w:val="Tablecont"/>
      </w:pPr>
      <w:r w:rsidRPr="00783571">
        <w:t>(continued)</w:t>
      </w:r>
    </w:p>
    <w:p w14:paraId="7C0517D2" w14:textId="77777777" w:rsidR="00BE6EBA" w:rsidRPr="00783571" w:rsidRDefault="00BE6EBA" w:rsidP="00BE6EBA">
      <w:pPr>
        <w:pStyle w:val="TableTitlecont"/>
      </w:pPr>
      <w:r w:rsidRPr="00783571">
        <w:t>Table 11.2.</w:t>
      </w:r>
      <w:r w:rsidRPr="00783571">
        <w:tab/>
        <w:t>Bounds and Final Values of Inputs Defining Behaviors and Infectivity Varied in Calibration (continued)</w:t>
      </w:r>
    </w:p>
    <w:p w14:paraId="041446B8" w14:textId="230BC7EC" w:rsidR="00707335" w:rsidRPr="00783571" w:rsidRDefault="00740DFC" w:rsidP="00814158">
      <w:pPr>
        <w:pStyle w:val="Source2"/>
      </w:pPr>
      <w:r w:rsidRPr="00783571">
        <w:t xml:space="preserve">Note: ART = antiretroviral therapy; HET = heterosexual; </w:t>
      </w:r>
      <w:r w:rsidR="00D568B5" w:rsidRPr="00783571">
        <w:t xml:space="preserve">PWID = people who inject drugs; </w:t>
      </w:r>
      <w:r w:rsidRPr="00783571">
        <w:t xml:space="preserve">VLS = </w:t>
      </w:r>
      <w:r w:rsidR="00D568B5" w:rsidRPr="00783571">
        <w:t>viral load suppressed</w:t>
      </w:r>
    </w:p>
    <w:p w14:paraId="0D6677FF" w14:textId="24463BF6" w:rsidR="00740DFC" w:rsidRPr="00783571" w:rsidRDefault="00383B74" w:rsidP="00814158">
      <w:pPr>
        <w:pStyle w:val="Source4"/>
      </w:pPr>
      <w:r w:rsidRPr="00783571">
        <w:rPr>
          <w:vertAlign w:val="superscript"/>
        </w:rPr>
        <w:t>a</w:t>
      </w:r>
      <w:r w:rsidRPr="00783571">
        <w:t xml:space="preserve">Calibrated values reported in this </w:t>
      </w:r>
      <w:r w:rsidR="00642FB4" w:rsidRPr="00783571">
        <w:t>version of the technical report</w:t>
      </w:r>
      <w:r w:rsidRPr="00783571">
        <w:t xml:space="preserve"> are from calibration set A</w:t>
      </w:r>
      <w:r w:rsidR="00E14D15" w:rsidRPr="00783571">
        <w:t>S_1</w:t>
      </w:r>
      <w:r w:rsidRPr="00783571">
        <w:t>.</w:t>
      </w:r>
    </w:p>
    <w:p w14:paraId="3E81E2F7" w14:textId="33442F03" w:rsidR="00871E69" w:rsidRPr="00783571" w:rsidRDefault="00871E69" w:rsidP="00871E69">
      <w:pPr>
        <w:pStyle w:val="Heading3"/>
      </w:pPr>
      <w:bookmarkStart w:id="130" w:name="_Toc510104489"/>
      <w:r w:rsidRPr="00783571">
        <w:t>Screen</w:t>
      </w:r>
      <w:r w:rsidR="00024FE5" w:rsidRPr="00783571">
        <w:t>ing</w:t>
      </w:r>
      <w:r w:rsidRPr="00783571">
        <w:t xml:space="preserve"> for Preliminary Input Sets</w:t>
      </w:r>
      <w:r w:rsidR="00024FE5" w:rsidRPr="00783571">
        <w:t xml:space="preserve"> Using Latin Hypercube Sampling</w:t>
      </w:r>
      <w:bookmarkEnd w:id="130"/>
    </w:p>
    <w:p w14:paraId="17ED0030" w14:textId="77777777" w:rsidR="00871E69" w:rsidRPr="00783571" w:rsidRDefault="00871E69" w:rsidP="00871E69">
      <w:pPr>
        <w:pStyle w:val="BodyText"/>
      </w:pPr>
      <w:r w:rsidRPr="00783571">
        <w:t>We used Latin Hypercube Sampling (LHS) to identify potential input sets. LHS is a Bayesian computation scheme that was initially proposed by McKay, Conover, and Beckman (1979) and has been previously applied to HIV disease transmission models by Blower and Dowlatabadi (1994), Sood et al. (2013), and Boily et al. (2013). This method is preferable to random sampling because it covers more of the feasible parameter space with a given number of sets of values.</w:t>
      </w:r>
    </w:p>
    <w:p w14:paraId="4DD1A8A5" w14:textId="60FBE2B3" w:rsidR="00BB52C3" w:rsidRPr="00783571" w:rsidRDefault="00871E69" w:rsidP="009D797B">
      <w:pPr>
        <w:pStyle w:val="BodyText"/>
      </w:pPr>
      <w:r w:rsidRPr="00783571">
        <w:t>The user first decides how many parameters to vary (</w:t>
      </w:r>
      <w:r w:rsidRPr="00783571">
        <w:rPr>
          <w:i/>
        </w:rPr>
        <w:t>NumParsVaried</w:t>
      </w:r>
      <w:r w:rsidRPr="00783571">
        <w:t>)</w:t>
      </w:r>
      <w:r w:rsidR="00D641F3" w:rsidRPr="00783571">
        <w:t xml:space="preserve">, </w:t>
      </w:r>
      <w:r w:rsidRPr="00783571">
        <w:t>how many input sets to run (</w:t>
      </w:r>
      <w:r w:rsidRPr="00783571">
        <w:rPr>
          <w:i/>
        </w:rPr>
        <w:t>NumRuns</w:t>
      </w:r>
      <w:r w:rsidRPr="00783571">
        <w:t>)</w:t>
      </w:r>
      <w:r w:rsidR="00D641F3" w:rsidRPr="00783571">
        <w:t>, and how many outcomes to target (</w:t>
      </w:r>
      <w:r w:rsidR="00D641F3" w:rsidRPr="00783571">
        <w:rPr>
          <w:i/>
        </w:rPr>
        <w:t>NumTargets</w:t>
      </w:r>
      <w:r w:rsidR="00D641F3" w:rsidRPr="00783571">
        <w:t>)</w:t>
      </w:r>
      <w:r w:rsidRPr="00783571">
        <w:t xml:space="preserve">. A </w:t>
      </w:r>
      <w:r w:rsidR="0073506F" w:rsidRPr="00783571">
        <w:t xml:space="preserve">range </w:t>
      </w:r>
      <w:r w:rsidRPr="00783571">
        <w:t xml:space="preserve">of feasible </w:t>
      </w:r>
      <w:r w:rsidR="00BB52C3" w:rsidRPr="00783571">
        <w:t xml:space="preserve">values </w:t>
      </w:r>
      <w:r w:rsidR="0073506F" w:rsidRPr="00783571">
        <w:t xml:space="preserve">was </w:t>
      </w:r>
      <w:r w:rsidR="00BB52C3" w:rsidRPr="00783571">
        <w:t xml:space="preserve">defined for each of the </w:t>
      </w:r>
      <w:r w:rsidR="00BB52C3" w:rsidRPr="00783571">
        <w:rPr>
          <w:i/>
        </w:rPr>
        <w:t>NumParsVaried</w:t>
      </w:r>
      <w:r w:rsidR="00BB52C3" w:rsidRPr="00783571">
        <w:t xml:space="preserve"> parameters and divided into </w:t>
      </w:r>
      <w:r w:rsidR="00BB52C3" w:rsidRPr="00783571">
        <w:rPr>
          <w:i/>
        </w:rPr>
        <w:t>NumRuns</w:t>
      </w:r>
      <w:r w:rsidR="00BB52C3" w:rsidRPr="00783571">
        <w:t xml:space="preserve"> </w:t>
      </w:r>
      <w:r w:rsidR="0073506F" w:rsidRPr="00783571">
        <w:t>equal-width, contiguous segments</w:t>
      </w:r>
      <w:r w:rsidR="00BB52C3" w:rsidRPr="00783571">
        <w:t xml:space="preserve">. From each </w:t>
      </w:r>
      <w:r w:rsidR="0073506F" w:rsidRPr="00783571">
        <w:t>segment</w:t>
      </w:r>
      <w:r w:rsidR="00BB52C3" w:rsidRPr="00783571">
        <w:t xml:space="preserve"> for every parameter, a value </w:t>
      </w:r>
      <w:r w:rsidR="009D797B" w:rsidRPr="00783571">
        <w:t xml:space="preserve">was </w:t>
      </w:r>
      <w:r w:rsidR="00BB52C3" w:rsidRPr="00783571">
        <w:t xml:space="preserve">randomly sampled (i.e., each parameter </w:t>
      </w:r>
      <w:r w:rsidR="009D797B" w:rsidRPr="00783571">
        <w:t xml:space="preserve">had </w:t>
      </w:r>
      <w:r w:rsidR="00BB52C3" w:rsidRPr="00783571">
        <w:t xml:space="preserve">a set of </w:t>
      </w:r>
      <w:r w:rsidR="00BB52C3" w:rsidRPr="00783571">
        <w:rPr>
          <w:i/>
        </w:rPr>
        <w:t>NumRuns</w:t>
      </w:r>
      <w:r w:rsidR="00BB52C3" w:rsidRPr="00783571">
        <w:t xml:space="preserve"> possible values). Then </w:t>
      </w:r>
      <w:r w:rsidR="00BB52C3" w:rsidRPr="00783571">
        <w:rPr>
          <w:i/>
        </w:rPr>
        <w:t>NumRuns</w:t>
      </w:r>
      <w:r w:rsidR="00BB52C3" w:rsidRPr="00783571">
        <w:t xml:space="preserve"> distinct </w:t>
      </w:r>
      <w:r w:rsidR="004F75E5" w:rsidRPr="00783571">
        <w:t>input set</w:t>
      </w:r>
      <w:r w:rsidR="00BB52C3" w:rsidRPr="00783571">
        <w:t xml:space="preserve">s </w:t>
      </w:r>
      <w:r w:rsidR="009D797B" w:rsidRPr="00783571">
        <w:t xml:space="preserve">were </w:t>
      </w:r>
      <w:r w:rsidR="00BB52C3" w:rsidRPr="00783571">
        <w:t xml:space="preserve">defined: for each parameter of a single </w:t>
      </w:r>
      <w:r w:rsidR="004F75E5" w:rsidRPr="00783571">
        <w:t>input set</w:t>
      </w:r>
      <w:r w:rsidR="00BB52C3" w:rsidRPr="00783571">
        <w:t xml:space="preserve">, a value </w:t>
      </w:r>
      <w:r w:rsidR="009D797B" w:rsidRPr="00783571">
        <w:t xml:space="preserve">was </w:t>
      </w:r>
      <w:r w:rsidR="00BB52C3" w:rsidRPr="00783571">
        <w:t xml:space="preserve">sampled without replacement from the </w:t>
      </w:r>
      <w:r w:rsidR="00BB52C3" w:rsidRPr="00783571">
        <w:rPr>
          <w:i/>
        </w:rPr>
        <w:t>NumRuns</w:t>
      </w:r>
      <w:r w:rsidR="00BB52C3" w:rsidRPr="00783571">
        <w:t xml:space="preserve"> potential values for that parameter. This process </w:t>
      </w:r>
      <w:r w:rsidR="009D797B" w:rsidRPr="00783571">
        <w:t xml:space="preserve">was </w:t>
      </w:r>
      <w:r w:rsidR="00BB52C3" w:rsidRPr="00783571">
        <w:t xml:space="preserve">repeated </w:t>
      </w:r>
      <w:r w:rsidR="00BB52C3" w:rsidRPr="00783571">
        <w:rPr>
          <w:i/>
        </w:rPr>
        <w:t xml:space="preserve">NumRuns </w:t>
      </w:r>
      <w:r w:rsidR="00BB52C3" w:rsidRPr="00783571">
        <w:t xml:space="preserve">times to define </w:t>
      </w:r>
      <w:r w:rsidR="00BB52C3" w:rsidRPr="00783571">
        <w:rPr>
          <w:i/>
        </w:rPr>
        <w:t>NumRuns</w:t>
      </w:r>
      <w:r w:rsidR="00BB52C3" w:rsidRPr="00783571">
        <w:t xml:space="preserve"> distinct </w:t>
      </w:r>
      <w:r w:rsidR="004F75E5" w:rsidRPr="00783571">
        <w:t>input set</w:t>
      </w:r>
      <w:r w:rsidR="00BB52C3" w:rsidRPr="00783571">
        <w:t xml:space="preserve">s. The model’s parameters that were not selected for variation </w:t>
      </w:r>
      <w:r w:rsidR="009D797B" w:rsidRPr="00783571">
        <w:t xml:space="preserve">were </w:t>
      </w:r>
      <w:r w:rsidR="00BB52C3" w:rsidRPr="00783571">
        <w:t xml:space="preserve">left at </w:t>
      </w:r>
      <w:r w:rsidR="00C96D72" w:rsidRPr="00783571">
        <w:t>base case</w:t>
      </w:r>
      <w:r w:rsidR="00BB52C3" w:rsidRPr="00783571">
        <w:t xml:space="preserve"> values. We then iteratively ran the model using each of the </w:t>
      </w:r>
      <w:r w:rsidR="004F75E5" w:rsidRPr="00783571">
        <w:t>input set</w:t>
      </w:r>
      <w:r w:rsidR="00BB52C3" w:rsidRPr="00783571">
        <w:t>s and collected the results.</w:t>
      </w:r>
    </w:p>
    <w:p w14:paraId="4A52B2A1" w14:textId="6A6551ED" w:rsidR="001F5372" w:rsidRPr="00783571" w:rsidRDefault="009D797B" w:rsidP="009D797B">
      <w:pPr>
        <w:pStyle w:val="BodyText"/>
      </w:pPr>
      <w:r w:rsidRPr="00783571">
        <w:t>Two measures of the goodness of each input set were calculated, the</w:t>
      </w:r>
      <w:r w:rsidR="004F75E5" w:rsidRPr="00783571">
        <w:t xml:space="preserve"> </w:t>
      </w:r>
      <w:r w:rsidRPr="00783571">
        <w:t>“Out-of-bounds penalty measure” (inspired by a similar measure applied in</w:t>
      </w:r>
      <w:r w:rsidR="004F75E5" w:rsidRPr="00783571">
        <w:t xml:space="preserve"> </w:t>
      </w:r>
      <w:r w:rsidRPr="00783571">
        <w:t>Tian et al. [2016]) and the “target error measure</w:t>
      </w:r>
      <w:r w:rsidR="00A424BD" w:rsidRPr="00783571">
        <w:t>,</w:t>
      </w:r>
      <w:r w:rsidRPr="00783571">
        <w:t xml:space="preserve">” as defined in Equations </w:t>
      </w:r>
      <w:r w:rsidR="00CC1DD7" w:rsidRPr="00783571">
        <w:t>11.</w:t>
      </w:r>
      <w:r w:rsidRPr="00783571">
        <w:t xml:space="preserve">1 and </w:t>
      </w:r>
      <w:r w:rsidR="00CC1DD7" w:rsidRPr="00783571">
        <w:t>11.</w:t>
      </w:r>
      <w:r w:rsidRPr="00783571">
        <w:t>2.</w:t>
      </w:r>
    </w:p>
    <w:p w14:paraId="33C6B838" w14:textId="1702D5B6" w:rsidR="00D641F3" w:rsidRPr="00783571" w:rsidRDefault="004F75E5" w:rsidP="00B84AED">
      <w:pPr>
        <w:pStyle w:val="equation"/>
        <w:spacing w:line="240" w:lineRule="auto"/>
        <w:rPr>
          <w:iCs/>
          <w:lang w:val="en-US"/>
        </w:rPr>
      </w:pPr>
      <w:r w:rsidRPr="00783571">
        <w:rPr>
          <w:lang w:val="en-US"/>
        </w:rPr>
        <w:tab/>
      </w:r>
      <m:oMath>
        <m:r>
          <m:rPr>
            <m:nor/>
          </m:rPr>
          <w:rPr>
            <w:rFonts w:ascii="Cambria Math" w:hAnsi="Cambria Math"/>
            <w:lang w:val="en-US"/>
          </w:rPr>
          <m:t>Out-of-bounds penalty measure for each input set:</m:t>
        </m:r>
      </m:oMath>
    </w:p>
    <w:p w14:paraId="7AB8182E" w14:textId="692D0CA2" w:rsidR="004F75E5" w:rsidRPr="00783571" w:rsidRDefault="005074D3" w:rsidP="00B84AED">
      <w:pPr>
        <w:pStyle w:val="equation"/>
        <w:spacing w:line="240" w:lineRule="auto"/>
        <w:rPr>
          <w:rFonts w:ascii="Cambria Math" w:hAnsi="Cambria Math"/>
          <w:lang w:val="en-US"/>
          <w:oMath/>
        </w:rPr>
      </w:pPr>
      <w:r w:rsidRPr="00783571">
        <w:rPr>
          <w:lang w:val="en-US"/>
        </w:rPr>
        <w:tab/>
      </w:r>
      <m:oMath>
        <m:r>
          <m:rPr>
            <m:nor/>
          </m:rP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NumTargets</m:t>
            </m:r>
          </m:sup>
          <m:e>
            <m:d>
              <m:dPr>
                <m:ctrlPr>
                  <w:rPr>
                    <w:rFonts w:ascii="Cambria Math" w:hAnsi="Cambria Math"/>
                    <w:i/>
                    <w:lang w:val="en-US"/>
                  </w:rPr>
                </m:ctrlPr>
              </m:dPr>
              <m:e>
                <m:r>
                  <w:rPr>
                    <w:rFonts w:ascii="Cambria Math" w:hAnsi="Cambria Math"/>
                    <w:lang w:val="en-US"/>
                  </w:rPr>
                  <m:t>[</m:t>
                </m:r>
                <m:sSub>
                  <m:sSubPr>
                    <m:ctrlPr>
                      <w:rPr>
                        <w:rFonts w:ascii="Cambria Math" w:hAnsi="Cambria Math"/>
                        <w:i/>
                        <w:lang w:val="en-US"/>
                      </w:rPr>
                    </m:ctrlPr>
                  </m:sSubPr>
                  <m:e>
                    <m:r>
                      <w:rPr>
                        <w:rFonts w:ascii="Cambria Math" w:hAnsi="Cambria Math"/>
                        <w:lang w:val="en-US"/>
                      </w:rPr>
                      <m:t>priority weight</m:t>
                    </m:r>
                  </m:e>
                  <m:sub>
                    <m:r>
                      <w:rPr>
                        <w:rFonts w:ascii="Cambria Math" w:hAnsi="Cambria Math"/>
                        <w:lang w:val="en-US"/>
                      </w:rPr>
                      <m:t>i</m:t>
                    </m:r>
                  </m:sub>
                </m:sSub>
                <m:r>
                  <w:rPr>
                    <w:rFonts w:ascii="Cambria Math" w:hAnsi="Cambria Math"/>
                    <w:lang w:val="en-US"/>
                  </w:rPr>
                  <m:t>]</m:t>
                </m:r>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penalty</m:t>
                        </m:r>
                      </m:e>
                      <m:sub>
                        <m:r>
                          <w:rPr>
                            <w:rFonts w:ascii="Cambria Math" w:hAnsi="Cambria Math"/>
                            <w:lang w:val="en-US"/>
                          </w:rPr>
                          <m:t>i</m:t>
                        </m:r>
                      </m:sub>
                    </m:sSub>
                  </m:e>
                </m:d>
                <m:d>
                  <m:dPr>
                    <m:begChr m:val="["/>
                    <m:endChr m:val="]"/>
                    <m:ctrlPr>
                      <w:rPr>
                        <w:rFonts w:ascii="Cambria Math" w:hAnsi="Cambria Math"/>
                        <w:i/>
                        <w:lang w:val="en-US"/>
                      </w:rPr>
                    </m:ctrlPr>
                  </m:dPr>
                  <m:e>
                    <m:f>
                      <m:fPr>
                        <m:ctrlPr>
                          <w:rPr>
                            <w:rFonts w:ascii="Cambria Math" w:hAnsi="Cambria Math"/>
                            <w:i/>
                            <w:lang w:val="en-US"/>
                          </w:rPr>
                        </m:ctrlPr>
                      </m:fPr>
                      <m:num>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Model outcome value</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Target value</m:t>
                                </m:r>
                              </m:e>
                              <m:sub>
                                <m:r>
                                  <w:rPr>
                                    <w:rFonts w:ascii="Cambria Math" w:hAnsi="Cambria Math"/>
                                    <w:lang w:val="en-US"/>
                                  </w:rPr>
                                  <m:t>i</m:t>
                                </m:r>
                              </m:sub>
                            </m:sSub>
                          </m:e>
                        </m:d>
                      </m:num>
                      <m:den>
                        <m:sSup>
                          <m:sSupPr>
                            <m:ctrlPr>
                              <w:rPr>
                                <w:rFonts w:ascii="Cambria Math" w:hAnsi="Cambria Math"/>
                                <w:i/>
                                <w:lang w:val="en-US"/>
                              </w:rPr>
                            </m:ctrlPr>
                          </m:sSupPr>
                          <m:e>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Model outcome value</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Target value</m:t>
                                    </m:r>
                                  </m:e>
                                  <m:sub>
                                    <m:r>
                                      <w:rPr>
                                        <w:rFonts w:ascii="Cambria Math" w:hAnsi="Cambria Math"/>
                                        <w:lang w:val="en-US"/>
                                      </w:rPr>
                                      <m:t>i</m:t>
                                    </m:r>
                                  </m:sub>
                                </m:sSub>
                              </m:e>
                            </m:d>
                          </m:e>
                          <m:sup>
                            <m:r>
                              <w:rPr>
                                <w:rFonts w:ascii="Cambria Math" w:hAnsi="Cambria Math"/>
                                <w:lang w:val="en-US"/>
                              </w:rPr>
                              <m:t>2</m:t>
                            </m:r>
                          </m:sup>
                        </m:sSup>
                      </m:den>
                    </m:f>
                  </m:e>
                </m:d>
              </m:e>
            </m:d>
          </m:e>
        </m:nary>
      </m:oMath>
      <w:r w:rsidR="004F75E5" w:rsidRPr="00783571">
        <w:rPr>
          <w:lang w:val="en-US"/>
        </w:rPr>
        <w:tab/>
        <w:t>(</w:t>
      </w:r>
      <w:r w:rsidR="00CC1DD7" w:rsidRPr="00783571">
        <w:rPr>
          <w:lang w:val="en-US"/>
        </w:rPr>
        <w:t>11.</w:t>
      </w:r>
      <w:r w:rsidR="004F75E5" w:rsidRPr="00783571">
        <w:rPr>
          <w:lang w:val="en-US"/>
        </w:rPr>
        <w:t>1)</w:t>
      </w:r>
    </w:p>
    <w:p w14:paraId="7844B34D" w14:textId="004AA0F6" w:rsidR="004F75E5" w:rsidRPr="00783571" w:rsidRDefault="005074D3" w:rsidP="005074D3">
      <w:pPr>
        <w:pStyle w:val="BodyText"/>
      </w:pPr>
      <w:r w:rsidRPr="00783571">
        <w:t xml:space="preserve">where the penalty was set to 1000 if </w:t>
      </w:r>
      <w:r w:rsidR="00D641F3" w:rsidRPr="00783571">
        <w:t xml:space="preserve">model outcome </w:t>
      </w:r>
      <w:r w:rsidRPr="00783571">
        <w:rPr>
          <w:i/>
          <w:iCs/>
        </w:rPr>
        <w:t xml:space="preserve">i </w:t>
      </w:r>
      <w:r w:rsidRPr="00783571">
        <w:t>was outside of the target range and 1 otherwise.</w:t>
      </w:r>
    </w:p>
    <w:p w14:paraId="2BA7AB67" w14:textId="662E67F7" w:rsidR="005074D3" w:rsidRPr="00783571" w:rsidRDefault="005074D3" w:rsidP="005074D3">
      <w:pPr>
        <w:pStyle w:val="equation"/>
        <w:spacing w:line="240" w:lineRule="auto"/>
        <w:rPr>
          <w:rFonts w:ascii="Cambria Math" w:hAnsi="Cambria Math"/>
          <w:lang w:val="en-US"/>
          <w:oMath/>
        </w:rPr>
      </w:pPr>
      <w:r w:rsidRPr="00783571">
        <w:rPr>
          <w:lang w:val="en-US"/>
        </w:rPr>
        <w:tab/>
      </w:r>
      <m:oMath>
        <m:r>
          <m:rPr>
            <m:nor/>
          </m:rPr>
          <w:rPr>
            <w:rFonts w:ascii="Cambria Math" w:hAnsi="Cambria Math"/>
            <w:lang w:val="en-US"/>
          </w:rPr>
          <m:t>Target error measure for each input set</m:t>
        </m:r>
        <m:r>
          <m:rPr>
            <m:sty m:val="p"/>
          </m:rPr>
          <w:rPr>
            <w:rFonts w:ascii="Cambria Math" w:hAnsi="Cambria Math"/>
            <w:lang w:val="en-US"/>
          </w:rPr>
          <m:t>:</m:t>
        </m:r>
        <m:r>
          <m:rPr>
            <m:nor/>
          </m:rPr>
          <w:rPr>
            <w:rFonts w:ascii="Cambria Math" w:hAnsi="Cambria Math"/>
            <w:lang w:val="en-US"/>
          </w:rPr>
          <w:br/>
        </m:r>
      </m:oMath>
      <m:oMathPara>
        <m:oMath>
          <m:r>
            <m:rPr>
              <m:nor/>
            </m:rPr>
            <w:rPr>
              <w:rFonts w:ascii="Cambria Math" w:hAnsi="Cambria Math"/>
              <w:lang w:val="en-US"/>
            </w:rPr>
            <w:br/>
          </m:r>
        </m:oMath>
      </m:oMathPara>
      <w:r w:rsidRPr="00783571">
        <w:rPr>
          <w:lang w:val="en-US"/>
        </w:rPr>
        <w:tab/>
      </w:r>
      <m:oMath>
        <m:r>
          <m:rPr>
            <m:nor/>
          </m:rPr>
          <w:rPr>
            <w:rFonts w:ascii="Cambria Math" w:hAnsi="Cambria Math"/>
            <w:lang w:val="en-US"/>
          </w:rPr>
          <m:t>=</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NumTargets</m:t>
            </m:r>
          </m:sup>
          <m:e>
            <m:d>
              <m:dPr>
                <m:ctrlPr>
                  <w:rPr>
                    <w:rFonts w:ascii="Cambria Math" w:hAnsi="Cambria Math"/>
                    <w:i/>
                    <w:lang w:val="en-US"/>
                  </w:rPr>
                </m:ctrlPr>
              </m:dPr>
              <m:e>
                <m:r>
                  <w:rPr>
                    <w:rFonts w:ascii="Cambria Math" w:hAnsi="Cambria Math"/>
                    <w:lang w:val="en-US"/>
                  </w:rPr>
                  <m:t>[</m:t>
                </m:r>
                <m:sSub>
                  <m:sSubPr>
                    <m:ctrlPr>
                      <w:rPr>
                        <w:rFonts w:ascii="Cambria Math" w:hAnsi="Cambria Math"/>
                        <w:i/>
                        <w:lang w:val="en-US"/>
                      </w:rPr>
                    </m:ctrlPr>
                  </m:sSubPr>
                  <m:e>
                    <m:r>
                      <w:rPr>
                        <w:rFonts w:ascii="Cambria Math" w:hAnsi="Cambria Math"/>
                        <w:lang w:val="en-US"/>
                      </w:rPr>
                      <m:t>priority weight</m:t>
                    </m:r>
                  </m:e>
                  <m:sub>
                    <m:r>
                      <w:rPr>
                        <w:rFonts w:ascii="Cambria Math" w:hAnsi="Cambria Math"/>
                        <w:lang w:val="en-US"/>
                      </w:rPr>
                      <m:t>i</m:t>
                    </m:r>
                  </m:sub>
                </m:sSub>
                <m:r>
                  <w:rPr>
                    <w:rFonts w:ascii="Cambria Math" w:hAnsi="Cambria Math"/>
                    <w:lang w:val="en-US"/>
                  </w:rPr>
                  <m:t>]</m:t>
                </m:r>
                <m:d>
                  <m:dPr>
                    <m:begChr m:val="["/>
                    <m:endChr m:val="]"/>
                    <m:ctrlPr>
                      <w:rPr>
                        <w:rFonts w:ascii="Cambria Math" w:hAnsi="Cambria Math"/>
                        <w:i/>
                        <w:lang w:val="en-US"/>
                      </w:rPr>
                    </m:ctrlPr>
                  </m:dPr>
                  <m:e>
                    <m:f>
                      <m:fPr>
                        <m:ctrlPr>
                          <w:rPr>
                            <w:rFonts w:ascii="Cambria Math" w:hAnsi="Cambria Math"/>
                            <w:i/>
                            <w:lang w:val="en-US"/>
                          </w:rPr>
                        </m:ctrlPr>
                      </m:fPr>
                      <m:num>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Model outcome value</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Target value</m:t>
                                </m:r>
                              </m:e>
                              <m:sub>
                                <m:r>
                                  <w:rPr>
                                    <w:rFonts w:ascii="Cambria Math" w:hAnsi="Cambria Math"/>
                                    <w:lang w:val="en-US"/>
                                  </w:rPr>
                                  <m:t>i</m:t>
                                </m:r>
                              </m:sub>
                            </m:sSub>
                          </m:e>
                        </m:d>
                      </m:num>
                      <m:den>
                        <m:sSub>
                          <m:sSubPr>
                            <m:ctrlPr>
                              <w:rPr>
                                <w:rFonts w:ascii="Cambria Math" w:hAnsi="Cambria Math"/>
                                <w:i/>
                                <w:lang w:val="en-US"/>
                              </w:rPr>
                            </m:ctrlPr>
                          </m:sSubPr>
                          <m:e>
                            <m:r>
                              <w:rPr>
                                <w:rFonts w:ascii="Cambria Math" w:hAnsi="Cambria Math"/>
                                <w:lang w:val="en-US"/>
                              </w:rPr>
                              <m:t>Target value</m:t>
                            </m:r>
                          </m:e>
                          <m:sub>
                            <m:r>
                              <w:rPr>
                                <w:rFonts w:ascii="Cambria Math" w:hAnsi="Cambria Math"/>
                                <w:lang w:val="en-US"/>
                              </w:rPr>
                              <m:t>i</m:t>
                            </m:r>
                          </m:sub>
                        </m:sSub>
                      </m:den>
                    </m:f>
                  </m:e>
                </m:d>
              </m:e>
            </m:d>
          </m:e>
        </m:nary>
      </m:oMath>
      <w:r w:rsidRPr="00783571">
        <w:rPr>
          <w:lang w:val="en-US"/>
        </w:rPr>
        <w:tab/>
        <w:t>(</w:t>
      </w:r>
      <w:r w:rsidR="00CC1DD7" w:rsidRPr="00783571">
        <w:rPr>
          <w:lang w:val="en-US"/>
        </w:rPr>
        <w:t>11.</w:t>
      </w:r>
      <w:r w:rsidRPr="00783571">
        <w:rPr>
          <w:lang w:val="en-US"/>
        </w:rPr>
        <w:t>2)</w:t>
      </w:r>
    </w:p>
    <w:p w14:paraId="30DAF64F" w14:textId="1D574A98" w:rsidR="00883FA8" w:rsidRPr="00783571" w:rsidRDefault="00883FA8" w:rsidP="00883FA8">
      <w:pPr>
        <w:pStyle w:val="BodyText"/>
      </w:pPr>
      <w:r w:rsidRPr="00783571">
        <w:t xml:space="preserve">We also observed the number of </w:t>
      </w:r>
      <w:r w:rsidR="0073506F" w:rsidRPr="00783571">
        <w:t xml:space="preserve">outcomes </w:t>
      </w:r>
      <w:r w:rsidRPr="00783571">
        <w:t>that were out of bounds for each set.</w:t>
      </w:r>
    </w:p>
    <w:p w14:paraId="00D3966D" w14:textId="0859AC29" w:rsidR="004F75E5" w:rsidRPr="00783571" w:rsidRDefault="00883FA8" w:rsidP="00883FA8">
      <w:pPr>
        <w:pStyle w:val="BodyText"/>
      </w:pPr>
      <w:r w:rsidRPr="00783571">
        <w:t xml:space="preserve">We generated </w:t>
      </w:r>
      <w:r w:rsidR="00C029F5" w:rsidRPr="00783571">
        <w:t xml:space="preserve">exactly </w:t>
      </w:r>
      <w:r w:rsidRPr="00783571">
        <w:t>10,000 LHS sets (</w:t>
      </w:r>
      <w:r w:rsidR="001F5372" w:rsidRPr="00783571">
        <w:t xml:space="preserve">i.e., </w:t>
      </w:r>
      <w:r w:rsidRPr="00783571">
        <w:rPr>
          <w:i/>
        </w:rPr>
        <w:t>NumRuns</w:t>
      </w:r>
      <w:r w:rsidRPr="00783571">
        <w:t xml:space="preserve"> = 10,000)</w:t>
      </w:r>
      <w:r w:rsidR="00C13D28" w:rsidRPr="00783571">
        <w:t>.</w:t>
      </w:r>
      <w:r w:rsidRPr="00783571">
        <w:t xml:space="preserve"> </w:t>
      </w:r>
      <w:r w:rsidR="00C029F5" w:rsidRPr="00783571">
        <w:t>W</w:t>
      </w:r>
      <w:r w:rsidR="00C13D28" w:rsidRPr="00783571">
        <w:t>e selected the eleven sets with the lowest out-of-bounds penalty measures</w:t>
      </w:r>
      <w:r w:rsidR="008C5564" w:rsidRPr="00783571">
        <w:t xml:space="preserve"> to apply to the base and uncertainty analyses</w:t>
      </w:r>
      <w:r w:rsidR="00C13D28" w:rsidRPr="00783571">
        <w:t xml:space="preserve"> and then included an additional set to offer one alternative for consideration, totaling </w:t>
      </w:r>
      <w:r w:rsidRPr="00783571">
        <w:t xml:space="preserve">twelve </w:t>
      </w:r>
      <w:r w:rsidR="00C13D28" w:rsidRPr="00783571">
        <w:t>sets</w:t>
      </w:r>
      <w:r w:rsidRPr="00783571">
        <w:t>.</w:t>
      </w:r>
      <w:r w:rsidR="00A67CF3" w:rsidRPr="00783571">
        <w:t xml:space="preserve"> </w:t>
      </w:r>
    </w:p>
    <w:p w14:paraId="2C212EFF" w14:textId="2A65E847" w:rsidR="001F5372" w:rsidRPr="00783571" w:rsidRDefault="00DD62F8" w:rsidP="00024FE5">
      <w:pPr>
        <w:pStyle w:val="Heading3"/>
      </w:pPr>
      <w:bookmarkStart w:id="131" w:name="_Toc510104490"/>
      <w:r w:rsidRPr="00783571">
        <w:t>Identif</w:t>
      </w:r>
      <w:r w:rsidR="00024FE5" w:rsidRPr="00783571">
        <w:t>ication of</w:t>
      </w:r>
      <w:r w:rsidRPr="00783571">
        <w:t xml:space="preserve"> Base and Alternative Input Sets</w:t>
      </w:r>
      <w:r w:rsidR="00024FE5" w:rsidRPr="00783571">
        <w:t xml:space="preserve"> Using Optimization Techniques</w:t>
      </w:r>
      <w:bookmarkEnd w:id="131"/>
    </w:p>
    <w:p w14:paraId="44373120" w14:textId="4C798845" w:rsidR="00BB52C3" w:rsidRPr="00783571" w:rsidRDefault="00883FA8" w:rsidP="002B7472">
      <w:pPr>
        <w:pStyle w:val="BodyText"/>
      </w:pPr>
      <w:r w:rsidRPr="00783571">
        <w:t>We then used MATLAB’s Optimization Toolbox (Mathworks; Natick, Massachusetts)</w:t>
      </w:r>
      <w:r w:rsidR="00DD62F8" w:rsidRPr="00783571">
        <w:t xml:space="preserve"> to identify the local optimal input set starting with each of the</w:t>
      </w:r>
      <w:r w:rsidRPr="00783571">
        <w:t xml:space="preserve"> </w:t>
      </w:r>
      <w:r w:rsidR="00054325" w:rsidRPr="00783571">
        <w:t xml:space="preserve">twelve </w:t>
      </w:r>
      <w:r w:rsidRPr="00783571">
        <w:t>sets</w:t>
      </w:r>
      <w:r w:rsidR="00DD62F8" w:rsidRPr="00783571">
        <w:t xml:space="preserve"> identified using LHS, with optimal defined as a minimized out-of-bounds penalty measure.</w:t>
      </w:r>
      <w:r w:rsidRPr="00783571">
        <w:t xml:space="preserve"> </w:t>
      </w:r>
      <w:r w:rsidR="00A67CF3" w:rsidRPr="00783571">
        <w:t xml:space="preserve">Priority weights </w:t>
      </w:r>
      <w:r w:rsidR="008C5564" w:rsidRPr="00783571">
        <w:t>of</w:t>
      </w:r>
      <w:r w:rsidR="00A67CF3" w:rsidRPr="00783571">
        <w:t xml:space="preserve"> 1 were assigned to all outcomes. </w:t>
      </w:r>
      <w:r w:rsidR="00DD62F8" w:rsidRPr="00783571">
        <w:t>Among those optimized sets, we then</w:t>
      </w:r>
      <w:r w:rsidR="00BB52C3" w:rsidRPr="00783571">
        <w:t xml:space="preserve"> selected </w:t>
      </w:r>
      <w:r w:rsidR="00DD62F8" w:rsidRPr="00783571">
        <w:t xml:space="preserve">one set to apply in the base analysis and </w:t>
      </w:r>
      <w:r w:rsidR="00A158C0" w:rsidRPr="00783571">
        <w:t>10</w:t>
      </w:r>
      <w:r w:rsidR="00B20EDC" w:rsidRPr="00783571">
        <w:t xml:space="preserve"> </w:t>
      </w:r>
      <w:r w:rsidR="00DD62F8" w:rsidRPr="00783571">
        <w:t>sets</w:t>
      </w:r>
      <w:r w:rsidR="00A67CF3" w:rsidRPr="00783571">
        <w:t xml:space="preserve"> for the uncertainty analysis</w:t>
      </w:r>
      <w:r w:rsidR="00DD62F8" w:rsidRPr="00783571">
        <w:t>; they were selected based on the out-of-bounds penalty measures, target error measures, and the number of targets that were out of bounds</w:t>
      </w:r>
      <w:r w:rsidR="00BB52C3" w:rsidRPr="00783571">
        <w:t xml:space="preserve">. </w:t>
      </w:r>
      <w:r w:rsidR="00DD62F8" w:rsidRPr="00783571">
        <w:t xml:space="preserve">The values in </w:t>
      </w:r>
      <w:r w:rsidR="002B7472" w:rsidRPr="00783571">
        <w:t>the identified base analysis set that affect</w:t>
      </w:r>
      <w:r w:rsidR="00B20EDC" w:rsidRPr="00783571">
        <w:t>ed</w:t>
      </w:r>
      <w:r w:rsidR="002B7472" w:rsidRPr="00783571">
        <w:t xml:space="preserve"> either all</w:t>
      </w:r>
      <w:r w:rsidR="00B20EDC" w:rsidRPr="00783571">
        <w:t xml:space="preserve"> time periods</w:t>
      </w:r>
      <w:r w:rsidR="002B7472" w:rsidRPr="00783571">
        <w:t xml:space="preserve"> or the second time period are shown in </w:t>
      </w:r>
      <w:r w:rsidR="00871E69" w:rsidRPr="00783571">
        <w:t>Tables </w:t>
      </w:r>
      <w:r w:rsidR="00CC1DD7" w:rsidRPr="00783571">
        <w:t>11.</w:t>
      </w:r>
      <w:r w:rsidR="002B7472" w:rsidRPr="00783571">
        <w:t xml:space="preserve">1 and </w:t>
      </w:r>
      <w:r w:rsidR="00CC1DD7" w:rsidRPr="00783571">
        <w:t>11.</w:t>
      </w:r>
      <w:r w:rsidR="002B7472" w:rsidRPr="00783571">
        <w:t xml:space="preserve">2; values for inputs that affect only the first time period are not included </w:t>
      </w:r>
      <w:r w:rsidR="008C26F1" w:rsidRPr="00783571">
        <w:t xml:space="preserve">because they </w:t>
      </w:r>
      <w:r w:rsidR="002B7472" w:rsidRPr="00783571">
        <w:t>affec</w:t>
      </w:r>
      <w:r w:rsidR="00625716" w:rsidRPr="00783571">
        <w:t>t</w:t>
      </w:r>
      <w:r w:rsidR="002B7472" w:rsidRPr="00783571">
        <w:t xml:space="preserve"> the run-in period of the model only. </w:t>
      </w:r>
      <w:r w:rsidR="00BB52C3" w:rsidRPr="00783571">
        <w:t xml:space="preserve">The model’s outcomes given the </w:t>
      </w:r>
      <w:r w:rsidR="00DD62F8" w:rsidRPr="00783571">
        <w:t>identified base analysis set</w:t>
      </w:r>
      <w:r w:rsidR="00BB52C3" w:rsidRPr="00783571">
        <w:t xml:space="preserve"> are shown in </w:t>
      </w:r>
      <w:r w:rsidR="00814158" w:rsidRPr="00783571">
        <w:t>Table </w:t>
      </w:r>
      <w:r w:rsidR="00CC1DD7" w:rsidRPr="00783571">
        <w:t>11.</w:t>
      </w:r>
      <w:r w:rsidR="00BB52C3" w:rsidRPr="00783571">
        <w:t>3</w:t>
      </w:r>
      <w:r w:rsidR="00B20EDC" w:rsidRPr="00783571">
        <w:t>; all those outcomes were between their targeted bounds</w:t>
      </w:r>
      <w:r w:rsidR="00BB52C3" w:rsidRPr="00783571">
        <w:t>.</w:t>
      </w:r>
    </w:p>
    <w:p w14:paraId="5368820B" w14:textId="77560FAC" w:rsidR="00FB4FDA" w:rsidRPr="00783571" w:rsidRDefault="00CC1DD7" w:rsidP="00DD62F8">
      <w:pPr>
        <w:pStyle w:val="TableTitle"/>
      </w:pPr>
      <w:bookmarkStart w:id="132" w:name="_Toc510104050"/>
      <w:r w:rsidRPr="00783571">
        <w:t>Table 11.</w:t>
      </w:r>
      <w:r w:rsidR="00FB4FDA" w:rsidRPr="00783571">
        <w:t>3.</w:t>
      </w:r>
      <w:r w:rsidR="00FB4FDA" w:rsidRPr="00783571">
        <w:tab/>
      </w:r>
      <w:r w:rsidR="00DD62F8" w:rsidRPr="00783571">
        <w:t xml:space="preserve">Values Generated by the </w:t>
      </w:r>
      <w:r w:rsidR="00FB4FDA" w:rsidRPr="00783571">
        <w:t>Model</w:t>
      </w:r>
      <w:r w:rsidR="00DD62F8" w:rsidRPr="00783571">
        <w:t xml:space="preserve"> using the Base Analysis Set</w:t>
      </w:r>
      <w:r w:rsidR="00FB4FDA" w:rsidRPr="00783571">
        <w:t xml:space="preserve"> vs. </w:t>
      </w:r>
      <w:r w:rsidR="000F2BCD" w:rsidRPr="00783571">
        <w:t xml:space="preserve">Target Values and Bounds Considered </w:t>
      </w:r>
      <w:r w:rsidR="00FB4FDA" w:rsidRPr="00783571">
        <w:t>for Outcomes Targeted in Calibration</w:t>
      </w:r>
      <w:bookmarkEnd w:id="132"/>
    </w:p>
    <w:tbl>
      <w:tblPr>
        <w:tblW w:w="9360" w:type="dxa"/>
        <w:tblBorders>
          <w:top w:val="single" w:sz="12" w:space="0" w:color="auto"/>
          <w:bottom w:val="single" w:sz="12" w:space="0" w:color="auto"/>
        </w:tblBorders>
        <w:tblLayout w:type="fixed"/>
        <w:tblCellMar>
          <w:left w:w="58" w:type="dxa"/>
          <w:right w:w="58" w:type="dxa"/>
        </w:tblCellMar>
        <w:tblLook w:val="04A0" w:firstRow="1" w:lastRow="0" w:firstColumn="1" w:lastColumn="0" w:noHBand="0" w:noVBand="1"/>
      </w:tblPr>
      <w:tblGrid>
        <w:gridCol w:w="2371"/>
        <w:gridCol w:w="1336"/>
        <w:gridCol w:w="1410"/>
        <w:gridCol w:w="1311"/>
        <w:gridCol w:w="1311"/>
        <w:gridCol w:w="1621"/>
      </w:tblGrid>
      <w:tr w:rsidR="00A713E1" w:rsidRPr="00783571" w14:paraId="7D336244" w14:textId="77777777" w:rsidTr="00BE623C">
        <w:trPr>
          <w:cantSplit/>
          <w:tblHeader/>
        </w:trPr>
        <w:tc>
          <w:tcPr>
            <w:tcW w:w="2371" w:type="dxa"/>
            <w:tcBorders>
              <w:top w:val="single" w:sz="12" w:space="0" w:color="auto"/>
              <w:bottom w:val="single" w:sz="6" w:space="0" w:color="auto"/>
            </w:tcBorders>
            <w:vAlign w:val="bottom"/>
          </w:tcPr>
          <w:p w14:paraId="785AE899" w14:textId="35AC41AD" w:rsidR="00A713E1" w:rsidRPr="00783571" w:rsidRDefault="00A713E1" w:rsidP="00BE623C">
            <w:pPr>
              <w:pStyle w:val="TableHeaders"/>
              <w:keepNext/>
            </w:pPr>
            <w:r w:rsidRPr="00783571">
              <w:t>Outcome Name</w:t>
            </w:r>
            <w:r w:rsidR="00A67CF3" w:rsidRPr="00783571">
              <w:rPr>
                <w:vertAlign w:val="superscript"/>
              </w:rPr>
              <w:t>a</w:t>
            </w:r>
          </w:p>
        </w:tc>
        <w:tc>
          <w:tcPr>
            <w:tcW w:w="1336" w:type="dxa"/>
            <w:tcBorders>
              <w:top w:val="single" w:sz="12" w:space="0" w:color="auto"/>
              <w:bottom w:val="single" w:sz="6" w:space="0" w:color="auto"/>
            </w:tcBorders>
            <w:vAlign w:val="bottom"/>
          </w:tcPr>
          <w:p w14:paraId="529A206E" w14:textId="77777777" w:rsidR="00A713E1" w:rsidRPr="00783571" w:rsidRDefault="00A713E1" w:rsidP="00BE623C">
            <w:pPr>
              <w:pStyle w:val="TableHeaders"/>
              <w:keepNext/>
            </w:pPr>
            <w:r w:rsidRPr="00783571">
              <w:t>Model Values</w:t>
            </w:r>
          </w:p>
        </w:tc>
        <w:tc>
          <w:tcPr>
            <w:tcW w:w="1410" w:type="dxa"/>
            <w:tcBorders>
              <w:top w:val="single" w:sz="12" w:space="0" w:color="auto"/>
              <w:bottom w:val="single" w:sz="6" w:space="0" w:color="auto"/>
            </w:tcBorders>
            <w:vAlign w:val="bottom"/>
          </w:tcPr>
          <w:p w14:paraId="7DDAF6B2" w14:textId="77777777" w:rsidR="00A713E1" w:rsidRPr="00783571" w:rsidRDefault="00A713E1" w:rsidP="00BE623C">
            <w:pPr>
              <w:pStyle w:val="TableHeaders"/>
              <w:keepNext/>
            </w:pPr>
            <w:r w:rsidRPr="00783571">
              <w:t>Target Value</w:t>
            </w:r>
          </w:p>
        </w:tc>
        <w:tc>
          <w:tcPr>
            <w:tcW w:w="1311" w:type="dxa"/>
            <w:tcBorders>
              <w:top w:val="single" w:sz="12" w:space="0" w:color="auto"/>
              <w:bottom w:val="single" w:sz="6" w:space="0" w:color="auto"/>
            </w:tcBorders>
            <w:vAlign w:val="bottom"/>
          </w:tcPr>
          <w:p w14:paraId="54370997" w14:textId="77777777" w:rsidR="00A713E1" w:rsidRPr="00783571" w:rsidRDefault="00A713E1" w:rsidP="00BE623C">
            <w:pPr>
              <w:pStyle w:val="TableHeaders"/>
              <w:keepNext/>
            </w:pPr>
            <w:r w:rsidRPr="00783571">
              <w:t>Lower Bound</w:t>
            </w:r>
          </w:p>
        </w:tc>
        <w:tc>
          <w:tcPr>
            <w:tcW w:w="1311" w:type="dxa"/>
            <w:tcBorders>
              <w:top w:val="single" w:sz="12" w:space="0" w:color="auto"/>
              <w:bottom w:val="single" w:sz="6" w:space="0" w:color="auto"/>
            </w:tcBorders>
            <w:vAlign w:val="bottom"/>
          </w:tcPr>
          <w:p w14:paraId="5E77DAAB" w14:textId="77777777" w:rsidR="00A713E1" w:rsidRPr="00783571" w:rsidRDefault="00A713E1" w:rsidP="00BE623C">
            <w:pPr>
              <w:pStyle w:val="TableHeaders"/>
              <w:keepNext/>
            </w:pPr>
            <w:r w:rsidRPr="00783571">
              <w:t>Upper Bound</w:t>
            </w:r>
          </w:p>
        </w:tc>
        <w:tc>
          <w:tcPr>
            <w:tcW w:w="1621" w:type="dxa"/>
            <w:tcBorders>
              <w:top w:val="single" w:sz="12" w:space="0" w:color="auto"/>
              <w:bottom w:val="single" w:sz="6" w:space="0" w:color="auto"/>
            </w:tcBorders>
            <w:vAlign w:val="bottom"/>
          </w:tcPr>
          <w:p w14:paraId="370CB2C8" w14:textId="77777777" w:rsidR="00A713E1" w:rsidRPr="00783571" w:rsidRDefault="00A713E1" w:rsidP="00BE623C">
            <w:pPr>
              <w:pStyle w:val="TableHeaders"/>
              <w:keepNext/>
            </w:pPr>
            <w:r w:rsidRPr="00783571">
              <w:t>Source for Target Values and Bounds</w:t>
            </w:r>
          </w:p>
        </w:tc>
      </w:tr>
      <w:tr w:rsidR="00A713E1" w:rsidRPr="00783571" w14:paraId="0FC93B1E" w14:textId="77777777" w:rsidTr="00BE623C">
        <w:trPr>
          <w:cantSplit/>
        </w:trPr>
        <w:tc>
          <w:tcPr>
            <w:tcW w:w="7739" w:type="dxa"/>
            <w:gridSpan w:val="5"/>
            <w:tcBorders>
              <w:top w:val="single" w:sz="6" w:space="0" w:color="auto"/>
              <w:bottom w:val="single" w:sz="4" w:space="0" w:color="808080" w:themeColor="background1" w:themeShade="80"/>
            </w:tcBorders>
          </w:tcPr>
          <w:p w14:paraId="374DD313" w14:textId="21FCF489" w:rsidR="00A713E1" w:rsidRPr="00783571" w:rsidRDefault="00A713E1" w:rsidP="00BE623C">
            <w:pPr>
              <w:pStyle w:val="TableText"/>
              <w:ind w:right="150"/>
            </w:pPr>
            <w:r w:rsidRPr="00783571">
              <w:t xml:space="preserve">Estimated number of new infections in the United States in </w:t>
            </w:r>
            <w:r w:rsidR="00A67CF3" w:rsidRPr="00783571">
              <w:t>2009</w:t>
            </w:r>
            <w:r w:rsidR="00A67CF3" w:rsidRPr="00783571">
              <w:rPr>
                <w:vertAlign w:val="superscript"/>
              </w:rPr>
              <w:t>b</w:t>
            </w:r>
          </w:p>
        </w:tc>
        <w:tc>
          <w:tcPr>
            <w:tcW w:w="1621" w:type="dxa"/>
            <w:vMerge w:val="restart"/>
            <w:tcBorders>
              <w:top w:val="single" w:sz="6" w:space="0" w:color="auto"/>
            </w:tcBorders>
          </w:tcPr>
          <w:p w14:paraId="3FA749DB" w14:textId="77777777" w:rsidR="00A713E1" w:rsidRPr="00783571" w:rsidRDefault="00A713E1" w:rsidP="00BE623C">
            <w:pPr>
              <w:pStyle w:val="TableText"/>
            </w:pPr>
            <w:r w:rsidRPr="00783571">
              <w:t>CDC (2012a)</w:t>
            </w:r>
          </w:p>
        </w:tc>
      </w:tr>
      <w:tr w:rsidR="00A713E1" w:rsidRPr="00783571" w14:paraId="357447CC"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35ED983C" w14:textId="77777777" w:rsidR="00A713E1" w:rsidRPr="00783571" w:rsidRDefault="00A713E1" w:rsidP="00BE623C">
            <w:pPr>
              <w:pStyle w:val="TableTextIndent1"/>
            </w:pPr>
            <w:r w:rsidRPr="00783571">
              <w:t>HET male</w:t>
            </w:r>
          </w:p>
        </w:tc>
        <w:tc>
          <w:tcPr>
            <w:tcW w:w="1336" w:type="dxa"/>
            <w:tcBorders>
              <w:top w:val="single" w:sz="4" w:space="0" w:color="808080" w:themeColor="background1" w:themeShade="80"/>
              <w:bottom w:val="single" w:sz="4" w:space="0" w:color="808080" w:themeColor="background1" w:themeShade="80"/>
            </w:tcBorders>
          </w:tcPr>
          <w:p w14:paraId="76F60152" w14:textId="77777777" w:rsidR="00A713E1" w:rsidRPr="00783571" w:rsidRDefault="00A713E1" w:rsidP="00BE623C">
            <w:pPr>
              <w:pStyle w:val="TableText"/>
              <w:ind w:right="150"/>
              <w:jc w:val="right"/>
            </w:pPr>
            <w:r w:rsidRPr="00783571">
              <w:t>3,833</w:t>
            </w:r>
          </w:p>
        </w:tc>
        <w:tc>
          <w:tcPr>
            <w:tcW w:w="1410" w:type="dxa"/>
            <w:tcBorders>
              <w:top w:val="single" w:sz="4" w:space="0" w:color="808080" w:themeColor="background1" w:themeShade="80"/>
              <w:bottom w:val="single" w:sz="4" w:space="0" w:color="808080" w:themeColor="background1" w:themeShade="80"/>
            </w:tcBorders>
          </w:tcPr>
          <w:p w14:paraId="569DAA96" w14:textId="77777777" w:rsidR="00A713E1" w:rsidRPr="00783571" w:rsidRDefault="00A713E1" w:rsidP="00BE623C">
            <w:pPr>
              <w:pStyle w:val="TableText"/>
              <w:ind w:right="150"/>
              <w:jc w:val="right"/>
            </w:pPr>
            <w:r w:rsidRPr="00783571">
              <w:t>3,800</w:t>
            </w:r>
          </w:p>
        </w:tc>
        <w:tc>
          <w:tcPr>
            <w:tcW w:w="1311" w:type="dxa"/>
            <w:tcBorders>
              <w:top w:val="single" w:sz="4" w:space="0" w:color="808080" w:themeColor="background1" w:themeShade="80"/>
              <w:bottom w:val="single" w:sz="4" w:space="0" w:color="808080" w:themeColor="background1" w:themeShade="80"/>
            </w:tcBorders>
          </w:tcPr>
          <w:p w14:paraId="79A629CF" w14:textId="77777777" w:rsidR="00A713E1" w:rsidRPr="00783571" w:rsidRDefault="00A713E1" w:rsidP="00BE623C">
            <w:pPr>
              <w:pStyle w:val="TableText"/>
              <w:ind w:right="150"/>
              <w:jc w:val="right"/>
            </w:pPr>
            <w:r w:rsidRPr="00783571">
              <w:t>3,040</w:t>
            </w:r>
          </w:p>
        </w:tc>
        <w:tc>
          <w:tcPr>
            <w:tcW w:w="1311" w:type="dxa"/>
            <w:tcBorders>
              <w:top w:val="single" w:sz="4" w:space="0" w:color="808080" w:themeColor="background1" w:themeShade="80"/>
              <w:bottom w:val="single" w:sz="4" w:space="0" w:color="808080" w:themeColor="background1" w:themeShade="80"/>
            </w:tcBorders>
          </w:tcPr>
          <w:p w14:paraId="769EEAEC" w14:textId="77777777" w:rsidR="00A713E1" w:rsidRPr="00783571" w:rsidRDefault="00A713E1" w:rsidP="00BE623C">
            <w:pPr>
              <w:pStyle w:val="TableText"/>
              <w:ind w:right="150"/>
              <w:jc w:val="right"/>
            </w:pPr>
            <w:r w:rsidRPr="00783571">
              <w:t>4,560</w:t>
            </w:r>
          </w:p>
        </w:tc>
        <w:tc>
          <w:tcPr>
            <w:tcW w:w="1621" w:type="dxa"/>
            <w:vMerge/>
          </w:tcPr>
          <w:p w14:paraId="49A76256" w14:textId="77777777" w:rsidR="00A713E1" w:rsidRPr="00783571" w:rsidRDefault="00A713E1" w:rsidP="00BE623C">
            <w:pPr>
              <w:pStyle w:val="TableText"/>
            </w:pPr>
          </w:p>
        </w:tc>
      </w:tr>
      <w:tr w:rsidR="00A713E1" w:rsidRPr="00783571" w14:paraId="3A5D00D1"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48F32CAF" w14:textId="77777777" w:rsidR="00A713E1" w:rsidRPr="00783571" w:rsidRDefault="00A713E1" w:rsidP="00BE623C">
            <w:pPr>
              <w:pStyle w:val="TableTextIndent1"/>
            </w:pPr>
            <w:r w:rsidRPr="00783571">
              <w:t>HET female</w:t>
            </w:r>
          </w:p>
        </w:tc>
        <w:tc>
          <w:tcPr>
            <w:tcW w:w="1336" w:type="dxa"/>
            <w:tcBorders>
              <w:top w:val="single" w:sz="4" w:space="0" w:color="808080" w:themeColor="background1" w:themeShade="80"/>
              <w:bottom w:val="single" w:sz="4" w:space="0" w:color="808080" w:themeColor="background1" w:themeShade="80"/>
            </w:tcBorders>
          </w:tcPr>
          <w:p w14:paraId="34060BAB" w14:textId="77777777" w:rsidR="00A713E1" w:rsidRPr="00783571" w:rsidRDefault="00A713E1" w:rsidP="00BE623C">
            <w:pPr>
              <w:pStyle w:val="TableText"/>
              <w:ind w:right="150"/>
              <w:jc w:val="right"/>
            </w:pPr>
            <w:r w:rsidRPr="00783571">
              <w:t>8,863</w:t>
            </w:r>
          </w:p>
        </w:tc>
        <w:tc>
          <w:tcPr>
            <w:tcW w:w="1410" w:type="dxa"/>
            <w:tcBorders>
              <w:top w:val="single" w:sz="4" w:space="0" w:color="808080" w:themeColor="background1" w:themeShade="80"/>
              <w:bottom w:val="single" w:sz="4" w:space="0" w:color="808080" w:themeColor="background1" w:themeShade="80"/>
            </w:tcBorders>
          </w:tcPr>
          <w:p w14:paraId="66FA6DA5" w14:textId="77777777" w:rsidR="00A713E1" w:rsidRPr="00783571" w:rsidRDefault="00A713E1" w:rsidP="00BE623C">
            <w:pPr>
              <w:pStyle w:val="TableText"/>
              <w:ind w:right="150"/>
              <w:jc w:val="right"/>
            </w:pPr>
            <w:r w:rsidRPr="00783571">
              <w:t>8,800</w:t>
            </w:r>
          </w:p>
        </w:tc>
        <w:tc>
          <w:tcPr>
            <w:tcW w:w="1311" w:type="dxa"/>
            <w:tcBorders>
              <w:top w:val="single" w:sz="4" w:space="0" w:color="808080" w:themeColor="background1" w:themeShade="80"/>
              <w:bottom w:val="single" w:sz="4" w:space="0" w:color="808080" w:themeColor="background1" w:themeShade="80"/>
            </w:tcBorders>
          </w:tcPr>
          <w:p w14:paraId="304D3A92" w14:textId="77777777" w:rsidR="00A713E1" w:rsidRPr="00783571" w:rsidRDefault="00A713E1" w:rsidP="00BE623C">
            <w:pPr>
              <w:pStyle w:val="TableText"/>
              <w:ind w:right="150"/>
              <w:jc w:val="right"/>
            </w:pPr>
            <w:r w:rsidRPr="00783571">
              <w:t>7,040</w:t>
            </w:r>
          </w:p>
        </w:tc>
        <w:tc>
          <w:tcPr>
            <w:tcW w:w="1311" w:type="dxa"/>
            <w:tcBorders>
              <w:top w:val="single" w:sz="4" w:space="0" w:color="808080" w:themeColor="background1" w:themeShade="80"/>
              <w:bottom w:val="single" w:sz="4" w:space="0" w:color="808080" w:themeColor="background1" w:themeShade="80"/>
            </w:tcBorders>
          </w:tcPr>
          <w:p w14:paraId="1DCCAE89" w14:textId="77777777" w:rsidR="00A713E1" w:rsidRPr="00783571" w:rsidRDefault="00A713E1" w:rsidP="00BE623C">
            <w:pPr>
              <w:pStyle w:val="TableText"/>
              <w:ind w:right="150"/>
              <w:jc w:val="right"/>
            </w:pPr>
            <w:r w:rsidRPr="00783571">
              <w:t>10,560</w:t>
            </w:r>
          </w:p>
        </w:tc>
        <w:tc>
          <w:tcPr>
            <w:tcW w:w="1621" w:type="dxa"/>
            <w:vMerge/>
          </w:tcPr>
          <w:p w14:paraId="505079C9" w14:textId="77777777" w:rsidR="00A713E1" w:rsidRPr="00783571" w:rsidRDefault="00A713E1" w:rsidP="00BE623C">
            <w:pPr>
              <w:pStyle w:val="TableText"/>
            </w:pPr>
          </w:p>
        </w:tc>
      </w:tr>
      <w:tr w:rsidR="00A713E1" w:rsidRPr="00783571" w14:paraId="67E584D1"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1CF521E0" w14:textId="77777777" w:rsidR="00A713E1" w:rsidRPr="00783571" w:rsidRDefault="00A713E1" w:rsidP="00BE623C">
            <w:pPr>
              <w:pStyle w:val="TableTextIndent1"/>
            </w:pPr>
            <w:r w:rsidRPr="00783571">
              <w:t>MSM</w:t>
            </w:r>
          </w:p>
        </w:tc>
        <w:tc>
          <w:tcPr>
            <w:tcW w:w="1336" w:type="dxa"/>
            <w:tcBorders>
              <w:top w:val="single" w:sz="4" w:space="0" w:color="808080" w:themeColor="background1" w:themeShade="80"/>
              <w:bottom w:val="single" w:sz="4" w:space="0" w:color="808080" w:themeColor="background1" w:themeShade="80"/>
            </w:tcBorders>
          </w:tcPr>
          <w:p w14:paraId="032160F3" w14:textId="77777777" w:rsidR="00A713E1" w:rsidRPr="00783571" w:rsidRDefault="00A713E1" w:rsidP="00BE623C">
            <w:pPr>
              <w:pStyle w:val="TableText"/>
              <w:ind w:right="150"/>
              <w:jc w:val="right"/>
            </w:pPr>
            <w:r w:rsidRPr="00783571">
              <w:t>31,978</w:t>
            </w:r>
          </w:p>
        </w:tc>
        <w:tc>
          <w:tcPr>
            <w:tcW w:w="1410" w:type="dxa"/>
            <w:tcBorders>
              <w:top w:val="single" w:sz="4" w:space="0" w:color="808080" w:themeColor="background1" w:themeShade="80"/>
              <w:bottom w:val="single" w:sz="4" w:space="0" w:color="808080" w:themeColor="background1" w:themeShade="80"/>
            </w:tcBorders>
          </w:tcPr>
          <w:p w14:paraId="32910433" w14:textId="77777777" w:rsidR="00A713E1" w:rsidRPr="00783571" w:rsidRDefault="00A713E1" w:rsidP="00BE623C">
            <w:pPr>
              <w:pStyle w:val="TableText"/>
              <w:ind w:right="150"/>
              <w:jc w:val="right"/>
            </w:pPr>
            <w:r w:rsidRPr="00783571">
              <w:t>28,080</w:t>
            </w:r>
          </w:p>
        </w:tc>
        <w:tc>
          <w:tcPr>
            <w:tcW w:w="1311" w:type="dxa"/>
            <w:tcBorders>
              <w:top w:val="single" w:sz="4" w:space="0" w:color="808080" w:themeColor="background1" w:themeShade="80"/>
              <w:bottom w:val="single" w:sz="4" w:space="0" w:color="808080" w:themeColor="background1" w:themeShade="80"/>
            </w:tcBorders>
          </w:tcPr>
          <w:p w14:paraId="005ADBAB" w14:textId="77777777" w:rsidR="00A713E1" w:rsidRPr="00783571" w:rsidRDefault="00A713E1" w:rsidP="00BE623C">
            <w:pPr>
              <w:pStyle w:val="TableText"/>
              <w:ind w:right="150"/>
              <w:jc w:val="right"/>
            </w:pPr>
            <w:r w:rsidRPr="00783571">
              <w:t>22,464</w:t>
            </w:r>
          </w:p>
        </w:tc>
        <w:tc>
          <w:tcPr>
            <w:tcW w:w="1311" w:type="dxa"/>
            <w:tcBorders>
              <w:top w:val="single" w:sz="4" w:space="0" w:color="808080" w:themeColor="background1" w:themeShade="80"/>
              <w:bottom w:val="single" w:sz="4" w:space="0" w:color="808080" w:themeColor="background1" w:themeShade="80"/>
            </w:tcBorders>
          </w:tcPr>
          <w:p w14:paraId="38A9F003" w14:textId="77777777" w:rsidR="00A713E1" w:rsidRPr="00783571" w:rsidRDefault="00A713E1" w:rsidP="00BE623C">
            <w:pPr>
              <w:pStyle w:val="TableText"/>
              <w:ind w:right="150"/>
              <w:jc w:val="right"/>
            </w:pPr>
            <w:r w:rsidRPr="00783571">
              <w:t>33,696</w:t>
            </w:r>
          </w:p>
        </w:tc>
        <w:tc>
          <w:tcPr>
            <w:tcW w:w="1621" w:type="dxa"/>
            <w:vMerge/>
          </w:tcPr>
          <w:p w14:paraId="6A69621B" w14:textId="77777777" w:rsidR="00A713E1" w:rsidRPr="00783571" w:rsidRDefault="00A713E1" w:rsidP="00BE623C">
            <w:pPr>
              <w:pStyle w:val="TableText"/>
            </w:pPr>
          </w:p>
        </w:tc>
      </w:tr>
      <w:tr w:rsidR="00A713E1" w:rsidRPr="00783571" w14:paraId="63A32A74"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6B252C0D" w14:textId="77777777" w:rsidR="00A713E1" w:rsidRPr="00783571" w:rsidRDefault="00A713E1" w:rsidP="00BE623C">
            <w:pPr>
              <w:pStyle w:val="TableTextIndent1"/>
            </w:pPr>
            <w:r w:rsidRPr="00783571">
              <w:t>PWID male</w:t>
            </w:r>
          </w:p>
        </w:tc>
        <w:tc>
          <w:tcPr>
            <w:tcW w:w="1336" w:type="dxa"/>
            <w:tcBorders>
              <w:top w:val="single" w:sz="4" w:space="0" w:color="808080" w:themeColor="background1" w:themeShade="80"/>
              <w:bottom w:val="single" w:sz="4" w:space="0" w:color="808080" w:themeColor="background1" w:themeShade="80"/>
            </w:tcBorders>
          </w:tcPr>
          <w:p w14:paraId="0C17DEAB" w14:textId="77777777" w:rsidR="00A713E1" w:rsidRPr="00783571" w:rsidRDefault="00A713E1" w:rsidP="00BE623C">
            <w:pPr>
              <w:pStyle w:val="TableText"/>
              <w:ind w:right="150"/>
              <w:jc w:val="right"/>
            </w:pPr>
            <w:r w:rsidRPr="00783571">
              <w:t>2,476</w:t>
            </w:r>
          </w:p>
        </w:tc>
        <w:tc>
          <w:tcPr>
            <w:tcW w:w="1410" w:type="dxa"/>
            <w:tcBorders>
              <w:top w:val="single" w:sz="4" w:space="0" w:color="808080" w:themeColor="background1" w:themeShade="80"/>
              <w:bottom w:val="single" w:sz="4" w:space="0" w:color="808080" w:themeColor="background1" w:themeShade="80"/>
            </w:tcBorders>
          </w:tcPr>
          <w:p w14:paraId="0AC607FD" w14:textId="77777777" w:rsidR="00A713E1" w:rsidRPr="00783571" w:rsidRDefault="00A713E1" w:rsidP="00BE623C">
            <w:pPr>
              <w:pStyle w:val="TableText"/>
              <w:ind w:right="150"/>
              <w:jc w:val="right"/>
            </w:pPr>
            <w:r w:rsidRPr="00783571">
              <w:t>2,310</w:t>
            </w:r>
          </w:p>
        </w:tc>
        <w:tc>
          <w:tcPr>
            <w:tcW w:w="1311" w:type="dxa"/>
            <w:tcBorders>
              <w:top w:val="single" w:sz="4" w:space="0" w:color="808080" w:themeColor="background1" w:themeShade="80"/>
              <w:bottom w:val="single" w:sz="4" w:space="0" w:color="808080" w:themeColor="background1" w:themeShade="80"/>
            </w:tcBorders>
          </w:tcPr>
          <w:p w14:paraId="6A2D1B6C" w14:textId="77777777" w:rsidR="00A713E1" w:rsidRPr="00783571" w:rsidRDefault="00A713E1" w:rsidP="00BE623C">
            <w:pPr>
              <w:pStyle w:val="TableText"/>
              <w:ind w:right="150"/>
              <w:jc w:val="right"/>
            </w:pPr>
            <w:r w:rsidRPr="00783571">
              <w:t>1,848</w:t>
            </w:r>
          </w:p>
        </w:tc>
        <w:tc>
          <w:tcPr>
            <w:tcW w:w="1311" w:type="dxa"/>
            <w:tcBorders>
              <w:top w:val="single" w:sz="4" w:space="0" w:color="808080" w:themeColor="background1" w:themeShade="80"/>
              <w:bottom w:val="single" w:sz="4" w:space="0" w:color="808080" w:themeColor="background1" w:themeShade="80"/>
            </w:tcBorders>
          </w:tcPr>
          <w:p w14:paraId="5F81E602" w14:textId="77777777" w:rsidR="00A713E1" w:rsidRPr="00783571" w:rsidRDefault="00A713E1" w:rsidP="00BE623C">
            <w:pPr>
              <w:pStyle w:val="TableText"/>
              <w:ind w:right="150"/>
              <w:jc w:val="right"/>
            </w:pPr>
            <w:r w:rsidRPr="00783571">
              <w:t>2,772</w:t>
            </w:r>
          </w:p>
        </w:tc>
        <w:tc>
          <w:tcPr>
            <w:tcW w:w="1621" w:type="dxa"/>
            <w:vMerge/>
          </w:tcPr>
          <w:p w14:paraId="1561CA86" w14:textId="77777777" w:rsidR="00A713E1" w:rsidRPr="00783571" w:rsidRDefault="00A713E1" w:rsidP="00BE623C">
            <w:pPr>
              <w:pStyle w:val="TableText"/>
            </w:pPr>
          </w:p>
        </w:tc>
      </w:tr>
      <w:tr w:rsidR="00A713E1" w:rsidRPr="00783571" w14:paraId="76DA1844"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05A091B1" w14:textId="77777777" w:rsidR="00A713E1" w:rsidRPr="00783571" w:rsidRDefault="00A713E1" w:rsidP="00BE623C">
            <w:pPr>
              <w:pStyle w:val="TableTextIndent1"/>
            </w:pPr>
            <w:r w:rsidRPr="00783571">
              <w:t>PWID female</w:t>
            </w:r>
          </w:p>
        </w:tc>
        <w:tc>
          <w:tcPr>
            <w:tcW w:w="1336" w:type="dxa"/>
            <w:tcBorders>
              <w:top w:val="single" w:sz="4" w:space="0" w:color="808080" w:themeColor="background1" w:themeShade="80"/>
              <w:bottom w:val="single" w:sz="4" w:space="0" w:color="808080" w:themeColor="background1" w:themeShade="80"/>
            </w:tcBorders>
          </w:tcPr>
          <w:p w14:paraId="7C01D5D7" w14:textId="77777777" w:rsidR="00A713E1" w:rsidRPr="00783571" w:rsidRDefault="00A713E1" w:rsidP="00BE623C">
            <w:pPr>
              <w:pStyle w:val="TableText"/>
              <w:ind w:right="150"/>
              <w:jc w:val="right"/>
            </w:pPr>
            <w:r w:rsidRPr="00783571">
              <w:t>1,827</w:t>
            </w:r>
          </w:p>
        </w:tc>
        <w:tc>
          <w:tcPr>
            <w:tcW w:w="1410" w:type="dxa"/>
            <w:tcBorders>
              <w:top w:val="single" w:sz="4" w:space="0" w:color="808080" w:themeColor="background1" w:themeShade="80"/>
              <w:bottom w:val="single" w:sz="4" w:space="0" w:color="808080" w:themeColor="background1" w:themeShade="80"/>
            </w:tcBorders>
          </w:tcPr>
          <w:p w14:paraId="6D758F31" w14:textId="77777777" w:rsidR="00A713E1" w:rsidRPr="00783571" w:rsidRDefault="00A713E1" w:rsidP="00BE623C">
            <w:pPr>
              <w:pStyle w:val="TableText"/>
              <w:ind w:right="150"/>
              <w:jc w:val="right"/>
            </w:pPr>
            <w:r w:rsidRPr="00783571">
              <w:t>2,010</w:t>
            </w:r>
          </w:p>
        </w:tc>
        <w:tc>
          <w:tcPr>
            <w:tcW w:w="1311" w:type="dxa"/>
            <w:tcBorders>
              <w:top w:val="single" w:sz="4" w:space="0" w:color="808080" w:themeColor="background1" w:themeShade="80"/>
              <w:bottom w:val="single" w:sz="4" w:space="0" w:color="808080" w:themeColor="background1" w:themeShade="80"/>
            </w:tcBorders>
          </w:tcPr>
          <w:p w14:paraId="52032ED4" w14:textId="77777777" w:rsidR="00A713E1" w:rsidRPr="00783571" w:rsidRDefault="00A713E1" w:rsidP="00BE623C">
            <w:pPr>
              <w:pStyle w:val="TableText"/>
              <w:ind w:right="150"/>
              <w:jc w:val="right"/>
            </w:pPr>
            <w:r w:rsidRPr="00783571">
              <w:t>1,608</w:t>
            </w:r>
          </w:p>
        </w:tc>
        <w:tc>
          <w:tcPr>
            <w:tcW w:w="1311" w:type="dxa"/>
            <w:tcBorders>
              <w:top w:val="single" w:sz="4" w:space="0" w:color="808080" w:themeColor="background1" w:themeShade="80"/>
              <w:bottom w:val="single" w:sz="4" w:space="0" w:color="808080" w:themeColor="background1" w:themeShade="80"/>
            </w:tcBorders>
          </w:tcPr>
          <w:p w14:paraId="5F2867BC" w14:textId="77777777" w:rsidR="00A713E1" w:rsidRPr="00783571" w:rsidRDefault="00A713E1" w:rsidP="00BE623C">
            <w:pPr>
              <w:pStyle w:val="TableText"/>
              <w:ind w:right="150"/>
              <w:jc w:val="right"/>
            </w:pPr>
            <w:r w:rsidRPr="00783571">
              <w:t>2,412</w:t>
            </w:r>
          </w:p>
        </w:tc>
        <w:tc>
          <w:tcPr>
            <w:tcW w:w="1621" w:type="dxa"/>
            <w:vMerge/>
          </w:tcPr>
          <w:p w14:paraId="2C2086A4" w14:textId="77777777" w:rsidR="00A713E1" w:rsidRPr="00783571" w:rsidRDefault="00A713E1" w:rsidP="00BE623C">
            <w:pPr>
              <w:pStyle w:val="TableText"/>
            </w:pPr>
          </w:p>
        </w:tc>
      </w:tr>
      <w:tr w:rsidR="00A713E1" w:rsidRPr="00783571" w14:paraId="7038137C"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27E1EEFA" w14:textId="77777777" w:rsidR="00A713E1" w:rsidRPr="00783571" w:rsidRDefault="00A713E1" w:rsidP="00BE623C">
            <w:pPr>
              <w:pStyle w:val="TableTextIndent1"/>
            </w:pPr>
            <w:r w:rsidRPr="00783571">
              <w:t>Total</w:t>
            </w:r>
          </w:p>
        </w:tc>
        <w:tc>
          <w:tcPr>
            <w:tcW w:w="1336" w:type="dxa"/>
            <w:tcBorders>
              <w:top w:val="single" w:sz="4" w:space="0" w:color="808080" w:themeColor="background1" w:themeShade="80"/>
              <w:bottom w:val="single" w:sz="4" w:space="0" w:color="808080" w:themeColor="background1" w:themeShade="80"/>
            </w:tcBorders>
          </w:tcPr>
          <w:p w14:paraId="2199B37B" w14:textId="77777777" w:rsidR="00A713E1" w:rsidRPr="00783571" w:rsidRDefault="00A713E1" w:rsidP="00BE623C">
            <w:pPr>
              <w:pStyle w:val="TableText"/>
              <w:ind w:right="150"/>
              <w:jc w:val="right"/>
            </w:pPr>
            <w:r w:rsidRPr="00783571">
              <w:t>48,977</w:t>
            </w:r>
          </w:p>
        </w:tc>
        <w:tc>
          <w:tcPr>
            <w:tcW w:w="1410" w:type="dxa"/>
            <w:tcBorders>
              <w:top w:val="single" w:sz="4" w:space="0" w:color="808080" w:themeColor="background1" w:themeShade="80"/>
              <w:bottom w:val="single" w:sz="4" w:space="0" w:color="808080" w:themeColor="background1" w:themeShade="80"/>
            </w:tcBorders>
          </w:tcPr>
          <w:p w14:paraId="2087342D" w14:textId="77777777" w:rsidR="00A713E1" w:rsidRPr="00783571" w:rsidRDefault="00A713E1" w:rsidP="00BE623C">
            <w:pPr>
              <w:pStyle w:val="TableText"/>
              <w:ind w:right="150"/>
              <w:jc w:val="right"/>
            </w:pPr>
            <w:r w:rsidRPr="00783571">
              <w:t>45,000</w:t>
            </w:r>
          </w:p>
        </w:tc>
        <w:tc>
          <w:tcPr>
            <w:tcW w:w="1311" w:type="dxa"/>
            <w:tcBorders>
              <w:top w:val="single" w:sz="4" w:space="0" w:color="808080" w:themeColor="background1" w:themeShade="80"/>
              <w:bottom w:val="single" w:sz="4" w:space="0" w:color="808080" w:themeColor="background1" w:themeShade="80"/>
            </w:tcBorders>
          </w:tcPr>
          <w:p w14:paraId="7DE9688D" w14:textId="77777777" w:rsidR="00A713E1" w:rsidRPr="00783571" w:rsidRDefault="00A713E1" w:rsidP="00BE623C">
            <w:pPr>
              <w:pStyle w:val="TableText"/>
              <w:ind w:right="150"/>
              <w:jc w:val="right"/>
            </w:pPr>
            <w:r w:rsidRPr="00783571">
              <w:t>36,000</w:t>
            </w:r>
          </w:p>
        </w:tc>
        <w:tc>
          <w:tcPr>
            <w:tcW w:w="1311" w:type="dxa"/>
            <w:tcBorders>
              <w:top w:val="single" w:sz="4" w:space="0" w:color="808080" w:themeColor="background1" w:themeShade="80"/>
              <w:bottom w:val="single" w:sz="4" w:space="0" w:color="808080" w:themeColor="background1" w:themeShade="80"/>
            </w:tcBorders>
          </w:tcPr>
          <w:p w14:paraId="7E5CF0FD" w14:textId="77777777" w:rsidR="00A713E1" w:rsidRPr="00783571" w:rsidRDefault="00A713E1" w:rsidP="00BE623C">
            <w:pPr>
              <w:pStyle w:val="TableText"/>
              <w:ind w:right="150"/>
              <w:jc w:val="right"/>
            </w:pPr>
            <w:r w:rsidRPr="00783571">
              <w:t>54,000</w:t>
            </w:r>
          </w:p>
        </w:tc>
        <w:tc>
          <w:tcPr>
            <w:tcW w:w="1621" w:type="dxa"/>
            <w:vMerge/>
            <w:tcBorders>
              <w:bottom w:val="single" w:sz="4" w:space="0" w:color="808080" w:themeColor="background1" w:themeShade="80"/>
            </w:tcBorders>
          </w:tcPr>
          <w:p w14:paraId="4E961F35" w14:textId="77777777" w:rsidR="00A713E1" w:rsidRPr="00783571" w:rsidRDefault="00A713E1" w:rsidP="00BE623C">
            <w:pPr>
              <w:pStyle w:val="TableText"/>
            </w:pPr>
          </w:p>
        </w:tc>
      </w:tr>
      <w:tr w:rsidR="00A713E1" w:rsidRPr="00783571" w14:paraId="7D8C9068" w14:textId="77777777" w:rsidTr="00BE623C">
        <w:trPr>
          <w:cantSplit/>
        </w:trPr>
        <w:tc>
          <w:tcPr>
            <w:tcW w:w="7739" w:type="dxa"/>
            <w:gridSpan w:val="5"/>
            <w:tcBorders>
              <w:top w:val="single" w:sz="4" w:space="0" w:color="808080" w:themeColor="background1" w:themeShade="80"/>
              <w:bottom w:val="single" w:sz="4" w:space="0" w:color="808080" w:themeColor="background1" w:themeShade="80"/>
            </w:tcBorders>
          </w:tcPr>
          <w:p w14:paraId="32507715" w14:textId="77777777" w:rsidR="00A713E1" w:rsidRPr="00783571" w:rsidRDefault="00A713E1" w:rsidP="00BE623C">
            <w:pPr>
              <w:pStyle w:val="TableText"/>
              <w:ind w:right="150"/>
            </w:pPr>
            <w:r w:rsidRPr="00783571">
              <w:t>Number of aware PLWH deaths</w:t>
            </w:r>
          </w:p>
        </w:tc>
        <w:tc>
          <w:tcPr>
            <w:tcW w:w="1621" w:type="dxa"/>
            <w:vMerge w:val="restart"/>
            <w:tcBorders>
              <w:top w:val="single" w:sz="4" w:space="0" w:color="808080" w:themeColor="background1" w:themeShade="80"/>
            </w:tcBorders>
          </w:tcPr>
          <w:p w14:paraId="53F51DFF" w14:textId="77777777" w:rsidR="00A713E1" w:rsidRPr="00783571" w:rsidRDefault="00A713E1" w:rsidP="00BE623C">
            <w:pPr>
              <w:pStyle w:val="TableText"/>
            </w:pPr>
            <w:r w:rsidRPr="00783571">
              <w:t>CDC (2014)</w:t>
            </w:r>
          </w:p>
        </w:tc>
      </w:tr>
      <w:tr w:rsidR="00A713E1" w:rsidRPr="00783571" w14:paraId="1ED2F1B4"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148CDEA5" w14:textId="77777777" w:rsidR="00A713E1" w:rsidRPr="00783571" w:rsidRDefault="00A713E1" w:rsidP="00BE623C">
            <w:pPr>
              <w:pStyle w:val="TableTextIndent1"/>
            </w:pPr>
            <w:r w:rsidRPr="00783571">
              <w:t>2009</w:t>
            </w:r>
          </w:p>
        </w:tc>
        <w:tc>
          <w:tcPr>
            <w:tcW w:w="1336" w:type="dxa"/>
            <w:tcBorders>
              <w:top w:val="single" w:sz="4" w:space="0" w:color="808080" w:themeColor="background1" w:themeShade="80"/>
              <w:bottom w:val="single" w:sz="4" w:space="0" w:color="808080" w:themeColor="background1" w:themeShade="80"/>
            </w:tcBorders>
          </w:tcPr>
          <w:p w14:paraId="7B4612F7" w14:textId="77777777" w:rsidR="00A713E1" w:rsidRPr="00783571" w:rsidDel="00E7211C" w:rsidRDefault="00A713E1" w:rsidP="00BE623C">
            <w:pPr>
              <w:pStyle w:val="TableText"/>
              <w:ind w:right="150"/>
              <w:jc w:val="right"/>
            </w:pPr>
            <w:r w:rsidRPr="00783571">
              <w:t>18,611</w:t>
            </w:r>
          </w:p>
        </w:tc>
        <w:tc>
          <w:tcPr>
            <w:tcW w:w="1410" w:type="dxa"/>
            <w:tcBorders>
              <w:top w:val="single" w:sz="4" w:space="0" w:color="808080" w:themeColor="background1" w:themeShade="80"/>
              <w:bottom w:val="single" w:sz="4" w:space="0" w:color="808080" w:themeColor="background1" w:themeShade="80"/>
            </w:tcBorders>
          </w:tcPr>
          <w:p w14:paraId="4A528252" w14:textId="77777777" w:rsidR="00A713E1" w:rsidRPr="00783571" w:rsidDel="00E7211C" w:rsidRDefault="00A713E1" w:rsidP="00BE623C">
            <w:pPr>
              <w:pStyle w:val="TableText"/>
              <w:ind w:right="150"/>
              <w:jc w:val="right"/>
            </w:pPr>
            <w:r w:rsidRPr="00783571">
              <w:t>19,058</w:t>
            </w:r>
          </w:p>
        </w:tc>
        <w:tc>
          <w:tcPr>
            <w:tcW w:w="1311" w:type="dxa"/>
            <w:tcBorders>
              <w:top w:val="single" w:sz="4" w:space="0" w:color="808080" w:themeColor="background1" w:themeShade="80"/>
              <w:bottom w:val="single" w:sz="4" w:space="0" w:color="808080" w:themeColor="background1" w:themeShade="80"/>
            </w:tcBorders>
          </w:tcPr>
          <w:p w14:paraId="5A5E4F8A" w14:textId="77777777" w:rsidR="00A713E1" w:rsidRPr="00783571" w:rsidRDefault="00A713E1" w:rsidP="00BE623C">
            <w:pPr>
              <w:pStyle w:val="TableText"/>
              <w:ind w:right="150"/>
              <w:jc w:val="right"/>
            </w:pPr>
            <w:r w:rsidRPr="00783571">
              <w:t>15,246</w:t>
            </w:r>
          </w:p>
        </w:tc>
        <w:tc>
          <w:tcPr>
            <w:tcW w:w="1311" w:type="dxa"/>
            <w:tcBorders>
              <w:top w:val="single" w:sz="4" w:space="0" w:color="808080" w:themeColor="background1" w:themeShade="80"/>
              <w:bottom w:val="single" w:sz="4" w:space="0" w:color="808080" w:themeColor="background1" w:themeShade="80"/>
            </w:tcBorders>
          </w:tcPr>
          <w:p w14:paraId="6F1E5379" w14:textId="77777777" w:rsidR="00A713E1" w:rsidRPr="00783571" w:rsidRDefault="00A713E1" w:rsidP="00BE623C">
            <w:pPr>
              <w:pStyle w:val="TableText"/>
              <w:ind w:right="150"/>
              <w:jc w:val="right"/>
            </w:pPr>
            <w:r w:rsidRPr="00783571">
              <w:t>22,870</w:t>
            </w:r>
          </w:p>
        </w:tc>
        <w:tc>
          <w:tcPr>
            <w:tcW w:w="1621" w:type="dxa"/>
            <w:vMerge/>
          </w:tcPr>
          <w:p w14:paraId="797529D6" w14:textId="77777777" w:rsidR="00A713E1" w:rsidRPr="00783571" w:rsidRDefault="00A713E1" w:rsidP="00BE623C">
            <w:pPr>
              <w:pStyle w:val="TableText"/>
            </w:pPr>
          </w:p>
        </w:tc>
      </w:tr>
      <w:tr w:rsidR="00A713E1" w:rsidRPr="00783571" w14:paraId="2B3E94CC"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1D8F3CB7" w14:textId="77777777" w:rsidR="00A713E1" w:rsidRPr="00783571" w:rsidRDefault="00A713E1" w:rsidP="00BE623C">
            <w:pPr>
              <w:pStyle w:val="TableTextIndent1"/>
            </w:pPr>
            <w:r w:rsidRPr="00783571">
              <w:t>2013</w:t>
            </w:r>
          </w:p>
        </w:tc>
        <w:tc>
          <w:tcPr>
            <w:tcW w:w="1336" w:type="dxa"/>
            <w:tcBorders>
              <w:top w:val="single" w:sz="4" w:space="0" w:color="808080" w:themeColor="background1" w:themeShade="80"/>
              <w:bottom w:val="single" w:sz="4" w:space="0" w:color="808080" w:themeColor="background1" w:themeShade="80"/>
            </w:tcBorders>
          </w:tcPr>
          <w:p w14:paraId="1B190669" w14:textId="77777777" w:rsidR="00A713E1" w:rsidRPr="00783571" w:rsidDel="00E7211C" w:rsidRDefault="00A713E1" w:rsidP="00BE623C">
            <w:pPr>
              <w:pStyle w:val="TableText"/>
              <w:ind w:right="150"/>
              <w:jc w:val="right"/>
            </w:pPr>
            <w:r w:rsidRPr="00783571">
              <w:t>16,368</w:t>
            </w:r>
          </w:p>
        </w:tc>
        <w:tc>
          <w:tcPr>
            <w:tcW w:w="1410" w:type="dxa"/>
            <w:tcBorders>
              <w:top w:val="single" w:sz="4" w:space="0" w:color="808080" w:themeColor="background1" w:themeShade="80"/>
              <w:bottom w:val="single" w:sz="4" w:space="0" w:color="808080" w:themeColor="background1" w:themeShade="80"/>
            </w:tcBorders>
          </w:tcPr>
          <w:p w14:paraId="2A179A06" w14:textId="77777777" w:rsidR="00A713E1" w:rsidRPr="00783571" w:rsidDel="00E7211C" w:rsidRDefault="00A713E1" w:rsidP="00BE623C">
            <w:pPr>
              <w:pStyle w:val="TableText"/>
              <w:ind w:right="150"/>
              <w:jc w:val="right"/>
            </w:pPr>
            <w:r w:rsidRPr="00783571">
              <w:t>16,281</w:t>
            </w:r>
          </w:p>
        </w:tc>
        <w:tc>
          <w:tcPr>
            <w:tcW w:w="1311" w:type="dxa"/>
            <w:tcBorders>
              <w:top w:val="single" w:sz="4" w:space="0" w:color="808080" w:themeColor="background1" w:themeShade="80"/>
              <w:bottom w:val="single" w:sz="4" w:space="0" w:color="808080" w:themeColor="background1" w:themeShade="80"/>
            </w:tcBorders>
          </w:tcPr>
          <w:p w14:paraId="667CB4A4" w14:textId="77777777" w:rsidR="00A713E1" w:rsidRPr="00783571" w:rsidRDefault="00A713E1" w:rsidP="00BE623C">
            <w:pPr>
              <w:pStyle w:val="TableText"/>
              <w:ind w:right="150"/>
              <w:jc w:val="right"/>
            </w:pPr>
            <w:r w:rsidRPr="00783571">
              <w:t>13,025</w:t>
            </w:r>
          </w:p>
        </w:tc>
        <w:tc>
          <w:tcPr>
            <w:tcW w:w="1311" w:type="dxa"/>
            <w:tcBorders>
              <w:top w:val="single" w:sz="4" w:space="0" w:color="808080" w:themeColor="background1" w:themeShade="80"/>
              <w:bottom w:val="single" w:sz="4" w:space="0" w:color="808080" w:themeColor="background1" w:themeShade="80"/>
            </w:tcBorders>
          </w:tcPr>
          <w:p w14:paraId="592AD6F6" w14:textId="77777777" w:rsidR="00A713E1" w:rsidRPr="00783571" w:rsidRDefault="00A713E1" w:rsidP="00BE623C">
            <w:pPr>
              <w:pStyle w:val="TableText"/>
              <w:ind w:right="150"/>
              <w:jc w:val="right"/>
            </w:pPr>
            <w:r w:rsidRPr="00783571">
              <w:t>19,537</w:t>
            </w:r>
          </w:p>
        </w:tc>
        <w:tc>
          <w:tcPr>
            <w:tcW w:w="1621" w:type="dxa"/>
            <w:vMerge/>
            <w:tcBorders>
              <w:bottom w:val="single" w:sz="4" w:space="0" w:color="808080" w:themeColor="background1" w:themeShade="80"/>
            </w:tcBorders>
          </w:tcPr>
          <w:p w14:paraId="5B857DF9" w14:textId="77777777" w:rsidR="00A713E1" w:rsidRPr="00783571" w:rsidRDefault="00A713E1" w:rsidP="00BE623C">
            <w:pPr>
              <w:pStyle w:val="TableText"/>
            </w:pPr>
          </w:p>
        </w:tc>
      </w:tr>
      <w:tr w:rsidR="00A713E1" w:rsidRPr="00783571" w14:paraId="64C0392D"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1ADF19B3" w14:textId="77777777" w:rsidR="00A713E1" w:rsidRPr="00783571" w:rsidRDefault="00A713E1" w:rsidP="00BE623C">
            <w:pPr>
              <w:pStyle w:val="TableTextIndent1"/>
              <w:ind w:left="0"/>
            </w:pPr>
            <w:r w:rsidRPr="00783571">
              <w:t>HIV prevalence</w:t>
            </w:r>
          </w:p>
        </w:tc>
        <w:tc>
          <w:tcPr>
            <w:tcW w:w="1336" w:type="dxa"/>
            <w:tcBorders>
              <w:top w:val="single" w:sz="4" w:space="0" w:color="808080" w:themeColor="background1" w:themeShade="80"/>
              <w:bottom w:val="single" w:sz="4" w:space="0" w:color="808080" w:themeColor="background1" w:themeShade="80"/>
            </w:tcBorders>
          </w:tcPr>
          <w:p w14:paraId="7BE9955B" w14:textId="77777777" w:rsidR="00A713E1" w:rsidRPr="00783571" w:rsidRDefault="00A713E1" w:rsidP="00BE623C">
            <w:pPr>
              <w:pStyle w:val="TableText"/>
              <w:ind w:right="150"/>
              <w:jc w:val="right"/>
            </w:pPr>
          </w:p>
        </w:tc>
        <w:tc>
          <w:tcPr>
            <w:tcW w:w="1410" w:type="dxa"/>
            <w:tcBorders>
              <w:top w:val="single" w:sz="4" w:space="0" w:color="808080" w:themeColor="background1" w:themeShade="80"/>
              <w:bottom w:val="single" w:sz="4" w:space="0" w:color="808080" w:themeColor="background1" w:themeShade="80"/>
            </w:tcBorders>
          </w:tcPr>
          <w:p w14:paraId="4B13C024" w14:textId="77777777" w:rsidR="00A713E1" w:rsidRPr="00783571" w:rsidRDefault="00A713E1" w:rsidP="00BE623C">
            <w:pPr>
              <w:pStyle w:val="TableText"/>
              <w:ind w:right="150"/>
              <w:jc w:val="right"/>
            </w:pPr>
          </w:p>
        </w:tc>
        <w:tc>
          <w:tcPr>
            <w:tcW w:w="1311" w:type="dxa"/>
            <w:tcBorders>
              <w:top w:val="single" w:sz="4" w:space="0" w:color="808080" w:themeColor="background1" w:themeShade="80"/>
              <w:bottom w:val="single" w:sz="4" w:space="0" w:color="808080" w:themeColor="background1" w:themeShade="80"/>
            </w:tcBorders>
          </w:tcPr>
          <w:p w14:paraId="4FBEF720" w14:textId="77777777" w:rsidR="00A713E1" w:rsidRPr="00783571" w:rsidRDefault="00A713E1" w:rsidP="00BE623C">
            <w:pPr>
              <w:pStyle w:val="TableText"/>
              <w:ind w:right="150"/>
              <w:jc w:val="right"/>
            </w:pPr>
          </w:p>
        </w:tc>
        <w:tc>
          <w:tcPr>
            <w:tcW w:w="1311" w:type="dxa"/>
            <w:tcBorders>
              <w:top w:val="single" w:sz="4" w:space="0" w:color="808080" w:themeColor="background1" w:themeShade="80"/>
              <w:bottom w:val="single" w:sz="4" w:space="0" w:color="808080" w:themeColor="background1" w:themeShade="80"/>
            </w:tcBorders>
          </w:tcPr>
          <w:p w14:paraId="6C1B5C7E" w14:textId="77777777" w:rsidR="00A713E1" w:rsidRPr="00783571" w:rsidRDefault="00A713E1" w:rsidP="00BE623C">
            <w:pPr>
              <w:pStyle w:val="TableText"/>
              <w:ind w:right="150"/>
              <w:jc w:val="right"/>
            </w:pPr>
          </w:p>
        </w:tc>
        <w:tc>
          <w:tcPr>
            <w:tcW w:w="1621" w:type="dxa"/>
            <w:vMerge w:val="restart"/>
            <w:tcBorders>
              <w:top w:val="single" w:sz="4" w:space="0" w:color="808080" w:themeColor="background1" w:themeShade="80"/>
            </w:tcBorders>
          </w:tcPr>
          <w:p w14:paraId="70B82DC1" w14:textId="614B3E51" w:rsidR="00A713E1" w:rsidRPr="00783571" w:rsidRDefault="00A713E1" w:rsidP="00BE623C">
            <w:pPr>
              <w:pStyle w:val="TableText"/>
            </w:pPr>
            <w:r w:rsidRPr="00783571">
              <w:t xml:space="preserve">Expert </w:t>
            </w:r>
            <w:r w:rsidR="00A67CF3" w:rsidRPr="00783571">
              <w:t>opinion</w:t>
            </w:r>
            <w:r w:rsidR="00A67CF3" w:rsidRPr="00783571">
              <w:rPr>
                <w:vertAlign w:val="superscript"/>
              </w:rPr>
              <w:t>c</w:t>
            </w:r>
          </w:p>
        </w:tc>
      </w:tr>
      <w:tr w:rsidR="00A713E1" w:rsidRPr="00783571" w14:paraId="0FC60E89"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3D5E5B20" w14:textId="77777777" w:rsidR="00A713E1" w:rsidRPr="00783571" w:rsidRDefault="00A713E1" w:rsidP="00BE623C">
            <w:pPr>
              <w:pStyle w:val="TableTextIndent1"/>
            </w:pPr>
            <w:r w:rsidRPr="00783571">
              <w:t>2009</w:t>
            </w:r>
          </w:p>
        </w:tc>
        <w:tc>
          <w:tcPr>
            <w:tcW w:w="1336" w:type="dxa"/>
            <w:tcBorders>
              <w:top w:val="single" w:sz="4" w:space="0" w:color="808080" w:themeColor="background1" w:themeShade="80"/>
              <w:bottom w:val="single" w:sz="4" w:space="0" w:color="808080" w:themeColor="background1" w:themeShade="80"/>
            </w:tcBorders>
          </w:tcPr>
          <w:p w14:paraId="67DAA40D" w14:textId="77777777" w:rsidR="00A713E1" w:rsidRPr="00783571" w:rsidRDefault="00A713E1" w:rsidP="00BE623C">
            <w:pPr>
              <w:pStyle w:val="TableText"/>
              <w:ind w:right="150"/>
              <w:jc w:val="right"/>
            </w:pPr>
            <w:r w:rsidRPr="00783571">
              <w:t>1,068,133</w:t>
            </w:r>
          </w:p>
        </w:tc>
        <w:tc>
          <w:tcPr>
            <w:tcW w:w="1410" w:type="dxa"/>
            <w:tcBorders>
              <w:top w:val="single" w:sz="4" w:space="0" w:color="808080" w:themeColor="background1" w:themeShade="80"/>
              <w:bottom w:val="single" w:sz="4" w:space="0" w:color="808080" w:themeColor="background1" w:themeShade="80"/>
            </w:tcBorders>
          </w:tcPr>
          <w:p w14:paraId="49D48739" w14:textId="77777777" w:rsidR="00A713E1" w:rsidRPr="00783571" w:rsidRDefault="00A713E1" w:rsidP="00BE623C">
            <w:pPr>
              <w:pStyle w:val="TableText"/>
              <w:ind w:right="150"/>
              <w:jc w:val="right"/>
            </w:pPr>
            <w:r w:rsidRPr="00783571">
              <w:t>1,006,500</w:t>
            </w:r>
          </w:p>
        </w:tc>
        <w:tc>
          <w:tcPr>
            <w:tcW w:w="1311" w:type="dxa"/>
            <w:tcBorders>
              <w:top w:val="single" w:sz="4" w:space="0" w:color="808080" w:themeColor="background1" w:themeShade="80"/>
              <w:bottom w:val="single" w:sz="4" w:space="0" w:color="808080" w:themeColor="background1" w:themeShade="80"/>
            </w:tcBorders>
          </w:tcPr>
          <w:p w14:paraId="79548340" w14:textId="77777777" w:rsidR="00A713E1" w:rsidRPr="00783571" w:rsidRDefault="00A713E1" w:rsidP="00BE623C">
            <w:pPr>
              <w:pStyle w:val="TableText"/>
              <w:ind w:right="150"/>
              <w:jc w:val="right"/>
            </w:pPr>
            <w:r w:rsidRPr="00783571">
              <w:t>905,850</w:t>
            </w:r>
          </w:p>
        </w:tc>
        <w:tc>
          <w:tcPr>
            <w:tcW w:w="1311" w:type="dxa"/>
            <w:tcBorders>
              <w:top w:val="single" w:sz="4" w:space="0" w:color="808080" w:themeColor="background1" w:themeShade="80"/>
              <w:bottom w:val="single" w:sz="4" w:space="0" w:color="808080" w:themeColor="background1" w:themeShade="80"/>
            </w:tcBorders>
          </w:tcPr>
          <w:p w14:paraId="3A3C1D85" w14:textId="77777777" w:rsidR="00A713E1" w:rsidRPr="00783571" w:rsidRDefault="00A713E1" w:rsidP="00BE623C">
            <w:pPr>
              <w:pStyle w:val="TableText"/>
              <w:ind w:right="150"/>
              <w:jc w:val="right"/>
            </w:pPr>
            <w:r w:rsidRPr="00783571">
              <w:t>1,107,150</w:t>
            </w:r>
          </w:p>
        </w:tc>
        <w:tc>
          <w:tcPr>
            <w:tcW w:w="1621" w:type="dxa"/>
            <w:vMerge/>
          </w:tcPr>
          <w:p w14:paraId="2F45471E" w14:textId="77777777" w:rsidR="00A713E1" w:rsidRPr="00783571" w:rsidRDefault="00A713E1" w:rsidP="00BE623C">
            <w:pPr>
              <w:pStyle w:val="TableText"/>
            </w:pPr>
          </w:p>
        </w:tc>
      </w:tr>
      <w:tr w:rsidR="00A713E1" w:rsidRPr="00783571" w14:paraId="76B095DF" w14:textId="77777777" w:rsidTr="00A713E1">
        <w:trPr>
          <w:cantSplit/>
        </w:trPr>
        <w:tc>
          <w:tcPr>
            <w:tcW w:w="2371" w:type="dxa"/>
            <w:tcBorders>
              <w:top w:val="single" w:sz="4" w:space="0" w:color="808080" w:themeColor="background1" w:themeShade="80"/>
              <w:bottom w:val="single" w:sz="8" w:space="0" w:color="auto"/>
            </w:tcBorders>
          </w:tcPr>
          <w:p w14:paraId="3C285FEF" w14:textId="77777777" w:rsidR="00A713E1" w:rsidRPr="00783571" w:rsidRDefault="00A713E1" w:rsidP="00BE623C">
            <w:pPr>
              <w:pStyle w:val="TableTextIndent1"/>
            </w:pPr>
            <w:r w:rsidRPr="00783571">
              <w:t>2012</w:t>
            </w:r>
          </w:p>
        </w:tc>
        <w:tc>
          <w:tcPr>
            <w:tcW w:w="1336" w:type="dxa"/>
            <w:tcBorders>
              <w:top w:val="single" w:sz="4" w:space="0" w:color="808080" w:themeColor="background1" w:themeShade="80"/>
              <w:bottom w:val="single" w:sz="8" w:space="0" w:color="auto"/>
            </w:tcBorders>
          </w:tcPr>
          <w:p w14:paraId="73F51635" w14:textId="77777777" w:rsidR="00A713E1" w:rsidRPr="00783571" w:rsidRDefault="00A713E1" w:rsidP="00BE623C">
            <w:pPr>
              <w:pStyle w:val="TableText"/>
              <w:ind w:right="150"/>
              <w:jc w:val="right"/>
            </w:pPr>
            <w:r w:rsidRPr="00783571">
              <w:t>1,062,858</w:t>
            </w:r>
          </w:p>
        </w:tc>
        <w:tc>
          <w:tcPr>
            <w:tcW w:w="1410" w:type="dxa"/>
            <w:tcBorders>
              <w:top w:val="single" w:sz="4" w:space="0" w:color="808080" w:themeColor="background1" w:themeShade="80"/>
              <w:bottom w:val="single" w:sz="8" w:space="0" w:color="auto"/>
            </w:tcBorders>
          </w:tcPr>
          <w:p w14:paraId="1C61ECE9" w14:textId="77777777" w:rsidR="00A713E1" w:rsidRPr="00783571" w:rsidRDefault="00A713E1" w:rsidP="00BE623C">
            <w:pPr>
              <w:pStyle w:val="TableText"/>
              <w:ind w:right="150"/>
              <w:jc w:val="right"/>
            </w:pPr>
            <w:r w:rsidRPr="00783571">
              <w:t>1,082,100</w:t>
            </w:r>
          </w:p>
        </w:tc>
        <w:tc>
          <w:tcPr>
            <w:tcW w:w="1311" w:type="dxa"/>
            <w:tcBorders>
              <w:top w:val="single" w:sz="4" w:space="0" w:color="808080" w:themeColor="background1" w:themeShade="80"/>
              <w:bottom w:val="single" w:sz="8" w:space="0" w:color="auto"/>
            </w:tcBorders>
          </w:tcPr>
          <w:p w14:paraId="73CA71A5" w14:textId="77777777" w:rsidR="00A713E1" w:rsidRPr="00783571" w:rsidRDefault="00A713E1" w:rsidP="00BE623C">
            <w:pPr>
              <w:pStyle w:val="TableText"/>
              <w:ind w:right="150"/>
              <w:jc w:val="right"/>
            </w:pPr>
            <w:r w:rsidRPr="00783571">
              <w:t>973,890</w:t>
            </w:r>
          </w:p>
        </w:tc>
        <w:tc>
          <w:tcPr>
            <w:tcW w:w="1311" w:type="dxa"/>
            <w:tcBorders>
              <w:top w:val="single" w:sz="4" w:space="0" w:color="808080" w:themeColor="background1" w:themeShade="80"/>
              <w:bottom w:val="single" w:sz="8" w:space="0" w:color="auto"/>
            </w:tcBorders>
          </w:tcPr>
          <w:p w14:paraId="3876C053" w14:textId="77777777" w:rsidR="00A713E1" w:rsidRPr="00783571" w:rsidRDefault="00A713E1" w:rsidP="00BE623C">
            <w:pPr>
              <w:pStyle w:val="TableText"/>
              <w:ind w:right="150"/>
              <w:jc w:val="right"/>
            </w:pPr>
            <w:r w:rsidRPr="00783571">
              <w:t>1,190,310</w:t>
            </w:r>
          </w:p>
        </w:tc>
        <w:tc>
          <w:tcPr>
            <w:tcW w:w="1621" w:type="dxa"/>
            <w:vMerge/>
            <w:tcBorders>
              <w:bottom w:val="single" w:sz="8" w:space="0" w:color="auto"/>
            </w:tcBorders>
          </w:tcPr>
          <w:p w14:paraId="3EBD13E2" w14:textId="77777777" w:rsidR="00A713E1" w:rsidRPr="00783571" w:rsidRDefault="00A713E1" w:rsidP="00BE623C">
            <w:pPr>
              <w:pStyle w:val="TableText"/>
            </w:pPr>
          </w:p>
        </w:tc>
      </w:tr>
    </w:tbl>
    <w:p w14:paraId="3057E916" w14:textId="1585A65E" w:rsidR="00707335" w:rsidRPr="00783571" w:rsidRDefault="00707335" w:rsidP="00707335">
      <w:pPr>
        <w:pStyle w:val="Tablecont"/>
        <w:ind w:right="0"/>
      </w:pPr>
      <w:r w:rsidRPr="00783571">
        <w:t>(continued)</w:t>
      </w:r>
    </w:p>
    <w:p w14:paraId="3795B27B" w14:textId="183C299F" w:rsidR="00707335" w:rsidRPr="00783571" w:rsidRDefault="00CC1DD7" w:rsidP="00707335">
      <w:pPr>
        <w:pStyle w:val="TableTitlecont"/>
      </w:pPr>
      <w:r w:rsidRPr="00783571">
        <w:t>Table 11.</w:t>
      </w:r>
      <w:r w:rsidR="00707335" w:rsidRPr="00783571">
        <w:t>3.</w:t>
      </w:r>
      <w:r w:rsidR="00707335" w:rsidRPr="00783571">
        <w:tab/>
        <w:t>Model vs. Target Values and Bounds Considered for Outcomes Targeted in Calibration (continued)</w:t>
      </w:r>
    </w:p>
    <w:tbl>
      <w:tblPr>
        <w:tblW w:w="9360" w:type="dxa"/>
        <w:tblBorders>
          <w:top w:val="single" w:sz="12" w:space="0" w:color="auto"/>
          <w:bottom w:val="single" w:sz="12" w:space="0" w:color="auto"/>
        </w:tblBorders>
        <w:tblLayout w:type="fixed"/>
        <w:tblCellMar>
          <w:left w:w="58" w:type="dxa"/>
          <w:right w:w="58" w:type="dxa"/>
        </w:tblCellMar>
        <w:tblLook w:val="04A0" w:firstRow="1" w:lastRow="0" w:firstColumn="1" w:lastColumn="0" w:noHBand="0" w:noVBand="1"/>
      </w:tblPr>
      <w:tblGrid>
        <w:gridCol w:w="2371"/>
        <w:gridCol w:w="1336"/>
        <w:gridCol w:w="1410"/>
        <w:gridCol w:w="1311"/>
        <w:gridCol w:w="1312"/>
        <w:gridCol w:w="1620"/>
      </w:tblGrid>
      <w:tr w:rsidR="00A713E1" w:rsidRPr="00783571" w14:paraId="380F7A79" w14:textId="77777777" w:rsidTr="00A713E1">
        <w:trPr>
          <w:cantSplit/>
          <w:tblHeader/>
        </w:trPr>
        <w:tc>
          <w:tcPr>
            <w:tcW w:w="2371" w:type="dxa"/>
            <w:tcBorders>
              <w:top w:val="single" w:sz="12" w:space="0" w:color="auto"/>
              <w:bottom w:val="single" w:sz="6" w:space="0" w:color="auto"/>
            </w:tcBorders>
            <w:vAlign w:val="bottom"/>
          </w:tcPr>
          <w:p w14:paraId="7484DCC9" w14:textId="77777777" w:rsidR="00A713E1" w:rsidRPr="00783571" w:rsidRDefault="00A713E1" w:rsidP="00BE623C">
            <w:pPr>
              <w:pStyle w:val="TableHeaders"/>
              <w:keepNext/>
            </w:pPr>
            <w:r w:rsidRPr="00783571">
              <w:t>Outcome Name</w:t>
            </w:r>
          </w:p>
        </w:tc>
        <w:tc>
          <w:tcPr>
            <w:tcW w:w="1336" w:type="dxa"/>
            <w:tcBorders>
              <w:top w:val="single" w:sz="12" w:space="0" w:color="auto"/>
              <w:bottom w:val="single" w:sz="6" w:space="0" w:color="auto"/>
            </w:tcBorders>
            <w:vAlign w:val="bottom"/>
          </w:tcPr>
          <w:p w14:paraId="2817115E" w14:textId="77777777" w:rsidR="00A713E1" w:rsidRPr="00783571" w:rsidRDefault="00A713E1" w:rsidP="00BE623C">
            <w:pPr>
              <w:pStyle w:val="TableHeaders"/>
              <w:keepNext/>
            </w:pPr>
            <w:r w:rsidRPr="00783571">
              <w:t>Model Values</w:t>
            </w:r>
          </w:p>
        </w:tc>
        <w:tc>
          <w:tcPr>
            <w:tcW w:w="1410" w:type="dxa"/>
            <w:tcBorders>
              <w:top w:val="single" w:sz="12" w:space="0" w:color="auto"/>
              <w:bottom w:val="single" w:sz="6" w:space="0" w:color="auto"/>
            </w:tcBorders>
            <w:vAlign w:val="bottom"/>
          </w:tcPr>
          <w:p w14:paraId="180210DA" w14:textId="77777777" w:rsidR="00A713E1" w:rsidRPr="00783571" w:rsidRDefault="00A713E1" w:rsidP="00BE623C">
            <w:pPr>
              <w:pStyle w:val="TableHeaders"/>
              <w:keepNext/>
            </w:pPr>
            <w:r w:rsidRPr="00783571">
              <w:t>Target Value</w:t>
            </w:r>
          </w:p>
        </w:tc>
        <w:tc>
          <w:tcPr>
            <w:tcW w:w="1311" w:type="dxa"/>
            <w:tcBorders>
              <w:top w:val="single" w:sz="12" w:space="0" w:color="auto"/>
              <w:bottom w:val="single" w:sz="6" w:space="0" w:color="auto"/>
            </w:tcBorders>
            <w:vAlign w:val="bottom"/>
          </w:tcPr>
          <w:p w14:paraId="224D3C89" w14:textId="77777777" w:rsidR="00A713E1" w:rsidRPr="00783571" w:rsidRDefault="00A713E1" w:rsidP="00BE623C">
            <w:pPr>
              <w:pStyle w:val="TableHeaders"/>
              <w:keepNext/>
            </w:pPr>
            <w:r w:rsidRPr="00783571">
              <w:t>Lower Bound</w:t>
            </w:r>
          </w:p>
        </w:tc>
        <w:tc>
          <w:tcPr>
            <w:tcW w:w="1312" w:type="dxa"/>
            <w:tcBorders>
              <w:top w:val="single" w:sz="12" w:space="0" w:color="auto"/>
              <w:bottom w:val="single" w:sz="6" w:space="0" w:color="auto"/>
            </w:tcBorders>
            <w:vAlign w:val="bottom"/>
          </w:tcPr>
          <w:p w14:paraId="0818163C" w14:textId="77777777" w:rsidR="00A713E1" w:rsidRPr="00783571" w:rsidRDefault="00A713E1" w:rsidP="00BE623C">
            <w:pPr>
              <w:pStyle w:val="TableHeaders"/>
              <w:keepNext/>
            </w:pPr>
            <w:r w:rsidRPr="00783571">
              <w:t>Upper Bound</w:t>
            </w:r>
          </w:p>
        </w:tc>
        <w:tc>
          <w:tcPr>
            <w:tcW w:w="1620" w:type="dxa"/>
            <w:tcBorders>
              <w:top w:val="single" w:sz="12" w:space="0" w:color="auto"/>
              <w:bottom w:val="single" w:sz="6" w:space="0" w:color="auto"/>
            </w:tcBorders>
            <w:vAlign w:val="bottom"/>
          </w:tcPr>
          <w:p w14:paraId="1F19B3B2" w14:textId="77777777" w:rsidR="00A713E1" w:rsidRPr="00783571" w:rsidRDefault="00A713E1" w:rsidP="00BE623C">
            <w:pPr>
              <w:pStyle w:val="TableHeaders"/>
              <w:keepNext/>
            </w:pPr>
            <w:r w:rsidRPr="00783571">
              <w:t>Source for Target Values and Bounds</w:t>
            </w:r>
          </w:p>
        </w:tc>
      </w:tr>
      <w:tr w:rsidR="00A713E1" w:rsidRPr="00783571" w14:paraId="5E7B5733" w14:textId="77777777" w:rsidTr="00A713E1">
        <w:trPr>
          <w:cantSplit/>
        </w:trPr>
        <w:tc>
          <w:tcPr>
            <w:tcW w:w="7740" w:type="dxa"/>
            <w:gridSpan w:val="5"/>
            <w:tcBorders>
              <w:top w:val="single" w:sz="4" w:space="0" w:color="808080" w:themeColor="background1" w:themeShade="80"/>
              <w:bottom w:val="single" w:sz="4" w:space="0" w:color="808080" w:themeColor="background1" w:themeShade="80"/>
            </w:tcBorders>
          </w:tcPr>
          <w:p w14:paraId="6F9CEBD1" w14:textId="77777777" w:rsidR="00A713E1" w:rsidRPr="00783571" w:rsidRDefault="00A713E1" w:rsidP="00BE623C">
            <w:pPr>
              <w:pStyle w:val="TableText"/>
              <w:ind w:right="150"/>
            </w:pPr>
            <w:r w:rsidRPr="00783571">
              <w:t>Distribution of HIV-infected population across continuum-of-care in 2009</w:t>
            </w:r>
          </w:p>
        </w:tc>
        <w:tc>
          <w:tcPr>
            <w:tcW w:w="1620" w:type="dxa"/>
            <w:vMerge w:val="restart"/>
            <w:tcBorders>
              <w:top w:val="single" w:sz="4" w:space="0" w:color="808080" w:themeColor="background1" w:themeShade="80"/>
              <w:bottom w:val="single" w:sz="4" w:space="0" w:color="808080" w:themeColor="background1" w:themeShade="80"/>
            </w:tcBorders>
          </w:tcPr>
          <w:p w14:paraId="720FAD61" w14:textId="5B6A6992" w:rsidR="00A713E1" w:rsidRPr="00783571" w:rsidRDefault="00A713E1" w:rsidP="00BE623C">
            <w:pPr>
              <w:pStyle w:val="TableText"/>
            </w:pPr>
            <w:r w:rsidRPr="00783571">
              <w:t xml:space="preserve">Expert </w:t>
            </w:r>
            <w:r w:rsidR="00A67CF3" w:rsidRPr="00783571">
              <w:t>opinion</w:t>
            </w:r>
            <w:r w:rsidR="00A67CF3" w:rsidRPr="00783571">
              <w:rPr>
                <w:vertAlign w:val="superscript"/>
              </w:rPr>
              <w:t>c</w:t>
            </w:r>
          </w:p>
        </w:tc>
      </w:tr>
      <w:tr w:rsidR="00A713E1" w:rsidRPr="00783571" w14:paraId="024805AA"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3CCD2E32" w14:textId="77777777" w:rsidR="00A713E1" w:rsidRPr="00783571" w:rsidRDefault="00A713E1" w:rsidP="00BE623C">
            <w:pPr>
              <w:pStyle w:val="TableTextIndent1"/>
            </w:pPr>
            <w:r w:rsidRPr="00783571">
              <w:t>Diagnosed</w:t>
            </w:r>
          </w:p>
        </w:tc>
        <w:tc>
          <w:tcPr>
            <w:tcW w:w="1336" w:type="dxa"/>
            <w:tcBorders>
              <w:top w:val="single" w:sz="4" w:space="0" w:color="808080" w:themeColor="background1" w:themeShade="80"/>
              <w:bottom w:val="single" w:sz="4" w:space="0" w:color="808080" w:themeColor="background1" w:themeShade="80"/>
            </w:tcBorders>
          </w:tcPr>
          <w:p w14:paraId="267218DF" w14:textId="77777777" w:rsidR="00A713E1" w:rsidRPr="00783571" w:rsidRDefault="00A713E1" w:rsidP="00BE623C">
            <w:pPr>
              <w:pStyle w:val="TableText"/>
              <w:ind w:right="150"/>
              <w:jc w:val="right"/>
            </w:pPr>
            <w:r w:rsidRPr="00783571">
              <w:t>80%</w:t>
            </w:r>
          </w:p>
        </w:tc>
        <w:tc>
          <w:tcPr>
            <w:tcW w:w="1410" w:type="dxa"/>
            <w:tcBorders>
              <w:top w:val="single" w:sz="4" w:space="0" w:color="808080" w:themeColor="background1" w:themeShade="80"/>
              <w:bottom w:val="single" w:sz="4" w:space="0" w:color="808080" w:themeColor="background1" w:themeShade="80"/>
            </w:tcBorders>
          </w:tcPr>
          <w:p w14:paraId="0230DB49" w14:textId="77777777" w:rsidR="00A713E1" w:rsidRPr="00783571" w:rsidRDefault="00A713E1" w:rsidP="00BE623C">
            <w:pPr>
              <w:pStyle w:val="TableText"/>
              <w:ind w:right="150"/>
              <w:jc w:val="right"/>
            </w:pPr>
            <w:r w:rsidRPr="00783571">
              <w:t>81%</w:t>
            </w:r>
          </w:p>
        </w:tc>
        <w:tc>
          <w:tcPr>
            <w:tcW w:w="1311" w:type="dxa"/>
            <w:tcBorders>
              <w:top w:val="single" w:sz="4" w:space="0" w:color="808080" w:themeColor="background1" w:themeShade="80"/>
              <w:bottom w:val="single" w:sz="4" w:space="0" w:color="808080" w:themeColor="background1" w:themeShade="80"/>
            </w:tcBorders>
          </w:tcPr>
          <w:p w14:paraId="275942CF" w14:textId="77777777" w:rsidR="00A713E1" w:rsidRPr="00783571" w:rsidRDefault="00A713E1" w:rsidP="00BE623C">
            <w:pPr>
              <w:pStyle w:val="TableText"/>
              <w:ind w:right="150"/>
              <w:jc w:val="right"/>
            </w:pPr>
            <w:r w:rsidRPr="00783571">
              <w:t>79%</w:t>
            </w:r>
          </w:p>
        </w:tc>
        <w:tc>
          <w:tcPr>
            <w:tcW w:w="1312" w:type="dxa"/>
            <w:tcBorders>
              <w:top w:val="single" w:sz="4" w:space="0" w:color="808080" w:themeColor="background1" w:themeShade="80"/>
              <w:bottom w:val="single" w:sz="4" w:space="0" w:color="808080" w:themeColor="background1" w:themeShade="80"/>
            </w:tcBorders>
          </w:tcPr>
          <w:p w14:paraId="2664B706" w14:textId="77777777" w:rsidR="00A713E1" w:rsidRPr="00783571" w:rsidRDefault="00A713E1" w:rsidP="00BE623C">
            <w:pPr>
              <w:pStyle w:val="TableText"/>
              <w:ind w:right="150"/>
              <w:jc w:val="right"/>
            </w:pPr>
            <w:r w:rsidRPr="00783571">
              <w:t>83%</w:t>
            </w:r>
          </w:p>
        </w:tc>
        <w:tc>
          <w:tcPr>
            <w:tcW w:w="1620" w:type="dxa"/>
            <w:vMerge/>
            <w:tcBorders>
              <w:top w:val="single" w:sz="4" w:space="0" w:color="808080" w:themeColor="background1" w:themeShade="80"/>
              <w:bottom w:val="single" w:sz="4" w:space="0" w:color="808080" w:themeColor="background1" w:themeShade="80"/>
            </w:tcBorders>
          </w:tcPr>
          <w:p w14:paraId="00CE3807" w14:textId="77777777" w:rsidR="00A713E1" w:rsidRPr="00783571" w:rsidRDefault="00A713E1" w:rsidP="00BE623C">
            <w:pPr>
              <w:pStyle w:val="TableText"/>
            </w:pPr>
          </w:p>
        </w:tc>
      </w:tr>
      <w:tr w:rsidR="00A713E1" w:rsidRPr="00783571" w14:paraId="778BE269"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200E092D" w14:textId="77777777" w:rsidR="00A713E1" w:rsidRPr="00783571" w:rsidRDefault="00A713E1" w:rsidP="00BE623C">
            <w:pPr>
              <w:pStyle w:val="TableTextIndent1"/>
            </w:pPr>
            <w:r w:rsidRPr="00783571">
              <w:t>Viral load suppressed (among diagnosed)</w:t>
            </w:r>
          </w:p>
        </w:tc>
        <w:tc>
          <w:tcPr>
            <w:tcW w:w="1336" w:type="dxa"/>
            <w:tcBorders>
              <w:top w:val="single" w:sz="4" w:space="0" w:color="808080" w:themeColor="background1" w:themeShade="80"/>
              <w:bottom w:val="single" w:sz="4" w:space="0" w:color="808080" w:themeColor="background1" w:themeShade="80"/>
            </w:tcBorders>
          </w:tcPr>
          <w:p w14:paraId="5582CE16" w14:textId="77777777" w:rsidR="00A713E1" w:rsidRPr="00783571" w:rsidRDefault="00A713E1" w:rsidP="00BE623C">
            <w:pPr>
              <w:pStyle w:val="TableText"/>
              <w:ind w:right="150"/>
              <w:jc w:val="right"/>
            </w:pPr>
            <w:r w:rsidRPr="00783571">
              <w:t>39%</w:t>
            </w:r>
          </w:p>
        </w:tc>
        <w:tc>
          <w:tcPr>
            <w:tcW w:w="1410" w:type="dxa"/>
            <w:tcBorders>
              <w:top w:val="single" w:sz="4" w:space="0" w:color="808080" w:themeColor="background1" w:themeShade="80"/>
              <w:bottom w:val="single" w:sz="4" w:space="0" w:color="808080" w:themeColor="background1" w:themeShade="80"/>
            </w:tcBorders>
          </w:tcPr>
          <w:p w14:paraId="1628FF2B" w14:textId="77777777" w:rsidR="00A713E1" w:rsidRPr="00783571" w:rsidRDefault="00A713E1" w:rsidP="00BE623C">
            <w:pPr>
              <w:pStyle w:val="TableText"/>
              <w:ind w:right="150"/>
              <w:jc w:val="right"/>
            </w:pPr>
            <w:r w:rsidRPr="00783571">
              <w:t>36%</w:t>
            </w:r>
          </w:p>
        </w:tc>
        <w:tc>
          <w:tcPr>
            <w:tcW w:w="1311" w:type="dxa"/>
            <w:tcBorders>
              <w:top w:val="single" w:sz="4" w:space="0" w:color="808080" w:themeColor="background1" w:themeShade="80"/>
              <w:bottom w:val="single" w:sz="4" w:space="0" w:color="808080" w:themeColor="background1" w:themeShade="80"/>
            </w:tcBorders>
          </w:tcPr>
          <w:p w14:paraId="3DD1D642" w14:textId="77777777" w:rsidR="00A713E1" w:rsidRPr="00783571" w:rsidRDefault="00A713E1" w:rsidP="00BE623C">
            <w:pPr>
              <w:pStyle w:val="TableText"/>
              <w:ind w:right="150"/>
              <w:jc w:val="right"/>
            </w:pPr>
            <w:r w:rsidRPr="00783571">
              <w:t>29%</w:t>
            </w:r>
          </w:p>
        </w:tc>
        <w:tc>
          <w:tcPr>
            <w:tcW w:w="1312" w:type="dxa"/>
            <w:tcBorders>
              <w:top w:val="single" w:sz="4" w:space="0" w:color="808080" w:themeColor="background1" w:themeShade="80"/>
              <w:bottom w:val="single" w:sz="4" w:space="0" w:color="808080" w:themeColor="background1" w:themeShade="80"/>
            </w:tcBorders>
          </w:tcPr>
          <w:p w14:paraId="36158050" w14:textId="77777777" w:rsidR="00A713E1" w:rsidRPr="00783571" w:rsidRDefault="00A713E1" w:rsidP="00BE623C">
            <w:pPr>
              <w:pStyle w:val="TableText"/>
              <w:ind w:right="150"/>
              <w:jc w:val="right"/>
            </w:pPr>
            <w:r w:rsidRPr="00783571">
              <w:t>43%</w:t>
            </w:r>
          </w:p>
        </w:tc>
        <w:tc>
          <w:tcPr>
            <w:tcW w:w="1620" w:type="dxa"/>
            <w:vMerge/>
            <w:tcBorders>
              <w:top w:val="single" w:sz="4" w:space="0" w:color="808080" w:themeColor="background1" w:themeShade="80"/>
              <w:bottom w:val="single" w:sz="4" w:space="0" w:color="808080" w:themeColor="background1" w:themeShade="80"/>
            </w:tcBorders>
          </w:tcPr>
          <w:p w14:paraId="71E84AD6" w14:textId="77777777" w:rsidR="00A713E1" w:rsidRPr="00783571" w:rsidRDefault="00A713E1" w:rsidP="00BE623C">
            <w:pPr>
              <w:pStyle w:val="TableText"/>
            </w:pPr>
          </w:p>
        </w:tc>
      </w:tr>
      <w:tr w:rsidR="00A713E1" w:rsidRPr="00783571" w14:paraId="7CA3339D" w14:textId="77777777" w:rsidTr="00A713E1">
        <w:trPr>
          <w:cantSplit/>
        </w:trPr>
        <w:tc>
          <w:tcPr>
            <w:tcW w:w="7740" w:type="dxa"/>
            <w:gridSpan w:val="5"/>
            <w:tcBorders>
              <w:top w:val="single" w:sz="4" w:space="0" w:color="808080" w:themeColor="background1" w:themeShade="80"/>
              <w:bottom w:val="single" w:sz="4" w:space="0" w:color="808080" w:themeColor="background1" w:themeShade="80"/>
            </w:tcBorders>
          </w:tcPr>
          <w:p w14:paraId="44DA4062" w14:textId="77777777" w:rsidR="00A713E1" w:rsidRPr="00783571" w:rsidRDefault="00A713E1" w:rsidP="00BE623C">
            <w:pPr>
              <w:pStyle w:val="TableText"/>
            </w:pPr>
            <w:r w:rsidRPr="00783571">
              <w:t>Distribution of HIV-infected population across continuum-of-care in 2012</w:t>
            </w:r>
          </w:p>
        </w:tc>
        <w:tc>
          <w:tcPr>
            <w:tcW w:w="1620" w:type="dxa"/>
            <w:vMerge w:val="restart"/>
            <w:tcBorders>
              <w:top w:val="single" w:sz="4" w:space="0" w:color="808080" w:themeColor="background1" w:themeShade="80"/>
            </w:tcBorders>
          </w:tcPr>
          <w:p w14:paraId="03E4D3EF" w14:textId="77777777" w:rsidR="00A713E1" w:rsidRPr="00783571" w:rsidRDefault="00A713E1" w:rsidP="00BE623C">
            <w:pPr>
              <w:pStyle w:val="TableText"/>
            </w:pPr>
            <w:r w:rsidRPr="00783571">
              <w:t>CDC (2015)</w:t>
            </w:r>
          </w:p>
        </w:tc>
      </w:tr>
      <w:tr w:rsidR="00A713E1" w:rsidRPr="00783571" w14:paraId="2BA82523"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1C000C4B" w14:textId="77777777" w:rsidR="00A713E1" w:rsidRPr="00783571" w:rsidRDefault="00A713E1" w:rsidP="00BE623C">
            <w:pPr>
              <w:pStyle w:val="TableTextIndent1"/>
            </w:pPr>
            <w:r w:rsidRPr="00783571">
              <w:t>Diagnosed</w:t>
            </w:r>
          </w:p>
        </w:tc>
        <w:tc>
          <w:tcPr>
            <w:tcW w:w="1336" w:type="dxa"/>
            <w:tcBorders>
              <w:top w:val="single" w:sz="4" w:space="0" w:color="808080" w:themeColor="background1" w:themeShade="80"/>
              <w:bottom w:val="single" w:sz="4" w:space="0" w:color="808080" w:themeColor="background1" w:themeShade="80"/>
            </w:tcBorders>
          </w:tcPr>
          <w:p w14:paraId="48E44F45" w14:textId="77777777" w:rsidR="00A713E1" w:rsidRPr="00783571" w:rsidRDefault="00A713E1" w:rsidP="00BE623C">
            <w:pPr>
              <w:pStyle w:val="TableText"/>
              <w:ind w:right="150"/>
              <w:jc w:val="right"/>
            </w:pPr>
            <w:r w:rsidRPr="00783571">
              <w:t>85%</w:t>
            </w:r>
          </w:p>
        </w:tc>
        <w:tc>
          <w:tcPr>
            <w:tcW w:w="1410" w:type="dxa"/>
            <w:tcBorders>
              <w:top w:val="single" w:sz="4" w:space="0" w:color="808080" w:themeColor="background1" w:themeShade="80"/>
              <w:bottom w:val="single" w:sz="4" w:space="0" w:color="808080" w:themeColor="background1" w:themeShade="80"/>
            </w:tcBorders>
          </w:tcPr>
          <w:p w14:paraId="79C1E27B" w14:textId="77777777" w:rsidR="00A713E1" w:rsidRPr="00783571" w:rsidRDefault="00A713E1" w:rsidP="00BE623C">
            <w:pPr>
              <w:pStyle w:val="TableText"/>
              <w:ind w:right="150"/>
              <w:jc w:val="right"/>
            </w:pPr>
            <w:r w:rsidRPr="00783571">
              <w:t>83%</w:t>
            </w:r>
          </w:p>
        </w:tc>
        <w:tc>
          <w:tcPr>
            <w:tcW w:w="1311" w:type="dxa"/>
            <w:tcBorders>
              <w:top w:val="single" w:sz="4" w:space="0" w:color="808080" w:themeColor="background1" w:themeShade="80"/>
              <w:bottom w:val="single" w:sz="4" w:space="0" w:color="808080" w:themeColor="background1" w:themeShade="80"/>
            </w:tcBorders>
          </w:tcPr>
          <w:p w14:paraId="1E1A6F6A" w14:textId="77777777" w:rsidR="00A713E1" w:rsidRPr="00783571" w:rsidRDefault="00A713E1" w:rsidP="00BE623C">
            <w:pPr>
              <w:pStyle w:val="TableText"/>
              <w:ind w:right="150"/>
              <w:jc w:val="right"/>
            </w:pPr>
            <w:r w:rsidRPr="00783571">
              <w:t>81%</w:t>
            </w:r>
          </w:p>
        </w:tc>
        <w:tc>
          <w:tcPr>
            <w:tcW w:w="1312" w:type="dxa"/>
            <w:tcBorders>
              <w:top w:val="single" w:sz="4" w:space="0" w:color="808080" w:themeColor="background1" w:themeShade="80"/>
              <w:bottom w:val="single" w:sz="4" w:space="0" w:color="808080" w:themeColor="background1" w:themeShade="80"/>
            </w:tcBorders>
          </w:tcPr>
          <w:p w14:paraId="7730EA2E" w14:textId="77777777" w:rsidR="00A713E1" w:rsidRPr="00783571" w:rsidRDefault="00A713E1" w:rsidP="00BE623C">
            <w:pPr>
              <w:pStyle w:val="TableText"/>
              <w:ind w:right="150"/>
              <w:jc w:val="right"/>
            </w:pPr>
            <w:r w:rsidRPr="00783571">
              <w:t>85%</w:t>
            </w:r>
          </w:p>
        </w:tc>
        <w:tc>
          <w:tcPr>
            <w:tcW w:w="1620" w:type="dxa"/>
            <w:vMerge/>
          </w:tcPr>
          <w:p w14:paraId="2A94DB27" w14:textId="77777777" w:rsidR="00A713E1" w:rsidRPr="00783571" w:rsidRDefault="00A713E1" w:rsidP="00BE623C">
            <w:pPr>
              <w:pStyle w:val="TableText"/>
            </w:pPr>
          </w:p>
        </w:tc>
      </w:tr>
      <w:tr w:rsidR="00A713E1" w:rsidRPr="00783571" w14:paraId="21A6B08C"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6CA56B81" w14:textId="77777777" w:rsidR="00A713E1" w:rsidRPr="00783571" w:rsidRDefault="00A713E1" w:rsidP="00BE623C">
            <w:pPr>
              <w:pStyle w:val="TableTextIndent1"/>
            </w:pPr>
            <w:r w:rsidRPr="00783571">
              <w:t>Viral load suppressed (among diagnosed)</w:t>
            </w:r>
          </w:p>
        </w:tc>
        <w:tc>
          <w:tcPr>
            <w:tcW w:w="1336" w:type="dxa"/>
            <w:tcBorders>
              <w:top w:val="single" w:sz="4" w:space="0" w:color="808080" w:themeColor="background1" w:themeShade="80"/>
              <w:bottom w:val="single" w:sz="4" w:space="0" w:color="808080" w:themeColor="background1" w:themeShade="80"/>
            </w:tcBorders>
          </w:tcPr>
          <w:p w14:paraId="211A321F" w14:textId="77777777" w:rsidR="00A713E1" w:rsidRPr="00783571" w:rsidRDefault="00A713E1" w:rsidP="00BE623C">
            <w:pPr>
              <w:pStyle w:val="TableText"/>
              <w:ind w:right="150"/>
              <w:jc w:val="right"/>
            </w:pPr>
            <w:r w:rsidRPr="00783571">
              <w:t>51%</w:t>
            </w:r>
          </w:p>
        </w:tc>
        <w:tc>
          <w:tcPr>
            <w:tcW w:w="1410" w:type="dxa"/>
            <w:tcBorders>
              <w:top w:val="single" w:sz="4" w:space="0" w:color="808080" w:themeColor="background1" w:themeShade="80"/>
              <w:bottom w:val="single" w:sz="4" w:space="0" w:color="808080" w:themeColor="background1" w:themeShade="80"/>
            </w:tcBorders>
          </w:tcPr>
          <w:p w14:paraId="0501854A" w14:textId="77777777" w:rsidR="00A713E1" w:rsidRPr="00783571" w:rsidRDefault="00A713E1" w:rsidP="00BE623C">
            <w:pPr>
              <w:pStyle w:val="TableText"/>
              <w:ind w:right="150"/>
              <w:jc w:val="right"/>
            </w:pPr>
            <w:r w:rsidRPr="00783571">
              <w:t>50%</w:t>
            </w:r>
          </w:p>
        </w:tc>
        <w:tc>
          <w:tcPr>
            <w:tcW w:w="1311" w:type="dxa"/>
            <w:tcBorders>
              <w:top w:val="single" w:sz="4" w:space="0" w:color="808080" w:themeColor="background1" w:themeShade="80"/>
              <w:bottom w:val="single" w:sz="4" w:space="0" w:color="808080" w:themeColor="background1" w:themeShade="80"/>
            </w:tcBorders>
          </w:tcPr>
          <w:p w14:paraId="266319F0" w14:textId="77777777" w:rsidR="00A713E1" w:rsidRPr="00783571" w:rsidRDefault="00A713E1" w:rsidP="00BE623C">
            <w:pPr>
              <w:pStyle w:val="TableText"/>
              <w:ind w:right="150"/>
              <w:jc w:val="right"/>
            </w:pPr>
            <w:r w:rsidRPr="00783571">
              <w:t>40%</w:t>
            </w:r>
          </w:p>
        </w:tc>
        <w:tc>
          <w:tcPr>
            <w:tcW w:w="1312" w:type="dxa"/>
            <w:tcBorders>
              <w:top w:val="single" w:sz="4" w:space="0" w:color="808080" w:themeColor="background1" w:themeShade="80"/>
              <w:bottom w:val="single" w:sz="4" w:space="0" w:color="808080" w:themeColor="background1" w:themeShade="80"/>
            </w:tcBorders>
          </w:tcPr>
          <w:p w14:paraId="42E6CC8D" w14:textId="77777777" w:rsidR="00A713E1" w:rsidRPr="00783571" w:rsidRDefault="00A713E1" w:rsidP="00BE623C">
            <w:pPr>
              <w:pStyle w:val="TableText"/>
              <w:ind w:right="150"/>
              <w:jc w:val="right"/>
            </w:pPr>
            <w:r w:rsidRPr="00783571">
              <w:t>60%</w:t>
            </w:r>
          </w:p>
        </w:tc>
        <w:tc>
          <w:tcPr>
            <w:tcW w:w="1620" w:type="dxa"/>
            <w:vMerge/>
            <w:tcBorders>
              <w:bottom w:val="single" w:sz="4" w:space="0" w:color="808080" w:themeColor="background1" w:themeShade="80"/>
            </w:tcBorders>
          </w:tcPr>
          <w:p w14:paraId="2B421830" w14:textId="77777777" w:rsidR="00A713E1" w:rsidRPr="00783571" w:rsidRDefault="00A713E1" w:rsidP="00BE623C">
            <w:pPr>
              <w:pStyle w:val="TableText"/>
            </w:pPr>
          </w:p>
        </w:tc>
      </w:tr>
      <w:tr w:rsidR="00A713E1" w:rsidRPr="00783571" w14:paraId="55FD314B" w14:textId="77777777" w:rsidTr="00A713E1">
        <w:trPr>
          <w:cantSplit/>
        </w:trPr>
        <w:tc>
          <w:tcPr>
            <w:tcW w:w="7740" w:type="dxa"/>
            <w:gridSpan w:val="5"/>
            <w:tcBorders>
              <w:top w:val="single" w:sz="4" w:space="0" w:color="808080" w:themeColor="background1" w:themeShade="80"/>
              <w:bottom w:val="single" w:sz="4" w:space="0" w:color="808080" w:themeColor="background1" w:themeShade="80"/>
            </w:tcBorders>
          </w:tcPr>
          <w:p w14:paraId="12CFACCD" w14:textId="77777777" w:rsidR="00A713E1" w:rsidRPr="00783571" w:rsidRDefault="00A713E1" w:rsidP="00BE623C">
            <w:pPr>
              <w:pStyle w:val="TableText"/>
              <w:ind w:right="150"/>
            </w:pPr>
            <w:r w:rsidRPr="00783571">
              <w:t>Estimated number of diagnoses of HIV infection in the United States in 2013</w:t>
            </w:r>
          </w:p>
        </w:tc>
        <w:tc>
          <w:tcPr>
            <w:tcW w:w="1620" w:type="dxa"/>
            <w:vMerge w:val="restart"/>
            <w:tcBorders>
              <w:top w:val="single" w:sz="4" w:space="0" w:color="808080" w:themeColor="background1" w:themeShade="80"/>
            </w:tcBorders>
          </w:tcPr>
          <w:p w14:paraId="4424E1F4" w14:textId="77777777" w:rsidR="00A713E1" w:rsidRPr="00783571" w:rsidRDefault="00A713E1" w:rsidP="00BE623C">
            <w:pPr>
              <w:pStyle w:val="TableText"/>
            </w:pPr>
            <w:r w:rsidRPr="00783571">
              <w:t>CDC (2014)</w:t>
            </w:r>
          </w:p>
        </w:tc>
      </w:tr>
      <w:tr w:rsidR="00A713E1" w:rsidRPr="00783571" w14:paraId="6068DC6C"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6D58FA69" w14:textId="77777777" w:rsidR="00A713E1" w:rsidRPr="00783571" w:rsidRDefault="00A713E1" w:rsidP="00BE623C">
            <w:pPr>
              <w:pStyle w:val="TableTextIndent1"/>
            </w:pPr>
            <w:r w:rsidRPr="00783571">
              <w:t>HET male</w:t>
            </w:r>
          </w:p>
        </w:tc>
        <w:tc>
          <w:tcPr>
            <w:tcW w:w="1336" w:type="dxa"/>
            <w:tcBorders>
              <w:top w:val="single" w:sz="4" w:space="0" w:color="808080" w:themeColor="background1" w:themeShade="80"/>
              <w:bottom w:val="single" w:sz="4" w:space="0" w:color="808080" w:themeColor="background1" w:themeShade="80"/>
            </w:tcBorders>
          </w:tcPr>
          <w:p w14:paraId="098B8B21" w14:textId="77777777" w:rsidR="00A713E1" w:rsidRPr="00783571" w:rsidRDefault="00A713E1" w:rsidP="00BE623C">
            <w:pPr>
              <w:pStyle w:val="TableText"/>
              <w:ind w:right="150"/>
              <w:jc w:val="right"/>
            </w:pPr>
            <w:r w:rsidRPr="00783571">
              <w:t>3,190</w:t>
            </w:r>
          </w:p>
        </w:tc>
        <w:tc>
          <w:tcPr>
            <w:tcW w:w="1410" w:type="dxa"/>
            <w:tcBorders>
              <w:top w:val="single" w:sz="4" w:space="0" w:color="808080" w:themeColor="background1" w:themeShade="80"/>
              <w:bottom w:val="single" w:sz="4" w:space="0" w:color="808080" w:themeColor="background1" w:themeShade="80"/>
            </w:tcBorders>
          </w:tcPr>
          <w:p w14:paraId="49652391" w14:textId="77777777" w:rsidR="00A713E1" w:rsidRPr="00783571" w:rsidRDefault="00A713E1" w:rsidP="00BE623C">
            <w:pPr>
              <w:pStyle w:val="TableText"/>
              <w:ind w:right="150"/>
              <w:jc w:val="right"/>
            </w:pPr>
            <w:r w:rsidRPr="00783571">
              <w:t>3,545</w:t>
            </w:r>
          </w:p>
        </w:tc>
        <w:tc>
          <w:tcPr>
            <w:tcW w:w="1311" w:type="dxa"/>
            <w:tcBorders>
              <w:top w:val="single" w:sz="4" w:space="0" w:color="808080" w:themeColor="background1" w:themeShade="80"/>
              <w:bottom w:val="single" w:sz="4" w:space="0" w:color="808080" w:themeColor="background1" w:themeShade="80"/>
            </w:tcBorders>
          </w:tcPr>
          <w:p w14:paraId="48123C74" w14:textId="77777777" w:rsidR="00A713E1" w:rsidRPr="00783571" w:rsidRDefault="00A713E1" w:rsidP="00BE623C">
            <w:pPr>
              <w:pStyle w:val="TableText"/>
              <w:ind w:right="150"/>
              <w:jc w:val="right"/>
            </w:pPr>
            <w:r w:rsidRPr="00783571">
              <w:t>2,836</w:t>
            </w:r>
          </w:p>
        </w:tc>
        <w:tc>
          <w:tcPr>
            <w:tcW w:w="1312" w:type="dxa"/>
            <w:tcBorders>
              <w:top w:val="single" w:sz="4" w:space="0" w:color="808080" w:themeColor="background1" w:themeShade="80"/>
              <w:bottom w:val="single" w:sz="4" w:space="0" w:color="808080" w:themeColor="background1" w:themeShade="80"/>
            </w:tcBorders>
          </w:tcPr>
          <w:p w14:paraId="7EA6129E" w14:textId="77777777" w:rsidR="00A713E1" w:rsidRPr="00783571" w:rsidRDefault="00A713E1" w:rsidP="00BE623C">
            <w:pPr>
              <w:pStyle w:val="TableText"/>
              <w:ind w:right="150"/>
              <w:jc w:val="right"/>
            </w:pPr>
            <w:r w:rsidRPr="00783571">
              <w:t>4,254</w:t>
            </w:r>
          </w:p>
        </w:tc>
        <w:tc>
          <w:tcPr>
            <w:tcW w:w="1620" w:type="dxa"/>
            <w:vMerge/>
          </w:tcPr>
          <w:p w14:paraId="4425277E" w14:textId="77777777" w:rsidR="00A713E1" w:rsidRPr="00783571" w:rsidRDefault="00A713E1" w:rsidP="00BE623C">
            <w:pPr>
              <w:pStyle w:val="TableText"/>
            </w:pPr>
          </w:p>
        </w:tc>
      </w:tr>
      <w:tr w:rsidR="00A713E1" w:rsidRPr="00783571" w14:paraId="34E1ADBE"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31DCF84C" w14:textId="77777777" w:rsidR="00A713E1" w:rsidRPr="00783571" w:rsidRDefault="00A713E1" w:rsidP="00BE623C">
            <w:pPr>
              <w:pStyle w:val="TableTextIndent1"/>
            </w:pPr>
            <w:r w:rsidRPr="00783571">
              <w:t>HET female</w:t>
            </w:r>
          </w:p>
        </w:tc>
        <w:tc>
          <w:tcPr>
            <w:tcW w:w="1336" w:type="dxa"/>
            <w:tcBorders>
              <w:top w:val="single" w:sz="4" w:space="0" w:color="808080" w:themeColor="background1" w:themeShade="80"/>
              <w:bottom w:val="single" w:sz="4" w:space="0" w:color="808080" w:themeColor="background1" w:themeShade="80"/>
            </w:tcBorders>
          </w:tcPr>
          <w:p w14:paraId="052E4604" w14:textId="77777777" w:rsidR="00A713E1" w:rsidRPr="00783571" w:rsidDel="00190ED3" w:rsidRDefault="00A713E1" w:rsidP="00BE623C">
            <w:pPr>
              <w:pStyle w:val="TableText"/>
              <w:ind w:right="150"/>
              <w:jc w:val="right"/>
            </w:pPr>
            <w:r w:rsidRPr="00783571">
              <w:t>7,267</w:t>
            </w:r>
          </w:p>
        </w:tc>
        <w:tc>
          <w:tcPr>
            <w:tcW w:w="1410" w:type="dxa"/>
            <w:tcBorders>
              <w:top w:val="single" w:sz="4" w:space="0" w:color="808080" w:themeColor="background1" w:themeShade="80"/>
              <w:bottom w:val="single" w:sz="4" w:space="0" w:color="808080" w:themeColor="background1" w:themeShade="80"/>
            </w:tcBorders>
          </w:tcPr>
          <w:p w14:paraId="5B40C917" w14:textId="77777777" w:rsidR="00A713E1" w:rsidRPr="00783571" w:rsidDel="00190ED3" w:rsidRDefault="00A713E1" w:rsidP="00BE623C">
            <w:pPr>
              <w:pStyle w:val="TableText"/>
              <w:ind w:right="150"/>
              <w:jc w:val="right"/>
            </w:pPr>
            <w:r w:rsidRPr="00783571">
              <w:t>7,213</w:t>
            </w:r>
          </w:p>
        </w:tc>
        <w:tc>
          <w:tcPr>
            <w:tcW w:w="1311" w:type="dxa"/>
            <w:tcBorders>
              <w:top w:val="single" w:sz="4" w:space="0" w:color="808080" w:themeColor="background1" w:themeShade="80"/>
              <w:bottom w:val="single" w:sz="4" w:space="0" w:color="808080" w:themeColor="background1" w:themeShade="80"/>
            </w:tcBorders>
            <w:vAlign w:val="bottom"/>
          </w:tcPr>
          <w:p w14:paraId="5F6F55B0" w14:textId="77777777" w:rsidR="00A713E1" w:rsidRPr="00783571" w:rsidDel="00190ED3" w:rsidRDefault="00A713E1" w:rsidP="00BE623C">
            <w:pPr>
              <w:pStyle w:val="TableText"/>
              <w:ind w:right="150"/>
              <w:jc w:val="right"/>
            </w:pPr>
            <w:r w:rsidRPr="00783571">
              <w:rPr>
                <w:rFonts w:ascii="Calibri" w:hAnsi="Calibri"/>
                <w:color w:val="000000"/>
                <w:sz w:val="22"/>
                <w:szCs w:val="22"/>
              </w:rPr>
              <w:t>5,770</w:t>
            </w:r>
          </w:p>
        </w:tc>
        <w:tc>
          <w:tcPr>
            <w:tcW w:w="1312" w:type="dxa"/>
            <w:tcBorders>
              <w:top w:val="single" w:sz="4" w:space="0" w:color="808080" w:themeColor="background1" w:themeShade="80"/>
              <w:bottom w:val="single" w:sz="4" w:space="0" w:color="808080" w:themeColor="background1" w:themeShade="80"/>
            </w:tcBorders>
            <w:vAlign w:val="bottom"/>
          </w:tcPr>
          <w:p w14:paraId="4D373513" w14:textId="77777777" w:rsidR="00A713E1" w:rsidRPr="00783571" w:rsidDel="00190ED3" w:rsidRDefault="00A713E1" w:rsidP="00BE623C">
            <w:pPr>
              <w:pStyle w:val="TableText"/>
              <w:ind w:right="150"/>
              <w:jc w:val="right"/>
            </w:pPr>
            <w:r w:rsidRPr="00783571">
              <w:rPr>
                <w:rFonts w:ascii="Calibri" w:hAnsi="Calibri"/>
                <w:color w:val="000000"/>
                <w:sz w:val="22"/>
                <w:szCs w:val="22"/>
              </w:rPr>
              <w:t>8,656</w:t>
            </w:r>
          </w:p>
        </w:tc>
        <w:tc>
          <w:tcPr>
            <w:tcW w:w="1620" w:type="dxa"/>
            <w:vMerge/>
          </w:tcPr>
          <w:p w14:paraId="59FC0892" w14:textId="77777777" w:rsidR="00A713E1" w:rsidRPr="00783571" w:rsidRDefault="00A713E1" w:rsidP="00BE623C">
            <w:pPr>
              <w:pStyle w:val="TableText"/>
            </w:pPr>
          </w:p>
        </w:tc>
      </w:tr>
      <w:tr w:rsidR="00A713E1" w:rsidRPr="00783571" w14:paraId="4F16EAB6"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50D330A8" w14:textId="77777777" w:rsidR="00A713E1" w:rsidRPr="00783571" w:rsidRDefault="00A713E1" w:rsidP="00BE623C">
            <w:pPr>
              <w:pStyle w:val="TableTextIndent1"/>
            </w:pPr>
            <w:r w:rsidRPr="00783571">
              <w:t>MSM</w:t>
            </w:r>
          </w:p>
        </w:tc>
        <w:tc>
          <w:tcPr>
            <w:tcW w:w="1336" w:type="dxa"/>
            <w:tcBorders>
              <w:top w:val="single" w:sz="4" w:space="0" w:color="808080" w:themeColor="background1" w:themeShade="80"/>
              <w:bottom w:val="single" w:sz="4" w:space="0" w:color="808080" w:themeColor="background1" w:themeShade="80"/>
            </w:tcBorders>
          </w:tcPr>
          <w:p w14:paraId="50FE86AE" w14:textId="77777777" w:rsidR="00A713E1" w:rsidRPr="00783571" w:rsidDel="00190ED3" w:rsidRDefault="00A713E1" w:rsidP="00BE623C">
            <w:pPr>
              <w:pStyle w:val="TableText"/>
              <w:ind w:right="150"/>
              <w:jc w:val="right"/>
            </w:pPr>
            <w:r w:rsidRPr="00783571">
              <w:t>26,625</w:t>
            </w:r>
          </w:p>
        </w:tc>
        <w:tc>
          <w:tcPr>
            <w:tcW w:w="1410" w:type="dxa"/>
            <w:tcBorders>
              <w:top w:val="single" w:sz="4" w:space="0" w:color="808080" w:themeColor="background1" w:themeShade="80"/>
              <w:bottom w:val="single" w:sz="4" w:space="0" w:color="808080" w:themeColor="background1" w:themeShade="80"/>
            </w:tcBorders>
          </w:tcPr>
          <w:p w14:paraId="4F819F65" w14:textId="77777777" w:rsidR="00A713E1" w:rsidRPr="00783571" w:rsidDel="00190ED3" w:rsidRDefault="00A713E1" w:rsidP="00BE623C">
            <w:pPr>
              <w:pStyle w:val="TableText"/>
              <w:ind w:right="150"/>
              <w:jc w:val="right"/>
            </w:pPr>
            <w:r w:rsidRPr="00783571">
              <w:t>28,493</w:t>
            </w:r>
          </w:p>
        </w:tc>
        <w:tc>
          <w:tcPr>
            <w:tcW w:w="1311" w:type="dxa"/>
            <w:tcBorders>
              <w:top w:val="single" w:sz="4" w:space="0" w:color="808080" w:themeColor="background1" w:themeShade="80"/>
              <w:bottom w:val="single" w:sz="4" w:space="0" w:color="808080" w:themeColor="background1" w:themeShade="80"/>
            </w:tcBorders>
            <w:vAlign w:val="bottom"/>
          </w:tcPr>
          <w:p w14:paraId="3ACCCBE5" w14:textId="77777777" w:rsidR="00A713E1" w:rsidRPr="00783571" w:rsidDel="00190ED3" w:rsidRDefault="00A713E1" w:rsidP="00BE623C">
            <w:pPr>
              <w:pStyle w:val="TableText"/>
              <w:ind w:right="150"/>
              <w:jc w:val="right"/>
            </w:pPr>
            <w:r w:rsidRPr="00783571">
              <w:rPr>
                <w:rFonts w:ascii="Calibri" w:hAnsi="Calibri"/>
                <w:color w:val="000000"/>
                <w:sz w:val="22"/>
                <w:szCs w:val="22"/>
              </w:rPr>
              <w:t>22,795</w:t>
            </w:r>
          </w:p>
        </w:tc>
        <w:tc>
          <w:tcPr>
            <w:tcW w:w="1312" w:type="dxa"/>
            <w:tcBorders>
              <w:top w:val="single" w:sz="4" w:space="0" w:color="808080" w:themeColor="background1" w:themeShade="80"/>
              <w:bottom w:val="single" w:sz="4" w:space="0" w:color="808080" w:themeColor="background1" w:themeShade="80"/>
            </w:tcBorders>
            <w:vAlign w:val="bottom"/>
          </w:tcPr>
          <w:p w14:paraId="5DB6E0BD" w14:textId="77777777" w:rsidR="00A713E1" w:rsidRPr="00783571" w:rsidDel="00190ED3" w:rsidRDefault="00A713E1" w:rsidP="00BE623C">
            <w:pPr>
              <w:pStyle w:val="TableText"/>
              <w:ind w:right="150"/>
              <w:jc w:val="right"/>
            </w:pPr>
            <w:r w:rsidRPr="00783571">
              <w:rPr>
                <w:rFonts w:ascii="Calibri" w:hAnsi="Calibri"/>
                <w:color w:val="000000"/>
                <w:sz w:val="22"/>
                <w:szCs w:val="22"/>
              </w:rPr>
              <w:t>34,192</w:t>
            </w:r>
          </w:p>
        </w:tc>
        <w:tc>
          <w:tcPr>
            <w:tcW w:w="1620" w:type="dxa"/>
            <w:vMerge/>
          </w:tcPr>
          <w:p w14:paraId="4BD8969D" w14:textId="77777777" w:rsidR="00A713E1" w:rsidRPr="00783571" w:rsidRDefault="00A713E1" w:rsidP="00BE623C">
            <w:pPr>
              <w:pStyle w:val="TableText"/>
            </w:pPr>
          </w:p>
        </w:tc>
      </w:tr>
      <w:tr w:rsidR="00A713E1" w:rsidRPr="00783571" w14:paraId="778AB985"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3D37349D" w14:textId="77777777" w:rsidR="00A713E1" w:rsidRPr="00783571" w:rsidRDefault="00A713E1" w:rsidP="00BE623C">
            <w:pPr>
              <w:pStyle w:val="TableTextIndent1"/>
            </w:pPr>
            <w:r w:rsidRPr="00783571">
              <w:t>PWID male</w:t>
            </w:r>
          </w:p>
        </w:tc>
        <w:tc>
          <w:tcPr>
            <w:tcW w:w="1336" w:type="dxa"/>
            <w:tcBorders>
              <w:top w:val="single" w:sz="4" w:space="0" w:color="808080" w:themeColor="background1" w:themeShade="80"/>
              <w:bottom w:val="single" w:sz="4" w:space="0" w:color="808080" w:themeColor="background1" w:themeShade="80"/>
            </w:tcBorders>
          </w:tcPr>
          <w:p w14:paraId="09EA457A" w14:textId="77777777" w:rsidR="00A713E1" w:rsidRPr="00783571" w:rsidDel="00190ED3" w:rsidRDefault="00A713E1" w:rsidP="00BE623C">
            <w:pPr>
              <w:pStyle w:val="TableText"/>
              <w:ind w:right="150"/>
              <w:jc w:val="right"/>
            </w:pPr>
            <w:r w:rsidRPr="00783571">
              <w:t>1,764</w:t>
            </w:r>
          </w:p>
        </w:tc>
        <w:tc>
          <w:tcPr>
            <w:tcW w:w="1410" w:type="dxa"/>
            <w:tcBorders>
              <w:top w:val="single" w:sz="4" w:space="0" w:color="808080" w:themeColor="background1" w:themeShade="80"/>
              <w:bottom w:val="single" w:sz="4" w:space="0" w:color="808080" w:themeColor="background1" w:themeShade="80"/>
            </w:tcBorders>
          </w:tcPr>
          <w:p w14:paraId="7B781602" w14:textId="77777777" w:rsidR="00A713E1" w:rsidRPr="00783571" w:rsidDel="00190ED3" w:rsidRDefault="00A713E1" w:rsidP="00BE623C">
            <w:pPr>
              <w:pStyle w:val="TableText"/>
              <w:ind w:right="150"/>
              <w:jc w:val="right"/>
            </w:pPr>
            <w:r w:rsidRPr="00783571">
              <w:t>1,757</w:t>
            </w:r>
          </w:p>
        </w:tc>
        <w:tc>
          <w:tcPr>
            <w:tcW w:w="1311" w:type="dxa"/>
            <w:tcBorders>
              <w:top w:val="single" w:sz="4" w:space="0" w:color="808080" w:themeColor="background1" w:themeShade="80"/>
              <w:bottom w:val="single" w:sz="4" w:space="0" w:color="808080" w:themeColor="background1" w:themeShade="80"/>
            </w:tcBorders>
            <w:vAlign w:val="bottom"/>
          </w:tcPr>
          <w:p w14:paraId="48F14FE0" w14:textId="77777777" w:rsidR="00A713E1" w:rsidRPr="00783571" w:rsidDel="00190ED3" w:rsidRDefault="00A713E1" w:rsidP="00BE623C">
            <w:pPr>
              <w:pStyle w:val="TableText"/>
              <w:ind w:right="150"/>
              <w:jc w:val="right"/>
            </w:pPr>
            <w:r w:rsidRPr="00783571">
              <w:rPr>
                <w:rFonts w:ascii="Calibri" w:hAnsi="Calibri"/>
                <w:color w:val="000000"/>
                <w:sz w:val="22"/>
                <w:szCs w:val="22"/>
              </w:rPr>
              <w:t>1,406</w:t>
            </w:r>
          </w:p>
        </w:tc>
        <w:tc>
          <w:tcPr>
            <w:tcW w:w="1312" w:type="dxa"/>
            <w:tcBorders>
              <w:top w:val="single" w:sz="4" w:space="0" w:color="808080" w:themeColor="background1" w:themeShade="80"/>
              <w:bottom w:val="single" w:sz="4" w:space="0" w:color="808080" w:themeColor="background1" w:themeShade="80"/>
            </w:tcBorders>
            <w:vAlign w:val="bottom"/>
          </w:tcPr>
          <w:p w14:paraId="6C9215AB" w14:textId="77777777" w:rsidR="00A713E1" w:rsidRPr="00783571" w:rsidDel="00190ED3" w:rsidRDefault="00A713E1" w:rsidP="00BE623C">
            <w:pPr>
              <w:pStyle w:val="TableText"/>
              <w:ind w:right="150"/>
              <w:jc w:val="right"/>
            </w:pPr>
            <w:r w:rsidRPr="00783571">
              <w:rPr>
                <w:rFonts w:ascii="Calibri" w:hAnsi="Calibri"/>
                <w:color w:val="000000"/>
                <w:sz w:val="22"/>
                <w:szCs w:val="22"/>
              </w:rPr>
              <w:t>2,109</w:t>
            </w:r>
          </w:p>
        </w:tc>
        <w:tc>
          <w:tcPr>
            <w:tcW w:w="1620" w:type="dxa"/>
            <w:vMerge/>
          </w:tcPr>
          <w:p w14:paraId="3B564465" w14:textId="77777777" w:rsidR="00A713E1" w:rsidRPr="00783571" w:rsidRDefault="00A713E1" w:rsidP="00BE623C">
            <w:pPr>
              <w:pStyle w:val="TableText"/>
            </w:pPr>
          </w:p>
        </w:tc>
      </w:tr>
      <w:tr w:rsidR="00A713E1" w:rsidRPr="00783571" w14:paraId="2F369F0A"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1FFC1390" w14:textId="77777777" w:rsidR="00A713E1" w:rsidRPr="00783571" w:rsidRDefault="00A713E1" w:rsidP="00BE623C">
            <w:pPr>
              <w:pStyle w:val="TableTextIndent1"/>
            </w:pPr>
            <w:r w:rsidRPr="00783571">
              <w:t>PWID female</w:t>
            </w:r>
          </w:p>
        </w:tc>
        <w:tc>
          <w:tcPr>
            <w:tcW w:w="1336" w:type="dxa"/>
            <w:tcBorders>
              <w:top w:val="single" w:sz="4" w:space="0" w:color="808080" w:themeColor="background1" w:themeShade="80"/>
              <w:bottom w:val="single" w:sz="4" w:space="0" w:color="808080" w:themeColor="background1" w:themeShade="80"/>
            </w:tcBorders>
          </w:tcPr>
          <w:p w14:paraId="248732B0" w14:textId="77777777" w:rsidR="00A713E1" w:rsidRPr="00783571" w:rsidDel="00190ED3" w:rsidRDefault="00A713E1" w:rsidP="00BE623C">
            <w:pPr>
              <w:pStyle w:val="TableText"/>
              <w:ind w:right="150"/>
              <w:jc w:val="right"/>
            </w:pPr>
            <w:r w:rsidRPr="00783571">
              <w:t>1,305</w:t>
            </w:r>
          </w:p>
        </w:tc>
        <w:tc>
          <w:tcPr>
            <w:tcW w:w="1410" w:type="dxa"/>
            <w:tcBorders>
              <w:top w:val="single" w:sz="4" w:space="0" w:color="808080" w:themeColor="background1" w:themeShade="80"/>
              <w:bottom w:val="single" w:sz="4" w:space="0" w:color="808080" w:themeColor="background1" w:themeShade="80"/>
            </w:tcBorders>
          </w:tcPr>
          <w:p w14:paraId="71B04654" w14:textId="77777777" w:rsidR="00A713E1" w:rsidRPr="00783571" w:rsidDel="00190ED3" w:rsidRDefault="00A713E1" w:rsidP="00BE623C">
            <w:pPr>
              <w:pStyle w:val="TableText"/>
              <w:ind w:right="150"/>
              <w:jc w:val="right"/>
            </w:pPr>
            <w:r w:rsidRPr="00783571">
              <w:t>1,255</w:t>
            </w:r>
          </w:p>
        </w:tc>
        <w:tc>
          <w:tcPr>
            <w:tcW w:w="1311" w:type="dxa"/>
            <w:tcBorders>
              <w:top w:val="single" w:sz="4" w:space="0" w:color="808080" w:themeColor="background1" w:themeShade="80"/>
              <w:bottom w:val="single" w:sz="4" w:space="0" w:color="808080" w:themeColor="background1" w:themeShade="80"/>
            </w:tcBorders>
            <w:vAlign w:val="bottom"/>
          </w:tcPr>
          <w:p w14:paraId="1286EDCB" w14:textId="77777777" w:rsidR="00A713E1" w:rsidRPr="00783571" w:rsidDel="00190ED3" w:rsidRDefault="00A713E1" w:rsidP="00BE623C">
            <w:pPr>
              <w:pStyle w:val="TableText"/>
              <w:ind w:right="150"/>
              <w:jc w:val="right"/>
            </w:pPr>
            <w:r w:rsidRPr="00783571">
              <w:rPr>
                <w:rFonts w:ascii="Calibri" w:hAnsi="Calibri"/>
                <w:color w:val="000000"/>
                <w:sz w:val="22"/>
                <w:szCs w:val="22"/>
              </w:rPr>
              <w:t>1,004</w:t>
            </w:r>
          </w:p>
        </w:tc>
        <w:tc>
          <w:tcPr>
            <w:tcW w:w="1312" w:type="dxa"/>
            <w:tcBorders>
              <w:top w:val="single" w:sz="4" w:space="0" w:color="808080" w:themeColor="background1" w:themeShade="80"/>
              <w:bottom w:val="single" w:sz="4" w:space="0" w:color="808080" w:themeColor="background1" w:themeShade="80"/>
            </w:tcBorders>
            <w:vAlign w:val="bottom"/>
          </w:tcPr>
          <w:p w14:paraId="5D5D402A" w14:textId="77777777" w:rsidR="00A713E1" w:rsidRPr="00783571" w:rsidDel="00190ED3" w:rsidRDefault="00A713E1" w:rsidP="00BE623C">
            <w:pPr>
              <w:pStyle w:val="TableText"/>
              <w:ind w:right="150"/>
              <w:jc w:val="right"/>
            </w:pPr>
            <w:r w:rsidRPr="00783571">
              <w:rPr>
                <w:rFonts w:ascii="Calibri" w:hAnsi="Calibri"/>
                <w:color w:val="000000"/>
                <w:sz w:val="22"/>
                <w:szCs w:val="22"/>
              </w:rPr>
              <w:t>1,506</w:t>
            </w:r>
          </w:p>
        </w:tc>
        <w:tc>
          <w:tcPr>
            <w:tcW w:w="1620" w:type="dxa"/>
            <w:vMerge/>
          </w:tcPr>
          <w:p w14:paraId="5D7366AB" w14:textId="77777777" w:rsidR="00A713E1" w:rsidRPr="00783571" w:rsidRDefault="00A713E1" w:rsidP="00BE623C">
            <w:pPr>
              <w:pStyle w:val="TableText"/>
            </w:pPr>
          </w:p>
        </w:tc>
      </w:tr>
      <w:tr w:rsidR="00A713E1" w:rsidRPr="00783571" w14:paraId="2B80B4CB"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5D801235" w14:textId="77777777" w:rsidR="00A713E1" w:rsidRPr="00783571" w:rsidRDefault="00A713E1" w:rsidP="00BE623C">
            <w:pPr>
              <w:pStyle w:val="TableTextIndent1"/>
            </w:pPr>
            <w:r w:rsidRPr="00783571">
              <w:t>Total</w:t>
            </w:r>
          </w:p>
        </w:tc>
        <w:tc>
          <w:tcPr>
            <w:tcW w:w="1336" w:type="dxa"/>
            <w:tcBorders>
              <w:top w:val="single" w:sz="4" w:space="0" w:color="808080" w:themeColor="background1" w:themeShade="80"/>
              <w:bottom w:val="single" w:sz="4" w:space="0" w:color="808080" w:themeColor="background1" w:themeShade="80"/>
            </w:tcBorders>
          </w:tcPr>
          <w:p w14:paraId="15475159" w14:textId="77777777" w:rsidR="00A713E1" w:rsidRPr="00783571" w:rsidDel="00190ED3" w:rsidRDefault="00A713E1" w:rsidP="00BE623C">
            <w:pPr>
              <w:pStyle w:val="TableText"/>
              <w:ind w:right="150"/>
              <w:jc w:val="right"/>
            </w:pPr>
            <w:r w:rsidRPr="00783571">
              <w:t>40,150</w:t>
            </w:r>
          </w:p>
        </w:tc>
        <w:tc>
          <w:tcPr>
            <w:tcW w:w="1410" w:type="dxa"/>
            <w:tcBorders>
              <w:top w:val="single" w:sz="4" w:space="0" w:color="808080" w:themeColor="background1" w:themeShade="80"/>
              <w:bottom w:val="single" w:sz="4" w:space="0" w:color="808080" w:themeColor="background1" w:themeShade="80"/>
            </w:tcBorders>
          </w:tcPr>
          <w:p w14:paraId="6C0891DB" w14:textId="77777777" w:rsidR="00A713E1" w:rsidRPr="00783571" w:rsidDel="00190ED3" w:rsidRDefault="00A713E1" w:rsidP="00BE623C">
            <w:pPr>
              <w:pStyle w:val="TableText"/>
              <w:ind w:right="150"/>
              <w:jc w:val="right"/>
            </w:pPr>
            <w:r w:rsidRPr="00783571">
              <w:t>42,566</w:t>
            </w:r>
          </w:p>
        </w:tc>
        <w:tc>
          <w:tcPr>
            <w:tcW w:w="1311" w:type="dxa"/>
            <w:tcBorders>
              <w:top w:val="single" w:sz="4" w:space="0" w:color="808080" w:themeColor="background1" w:themeShade="80"/>
              <w:bottom w:val="single" w:sz="4" w:space="0" w:color="808080" w:themeColor="background1" w:themeShade="80"/>
            </w:tcBorders>
          </w:tcPr>
          <w:p w14:paraId="1FD06630" w14:textId="77777777" w:rsidR="00A713E1" w:rsidRPr="00783571" w:rsidDel="00190ED3" w:rsidRDefault="00A713E1" w:rsidP="00BE623C">
            <w:pPr>
              <w:pStyle w:val="TableText"/>
              <w:ind w:right="150"/>
              <w:jc w:val="right"/>
            </w:pPr>
            <w:r w:rsidRPr="00783571">
              <w:t>34,053</w:t>
            </w:r>
          </w:p>
        </w:tc>
        <w:tc>
          <w:tcPr>
            <w:tcW w:w="1312" w:type="dxa"/>
            <w:tcBorders>
              <w:top w:val="single" w:sz="4" w:space="0" w:color="808080" w:themeColor="background1" w:themeShade="80"/>
              <w:bottom w:val="single" w:sz="4" w:space="0" w:color="808080" w:themeColor="background1" w:themeShade="80"/>
            </w:tcBorders>
          </w:tcPr>
          <w:p w14:paraId="18ECFB02" w14:textId="77777777" w:rsidR="00A713E1" w:rsidRPr="00783571" w:rsidDel="00190ED3" w:rsidRDefault="00A713E1" w:rsidP="00BE623C">
            <w:pPr>
              <w:pStyle w:val="TableText"/>
              <w:ind w:right="150"/>
              <w:jc w:val="right"/>
            </w:pPr>
            <w:r w:rsidRPr="00783571">
              <w:t>51,079</w:t>
            </w:r>
          </w:p>
        </w:tc>
        <w:tc>
          <w:tcPr>
            <w:tcW w:w="1620" w:type="dxa"/>
            <w:vMerge/>
            <w:tcBorders>
              <w:bottom w:val="single" w:sz="4" w:space="0" w:color="808080" w:themeColor="background1" w:themeShade="80"/>
            </w:tcBorders>
          </w:tcPr>
          <w:p w14:paraId="56663EB6" w14:textId="77777777" w:rsidR="00A713E1" w:rsidRPr="00783571" w:rsidRDefault="00A713E1" w:rsidP="00BE623C">
            <w:pPr>
              <w:pStyle w:val="TableText"/>
            </w:pPr>
          </w:p>
        </w:tc>
      </w:tr>
      <w:tr w:rsidR="00A713E1" w:rsidRPr="00783571" w14:paraId="034CE989" w14:textId="77777777" w:rsidTr="00BE623C">
        <w:trPr>
          <w:cantSplit/>
        </w:trPr>
        <w:tc>
          <w:tcPr>
            <w:tcW w:w="7740" w:type="dxa"/>
            <w:gridSpan w:val="5"/>
            <w:tcBorders>
              <w:top w:val="single" w:sz="4" w:space="0" w:color="808080" w:themeColor="background1" w:themeShade="80"/>
              <w:bottom w:val="single" w:sz="4" w:space="0" w:color="808080" w:themeColor="background1" w:themeShade="80"/>
            </w:tcBorders>
          </w:tcPr>
          <w:p w14:paraId="03A4A013" w14:textId="77777777" w:rsidR="00A713E1" w:rsidRPr="00783571" w:rsidDel="00190ED3" w:rsidRDefault="00A713E1" w:rsidP="00BE623C">
            <w:pPr>
              <w:pStyle w:val="TableText"/>
              <w:ind w:right="150"/>
            </w:pPr>
            <w:r w:rsidRPr="00783571">
              <w:t>Estimated number of new infections in the United States in 2013</w:t>
            </w:r>
          </w:p>
        </w:tc>
        <w:tc>
          <w:tcPr>
            <w:tcW w:w="1620" w:type="dxa"/>
            <w:vMerge w:val="restart"/>
            <w:tcBorders>
              <w:top w:val="single" w:sz="4" w:space="0" w:color="808080" w:themeColor="background1" w:themeShade="80"/>
            </w:tcBorders>
          </w:tcPr>
          <w:p w14:paraId="5D9DA196" w14:textId="1C60EDF8" w:rsidR="00A713E1" w:rsidRPr="00783571" w:rsidRDefault="00A713E1" w:rsidP="00BE623C">
            <w:pPr>
              <w:pStyle w:val="TableText"/>
            </w:pPr>
            <w:r w:rsidRPr="00783571">
              <w:t>CDC (2014)</w:t>
            </w:r>
            <w:r w:rsidR="00A67CF3" w:rsidRPr="00783571">
              <w:rPr>
                <w:vertAlign w:val="superscript"/>
              </w:rPr>
              <w:t>d</w:t>
            </w:r>
          </w:p>
        </w:tc>
      </w:tr>
      <w:tr w:rsidR="00A713E1" w:rsidRPr="00783571" w14:paraId="430008D3"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38A7F1C7" w14:textId="77777777" w:rsidR="00A713E1" w:rsidRPr="00783571" w:rsidRDefault="00A713E1" w:rsidP="00BE623C">
            <w:pPr>
              <w:pStyle w:val="TableTextIndent1"/>
            </w:pPr>
            <w:r w:rsidRPr="00783571">
              <w:t>Total</w:t>
            </w:r>
          </w:p>
        </w:tc>
        <w:tc>
          <w:tcPr>
            <w:tcW w:w="1336" w:type="dxa"/>
            <w:tcBorders>
              <w:top w:val="single" w:sz="4" w:space="0" w:color="808080" w:themeColor="background1" w:themeShade="80"/>
              <w:bottom w:val="single" w:sz="4" w:space="0" w:color="808080" w:themeColor="background1" w:themeShade="80"/>
            </w:tcBorders>
          </w:tcPr>
          <w:p w14:paraId="1DF3444D" w14:textId="77777777" w:rsidR="00A713E1" w:rsidRPr="00783571" w:rsidRDefault="00A713E1" w:rsidP="00BE623C">
            <w:pPr>
              <w:pStyle w:val="TableText"/>
              <w:ind w:right="150"/>
              <w:jc w:val="right"/>
            </w:pPr>
            <w:r w:rsidRPr="00783571">
              <w:t>37,919</w:t>
            </w:r>
          </w:p>
        </w:tc>
        <w:tc>
          <w:tcPr>
            <w:tcW w:w="1410" w:type="dxa"/>
            <w:tcBorders>
              <w:top w:val="single" w:sz="4" w:space="0" w:color="808080" w:themeColor="background1" w:themeShade="80"/>
              <w:bottom w:val="single" w:sz="4" w:space="0" w:color="808080" w:themeColor="background1" w:themeShade="80"/>
            </w:tcBorders>
          </w:tcPr>
          <w:p w14:paraId="189002C2" w14:textId="77777777" w:rsidR="00A713E1" w:rsidRPr="00783571" w:rsidRDefault="00A713E1" w:rsidP="00BE623C">
            <w:pPr>
              <w:pStyle w:val="TableText"/>
              <w:ind w:right="150"/>
              <w:jc w:val="right"/>
            </w:pPr>
            <w:r w:rsidRPr="00783571">
              <w:t>39,800</w:t>
            </w:r>
          </w:p>
        </w:tc>
        <w:tc>
          <w:tcPr>
            <w:tcW w:w="1311" w:type="dxa"/>
            <w:tcBorders>
              <w:top w:val="single" w:sz="4" w:space="0" w:color="808080" w:themeColor="background1" w:themeShade="80"/>
              <w:bottom w:val="single" w:sz="4" w:space="0" w:color="808080" w:themeColor="background1" w:themeShade="80"/>
            </w:tcBorders>
          </w:tcPr>
          <w:p w14:paraId="67C69C93" w14:textId="77777777" w:rsidR="00A713E1" w:rsidRPr="00783571" w:rsidRDefault="00A713E1" w:rsidP="00BE623C">
            <w:pPr>
              <w:pStyle w:val="TableText"/>
              <w:ind w:right="150"/>
              <w:jc w:val="right"/>
            </w:pPr>
            <w:r w:rsidRPr="00783571">
              <w:t>35,820</w:t>
            </w:r>
          </w:p>
        </w:tc>
        <w:tc>
          <w:tcPr>
            <w:tcW w:w="1312" w:type="dxa"/>
            <w:tcBorders>
              <w:top w:val="single" w:sz="4" w:space="0" w:color="808080" w:themeColor="background1" w:themeShade="80"/>
              <w:bottom w:val="single" w:sz="4" w:space="0" w:color="808080" w:themeColor="background1" w:themeShade="80"/>
            </w:tcBorders>
          </w:tcPr>
          <w:p w14:paraId="497193E9" w14:textId="77777777" w:rsidR="00A713E1" w:rsidRPr="00783571" w:rsidRDefault="00A713E1" w:rsidP="00BE623C">
            <w:pPr>
              <w:pStyle w:val="TableText"/>
              <w:ind w:right="150"/>
              <w:jc w:val="right"/>
            </w:pPr>
            <w:r w:rsidRPr="00783571">
              <w:t>43,780</w:t>
            </w:r>
          </w:p>
        </w:tc>
        <w:tc>
          <w:tcPr>
            <w:tcW w:w="1620" w:type="dxa"/>
            <w:vMerge/>
            <w:tcBorders>
              <w:bottom w:val="single" w:sz="4" w:space="0" w:color="808080" w:themeColor="background1" w:themeShade="80"/>
            </w:tcBorders>
          </w:tcPr>
          <w:p w14:paraId="254429B0" w14:textId="77777777" w:rsidR="00A713E1" w:rsidRPr="00783571" w:rsidRDefault="00A713E1" w:rsidP="00BE623C">
            <w:pPr>
              <w:pStyle w:val="TableText"/>
            </w:pPr>
          </w:p>
        </w:tc>
      </w:tr>
      <w:tr w:rsidR="00A713E1" w:rsidRPr="00783571" w14:paraId="3C013243" w14:textId="77777777" w:rsidTr="00A713E1">
        <w:trPr>
          <w:cantSplit/>
        </w:trPr>
        <w:tc>
          <w:tcPr>
            <w:tcW w:w="2371" w:type="dxa"/>
            <w:tcBorders>
              <w:top w:val="single" w:sz="4" w:space="0" w:color="808080" w:themeColor="background1" w:themeShade="80"/>
              <w:bottom w:val="single" w:sz="4" w:space="0" w:color="808080" w:themeColor="background1" w:themeShade="80"/>
            </w:tcBorders>
          </w:tcPr>
          <w:p w14:paraId="735F4FDB" w14:textId="77777777" w:rsidR="00A713E1" w:rsidRPr="00783571" w:rsidRDefault="00A713E1" w:rsidP="00BE623C">
            <w:pPr>
              <w:pStyle w:val="TableTextIndent1"/>
              <w:ind w:left="0"/>
            </w:pPr>
            <w:r w:rsidRPr="00783571">
              <w:t>Ratio of overall prevalence in 2012 vs 2006</w:t>
            </w:r>
          </w:p>
        </w:tc>
        <w:tc>
          <w:tcPr>
            <w:tcW w:w="1336" w:type="dxa"/>
            <w:tcBorders>
              <w:top w:val="single" w:sz="4" w:space="0" w:color="808080" w:themeColor="background1" w:themeShade="80"/>
              <w:bottom w:val="single" w:sz="4" w:space="0" w:color="808080" w:themeColor="background1" w:themeShade="80"/>
            </w:tcBorders>
          </w:tcPr>
          <w:p w14:paraId="2A877028" w14:textId="77777777" w:rsidR="00A713E1" w:rsidRPr="00783571" w:rsidRDefault="00A713E1" w:rsidP="00BE623C">
            <w:pPr>
              <w:pStyle w:val="TableText"/>
              <w:ind w:right="150"/>
              <w:jc w:val="right"/>
            </w:pPr>
            <w:r w:rsidRPr="00783571">
              <w:t>1.00</w:t>
            </w:r>
          </w:p>
        </w:tc>
        <w:tc>
          <w:tcPr>
            <w:tcW w:w="1410" w:type="dxa"/>
            <w:tcBorders>
              <w:top w:val="single" w:sz="4" w:space="0" w:color="808080" w:themeColor="background1" w:themeShade="80"/>
              <w:bottom w:val="single" w:sz="4" w:space="0" w:color="808080" w:themeColor="background1" w:themeShade="80"/>
            </w:tcBorders>
          </w:tcPr>
          <w:p w14:paraId="28E68214" w14:textId="77777777" w:rsidR="00A713E1" w:rsidRPr="00783571" w:rsidRDefault="00A713E1" w:rsidP="00BE623C">
            <w:pPr>
              <w:pStyle w:val="TableText"/>
              <w:ind w:right="150"/>
              <w:jc w:val="right"/>
            </w:pPr>
            <w:r w:rsidRPr="00783571">
              <w:t>1.15</w:t>
            </w:r>
          </w:p>
        </w:tc>
        <w:tc>
          <w:tcPr>
            <w:tcW w:w="1311" w:type="dxa"/>
            <w:tcBorders>
              <w:top w:val="single" w:sz="4" w:space="0" w:color="808080" w:themeColor="background1" w:themeShade="80"/>
              <w:bottom w:val="single" w:sz="4" w:space="0" w:color="808080" w:themeColor="background1" w:themeShade="80"/>
            </w:tcBorders>
          </w:tcPr>
          <w:p w14:paraId="2E19010C" w14:textId="77777777" w:rsidR="00A713E1" w:rsidRPr="00783571" w:rsidRDefault="00A713E1" w:rsidP="00BE623C">
            <w:pPr>
              <w:pStyle w:val="TableText"/>
              <w:ind w:right="150"/>
              <w:jc w:val="right"/>
            </w:pPr>
            <w:r w:rsidRPr="00783571">
              <w:t>1.00</w:t>
            </w:r>
          </w:p>
        </w:tc>
        <w:tc>
          <w:tcPr>
            <w:tcW w:w="1312" w:type="dxa"/>
            <w:tcBorders>
              <w:top w:val="single" w:sz="4" w:space="0" w:color="808080" w:themeColor="background1" w:themeShade="80"/>
              <w:bottom w:val="single" w:sz="4" w:space="0" w:color="808080" w:themeColor="background1" w:themeShade="80"/>
            </w:tcBorders>
          </w:tcPr>
          <w:p w14:paraId="104A03A7" w14:textId="77777777" w:rsidR="00A713E1" w:rsidRPr="00783571" w:rsidRDefault="00A713E1" w:rsidP="00BE623C">
            <w:pPr>
              <w:pStyle w:val="TableText"/>
              <w:ind w:right="150"/>
              <w:jc w:val="right"/>
            </w:pPr>
            <w:r w:rsidRPr="00783571">
              <w:t>1.30</w:t>
            </w:r>
          </w:p>
        </w:tc>
        <w:tc>
          <w:tcPr>
            <w:tcW w:w="1620" w:type="dxa"/>
            <w:tcBorders>
              <w:top w:val="single" w:sz="4" w:space="0" w:color="808080" w:themeColor="background1" w:themeShade="80"/>
              <w:bottom w:val="single" w:sz="4" w:space="0" w:color="808080" w:themeColor="background1" w:themeShade="80"/>
            </w:tcBorders>
          </w:tcPr>
          <w:p w14:paraId="027ACC6D" w14:textId="77777777" w:rsidR="00A713E1" w:rsidRPr="00783571" w:rsidRDefault="00A713E1" w:rsidP="00BE623C">
            <w:pPr>
              <w:pStyle w:val="TableText"/>
            </w:pPr>
            <w:r w:rsidRPr="00783571">
              <w:t>CDC (2012b)</w:t>
            </w:r>
          </w:p>
        </w:tc>
      </w:tr>
      <w:tr w:rsidR="00D23E27" w:rsidRPr="00783571" w14:paraId="2ABF2B8D" w14:textId="77777777" w:rsidTr="00BE623C">
        <w:trPr>
          <w:cantSplit/>
        </w:trPr>
        <w:tc>
          <w:tcPr>
            <w:tcW w:w="7740" w:type="dxa"/>
            <w:gridSpan w:val="5"/>
            <w:tcBorders>
              <w:top w:val="single" w:sz="4" w:space="0" w:color="808080" w:themeColor="background1" w:themeShade="80"/>
              <w:bottom w:val="single" w:sz="4" w:space="0" w:color="808080" w:themeColor="background1" w:themeShade="80"/>
            </w:tcBorders>
          </w:tcPr>
          <w:p w14:paraId="2FF789E8" w14:textId="49E11A83" w:rsidR="00D23E27" w:rsidRPr="00783571" w:rsidRDefault="00D23E27" w:rsidP="00A713E1">
            <w:pPr>
              <w:pStyle w:val="TableText"/>
              <w:ind w:right="150"/>
            </w:pPr>
            <w:r w:rsidRPr="00783571">
              <w:t>Ratio of HET prevalence in 2015 vs 2006, by risk level</w:t>
            </w:r>
          </w:p>
        </w:tc>
        <w:tc>
          <w:tcPr>
            <w:tcW w:w="1620" w:type="dxa"/>
            <w:vMerge w:val="restart"/>
            <w:tcBorders>
              <w:top w:val="single" w:sz="4" w:space="0" w:color="808080" w:themeColor="background1" w:themeShade="80"/>
            </w:tcBorders>
          </w:tcPr>
          <w:p w14:paraId="467251F6" w14:textId="0CC234FB" w:rsidR="00D23E27" w:rsidRPr="00783571" w:rsidRDefault="00A67CF3" w:rsidP="00D23E27">
            <w:pPr>
              <w:pStyle w:val="TableText"/>
            </w:pPr>
            <w:r w:rsidRPr="00783571">
              <w:t>Assumption</w:t>
            </w:r>
            <w:r w:rsidRPr="00783571">
              <w:rPr>
                <w:vertAlign w:val="superscript"/>
              </w:rPr>
              <w:t>e</w:t>
            </w:r>
          </w:p>
        </w:tc>
      </w:tr>
      <w:tr w:rsidR="00D23E27" w:rsidRPr="00783571" w14:paraId="0B91D64C" w14:textId="77777777" w:rsidTr="00BE623C">
        <w:trPr>
          <w:cantSplit/>
        </w:trPr>
        <w:tc>
          <w:tcPr>
            <w:tcW w:w="2371" w:type="dxa"/>
            <w:tcBorders>
              <w:top w:val="single" w:sz="4" w:space="0" w:color="808080" w:themeColor="background1" w:themeShade="80"/>
              <w:bottom w:val="single" w:sz="4" w:space="0" w:color="808080" w:themeColor="background1" w:themeShade="80"/>
            </w:tcBorders>
          </w:tcPr>
          <w:p w14:paraId="4FEAC3E8" w14:textId="03ED9DD0" w:rsidR="00D23E27" w:rsidRPr="00783571" w:rsidRDefault="00D23E27" w:rsidP="00A713E1">
            <w:pPr>
              <w:pStyle w:val="TableTextIndent1"/>
            </w:pPr>
            <w:r w:rsidRPr="00783571">
              <w:t>Low-risk</w:t>
            </w:r>
          </w:p>
        </w:tc>
        <w:tc>
          <w:tcPr>
            <w:tcW w:w="1336" w:type="dxa"/>
            <w:tcBorders>
              <w:top w:val="single" w:sz="4" w:space="0" w:color="808080" w:themeColor="background1" w:themeShade="80"/>
              <w:bottom w:val="single" w:sz="4" w:space="0" w:color="808080" w:themeColor="background1" w:themeShade="80"/>
            </w:tcBorders>
          </w:tcPr>
          <w:p w14:paraId="7C6A866D" w14:textId="4DCBECFC" w:rsidR="00D23E27" w:rsidRPr="00783571" w:rsidRDefault="00D23E27" w:rsidP="00A713E1">
            <w:pPr>
              <w:pStyle w:val="TableText"/>
              <w:ind w:right="150"/>
              <w:jc w:val="right"/>
            </w:pPr>
            <w:r w:rsidRPr="00783571">
              <w:t>1.10</w:t>
            </w:r>
          </w:p>
        </w:tc>
        <w:tc>
          <w:tcPr>
            <w:tcW w:w="1410" w:type="dxa"/>
            <w:tcBorders>
              <w:top w:val="single" w:sz="4" w:space="0" w:color="808080" w:themeColor="background1" w:themeShade="80"/>
              <w:bottom w:val="single" w:sz="4" w:space="0" w:color="808080" w:themeColor="background1" w:themeShade="80"/>
            </w:tcBorders>
          </w:tcPr>
          <w:p w14:paraId="1DB3FA10" w14:textId="234F50C5" w:rsidR="00D23E27" w:rsidRPr="00783571" w:rsidRDefault="00D23E27" w:rsidP="00A713E1">
            <w:pPr>
              <w:pStyle w:val="TableText"/>
              <w:ind w:right="150"/>
              <w:jc w:val="right"/>
            </w:pPr>
            <w:r w:rsidRPr="00783571">
              <w:t>1.00</w:t>
            </w:r>
          </w:p>
        </w:tc>
        <w:tc>
          <w:tcPr>
            <w:tcW w:w="1311" w:type="dxa"/>
            <w:tcBorders>
              <w:top w:val="single" w:sz="4" w:space="0" w:color="808080" w:themeColor="background1" w:themeShade="80"/>
              <w:bottom w:val="single" w:sz="4" w:space="0" w:color="808080" w:themeColor="background1" w:themeShade="80"/>
            </w:tcBorders>
          </w:tcPr>
          <w:p w14:paraId="1C8CF209" w14:textId="34DA6B83" w:rsidR="00D23E27" w:rsidRPr="00783571" w:rsidRDefault="00D23E27" w:rsidP="00A713E1">
            <w:pPr>
              <w:pStyle w:val="TableText"/>
              <w:ind w:right="150"/>
              <w:jc w:val="right"/>
            </w:pPr>
            <w:r w:rsidRPr="00783571">
              <w:t>0.90</w:t>
            </w:r>
          </w:p>
        </w:tc>
        <w:tc>
          <w:tcPr>
            <w:tcW w:w="1312" w:type="dxa"/>
            <w:tcBorders>
              <w:top w:val="single" w:sz="4" w:space="0" w:color="808080" w:themeColor="background1" w:themeShade="80"/>
              <w:bottom w:val="single" w:sz="4" w:space="0" w:color="808080" w:themeColor="background1" w:themeShade="80"/>
            </w:tcBorders>
          </w:tcPr>
          <w:p w14:paraId="662DFBEA" w14:textId="3A5B412E" w:rsidR="00D23E27" w:rsidRPr="00783571" w:rsidRDefault="00D23E27" w:rsidP="00A713E1">
            <w:pPr>
              <w:pStyle w:val="TableText"/>
              <w:ind w:right="150"/>
              <w:jc w:val="right"/>
            </w:pPr>
            <w:r w:rsidRPr="00783571">
              <w:t>1.10</w:t>
            </w:r>
          </w:p>
        </w:tc>
        <w:tc>
          <w:tcPr>
            <w:tcW w:w="1620" w:type="dxa"/>
            <w:vMerge/>
          </w:tcPr>
          <w:p w14:paraId="0D262623" w14:textId="77777777" w:rsidR="00D23E27" w:rsidRPr="00783571" w:rsidRDefault="00D23E27" w:rsidP="00A713E1">
            <w:pPr>
              <w:pStyle w:val="TableText"/>
            </w:pPr>
          </w:p>
        </w:tc>
      </w:tr>
      <w:tr w:rsidR="00D23E27" w:rsidRPr="00783571" w14:paraId="6B0F8C2D" w14:textId="77777777" w:rsidTr="00BE623C">
        <w:trPr>
          <w:cantSplit/>
        </w:trPr>
        <w:tc>
          <w:tcPr>
            <w:tcW w:w="2371" w:type="dxa"/>
            <w:tcBorders>
              <w:top w:val="single" w:sz="4" w:space="0" w:color="808080" w:themeColor="background1" w:themeShade="80"/>
              <w:bottom w:val="single" w:sz="6" w:space="0" w:color="auto"/>
            </w:tcBorders>
          </w:tcPr>
          <w:p w14:paraId="1CA4F20C" w14:textId="59E04B37" w:rsidR="00D23E27" w:rsidRPr="00783571" w:rsidRDefault="00D23E27" w:rsidP="00A713E1">
            <w:pPr>
              <w:pStyle w:val="TableTextIndent1"/>
            </w:pPr>
            <w:r w:rsidRPr="00783571">
              <w:t>High-risk</w:t>
            </w:r>
          </w:p>
        </w:tc>
        <w:tc>
          <w:tcPr>
            <w:tcW w:w="1336" w:type="dxa"/>
            <w:tcBorders>
              <w:top w:val="single" w:sz="4" w:space="0" w:color="808080" w:themeColor="background1" w:themeShade="80"/>
              <w:bottom w:val="single" w:sz="6" w:space="0" w:color="auto"/>
            </w:tcBorders>
          </w:tcPr>
          <w:p w14:paraId="7EE66B2E" w14:textId="0CB25E17" w:rsidR="00D23E27" w:rsidRPr="00783571" w:rsidRDefault="00D23E27" w:rsidP="00A713E1">
            <w:pPr>
              <w:pStyle w:val="TableText"/>
              <w:ind w:right="150"/>
              <w:jc w:val="right"/>
            </w:pPr>
            <w:r w:rsidRPr="00783571">
              <w:t>0.97</w:t>
            </w:r>
          </w:p>
        </w:tc>
        <w:tc>
          <w:tcPr>
            <w:tcW w:w="1410" w:type="dxa"/>
            <w:tcBorders>
              <w:top w:val="single" w:sz="4" w:space="0" w:color="808080" w:themeColor="background1" w:themeShade="80"/>
              <w:bottom w:val="single" w:sz="6" w:space="0" w:color="auto"/>
            </w:tcBorders>
          </w:tcPr>
          <w:p w14:paraId="68AAC616" w14:textId="31D05B6B" w:rsidR="00D23E27" w:rsidRPr="00783571" w:rsidRDefault="00D23E27" w:rsidP="00A713E1">
            <w:pPr>
              <w:pStyle w:val="TableText"/>
              <w:ind w:right="150"/>
              <w:jc w:val="right"/>
            </w:pPr>
            <w:r w:rsidRPr="00783571">
              <w:t>1.00</w:t>
            </w:r>
          </w:p>
        </w:tc>
        <w:tc>
          <w:tcPr>
            <w:tcW w:w="1311" w:type="dxa"/>
            <w:tcBorders>
              <w:top w:val="single" w:sz="4" w:space="0" w:color="808080" w:themeColor="background1" w:themeShade="80"/>
              <w:bottom w:val="single" w:sz="6" w:space="0" w:color="auto"/>
            </w:tcBorders>
          </w:tcPr>
          <w:p w14:paraId="7A7E15ED" w14:textId="214FE127" w:rsidR="00D23E27" w:rsidRPr="00783571" w:rsidRDefault="00D23E27" w:rsidP="00A713E1">
            <w:pPr>
              <w:pStyle w:val="TableText"/>
              <w:ind w:right="150"/>
              <w:jc w:val="right"/>
            </w:pPr>
            <w:r w:rsidRPr="00783571">
              <w:t>0.90</w:t>
            </w:r>
          </w:p>
        </w:tc>
        <w:tc>
          <w:tcPr>
            <w:tcW w:w="1312" w:type="dxa"/>
            <w:tcBorders>
              <w:top w:val="single" w:sz="4" w:space="0" w:color="808080" w:themeColor="background1" w:themeShade="80"/>
              <w:bottom w:val="single" w:sz="6" w:space="0" w:color="auto"/>
            </w:tcBorders>
          </w:tcPr>
          <w:p w14:paraId="521C206E" w14:textId="107D6160" w:rsidR="00D23E27" w:rsidRPr="00783571" w:rsidRDefault="00D23E27" w:rsidP="00A713E1">
            <w:pPr>
              <w:pStyle w:val="TableText"/>
              <w:ind w:right="150"/>
              <w:jc w:val="right"/>
            </w:pPr>
            <w:r w:rsidRPr="00783571">
              <w:t>1.10</w:t>
            </w:r>
          </w:p>
        </w:tc>
        <w:tc>
          <w:tcPr>
            <w:tcW w:w="1620" w:type="dxa"/>
            <w:vMerge/>
            <w:tcBorders>
              <w:bottom w:val="single" w:sz="6" w:space="0" w:color="auto"/>
            </w:tcBorders>
          </w:tcPr>
          <w:p w14:paraId="1C14F534" w14:textId="77777777" w:rsidR="00D23E27" w:rsidRPr="00783571" w:rsidRDefault="00D23E27" w:rsidP="00A713E1">
            <w:pPr>
              <w:pStyle w:val="TableText"/>
            </w:pPr>
          </w:p>
        </w:tc>
      </w:tr>
    </w:tbl>
    <w:p w14:paraId="0066B207" w14:textId="4F8312CF" w:rsidR="00740DFC" w:rsidRPr="00783571" w:rsidRDefault="00740DFC" w:rsidP="00814158">
      <w:pPr>
        <w:pStyle w:val="Source2"/>
      </w:pPr>
      <w:r w:rsidRPr="00783571">
        <w:t xml:space="preserve">Note: ART = antiretroviral therapy; HET = heterosexual; </w:t>
      </w:r>
      <w:r w:rsidR="00D568B5" w:rsidRPr="00783571">
        <w:t xml:space="preserve">PWID = people who inject drugs; </w:t>
      </w:r>
      <w:r w:rsidRPr="00783571">
        <w:t xml:space="preserve">VLS = viral </w:t>
      </w:r>
      <w:r w:rsidR="00D568B5" w:rsidRPr="00783571">
        <w:t xml:space="preserve">load </w:t>
      </w:r>
      <w:r w:rsidRPr="00783571">
        <w:t>suppress</w:t>
      </w:r>
      <w:r w:rsidR="00D568B5" w:rsidRPr="00783571">
        <w:t>ed</w:t>
      </w:r>
    </w:p>
    <w:p w14:paraId="3D79FFBD" w14:textId="1177491E" w:rsidR="00A67CF3" w:rsidRPr="00783571" w:rsidRDefault="00A67CF3" w:rsidP="00814158">
      <w:pPr>
        <w:pStyle w:val="Source3"/>
      </w:pPr>
      <w:r w:rsidRPr="00783571">
        <w:rPr>
          <w:vertAlign w:val="superscript"/>
        </w:rPr>
        <w:t xml:space="preserve">a </w:t>
      </w:r>
      <w:r w:rsidRPr="00783571">
        <w:t xml:space="preserve">Priority weights </w:t>
      </w:r>
      <w:r w:rsidR="00625716" w:rsidRPr="00783571">
        <w:t>of</w:t>
      </w:r>
      <w:r w:rsidRPr="00783571">
        <w:t xml:space="preserve"> 1 were assigned to all outcomes.</w:t>
      </w:r>
    </w:p>
    <w:p w14:paraId="52DD299E" w14:textId="3E7B96B7" w:rsidR="0016571A" w:rsidRPr="00783571" w:rsidRDefault="00A67CF3" w:rsidP="00814158">
      <w:pPr>
        <w:pStyle w:val="Source3"/>
      </w:pPr>
      <w:r w:rsidRPr="00783571">
        <w:rPr>
          <w:vertAlign w:val="superscript"/>
        </w:rPr>
        <w:t>b</w:t>
      </w:r>
      <w:r w:rsidRPr="00783571">
        <w:t xml:space="preserve"> </w:t>
      </w:r>
      <w:r w:rsidR="00E22356" w:rsidRPr="00783571">
        <w:t>Infections reported for the MSM/</w:t>
      </w:r>
      <w:r w:rsidR="005C4A38" w:rsidRPr="00783571">
        <w:t>PWID</w:t>
      </w:r>
      <w:r w:rsidR="00E22356" w:rsidRPr="00783571">
        <w:t xml:space="preserve"> transmission category in CDC (2012</w:t>
      </w:r>
      <w:r w:rsidR="00F20CA5" w:rsidRPr="00783571">
        <w:t>a</w:t>
      </w:r>
      <w:r w:rsidR="00E22356" w:rsidRPr="00783571">
        <w:t xml:space="preserve">) were allocated between MSM and </w:t>
      </w:r>
      <w:r w:rsidR="005C4A38" w:rsidRPr="00783571">
        <w:t>PWID</w:t>
      </w:r>
      <w:r w:rsidR="00AD5DBD" w:rsidRPr="00783571">
        <w:t xml:space="preserve"> males</w:t>
      </w:r>
      <w:r w:rsidR="00E22356" w:rsidRPr="00783571">
        <w:t>.</w:t>
      </w:r>
    </w:p>
    <w:p w14:paraId="7DFA7D0F" w14:textId="2BFBF768" w:rsidR="00707335" w:rsidRPr="00783571" w:rsidRDefault="00A67CF3" w:rsidP="00814158">
      <w:pPr>
        <w:pStyle w:val="Source3"/>
      </w:pPr>
      <w:r w:rsidRPr="00783571">
        <w:rPr>
          <w:vertAlign w:val="superscript"/>
        </w:rPr>
        <w:t>c</w:t>
      </w:r>
      <w:r w:rsidRPr="00783571">
        <w:t xml:space="preserve"> </w:t>
      </w:r>
      <w:r w:rsidR="000E6D70" w:rsidRPr="00783571">
        <w:t>Ranges provided by CDC</w:t>
      </w:r>
      <w:r w:rsidR="00B20EDC" w:rsidRPr="00783571">
        <w:t xml:space="preserve"> from unpublished analyses using CDC surveillance data</w:t>
      </w:r>
      <w:r w:rsidR="000E6D70" w:rsidRPr="00783571">
        <w:t>. Target value</w:t>
      </w:r>
      <w:r w:rsidR="00B20EDC" w:rsidRPr="00783571">
        <w:t>s were</w:t>
      </w:r>
      <w:r w:rsidR="000E6D70" w:rsidRPr="00783571">
        <w:t xml:space="preserve"> set to the midpoint</w:t>
      </w:r>
      <w:r w:rsidR="00B20EDC" w:rsidRPr="00783571">
        <w:t>s</w:t>
      </w:r>
      <w:r w:rsidR="000E6D70" w:rsidRPr="00783571">
        <w:t xml:space="preserve"> of </w:t>
      </w:r>
      <w:r w:rsidR="00B20EDC" w:rsidRPr="00783571">
        <w:t xml:space="preserve">the </w:t>
      </w:r>
      <w:r w:rsidR="000E6D70" w:rsidRPr="00783571">
        <w:t>range</w:t>
      </w:r>
      <w:r w:rsidR="00B20EDC" w:rsidRPr="00783571">
        <w:t>s</w:t>
      </w:r>
      <w:r w:rsidR="000E6D70" w:rsidRPr="00783571">
        <w:t>.</w:t>
      </w:r>
    </w:p>
    <w:p w14:paraId="4FBC6C72" w14:textId="042E66EC" w:rsidR="00707335" w:rsidRPr="00783571" w:rsidRDefault="00A67CF3" w:rsidP="00814158">
      <w:pPr>
        <w:pStyle w:val="Source3"/>
      </w:pPr>
      <w:r w:rsidRPr="00783571">
        <w:rPr>
          <w:vertAlign w:val="superscript"/>
        </w:rPr>
        <w:t>d</w:t>
      </w:r>
      <w:r w:rsidRPr="00783571">
        <w:t xml:space="preserve"> </w:t>
      </w:r>
      <w:r w:rsidR="00BC0FF2" w:rsidRPr="00783571">
        <w:t>Bounds were calculated as 75% and 100%, respectively, of the number of new diagnoses in 2013 by race/eth</w:t>
      </w:r>
      <w:r w:rsidR="008E4A7C" w:rsidRPr="00783571">
        <w:t>nicity</w:t>
      </w:r>
      <w:r w:rsidR="00BC0FF2" w:rsidRPr="00783571">
        <w:t xml:space="preserve">, per CDC (2014) </w:t>
      </w:r>
      <w:r w:rsidR="00814158" w:rsidRPr="00783571">
        <w:t>Table </w:t>
      </w:r>
      <w:r w:rsidR="00BC0FF2" w:rsidRPr="00783571">
        <w:t xml:space="preserve">1a, which reports the </w:t>
      </w:r>
      <w:r w:rsidR="008E4A7C" w:rsidRPr="00783571">
        <w:t>d</w:t>
      </w:r>
      <w:r w:rsidR="00BC0FF2" w:rsidRPr="00783571">
        <w:t xml:space="preserve">iagnoses of HIV infection, by year of diagnosis and selected characteristics. Target values were set to the midpoints of those ranges. This method was recommended by </w:t>
      </w:r>
      <w:r w:rsidR="00B20EDC" w:rsidRPr="00783571">
        <w:t xml:space="preserve">CDC </w:t>
      </w:r>
      <w:r w:rsidR="00BC0FF2" w:rsidRPr="00783571">
        <w:t>expert opinion.</w:t>
      </w:r>
    </w:p>
    <w:p w14:paraId="3F8FF8D3" w14:textId="3F438984" w:rsidR="00E22356" w:rsidRPr="00783571" w:rsidRDefault="00A67CF3" w:rsidP="00814158">
      <w:pPr>
        <w:pStyle w:val="Source4"/>
      </w:pPr>
      <w:r w:rsidRPr="00783571">
        <w:rPr>
          <w:vertAlign w:val="superscript"/>
        </w:rPr>
        <w:t>e</w:t>
      </w:r>
      <w:r w:rsidRPr="00783571">
        <w:t xml:space="preserve"> </w:t>
      </w:r>
      <w:r w:rsidR="00BC0FF2" w:rsidRPr="00783571">
        <w:t>Assumed that calibration must show relatively stable prevalence within HET risk groups over time.</w:t>
      </w:r>
    </w:p>
    <w:p w14:paraId="38031AFA" w14:textId="77777777" w:rsidR="00740DFC" w:rsidRPr="00783571" w:rsidRDefault="00740DFC" w:rsidP="00740DFC">
      <w:pPr>
        <w:pStyle w:val="Heading2"/>
      </w:pPr>
      <w:bookmarkStart w:id="133" w:name="_Toc510104491"/>
      <w:r w:rsidRPr="00783571">
        <w:t>Internal and External Validation of the Model</w:t>
      </w:r>
      <w:bookmarkEnd w:id="133"/>
    </w:p>
    <w:p w14:paraId="6A2EB984" w14:textId="40B6B891" w:rsidR="00740DFC" w:rsidRPr="00783571" w:rsidRDefault="00740DFC" w:rsidP="00DD62F8">
      <w:pPr>
        <w:pStyle w:val="BodyText"/>
      </w:pPr>
      <w:r w:rsidRPr="00783571">
        <w:t xml:space="preserve">We conducted a thorough quality check of the model’s inputs, calculations, and differential equations. </w:t>
      </w:r>
      <w:r w:rsidR="00DD62F8" w:rsidRPr="00783571">
        <w:t xml:space="preserve">An earlier version of this </w:t>
      </w:r>
      <w:r w:rsidRPr="00783571">
        <w:t>model was also reviewed by experts in differential equation modeling of HIV, Drs. Michael Pickles and Marie-Claude Boily, both of the Imperial College of London.</w:t>
      </w:r>
    </w:p>
    <w:p w14:paraId="114981CF" w14:textId="1CFF70FD" w:rsidR="00EA28C8" w:rsidRPr="00783571" w:rsidRDefault="00740DFC" w:rsidP="00E22356">
      <w:pPr>
        <w:pStyle w:val="BodyText"/>
      </w:pPr>
      <w:r w:rsidRPr="00783571">
        <w:t xml:space="preserve">We compared our model’s outcomes to CDC surveillance data as listed in </w:t>
      </w:r>
      <w:r w:rsidR="00814158" w:rsidRPr="00783571">
        <w:t>Table </w:t>
      </w:r>
      <w:r w:rsidR="00CC1DD7" w:rsidRPr="00783571">
        <w:t>11.</w:t>
      </w:r>
      <w:r w:rsidRPr="00783571">
        <w:t xml:space="preserve">3. Estimated new infections by transmission group and distributions of the HIV-infected population across the continuum-of-care stages were used for calibration as described in </w:t>
      </w:r>
      <w:r w:rsidR="00CA2896" w:rsidRPr="00783571">
        <w:t>Section </w:t>
      </w:r>
      <w:r w:rsidR="00D23E27" w:rsidRPr="00783571">
        <w:t>11</w:t>
      </w:r>
      <w:r w:rsidRPr="00783571">
        <w:t xml:space="preserve">.1. </w:t>
      </w:r>
      <w:r w:rsidR="002B7472" w:rsidRPr="00783571">
        <w:t>T</w:t>
      </w:r>
      <w:r w:rsidRPr="00783571">
        <w:t>he model’s values for all outcomes</w:t>
      </w:r>
      <w:r w:rsidR="002B7472" w:rsidRPr="00783571">
        <w:t xml:space="preserve"> targeted</w:t>
      </w:r>
      <w:r w:rsidRPr="00783571">
        <w:t xml:space="preserve"> were within the</w:t>
      </w:r>
      <w:r w:rsidR="002B7472" w:rsidRPr="00783571">
        <w:t>ir</w:t>
      </w:r>
      <w:r w:rsidRPr="00783571">
        <w:t xml:space="preserve"> target range</w:t>
      </w:r>
      <w:r w:rsidR="002B7472" w:rsidRPr="00783571">
        <w:t>s</w:t>
      </w:r>
      <w:r w:rsidRPr="00783571">
        <w:t>; most were within 5% of the target data point.</w:t>
      </w:r>
    </w:p>
    <w:p w14:paraId="62AA96EA" w14:textId="77777777" w:rsidR="00707335" w:rsidRPr="00783571" w:rsidRDefault="00707335" w:rsidP="00E22356">
      <w:pPr>
        <w:pStyle w:val="BodyText"/>
      </w:pPr>
    </w:p>
    <w:p w14:paraId="70C442B8" w14:textId="77777777" w:rsidR="00A424BD" w:rsidRPr="00783571" w:rsidRDefault="00A424BD" w:rsidP="007E295A">
      <w:pPr>
        <w:pStyle w:val="Heading1"/>
        <w:pageBreakBefore/>
        <w:sectPr w:rsidR="00A424BD" w:rsidRPr="00783571" w:rsidSect="008A678D">
          <w:headerReference w:type="default" r:id="rId151"/>
          <w:type w:val="oddPage"/>
          <w:pgSz w:w="12240" w:h="15840" w:code="1"/>
          <w:pgMar w:top="1440" w:right="1440" w:bottom="1440" w:left="1440" w:header="720" w:footer="720" w:gutter="0"/>
          <w:pgNumType w:start="1" w:chapStyle="1"/>
          <w:cols w:space="720"/>
          <w:titlePg/>
          <w:docGrid w:linePitch="360"/>
        </w:sectPr>
      </w:pPr>
    </w:p>
    <w:p w14:paraId="6CEB1BA3" w14:textId="433F5C49" w:rsidR="00A60B0A" w:rsidRPr="00783571" w:rsidRDefault="00A60B0A" w:rsidP="007E295A">
      <w:pPr>
        <w:pStyle w:val="Heading1"/>
        <w:pageBreakBefore/>
      </w:pPr>
      <w:bookmarkStart w:id="134" w:name="_Toc510104492"/>
      <w:r w:rsidRPr="00783571">
        <w:t xml:space="preserve">Model Sensitivity </w:t>
      </w:r>
      <w:r w:rsidR="004F1763" w:rsidRPr="00783571">
        <w:t xml:space="preserve">and Uncertainty </w:t>
      </w:r>
      <w:r w:rsidRPr="00783571">
        <w:t>Analyses</w:t>
      </w:r>
      <w:bookmarkEnd w:id="134"/>
    </w:p>
    <w:p w14:paraId="4E2684E9" w14:textId="33AFD186" w:rsidR="00081110" w:rsidRPr="00783571" w:rsidRDefault="004F1763" w:rsidP="00B646B0">
      <w:pPr>
        <w:pStyle w:val="BodyText"/>
      </w:pPr>
      <w:r w:rsidRPr="00783571">
        <w:t>To explore the HOPE model’s sensitivity to its input values for this particular analysis</w:t>
      </w:r>
      <w:r w:rsidR="00081110" w:rsidRPr="00783571">
        <w:t xml:space="preserve">, we </w:t>
      </w:r>
      <w:r w:rsidR="00BC2F21" w:rsidRPr="00783571">
        <w:t xml:space="preserve">applied the </w:t>
      </w:r>
      <w:r w:rsidRPr="00783571">
        <w:t>elementary effects</w:t>
      </w:r>
      <w:r w:rsidR="00BC2F21" w:rsidRPr="00783571">
        <w:t xml:space="preserve"> method</w:t>
      </w:r>
      <w:r w:rsidRPr="00783571">
        <w:t xml:space="preserve"> and </w:t>
      </w:r>
      <w:r w:rsidR="00BC2F21" w:rsidRPr="00783571">
        <w:t xml:space="preserve">conducted </w:t>
      </w:r>
      <w:r w:rsidRPr="00783571">
        <w:t>one-way sensitivity analysis. We also studied the HOPE model’s uncertainty</w:t>
      </w:r>
      <w:r w:rsidR="00BC2F21" w:rsidRPr="00783571">
        <w:t>. Details on the methods and results of these analyses</w:t>
      </w:r>
      <w:r w:rsidR="00081110" w:rsidRPr="00783571">
        <w:t xml:space="preserve"> </w:t>
      </w:r>
      <w:r w:rsidR="00BC2F21" w:rsidRPr="00783571">
        <w:t>are outlin</w:t>
      </w:r>
      <w:r w:rsidR="00081110" w:rsidRPr="00783571">
        <w:t>ed in the sections below.</w:t>
      </w:r>
    </w:p>
    <w:p w14:paraId="400C38C2" w14:textId="2C23C3B0" w:rsidR="00A60B0A" w:rsidRPr="00783571" w:rsidRDefault="008E4542" w:rsidP="008E4542">
      <w:pPr>
        <w:pStyle w:val="Heading2"/>
      </w:pPr>
      <w:bookmarkStart w:id="135" w:name="_Toc510104493"/>
      <w:r w:rsidRPr="00783571">
        <w:t>E</w:t>
      </w:r>
      <w:r w:rsidR="00A60B0A" w:rsidRPr="00783571">
        <w:t xml:space="preserve">lementary </w:t>
      </w:r>
      <w:r w:rsidR="00C5761E" w:rsidRPr="00783571">
        <w:t>E</w:t>
      </w:r>
      <w:r w:rsidR="00A60B0A" w:rsidRPr="00783571">
        <w:t>ffects</w:t>
      </w:r>
      <w:r w:rsidRPr="00783571">
        <w:t xml:space="preserve"> </w:t>
      </w:r>
      <w:r w:rsidR="00C5761E" w:rsidRPr="00783571">
        <w:t>M</w:t>
      </w:r>
      <w:r w:rsidRPr="00783571">
        <w:t>ethod</w:t>
      </w:r>
      <w:bookmarkEnd w:id="135"/>
    </w:p>
    <w:p w14:paraId="6F402D98" w14:textId="564529DF" w:rsidR="007C329F" w:rsidRPr="00783571" w:rsidRDefault="007C329F" w:rsidP="007C329F">
      <w:pPr>
        <w:pStyle w:val="BodyText"/>
      </w:pPr>
      <w:r w:rsidRPr="00783571">
        <w:t>The elementary effects method (based on Morris [1991]) is recognized as an efficient and effective mechanism for conducting screening (Saltelli</w:t>
      </w:r>
      <w:r w:rsidR="00C5761E" w:rsidRPr="00783571">
        <w:t xml:space="preserve"> et al.,</w:t>
      </w:r>
      <w:r w:rsidRPr="00783571">
        <w:t xml:space="preserve"> 2004</w:t>
      </w:r>
      <w:r w:rsidR="00C5761E" w:rsidRPr="00783571">
        <w:t>; Wu et al., 2013</w:t>
      </w:r>
      <w:r w:rsidRPr="00783571">
        <w:t>) to identify inputs to which a model’s output is sensitive</w:t>
      </w:r>
      <w:r w:rsidR="00C5761E" w:rsidRPr="00783571">
        <w:t>. This method</w:t>
      </w:r>
      <w:r w:rsidRPr="00783571">
        <w:t xml:space="preserve"> is often used to select inputs to vary in a calibration or uncertainty analysis.</w:t>
      </w:r>
    </w:p>
    <w:p w14:paraId="4FBCC3F0" w14:textId="76014262" w:rsidR="0016571A" w:rsidRPr="00783571" w:rsidRDefault="007C329F" w:rsidP="00E85ABB">
      <w:pPr>
        <w:pStyle w:val="BodyText"/>
        <w:rPr>
          <w:iCs/>
        </w:rPr>
      </w:pPr>
      <w:r w:rsidRPr="00783571">
        <w:t xml:space="preserve">Unlike the </w:t>
      </w:r>
      <w:r w:rsidR="00255E9C" w:rsidRPr="00783571">
        <w:t xml:space="preserve">commonly </w:t>
      </w:r>
      <w:r w:rsidRPr="00783571">
        <w:t xml:space="preserve">used one-way sensitivity analysis method, elementary effects measure the effects of changes in each input at multiple locations across the possible parameter space. </w:t>
      </w:r>
      <w:r w:rsidR="00D23E27" w:rsidRPr="00783571">
        <w:t>The elementary effects method calculates the effects of changes in each input over multiple model iterations. With an increasing number of iterations, there is increased coverage of the parameter space and consideration of interaction effects between parameters. If only a single iteration is performed, then the elementary effect is highly dependent on the initial point in the parameter space and does not account for interactions between parameters (Herman et al., 2013). Using the elementary effects method</w:t>
      </w:r>
      <w:r w:rsidR="00454562" w:rsidRPr="00783571">
        <w:t xml:space="preserve">, two measures are computed for each input: </w:t>
      </w:r>
      <w:r w:rsidR="00B9184A" w:rsidRPr="00783571">
        <w:t>(a) </w:t>
      </w:r>
      <w:r w:rsidR="00454562" w:rsidRPr="00783571">
        <w:t>the mean of the absolute values of elementary effects of the input, which is a measure of</w:t>
      </w:r>
      <w:r w:rsidR="00625716" w:rsidRPr="00783571">
        <w:t xml:space="preserve"> the</w:t>
      </w:r>
      <w:r w:rsidR="00454562" w:rsidRPr="00783571">
        <w:t xml:space="preserve"> overall effect of the input on the outcome; and </w:t>
      </w:r>
      <w:r w:rsidR="00B9184A" w:rsidRPr="00783571">
        <w:t>(b) </w:t>
      </w:r>
      <w:r w:rsidR="00454562" w:rsidRPr="00783571">
        <w:t xml:space="preserve">the standard deviation of the elementary effects of the input, which is a measure of the nonlinearity of that input’s effect on the outcome. These two statistics can then be used to identify the degree of effect of each input the </w:t>
      </w:r>
      <w:r w:rsidR="003D0938" w:rsidRPr="00783571">
        <w:t xml:space="preserve">observed </w:t>
      </w:r>
      <w:r w:rsidR="00454562" w:rsidRPr="00783571">
        <w:t>outcome.</w:t>
      </w:r>
      <w:r w:rsidR="00E748ED" w:rsidRPr="00783571">
        <w:t xml:space="preserve"> The mean of absolute elementary effects and the standard deviation of elementary effects are </w:t>
      </w:r>
      <w:r w:rsidR="00625716" w:rsidRPr="00783571">
        <w:t xml:space="preserve">denoted </w:t>
      </w:r>
      <w:r w:rsidR="00E748ED" w:rsidRPr="00783571">
        <w:t xml:space="preserve">by the Greek letters </w:t>
      </w:r>
      <w:r w:rsidR="00E748ED" w:rsidRPr="00783571">
        <w:rPr>
          <w:iCs/>
        </w:rPr>
        <w:t xml:space="preserve">μ and σ, respectively. </w:t>
      </w:r>
      <w:r w:rsidR="00E85ABB" w:rsidRPr="00783571">
        <w:rPr>
          <w:iCs/>
        </w:rPr>
        <w:t>We note that t</w:t>
      </w:r>
      <w:r w:rsidR="00E748ED" w:rsidRPr="00783571">
        <w:rPr>
          <w:iCs/>
        </w:rPr>
        <w:t>he</w:t>
      </w:r>
      <w:r w:rsidR="00933A43" w:rsidRPr="00783571">
        <w:rPr>
          <w:iCs/>
        </w:rPr>
        <w:t xml:space="preserve">se two Greek letters are used elsewhere in this document to represent selected model parameters (see </w:t>
      </w:r>
      <w:r w:rsidR="00814158" w:rsidRPr="00783571">
        <w:rPr>
          <w:iCs/>
        </w:rPr>
        <w:t>Table </w:t>
      </w:r>
      <w:r w:rsidR="00933A43" w:rsidRPr="00783571">
        <w:rPr>
          <w:iCs/>
        </w:rPr>
        <w:t>A.1 in the appendix</w:t>
      </w:r>
      <w:r w:rsidR="00E85ABB" w:rsidRPr="00783571">
        <w:rPr>
          <w:iCs/>
        </w:rPr>
        <w:t xml:space="preserve"> for definitions</w:t>
      </w:r>
      <w:r w:rsidR="00933A43" w:rsidRPr="00783571">
        <w:rPr>
          <w:iCs/>
        </w:rPr>
        <w:t>)</w:t>
      </w:r>
      <w:r w:rsidR="00F113A0" w:rsidRPr="00783571">
        <w:rPr>
          <w:iCs/>
        </w:rPr>
        <w:t>;</w:t>
      </w:r>
      <w:r w:rsidR="00933A43" w:rsidRPr="00783571">
        <w:rPr>
          <w:iCs/>
        </w:rPr>
        <w:t xml:space="preserve"> however</w:t>
      </w:r>
      <w:r w:rsidR="00632B60" w:rsidRPr="00783571">
        <w:rPr>
          <w:iCs/>
        </w:rPr>
        <w:t>,</w:t>
      </w:r>
      <w:r w:rsidR="00933A43" w:rsidRPr="00783571">
        <w:rPr>
          <w:iCs/>
        </w:rPr>
        <w:t xml:space="preserve"> we are using them</w:t>
      </w:r>
      <w:r w:rsidR="00625716" w:rsidRPr="00783571">
        <w:rPr>
          <w:iCs/>
        </w:rPr>
        <w:t xml:space="preserve"> in this section</w:t>
      </w:r>
      <w:r w:rsidR="00933A43" w:rsidRPr="00783571">
        <w:rPr>
          <w:iCs/>
        </w:rPr>
        <w:t xml:space="preserve"> to represent the key outcomes of the elementary effects method</w:t>
      </w:r>
      <w:r w:rsidR="00E748ED" w:rsidRPr="00783571">
        <w:rPr>
          <w:iCs/>
        </w:rPr>
        <w:t xml:space="preserve"> </w:t>
      </w:r>
      <w:r w:rsidR="00E85ABB" w:rsidRPr="00783571">
        <w:rPr>
          <w:iCs/>
        </w:rPr>
        <w:t xml:space="preserve">to be consistent with standard elementary effects </w:t>
      </w:r>
      <w:r w:rsidR="008C5564" w:rsidRPr="00783571">
        <w:rPr>
          <w:iCs/>
        </w:rPr>
        <w:t xml:space="preserve">terminology </w:t>
      </w:r>
      <w:r w:rsidR="00901AE9" w:rsidRPr="00783571">
        <w:rPr>
          <w:iCs/>
        </w:rPr>
        <w:t>(Morris [1991], Saltelli et al., 2004)</w:t>
      </w:r>
      <w:r w:rsidR="00E85ABB" w:rsidRPr="00783571">
        <w:rPr>
          <w:iCs/>
        </w:rPr>
        <w:t>.</w:t>
      </w:r>
    </w:p>
    <w:p w14:paraId="2F242468" w14:textId="4689B9E7" w:rsidR="0016571A" w:rsidRPr="00783571" w:rsidRDefault="001D3B67" w:rsidP="008A16BA">
      <w:pPr>
        <w:pStyle w:val="BodyText"/>
      </w:pPr>
      <w:r w:rsidRPr="00783571">
        <w:t xml:space="preserve">When we implemented the elementary effects method in this analysis, we varied 52 inputs; they were selected based on uncertainty about their values and whether their values may depend on program implementation. All selected inputs were varied within ±50% of their </w:t>
      </w:r>
      <w:r w:rsidR="00C96D72" w:rsidRPr="00783571">
        <w:t>base case</w:t>
      </w:r>
      <w:r w:rsidRPr="00783571">
        <w:t xml:space="preserve"> values in each of 10 iterations. We observed the elementary effect of each input change on the key outcome</w:t>
      </w:r>
      <w:r w:rsidR="00E132A5" w:rsidRPr="00783571">
        <w:t>:</w:t>
      </w:r>
      <w:r w:rsidRPr="00783571">
        <w:t xml:space="preserve"> total U.S. HIV incidence in 2020.</w:t>
      </w:r>
    </w:p>
    <w:p w14:paraId="5F408C9E" w14:textId="17B5A914" w:rsidR="000677DE" w:rsidRPr="00783571" w:rsidRDefault="000677DE" w:rsidP="003E456A">
      <w:pPr>
        <w:pStyle w:val="BodyText"/>
        <w:keepNext/>
      </w:pPr>
      <w:r w:rsidRPr="00783571">
        <w:t>We conducted the elementary effects method by using the following process:</w:t>
      </w:r>
    </w:p>
    <w:p w14:paraId="37F05E94" w14:textId="77777777" w:rsidR="0016571A" w:rsidRPr="00783571" w:rsidRDefault="000677DE" w:rsidP="00A424BD">
      <w:pPr>
        <w:pStyle w:val="bullets-blank"/>
        <w:numPr>
          <w:ilvl w:val="0"/>
          <w:numId w:val="39"/>
        </w:numPr>
      </w:pPr>
      <w:r w:rsidRPr="00783571">
        <w:t xml:space="preserve">Identified the </w:t>
      </w:r>
      <w:r w:rsidR="00E748ED" w:rsidRPr="00783571">
        <w:rPr>
          <w:i/>
          <w:iCs/>
        </w:rPr>
        <w:t>Z</w:t>
      </w:r>
      <w:r w:rsidR="00E132A5" w:rsidRPr="00783571">
        <w:rPr>
          <w:i/>
          <w:iCs/>
        </w:rPr>
        <w:t xml:space="preserve"> </w:t>
      </w:r>
      <w:r w:rsidR="008C735E" w:rsidRPr="00783571">
        <w:t>=</w:t>
      </w:r>
      <w:r w:rsidR="00E132A5" w:rsidRPr="00783571">
        <w:t xml:space="preserve"> </w:t>
      </w:r>
      <w:r w:rsidR="001D3B67" w:rsidRPr="00783571">
        <w:t>5</w:t>
      </w:r>
      <w:r w:rsidRPr="00783571">
        <w:t>2 inputs to vary</w:t>
      </w:r>
      <w:r w:rsidR="007726FE" w:rsidRPr="00783571">
        <w:t xml:space="preserve"> </w:t>
      </w:r>
      <w:r w:rsidR="001D3B67" w:rsidRPr="00783571">
        <w:t>and</w:t>
      </w:r>
      <w:r w:rsidRPr="00783571">
        <w:t xml:space="preserve"> the key outcome against which the sensitivity of each input is measured, </w:t>
      </w:r>
      <w:r w:rsidR="001D3B67" w:rsidRPr="00783571">
        <w:t>total U.S. HIV incidence in 2020</w:t>
      </w:r>
      <w:r w:rsidRPr="00783571">
        <w:t>.</w:t>
      </w:r>
    </w:p>
    <w:p w14:paraId="4B2C4D47" w14:textId="295CA3F6" w:rsidR="000677DE" w:rsidRPr="00783571" w:rsidRDefault="000677DE" w:rsidP="00A424BD">
      <w:pPr>
        <w:pStyle w:val="bullets-blank"/>
        <w:numPr>
          <w:ilvl w:val="0"/>
          <w:numId w:val="39"/>
        </w:numPr>
      </w:pPr>
      <w:r w:rsidRPr="00783571">
        <w:t xml:space="preserve">Specified ranges over which to vary the </w:t>
      </w:r>
      <w:r w:rsidR="00E748ED" w:rsidRPr="00783571">
        <w:rPr>
          <w:i/>
          <w:iCs/>
        </w:rPr>
        <w:t>Z</w:t>
      </w:r>
      <w:r w:rsidRPr="00783571">
        <w:t xml:space="preserve"> inputs. A uniform distribution was assumed</w:t>
      </w:r>
      <w:r w:rsidR="00054325" w:rsidRPr="00783571">
        <w:t xml:space="preserve"> for each range</w:t>
      </w:r>
      <w:r w:rsidRPr="00783571">
        <w:t>. All inputs not selected to vary remained at their base values for every model run.</w:t>
      </w:r>
    </w:p>
    <w:p w14:paraId="2947502D" w14:textId="0B10E5D9" w:rsidR="0016571A" w:rsidRPr="00783571" w:rsidRDefault="00783571" w:rsidP="00A424BD">
      <w:pPr>
        <w:pStyle w:val="bullets-blank"/>
        <w:numPr>
          <w:ilvl w:val="0"/>
          <w:numId w:val="39"/>
        </w:numPr>
      </w:pPr>
      <w:r>
        <w:t>Ra</w:t>
      </w:r>
      <w:r w:rsidR="008C735E" w:rsidRPr="00783571">
        <w:t xml:space="preserve">n </w:t>
      </w:r>
      <w:r w:rsidR="00E748ED" w:rsidRPr="00783571">
        <w:rPr>
          <w:i/>
          <w:iCs/>
        </w:rPr>
        <w:t>Л</w:t>
      </w:r>
      <w:r w:rsidR="008C735E" w:rsidRPr="00783571">
        <w:t>=10</w:t>
      </w:r>
      <w:r w:rsidR="000677DE" w:rsidRPr="00783571">
        <w:t xml:space="preserve"> iterations (</w:t>
      </w:r>
      <w:r w:rsidR="00E748ED" w:rsidRPr="00783571">
        <w:rPr>
          <w:i/>
          <w:iCs/>
        </w:rPr>
        <w:t>Л</w:t>
      </w:r>
      <w:r w:rsidR="000677DE" w:rsidRPr="00783571">
        <w:t>).</w:t>
      </w:r>
      <w:r w:rsidR="003D0938" w:rsidRPr="00783571">
        <w:t xml:space="preserve"> The number of iterations determined both the number of trials for measuring the elementary effects and the number of equal </w:t>
      </w:r>
      <w:r w:rsidR="00625716" w:rsidRPr="00783571">
        <w:t xml:space="preserve">segments </w:t>
      </w:r>
      <w:r w:rsidR="003D0938" w:rsidRPr="00783571">
        <w:t xml:space="preserve">across the input’s range that </w:t>
      </w:r>
      <w:r w:rsidR="001A1111" w:rsidRPr="00783571">
        <w:t>we</w:t>
      </w:r>
      <w:r w:rsidR="003D0938" w:rsidRPr="00783571">
        <w:t>re considered for sampling input values (without replacement).</w:t>
      </w:r>
      <w:r w:rsidR="000677DE" w:rsidRPr="00783571">
        <w:t xml:space="preserve"> </w:t>
      </w:r>
      <w:r w:rsidR="008C735E" w:rsidRPr="00783571">
        <w:t>T</w:t>
      </w:r>
      <w:r w:rsidR="000677DE" w:rsidRPr="00783571">
        <w:t>he number of model runs required to complete the</w:t>
      </w:r>
      <w:r w:rsidR="000D648F" w:rsidRPr="00783571">
        <w:t xml:space="preserve"> analysis is given by Equation </w:t>
      </w:r>
      <w:r w:rsidR="00CC1DD7" w:rsidRPr="00783571">
        <w:t>12.</w:t>
      </w:r>
      <w:r w:rsidR="000D648F" w:rsidRPr="00783571">
        <w:t>1</w:t>
      </w:r>
      <w:r w:rsidR="000677DE" w:rsidRPr="00783571">
        <w:t>.</w:t>
      </w:r>
    </w:p>
    <w:p w14:paraId="651ABD88" w14:textId="1B691495" w:rsidR="002B1529" w:rsidRPr="00783571" w:rsidRDefault="000677DE" w:rsidP="002B1529">
      <w:pPr>
        <w:pStyle w:val="equation"/>
        <w:rPr>
          <w:lang w:val="en-US"/>
        </w:rPr>
      </w:pPr>
      <w:r w:rsidRPr="00783571">
        <w:rPr>
          <w:lang w:val="en-US"/>
        </w:rPr>
        <w:tab/>
        <w:t>Number of model runs required = (</w:t>
      </w:r>
      <w:r w:rsidR="00E748ED" w:rsidRPr="00783571">
        <w:rPr>
          <w:i/>
          <w:iCs/>
          <w:lang w:val="en-US"/>
        </w:rPr>
        <w:t>Z</w:t>
      </w:r>
      <w:r w:rsidRPr="00783571">
        <w:rPr>
          <w:lang w:val="en-US"/>
        </w:rPr>
        <w:t xml:space="preserve"> +</w:t>
      </w:r>
      <w:r w:rsidR="00C5761E" w:rsidRPr="00783571">
        <w:rPr>
          <w:lang w:val="en-US"/>
        </w:rPr>
        <w:t xml:space="preserve"> </w:t>
      </w:r>
      <w:r w:rsidRPr="00783571">
        <w:rPr>
          <w:lang w:val="en-US"/>
        </w:rPr>
        <w:t>1) × (</w:t>
      </w:r>
      <w:r w:rsidR="00E748ED" w:rsidRPr="00783571">
        <w:rPr>
          <w:i/>
          <w:iCs/>
          <w:lang w:val="en-US"/>
        </w:rPr>
        <w:t>Л</w:t>
      </w:r>
      <w:r w:rsidRPr="00783571">
        <w:rPr>
          <w:lang w:val="en-US"/>
        </w:rPr>
        <w:t>)</w:t>
      </w:r>
      <w:r w:rsidRPr="00783571">
        <w:rPr>
          <w:lang w:val="en-US"/>
        </w:rPr>
        <w:tab/>
        <w:t>(</w:t>
      </w:r>
      <w:r w:rsidR="00CC1DD7" w:rsidRPr="00783571">
        <w:rPr>
          <w:lang w:val="en-US"/>
        </w:rPr>
        <w:t>12.</w:t>
      </w:r>
      <w:r w:rsidRPr="00783571">
        <w:rPr>
          <w:lang w:val="en-US"/>
        </w:rPr>
        <w:t>1)</w:t>
      </w:r>
    </w:p>
    <w:p w14:paraId="6AA7270E" w14:textId="365849C1" w:rsidR="008C735E" w:rsidRPr="00783571" w:rsidRDefault="008C735E" w:rsidP="002B1529">
      <w:pPr>
        <w:pStyle w:val="bullets-blank"/>
      </w:pPr>
      <w:r w:rsidRPr="00783571">
        <w:tab/>
        <w:t xml:space="preserve">Based on Equation </w:t>
      </w:r>
      <w:r w:rsidR="00CC1DD7" w:rsidRPr="00783571">
        <w:t>12.</w:t>
      </w:r>
      <w:r w:rsidRPr="00783571">
        <w:t>1, this analysis</w:t>
      </w:r>
      <w:r w:rsidR="00307944" w:rsidRPr="00783571">
        <w:t xml:space="preserve"> would</w:t>
      </w:r>
      <w:r w:rsidRPr="00783571">
        <w:t xml:space="preserve"> require </w:t>
      </w:r>
      <w:r w:rsidR="001D3B67" w:rsidRPr="00783571">
        <w:t>5</w:t>
      </w:r>
      <w:r w:rsidRPr="00783571">
        <w:t>30 model runs ([</w:t>
      </w:r>
      <w:r w:rsidR="001D3B67" w:rsidRPr="00783571">
        <w:t>5</w:t>
      </w:r>
      <w:r w:rsidRPr="00783571">
        <w:t>2 + 1] x [10])</w:t>
      </w:r>
      <w:r w:rsidR="00E132A5" w:rsidRPr="00783571">
        <w:t>.</w:t>
      </w:r>
    </w:p>
    <w:p w14:paraId="488F2489" w14:textId="65AD0D25" w:rsidR="000677DE" w:rsidRPr="00783571" w:rsidRDefault="001A1111" w:rsidP="00E85ABB">
      <w:pPr>
        <w:pStyle w:val="bullets-blank"/>
        <w:numPr>
          <w:ilvl w:val="0"/>
          <w:numId w:val="39"/>
        </w:numPr>
      </w:pPr>
      <w:r w:rsidRPr="00783571">
        <w:t>Using LHS, c</w:t>
      </w:r>
      <w:r w:rsidR="003D0938" w:rsidRPr="00783571">
        <w:t xml:space="preserve">hose for each of the selected inputs one of the 10 segments and applied the randomly selected value from that segment. </w:t>
      </w:r>
      <w:r w:rsidRPr="00783571">
        <w:t>This process g</w:t>
      </w:r>
      <w:r w:rsidR="000677DE" w:rsidRPr="00783571">
        <w:t>enerate</w:t>
      </w:r>
      <w:r w:rsidR="008C735E" w:rsidRPr="00783571">
        <w:t>d</w:t>
      </w:r>
      <w:r w:rsidR="000677DE" w:rsidRPr="00783571">
        <w:t xml:space="preserve"> </w:t>
      </w:r>
      <w:r w:rsidR="00E748ED" w:rsidRPr="00783571">
        <w:rPr>
          <w:i/>
          <w:iCs/>
        </w:rPr>
        <w:t>Л</w:t>
      </w:r>
      <w:r w:rsidR="00F97B51" w:rsidRPr="00783571">
        <w:t xml:space="preserve"> </w:t>
      </w:r>
      <w:r w:rsidR="008C735E" w:rsidRPr="00783571">
        <w:t>=10</w:t>
      </w:r>
      <w:r w:rsidR="000677DE" w:rsidRPr="00783571">
        <w:t xml:space="preserve"> values for each of the </w:t>
      </w:r>
      <w:r w:rsidR="00E748ED" w:rsidRPr="00783571">
        <w:rPr>
          <w:i/>
          <w:iCs/>
        </w:rPr>
        <w:t>Z</w:t>
      </w:r>
      <w:r w:rsidR="000677DE" w:rsidRPr="00783571">
        <w:t xml:space="preserve"> inputs to be considered in the sensitivity analysis by using LHS sampling from each of the </w:t>
      </w:r>
      <w:r w:rsidR="00E748ED" w:rsidRPr="00783571">
        <w:rPr>
          <w:i/>
          <w:iCs/>
        </w:rPr>
        <w:t>Л</w:t>
      </w:r>
      <w:r w:rsidR="00F97B51" w:rsidRPr="00783571">
        <w:t xml:space="preserve"> </w:t>
      </w:r>
      <w:r w:rsidR="008C735E" w:rsidRPr="00783571">
        <w:t>=10</w:t>
      </w:r>
      <w:r w:rsidR="000677DE" w:rsidRPr="00783571">
        <w:t xml:space="preserve"> </w:t>
      </w:r>
      <w:r w:rsidR="001E6F8B" w:rsidRPr="00783571">
        <w:t>segments</w:t>
      </w:r>
      <w:r w:rsidR="000677DE" w:rsidRPr="00783571">
        <w:t xml:space="preserve"> of the inputs’ distributions. We will </w:t>
      </w:r>
      <w:r w:rsidR="008C735E" w:rsidRPr="00783571">
        <w:t>refer to</w:t>
      </w:r>
      <w:r w:rsidR="000677DE" w:rsidRPr="00783571">
        <w:t xml:space="preserve"> the </w:t>
      </w:r>
      <w:r w:rsidR="00E748ED" w:rsidRPr="00783571">
        <w:rPr>
          <w:i/>
          <w:iCs/>
        </w:rPr>
        <w:t>ш</w:t>
      </w:r>
      <w:r w:rsidR="000677DE" w:rsidRPr="00783571">
        <w:rPr>
          <w:i/>
          <w:iCs/>
          <w:vertAlign w:val="superscript"/>
        </w:rPr>
        <w:t>th</w:t>
      </w:r>
      <w:r w:rsidR="000677DE" w:rsidRPr="00783571">
        <w:t xml:space="preserve"> sampled value of input </w:t>
      </w:r>
      <w:r w:rsidR="00E748ED" w:rsidRPr="00783571">
        <w:rPr>
          <w:i/>
          <w:iCs/>
        </w:rPr>
        <w:t>Њ</w:t>
      </w:r>
      <w:r w:rsidR="000677DE" w:rsidRPr="00783571">
        <w:t xml:space="preserve"> </w:t>
      </w:r>
      <w:r w:rsidRPr="00783571">
        <w:t xml:space="preserve">as </w:t>
      </w:r>
      <w:r w:rsidR="00E748ED" w:rsidRPr="00783571">
        <w:rPr>
          <w:i/>
          <w:iCs/>
        </w:rPr>
        <w:t>й</w:t>
      </w:r>
      <w:r w:rsidR="00E748ED" w:rsidRPr="00783571">
        <w:rPr>
          <w:rFonts w:ascii="Calibri" w:hAnsi="Calibri"/>
          <w:vertAlign w:val="subscript"/>
        </w:rPr>
        <w:t>Њ</w:t>
      </w:r>
      <w:r w:rsidR="000677DE" w:rsidRPr="00783571">
        <w:rPr>
          <w:i/>
          <w:iCs/>
          <w:vertAlign w:val="subscript"/>
        </w:rPr>
        <w:t>,</w:t>
      </w:r>
      <w:r w:rsidR="00E748ED" w:rsidRPr="00783571">
        <w:rPr>
          <w:i/>
          <w:iCs/>
          <w:vertAlign w:val="subscript"/>
        </w:rPr>
        <w:t>ш</w:t>
      </w:r>
      <w:r w:rsidR="000677DE" w:rsidRPr="00783571">
        <w:t>.</w:t>
      </w:r>
    </w:p>
    <w:p w14:paraId="367965A6" w14:textId="5719F8E9" w:rsidR="000677DE" w:rsidRPr="00783571" w:rsidRDefault="000677DE" w:rsidP="002B1529">
      <w:pPr>
        <w:pStyle w:val="bullets-blank"/>
        <w:numPr>
          <w:ilvl w:val="0"/>
          <w:numId w:val="39"/>
        </w:numPr>
      </w:pPr>
      <w:r w:rsidRPr="00783571">
        <w:t>Randomly select</w:t>
      </w:r>
      <w:r w:rsidR="008C735E" w:rsidRPr="00783571">
        <w:t>ed</w:t>
      </w:r>
      <w:r w:rsidRPr="00783571">
        <w:t xml:space="preserve"> one of the </w:t>
      </w:r>
      <w:r w:rsidR="00E748ED" w:rsidRPr="00783571">
        <w:rPr>
          <w:i/>
          <w:iCs/>
        </w:rPr>
        <w:t>Л</w:t>
      </w:r>
      <w:r w:rsidR="00F97B51" w:rsidRPr="00783571">
        <w:t xml:space="preserve"> </w:t>
      </w:r>
      <w:r w:rsidR="008C735E" w:rsidRPr="00783571">
        <w:t>=10</w:t>
      </w:r>
      <w:r w:rsidRPr="00783571">
        <w:t xml:space="preserve"> sampled values (</w:t>
      </w:r>
      <w:r w:rsidR="00E748ED" w:rsidRPr="00783571">
        <w:rPr>
          <w:i/>
          <w:iCs/>
        </w:rPr>
        <w:t>й</w:t>
      </w:r>
      <w:r w:rsidR="00E748ED" w:rsidRPr="00783571">
        <w:rPr>
          <w:rFonts w:ascii="Calibri" w:hAnsi="Calibri"/>
          <w:vertAlign w:val="subscript"/>
        </w:rPr>
        <w:t>Њ</w:t>
      </w:r>
      <w:r w:rsidRPr="00783571">
        <w:rPr>
          <w:i/>
          <w:iCs/>
          <w:vertAlign w:val="subscript"/>
        </w:rPr>
        <w:t>,</w:t>
      </w:r>
      <w:r w:rsidR="00E748ED" w:rsidRPr="00783571">
        <w:rPr>
          <w:i/>
          <w:iCs/>
          <w:vertAlign w:val="subscript"/>
        </w:rPr>
        <w:t>ш</w:t>
      </w:r>
      <w:r w:rsidRPr="00783571">
        <w:t xml:space="preserve">) for each of the </w:t>
      </w:r>
      <w:r w:rsidR="00E748ED" w:rsidRPr="00783571">
        <w:rPr>
          <w:i/>
          <w:iCs/>
        </w:rPr>
        <w:t>Z</w:t>
      </w:r>
      <w:r w:rsidRPr="00783571">
        <w:t xml:space="preserve"> inputs to be varied.</w:t>
      </w:r>
      <w:r w:rsidR="00225D32" w:rsidRPr="00783571">
        <w:t xml:space="preserve"> </w:t>
      </w:r>
      <w:r w:rsidRPr="00783571">
        <w:t>Note th</w:t>
      </w:r>
      <w:r w:rsidR="008C735E" w:rsidRPr="00783571">
        <w:t>at this wa</w:t>
      </w:r>
      <w:r w:rsidRPr="00783571">
        <w:t>s the first step of an iteration.</w:t>
      </w:r>
    </w:p>
    <w:p w14:paraId="6A3D6EE3" w14:textId="136BB637" w:rsidR="000677DE" w:rsidRPr="00783571" w:rsidRDefault="000677DE" w:rsidP="002B1529">
      <w:pPr>
        <w:pStyle w:val="bullets-blank"/>
        <w:numPr>
          <w:ilvl w:val="0"/>
          <w:numId w:val="39"/>
        </w:numPr>
      </w:pPr>
      <w:r w:rsidRPr="00783571">
        <w:t>Replace</w:t>
      </w:r>
      <w:r w:rsidR="008C735E" w:rsidRPr="00783571">
        <w:t>d</w:t>
      </w:r>
      <w:r w:rsidRPr="00783571">
        <w:t xml:space="preserve"> all of the varied inputs’ values with the sampled values</w:t>
      </w:r>
      <w:r w:rsidR="008C735E" w:rsidRPr="00783571">
        <w:t xml:space="preserve"> in the model</w:t>
      </w:r>
      <w:r w:rsidRPr="00783571">
        <w:t>. R</w:t>
      </w:r>
      <w:r w:rsidR="008C735E" w:rsidRPr="00783571">
        <w:t>a</w:t>
      </w:r>
      <w:r w:rsidRPr="00783571">
        <w:t>n the model and record</w:t>
      </w:r>
      <w:r w:rsidR="008C735E" w:rsidRPr="00783571">
        <w:t>ed</w:t>
      </w:r>
      <w:r w:rsidRPr="00783571">
        <w:t xml:space="preserve"> </w:t>
      </w:r>
      <w:r w:rsidR="00F97B51" w:rsidRPr="00783571">
        <w:t xml:space="preserve">the value of the key outcome, </w:t>
      </w:r>
      <w:r w:rsidR="001D3B67" w:rsidRPr="00783571">
        <w:t>total U.S. HIV incidence in 2020</w:t>
      </w:r>
      <w:r w:rsidRPr="00783571">
        <w:t>.</w:t>
      </w:r>
    </w:p>
    <w:p w14:paraId="51D3F5A5" w14:textId="6454E561" w:rsidR="000677DE" w:rsidRPr="00783571" w:rsidRDefault="000677DE" w:rsidP="002B1529">
      <w:pPr>
        <w:pStyle w:val="bullets-blank"/>
        <w:numPr>
          <w:ilvl w:val="0"/>
          <w:numId w:val="39"/>
        </w:numPr>
      </w:pPr>
      <w:r w:rsidRPr="00783571">
        <w:t>Select</w:t>
      </w:r>
      <w:r w:rsidR="00F97B51" w:rsidRPr="00783571">
        <w:t>ed</w:t>
      </w:r>
      <w:r w:rsidRPr="00783571">
        <w:t xml:space="preserve"> one </w:t>
      </w:r>
      <w:r w:rsidR="00F97B51" w:rsidRPr="00783571">
        <w:t xml:space="preserve">(input </w:t>
      </w:r>
      <w:r w:rsidR="00E748ED" w:rsidRPr="00783571">
        <w:rPr>
          <w:i/>
          <w:iCs/>
        </w:rPr>
        <w:t>Њ</w:t>
      </w:r>
      <w:r w:rsidR="00F97B51" w:rsidRPr="00783571">
        <w:t xml:space="preserve">) </w:t>
      </w:r>
      <w:r w:rsidRPr="00783571">
        <w:t xml:space="preserve">of the </w:t>
      </w:r>
      <w:r w:rsidR="00E748ED" w:rsidRPr="00783571">
        <w:rPr>
          <w:i/>
          <w:iCs/>
        </w:rPr>
        <w:t>Z</w:t>
      </w:r>
      <w:r w:rsidR="003E3C01" w:rsidRPr="00783571">
        <w:rPr>
          <w:i/>
          <w:iCs/>
        </w:rPr>
        <w:t xml:space="preserve"> </w:t>
      </w:r>
      <w:r w:rsidR="003E3C01" w:rsidRPr="00783571">
        <w:rPr>
          <w:iCs/>
        </w:rPr>
        <w:t>=</w:t>
      </w:r>
      <w:r w:rsidR="00E132A5" w:rsidRPr="00783571">
        <w:rPr>
          <w:iCs/>
        </w:rPr>
        <w:t xml:space="preserve"> </w:t>
      </w:r>
      <w:r w:rsidR="003E3C01" w:rsidRPr="00783571">
        <w:rPr>
          <w:iCs/>
        </w:rPr>
        <w:t>52</w:t>
      </w:r>
      <w:r w:rsidRPr="00783571">
        <w:t xml:space="preserve"> inputs</w:t>
      </w:r>
      <w:r w:rsidR="001E6F8B" w:rsidRPr="00783571">
        <w:t xml:space="preserve"> and r</w:t>
      </w:r>
      <w:r w:rsidRPr="00783571">
        <w:t>eplace</w:t>
      </w:r>
      <w:r w:rsidR="00F97B51" w:rsidRPr="00783571">
        <w:t>d</w:t>
      </w:r>
      <w:r w:rsidRPr="00783571">
        <w:t xml:space="preserve"> that input’s sampled value (</w:t>
      </w:r>
      <w:r w:rsidR="00E748ED" w:rsidRPr="00783571">
        <w:rPr>
          <w:i/>
          <w:iCs/>
        </w:rPr>
        <w:t>й</w:t>
      </w:r>
      <w:r w:rsidR="00E748ED" w:rsidRPr="00783571">
        <w:rPr>
          <w:rFonts w:ascii="Calibri" w:hAnsi="Calibri"/>
          <w:vertAlign w:val="subscript"/>
        </w:rPr>
        <w:t>Њ</w:t>
      </w:r>
      <w:r w:rsidRPr="00783571">
        <w:rPr>
          <w:i/>
          <w:iCs/>
          <w:vertAlign w:val="subscript"/>
        </w:rPr>
        <w:t>,</w:t>
      </w:r>
      <w:r w:rsidR="00E748ED" w:rsidRPr="00783571">
        <w:rPr>
          <w:i/>
          <w:iCs/>
          <w:vertAlign w:val="subscript"/>
        </w:rPr>
        <w:t>ш</w:t>
      </w:r>
      <w:r w:rsidRPr="00783571">
        <w:t xml:space="preserve">) with a value that </w:t>
      </w:r>
      <w:r w:rsidR="003D0938" w:rsidRPr="00783571">
        <w:t>was</w:t>
      </w:r>
      <w:r w:rsidRPr="00783571">
        <w:t xml:space="preserve"> systematically adjusted by a constant percentage, </w:t>
      </w:r>
      <w:r w:rsidR="00B05D78" w:rsidRPr="00783571">
        <w:rPr>
          <w:i/>
          <w:iCs/>
        </w:rPr>
        <w:t>Ж</w:t>
      </w:r>
      <w:r w:rsidR="00054325" w:rsidRPr="00783571">
        <w:rPr>
          <w:iCs/>
        </w:rPr>
        <w:t xml:space="preserve"> =0.5</w:t>
      </w:r>
      <w:r w:rsidRPr="00783571">
        <w:t xml:space="preserve">, of the width of the range considered for input </w:t>
      </w:r>
      <w:r w:rsidR="00E748ED" w:rsidRPr="00783571">
        <w:rPr>
          <w:i/>
          <w:iCs/>
        </w:rPr>
        <w:t>Њ</w:t>
      </w:r>
      <w:r w:rsidR="001E6F8B" w:rsidRPr="00783571">
        <w:rPr>
          <w:i/>
          <w:iCs/>
        </w:rPr>
        <w:t xml:space="preserve"> </w:t>
      </w:r>
      <w:r w:rsidR="001E6F8B" w:rsidRPr="00783571">
        <w:t>(in a randomly selected direction that results in a sampled value inside the range)</w:t>
      </w:r>
      <w:r w:rsidRPr="00783571">
        <w:t xml:space="preserve">. The adjusted input values will be referred to as </w:t>
      </w:r>
      <w:r w:rsidR="00E748ED" w:rsidRPr="00783571">
        <w:rPr>
          <w:i/>
          <w:iCs/>
        </w:rPr>
        <w:t>й</w:t>
      </w:r>
      <w:r w:rsidR="00E748ED" w:rsidRPr="00783571">
        <w:rPr>
          <w:rFonts w:ascii="Calibri" w:hAnsi="Calibri"/>
          <w:vertAlign w:val="subscript"/>
        </w:rPr>
        <w:t>Њ</w:t>
      </w:r>
      <w:r w:rsidRPr="00783571">
        <w:rPr>
          <w:i/>
          <w:iCs/>
          <w:vertAlign w:val="subscript"/>
        </w:rPr>
        <w:t>,</w:t>
      </w:r>
      <w:r w:rsidR="00E748ED" w:rsidRPr="00783571">
        <w:rPr>
          <w:i/>
          <w:iCs/>
          <w:vertAlign w:val="subscript"/>
        </w:rPr>
        <w:t>ш</w:t>
      </w:r>
      <w:r w:rsidRPr="00783571">
        <w:rPr>
          <w:i/>
          <w:iCs/>
        </w:rPr>
        <w:t>*</w:t>
      </w:r>
      <w:r w:rsidRPr="00783571">
        <w:t xml:space="preserve">. As an example, </w:t>
      </w:r>
      <w:r w:rsidR="00F97B51" w:rsidRPr="00783571">
        <w:t xml:space="preserve">if the range for input </w:t>
      </w:r>
      <w:r w:rsidR="00E748ED" w:rsidRPr="00783571">
        <w:rPr>
          <w:i/>
          <w:iCs/>
        </w:rPr>
        <w:t>Њ</w:t>
      </w:r>
      <w:r w:rsidR="00F97B51" w:rsidRPr="00783571">
        <w:t xml:space="preserve"> wa</w:t>
      </w:r>
      <w:r w:rsidRPr="00783571">
        <w:t xml:space="preserve">s 0 to 1 and </w:t>
      </w:r>
      <w:r w:rsidR="00E748ED" w:rsidRPr="00783571">
        <w:rPr>
          <w:i/>
          <w:iCs/>
        </w:rPr>
        <w:t>й</w:t>
      </w:r>
      <w:r w:rsidR="00E748ED" w:rsidRPr="00783571">
        <w:rPr>
          <w:rFonts w:ascii="Calibri" w:hAnsi="Calibri"/>
          <w:vertAlign w:val="subscript"/>
        </w:rPr>
        <w:t>Њ</w:t>
      </w:r>
      <w:r w:rsidRPr="00783571">
        <w:rPr>
          <w:i/>
          <w:iCs/>
          <w:vertAlign w:val="subscript"/>
        </w:rPr>
        <w:t>,</w:t>
      </w:r>
      <w:r w:rsidR="00E748ED" w:rsidRPr="00783571">
        <w:rPr>
          <w:i/>
          <w:iCs/>
          <w:vertAlign w:val="subscript"/>
        </w:rPr>
        <w:t>ш</w:t>
      </w:r>
      <w:r w:rsidRPr="00783571">
        <w:t xml:space="preserve"> = 0.8, then </w:t>
      </w:r>
      <w:r w:rsidR="00E748ED" w:rsidRPr="00783571">
        <w:rPr>
          <w:i/>
          <w:iCs/>
        </w:rPr>
        <w:t>й</w:t>
      </w:r>
      <w:r w:rsidR="00E748ED" w:rsidRPr="00783571">
        <w:rPr>
          <w:rFonts w:ascii="Calibri" w:hAnsi="Calibri"/>
          <w:vertAlign w:val="subscript"/>
        </w:rPr>
        <w:t>Њ</w:t>
      </w:r>
      <w:r w:rsidRPr="00783571">
        <w:rPr>
          <w:i/>
          <w:iCs/>
          <w:vertAlign w:val="subscript"/>
        </w:rPr>
        <w:t>,</w:t>
      </w:r>
      <w:r w:rsidR="00E748ED" w:rsidRPr="00783571">
        <w:rPr>
          <w:i/>
          <w:iCs/>
          <w:vertAlign w:val="subscript"/>
        </w:rPr>
        <w:t>ш</w:t>
      </w:r>
      <w:r w:rsidRPr="00783571">
        <w:rPr>
          <w:i/>
          <w:iCs/>
        </w:rPr>
        <w:t>*</w:t>
      </w:r>
      <w:r w:rsidRPr="00783571">
        <w:t>= (0.8)</w:t>
      </w:r>
      <w:r w:rsidR="00C5761E" w:rsidRPr="00783571">
        <w:t xml:space="preserve"> − </w:t>
      </w:r>
      <w:r w:rsidRPr="00783571">
        <w:t>(1</w:t>
      </w:r>
      <w:r w:rsidR="00C5761E" w:rsidRPr="00783571">
        <w:t xml:space="preserve"> − </w:t>
      </w:r>
      <w:r w:rsidRPr="00783571">
        <w:t>0)*(0.5)</w:t>
      </w:r>
      <w:r w:rsidR="00C5761E" w:rsidRPr="00783571">
        <w:t xml:space="preserve"> </w:t>
      </w:r>
      <w:r w:rsidRPr="00783571">
        <w:t>= 0.3.</w:t>
      </w:r>
      <w:r w:rsidR="00225D32" w:rsidRPr="00783571">
        <w:t xml:space="preserve"> </w:t>
      </w:r>
      <w:r w:rsidR="00F97B51" w:rsidRPr="00783571">
        <w:t>We ra</w:t>
      </w:r>
      <w:r w:rsidRPr="00783571">
        <w:t xml:space="preserve">n the model </w:t>
      </w:r>
      <w:r w:rsidR="001A1111" w:rsidRPr="00783571">
        <w:t>using the adjusted input value</w:t>
      </w:r>
      <w:r w:rsidR="001E6F8B" w:rsidRPr="00783571">
        <w:t xml:space="preserve"> </w:t>
      </w:r>
      <w:r w:rsidR="00E748ED" w:rsidRPr="00783571">
        <w:rPr>
          <w:i/>
          <w:iCs/>
        </w:rPr>
        <w:t>й</w:t>
      </w:r>
      <w:r w:rsidR="00E748ED" w:rsidRPr="00783571">
        <w:rPr>
          <w:rFonts w:ascii="Calibri" w:hAnsi="Calibri"/>
          <w:vertAlign w:val="subscript"/>
        </w:rPr>
        <w:t>Њ</w:t>
      </w:r>
      <w:r w:rsidR="001E6F8B" w:rsidRPr="00783571">
        <w:rPr>
          <w:i/>
          <w:iCs/>
          <w:vertAlign w:val="subscript"/>
        </w:rPr>
        <w:t>,</w:t>
      </w:r>
      <w:r w:rsidR="00E748ED" w:rsidRPr="00783571">
        <w:rPr>
          <w:i/>
          <w:iCs/>
          <w:vertAlign w:val="subscript"/>
        </w:rPr>
        <w:t>ш</w:t>
      </w:r>
      <w:r w:rsidR="001E6F8B" w:rsidRPr="00783571">
        <w:rPr>
          <w:i/>
          <w:iCs/>
        </w:rPr>
        <w:t>*</w:t>
      </w:r>
      <w:r w:rsidRPr="00783571">
        <w:t xml:space="preserve"> and record</w:t>
      </w:r>
      <w:r w:rsidR="00F97B51" w:rsidRPr="00783571">
        <w:t>ed</w:t>
      </w:r>
      <w:r w:rsidRPr="00783571">
        <w:t xml:space="preserve"> the value of </w:t>
      </w:r>
      <w:r w:rsidR="00F97B51" w:rsidRPr="00783571">
        <w:t xml:space="preserve">the key outcome, </w:t>
      </w:r>
      <w:r w:rsidR="003E3C01" w:rsidRPr="00783571">
        <w:t>total U.S. HIV incidence in 2020</w:t>
      </w:r>
      <w:r w:rsidRPr="00783571">
        <w:t>.</w:t>
      </w:r>
    </w:p>
    <w:p w14:paraId="4B83AC75" w14:textId="27F0B439" w:rsidR="000677DE" w:rsidRPr="00783571" w:rsidRDefault="000677DE" w:rsidP="002B1529">
      <w:pPr>
        <w:pStyle w:val="bullets-blank"/>
        <w:numPr>
          <w:ilvl w:val="0"/>
          <w:numId w:val="39"/>
        </w:numPr>
      </w:pPr>
      <w:r w:rsidRPr="00783571">
        <w:t>Calculate</w:t>
      </w:r>
      <w:r w:rsidR="00F97B51" w:rsidRPr="00783571">
        <w:t>d</w:t>
      </w:r>
      <w:r w:rsidRPr="00783571">
        <w:t xml:space="preserve"> an elementary effect of this input as the difference in the value of </w:t>
      </w:r>
      <w:r w:rsidR="00F97B51" w:rsidRPr="00783571">
        <w:t>the key outcome</w:t>
      </w:r>
      <w:r w:rsidRPr="00783571">
        <w:t xml:space="preserve"> from step 7 (when the value of the varied input </w:t>
      </w:r>
      <w:r w:rsidR="00E748ED" w:rsidRPr="00783571">
        <w:rPr>
          <w:i/>
          <w:iCs/>
        </w:rPr>
        <w:t>Њ</w:t>
      </w:r>
      <w:r w:rsidRPr="00783571">
        <w:t xml:space="preserve"> was set to </w:t>
      </w:r>
      <w:r w:rsidR="00E748ED" w:rsidRPr="00783571">
        <w:rPr>
          <w:i/>
          <w:iCs/>
        </w:rPr>
        <w:t>й</w:t>
      </w:r>
      <w:r w:rsidR="00E748ED" w:rsidRPr="00783571">
        <w:rPr>
          <w:rFonts w:ascii="Calibri" w:hAnsi="Calibri"/>
          <w:vertAlign w:val="subscript"/>
        </w:rPr>
        <w:t>Њ</w:t>
      </w:r>
      <w:r w:rsidRPr="00783571">
        <w:rPr>
          <w:i/>
          <w:iCs/>
          <w:vertAlign w:val="subscript"/>
        </w:rPr>
        <w:t>,</w:t>
      </w:r>
      <w:r w:rsidR="00E748ED" w:rsidRPr="00783571">
        <w:rPr>
          <w:i/>
          <w:iCs/>
          <w:vertAlign w:val="subscript"/>
        </w:rPr>
        <w:t>ш</w:t>
      </w:r>
      <w:r w:rsidRPr="00783571">
        <w:rPr>
          <w:i/>
          <w:iCs/>
        </w:rPr>
        <w:t>*</w:t>
      </w:r>
      <w:r w:rsidRPr="00783571">
        <w:t xml:space="preserve">) and the value of </w:t>
      </w:r>
      <w:r w:rsidR="00F97B51" w:rsidRPr="00783571">
        <w:t>the key outcome</w:t>
      </w:r>
      <w:r w:rsidRPr="00783571">
        <w:t xml:space="preserve"> from the previous run (when the value of the varied input </w:t>
      </w:r>
      <w:r w:rsidR="00E748ED" w:rsidRPr="00783571">
        <w:rPr>
          <w:i/>
          <w:iCs/>
        </w:rPr>
        <w:t>Њ</w:t>
      </w:r>
      <w:r w:rsidRPr="00783571">
        <w:t xml:space="preserve"> was set to </w:t>
      </w:r>
      <w:r w:rsidR="00E748ED" w:rsidRPr="00783571">
        <w:rPr>
          <w:i/>
          <w:iCs/>
        </w:rPr>
        <w:t>й</w:t>
      </w:r>
      <w:r w:rsidR="00E748ED" w:rsidRPr="00783571">
        <w:rPr>
          <w:rFonts w:ascii="Calibri" w:hAnsi="Calibri"/>
          <w:vertAlign w:val="subscript"/>
        </w:rPr>
        <w:t>Њ</w:t>
      </w:r>
      <w:r w:rsidRPr="00783571">
        <w:rPr>
          <w:i/>
          <w:iCs/>
          <w:vertAlign w:val="subscript"/>
        </w:rPr>
        <w:t>,</w:t>
      </w:r>
      <w:r w:rsidR="00E748ED" w:rsidRPr="00783571">
        <w:rPr>
          <w:i/>
          <w:iCs/>
          <w:vertAlign w:val="subscript"/>
        </w:rPr>
        <w:t>ш</w:t>
      </w:r>
      <w:r w:rsidRPr="00783571">
        <w:t>)</w:t>
      </w:r>
      <w:r w:rsidR="001E6F8B" w:rsidRPr="00783571">
        <w:t xml:space="preserve">, </w:t>
      </w:r>
      <w:r w:rsidRPr="00783571">
        <w:t xml:space="preserve">divided by </w:t>
      </w:r>
      <w:r w:rsidR="00B05D78" w:rsidRPr="00783571">
        <w:rPr>
          <w:i/>
          <w:iCs/>
        </w:rPr>
        <w:t>Ж</w:t>
      </w:r>
      <w:r w:rsidR="000D648F" w:rsidRPr="00783571">
        <w:t>; t</w:t>
      </w:r>
      <w:r w:rsidRPr="00783571">
        <w:t>his ca</w:t>
      </w:r>
      <w:r w:rsidR="000D648F" w:rsidRPr="00783571">
        <w:t xml:space="preserve">lculation is given by Equation </w:t>
      </w:r>
      <w:r w:rsidR="00CC1DD7" w:rsidRPr="00783571">
        <w:t>12.</w:t>
      </w:r>
      <w:r w:rsidR="000D648F" w:rsidRPr="00783571">
        <w:t>2</w:t>
      </w:r>
      <w:r w:rsidRPr="00783571">
        <w:t>.</w:t>
      </w:r>
    </w:p>
    <w:p w14:paraId="3866ECBB" w14:textId="0F5A2867" w:rsidR="00CC1DD7" w:rsidRPr="00783571" w:rsidRDefault="0084258A" w:rsidP="00CA3CE6">
      <w:pPr>
        <w:pStyle w:val="equation"/>
        <w:rPr>
          <w:lang w:val="en-US"/>
        </w:rPr>
      </w:pPr>
      <w:r w:rsidRPr="00783571">
        <w:rPr>
          <w:lang w:val="en-US"/>
        </w:rPr>
        <w:tab/>
      </w:r>
      <w:r w:rsidR="000677DE" w:rsidRPr="00783571">
        <w:rPr>
          <w:lang w:val="en-US"/>
        </w:rPr>
        <w:t>Elementary effect</w:t>
      </w:r>
      <w:r w:rsidR="004414A7" w:rsidRPr="00783571">
        <w:rPr>
          <w:lang w:val="en-US"/>
        </w:rPr>
        <w:t xml:space="preserve"> of input </w:t>
      </w:r>
      <w:r w:rsidR="00E748ED" w:rsidRPr="00783571">
        <w:rPr>
          <w:lang w:val="en-US"/>
        </w:rPr>
        <w:t>Њ</w:t>
      </w:r>
      <w:r w:rsidR="004414A7" w:rsidRPr="00783571">
        <w:rPr>
          <w:lang w:val="en-US"/>
        </w:rPr>
        <w:t xml:space="preserve"> from iteration </w:t>
      </w:r>
      <w:r w:rsidR="00E748ED" w:rsidRPr="00783571">
        <w:rPr>
          <w:i/>
          <w:iCs/>
          <w:lang w:val="en-US"/>
        </w:rPr>
        <w:t>ш</w:t>
      </w:r>
      <w:r w:rsidR="004414A7" w:rsidRPr="00783571">
        <w:rPr>
          <w:lang w:val="en-US"/>
        </w:rPr>
        <w:t xml:space="preserve"> = (</w:t>
      </w:r>
      <w:r w:rsidR="004414A7" w:rsidRPr="00783571">
        <w:rPr>
          <w:i/>
          <w:iCs/>
          <w:lang w:val="en-US"/>
        </w:rPr>
        <w:t>EE</w:t>
      </w:r>
      <w:r w:rsidR="00E748ED" w:rsidRPr="00783571">
        <w:rPr>
          <w:i/>
          <w:iCs/>
          <w:vertAlign w:val="subscript"/>
          <w:lang w:val="en-US"/>
        </w:rPr>
        <w:t>ш</w:t>
      </w:r>
      <w:r w:rsidR="004414A7" w:rsidRPr="00783571">
        <w:rPr>
          <w:i/>
          <w:iCs/>
          <w:vertAlign w:val="subscript"/>
          <w:lang w:val="en-US"/>
        </w:rPr>
        <w:t>,</w:t>
      </w:r>
      <w:r w:rsidR="00E748ED" w:rsidRPr="00783571">
        <w:rPr>
          <w:i/>
          <w:iCs/>
          <w:vertAlign w:val="subscript"/>
          <w:lang w:val="en-US"/>
        </w:rPr>
        <w:t>Њ</w:t>
      </w:r>
      <w:r w:rsidR="004414A7" w:rsidRPr="00783571">
        <w:rPr>
          <w:lang w:val="en-US"/>
        </w:rPr>
        <w:t>)</w:t>
      </w:r>
      <w:r w:rsidR="000677DE" w:rsidRPr="00783571">
        <w:rPr>
          <w:lang w:val="en-US"/>
        </w:rPr>
        <w:t xml:space="preserve"> </w:t>
      </w:r>
      <w:r w:rsidR="002B1529" w:rsidRPr="00783571">
        <w:rPr>
          <w:lang w:val="en-US"/>
        </w:rPr>
        <w:br/>
      </w:r>
      <w:r w:rsidR="004414A7" w:rsidRPr="00783571">
        <w:rPr>
          <w:lang w:val="en-US"/>
        </w:rPr>
        <w:tab/>
      </w:r>
      <w:r w:rsidR="000677DE" w:rsidRPr="00783571">
        <w:rPr>
          <w:lang w:val="en-US"/>
        </w:rPr>
        <w:t xml:space="preserve">= </w:t>
      </w:r>
      <w:r w:rsidR="00625716" w:rsidRPr="00783571">
        <w:rPr>
          <w:lang w:val="en-US"/>
        </w:rPr>
        <w:t>([HIV incidence in 2020</w:t>
      </w:r>
      <w:r w:rsidRPr="00783571">
        <w:rPr>
          <w:lang w:val="en-US"/>
        </w:rPr>
        <w:t xml:space="preserve"> from step 7] </w:t>
      </w:r>
      <w:r w:rsidR="00C5761E" w:rsidRPr="00783571">
        <w:rPr>
          <w:lang w:val="en-US"/>
        </w:rPr>
        <w:t xml:space="preserve">− </w:t>
      </w:r>
      <w:r w:rsidR="000677DE" w:rsidRPr="00783571">
        <w:rPr>
          <w:lang w:val="en-US"/>
        </w:rPr>
        <w:t>[</w:t>
      </w:r>
      <w:r w:rsidR="00625716" w:rsidRPr="00783571">
        <w:rPr>
          <w:lang w:val="en-US"/>
        </w:rPr>
        <w:t>HIV incidence in 2020</w:t>
      </w:r>
      <w:r w:rsidR="002B1529" w:rsidRPr="00783571">
        <w:rPr>
          <w:lang w:val="en-US"/>
        </w:rPr>
        <w:br/>
      </w:r>
      <w:r w:rsidR="002B1529" w:rsidRPr="00783571">
        <w:rPr>
          <w:lang w:val="en-US"/>
        </w:rPr>
        <w:tab/>
      </w:r>
      <w:r w:rsidR="002A3893" w:rsidRPr="00783571">
        <w:rPr>
          <w:lang w:val="en-US"/>
        </w:rPr>
        <w:t xml:space="preserve">from </w:t>
      </w:r>
      <w:r w:rsidR="000D648F" w:rsidRPr="00783571">
        <w:rPr>
          <w:lang w:val="en-US"/>
        </w:rPr>
        <w:t>step 6]) / (</w:t>
      </w:r>
      <w:r w:rsidR="00B05D78" w:rsidRPr="00783571">
        <w:rPr>
          <w:lang w:val="en-US"/>
        </w:rPr>
        <w:t>Ж</w:t>
      </w:r>
      <w:r w:rsidR="000D648F" w:rsidRPr="00783571">
        <w:rPr>
          <w:lang w:val="en-US"/>
        </w:rPr>
        <w:t>)</w:t>
      </w:r>
      <w:r w:rsidRPr="00783571">
        <w:rPr>
          <w:lang w:val="en-US"/>
        </w:rPr>
        <w:tab/>
      </w:r>
      <w:r w:rsidR="000677DE" w:rsidRPr="00783571">
        <w:rPr>
          <w:lang w:val="en-US"/>
        </w:rPr>
        <w:t>(</w:t>
      </w:r>
      <w:r w:rsidR="00CC1DD7" w:rsidRPr="00783571">
        <w:rPr>
          <w:lang w:val="en-US"/>
        </w:rPr>
        <w:t>12</w:t>
      </w:r>
      <w:r w:rsidR="000D648F" w:rsidRPr="00783571">
        <w:rPr>
          <w:lang w:val="en-US"/>
        </w:rPr>
        <w:t>.</w:t>
      </w:r>
      <w:r w:rsidR="000677DE" w:rsidRPr="00783571">
        <w:rPr>
          <w:lang w:val="en-US"/>
        </w:rPr>
        <w:t>2)</w:t>
      </w:r>
    </w:p>
    <w:p w14:paraId="180C93E8" w14:textId="77777777" w:rsidR="0016571A" w:rsidRPr="00783571" w:rsidRDefault="000677DE" w:rsidP="002B1529">
      <w:pPr>
        <w:pStyle w:val="bullets-blank"/>
        <w:numPr>
          <w:ilvl w:val="0"/>
          <w:numId w:val="39"/>
        </w:numPr>
      </w:pPr>
      <w:r w:rsidRPr="00783571">
        <w:t>Repeat</w:t>
      </w:r>
      <w:r w:rsidR="0084258A" w:rsidRPr="00783571">
        <w:t>ed</w:t>
      </w:r>
      <w:r w:rsidRPr="00783571">
        <w:t xml:space="preserve"> steps 7 and 8 until all </w:t>
      </w:r>
      <w:r w:rsidR="00E748ED" w:rsidRPr="00783571">
        <w:rPr>
          <w:i/>
          <w:iCs/>
        </w:rPr>
        <w:t>Z</w:t>
      </w:r>
      <w:r w:rsidR="001E6F8B" w:rsidRPr="00783571">
        <w:t xml:space="preserve"> </w:t>
      </w:r>
      <w:r w:rsidRPr="00783571">
        <w:t xml:space="preserve">inputs </w:t>
      </w:r>
      <w:r w:rsidR="0084258A" w:rsidRPr="00783571">
        <w:t>had</w:t>
      </w:r>
      <w:r w:rsidRPr="00783571">
        <w:t xml:space="preserve"> been varied to their alternate values</w:t>
      </w:r>
      <w:r w:rsidR="001E6F8B" w:rsidRPr="00783571">
        <w:t xml:space="preserve">. Each time we adjusted one input’s value, we assessed its elementary effect. For each new input varied, we kept all inputs already varied at their adjusted values, and those not yet varied at the value chosen by </w:t>
      </w:r>
      <w:r w:rsidR="00C5761E" w:rsidRPr="00783571">
        <w:t>LHS</w:t>
      </w:r>
      <w:r w:rsidR="001E6F8B" w:rsidRPr="00783571">
        <w:t xml:space="preserve">. The iteration was complete when all </w:t>
      </w:r>
      <w:r w:rsidR="00E748ED" w:rsidRPr="00783571">
        <w:t>Z</w:t>
      </w:r>
      <w:r w:rsidR="001E6F8B" w:rsidRPr="00783571">
        <w:t xml:space="preserve"> inputs were varied and their elementary effects had been calculated</w:t>
      </w:r>
      <w:r w:rsidRPr="00783571">
        <w:t>.</w:t>
      </w:r>
    </w:p>
    <w:p w14:paraId="6027B6BF" w14:textId="77777777" w:rsidR="0016571A" w:rsidRPr="00783571" w:rsidRDefault="001E6F8B" w:rsidP="002B1529">
      <w:pPr>
        <w:pStyle w:val="bullets-blank"/>
        <w:numPr>
          <w:ilvl w:val="0"/>
          <w:numId w:val="39"/>
        </w:numPr>
      </w:pPr>
      <w:r w:rsidRPr="00783571">
        <w:t xml:space="preserve">We then repeated </w:t>
      </w:r>
      <w:r w:rsidR="000677DE" w:rsidRPr="00783571">
        <w:t xml:space="preserve">steps 5 to 9 </w:t>
      </w:r>
      <w:r w:rsidR="000B5AE4" w:rsidRPr="00783571">
        <w:t xml:space="preserve">for </w:t>
      </w:r>
      <w:r w:rsidRPr="00783571">
        <w:t xml:space="preserve">the remaining </w:t>
      </w:r>
      <w:r w:rsidR="00E748ED" w:rsidRPr="00783571">
        <w:t>Л</w:t>
      </w:r>
      <w:r w:rsidRPr="00783571">
        <w:t xml:space="preserve">-1 iterations, using values </w:t>
      </w:r>
      <w:r w:rsidR="00AD5B8B" w:rsidRPr="00783571">
        <w:t xml:space="preserve">for each iteration </w:t>
      </w:r>
      <w:r w:rsidRPr="00783571">
        <w:t xml:space="preserve">drawn by </w:t>
      </w:r>
      <w:r w:rsidR="00C5761E" w:rsidRPr="00783571">
        <w:t>LHS</w:t>
      </w:r>
      <w:r w:rsidRPr="00783571">
        <w:t xml:space="preserve"> </w:t>
      </w:r>
      <w:r w:rsidR="00077A8B" w:rsidRPr="00783571">
        <w:t>without replacement from the</w:t>
      </w:r>
      <w:r w:rsidRPr="00783571">
        <w:t xml:space="preserve"> segments of the range of values for each input.</w:t>
      </w:r>
    </w:p>
    <w:p w14:paraId="40B023CE" w14:textId="19122A5B" w:rsidR="0016571A" w:rsidRPr="00783571" w:rsidRDefault="000677DE" w:rsidP="002B1529">
      <w:pPr>
        <w:pStyle w:val="bullets-blank"/>
        <w:numPr>
          <w:ilvl w:val="0"/>
          <w:numId w:val="39"/>
        </w:numPr>
      </w:pPr>
      <w:r w:rsidRPr="00783571">
        <w:t xml:space="preserve">When all iterations </w:t>
      </w:r>
      <w:r w:rsidR="0084258A" w:rsidRPr="00783571">
        <w:t>we</w:t>
      </w:r>
      <w:r w:rsidRPr="00783571">
        <w:t>re complete, calculate</w:t>
      </w:r>
      <w:r w:rsidR="0084258A" w:rsidRPr="00783571">
        <w:t>d</w:t>
      </w:r>
      <w:r w:rsidRPr="00783571">
        <w:t xml:space="preserve"> the mean, mean of the absolute values</w:t>
      </w:r>
      <w:r w:rsidR="001B428A" w:rsidRPr="00783571">
        <w:t>,</w:t>
      </w:r>
      <w:r w:rsidRPr="00783571">
        <w:t xml:space="preserve"> and standard deviation of the elementary effects for each input</w:t>
      </w:r>
      <w:r w:rsidR="000D648F" w:rsidRPr="00783571">
        <w:t xml:space="preserve"> </w:t>
      </w:r>
      <w:r w:rsidR="00E748ED" w:rsidRPr="00783571">
        <w:rPr>
          <w:i/>
          <w:iCs/>
        </w:rPr>
        <w:t>Њ</w:t>
      </w:r>
      <w:r w:rsidRPr="00783571">
        <w:t>. The mean of elementary effects (</w:t>
      </w:r>
      <w:r w:rsidR="0061048F" w:rsidRPr="00783571">
        <w:t xml:space="preserve">denoted </w:t>
      </w:r>
      <w:r w:rsidRPr="00783571">
        <w:t xml:space="preserve">by </w:t>
      </w:r>
      <w:r w:rsidRPr="00783571">
        <w:rPr>
          <w:i/>
          <w:iCs/>
        </w:rPr>
        <w:t>μ</w:t>
      </w:r>
      <w:r w:rsidR="00E748ED" w:rsidRPr="00783571">
        <w:rPr>
          <w:rFonts w:ascii="Calibri" w:hAnsi="Calibri"/>
          <w:vertAlign w:val="subscript"/>
        </w:rPr>
        <w:t>Њ</w:t>
      </w:r>
      <w:r w:rsidRPr="00783571">
        <w:t xml:space="preserve">) for input </w:t>
      </w:r>
      <w:r w:rsidR="00E748ED" w:rsidRPr="00783571">
        <w:rPr>
          <w:i/>
          <w:iCs/>
        </w:rPr>
        <w:t>Њ</w:t>
      </w:r>
      <w:r w:rsidR="004414A7" w:rsidRPr="00783571">
        <w:t xml:space="preserve"> wa</w:t>
      </w:r>
      <w:r w:rsidRPr="00783571">
        <w:t>s calculated as the average of the collection of elementary effects collected for input</w:t>
      </w:r>
      <w:r w:rsidR="0084258A" w:rsidRPr="00783571">
        <w:t xml:space="preserve"> </w:t>
      </w:r>
      <w:r w:rsidR="00E748ED" w:rsidRPr="00783571">
        <w:rPr>
          <w:i/>
          <w:iCs/>
        </w:rPr>
        <w:t>Њ</w:t>
      </w:r>
      <w:r w:rsidRPr="00783571">
        <w:t xml:space="preserve">. The mean of absolute elementary effects for </w:t>
      </w:r>
      <w:r w:rsidR="000D648F" w:rsidRPr="00783571">
        <w:t xml:space="preserve">input </w:t>
      </w:r>
      <w:r w:rsidR="00E748ED" w:rsidRPr="00783571">
        <w:rPr>
          <w:i/>
          <w:iCs/>
        </w:rPr>
        <w:t>Њ</w:t>
      </w:r>
      <w:r w:rsidR="000D648F" w:rsidRPr="00783571">
        <w:t xml:space="preserve"> </w:t>
      </w:r>
      <w:r w:rsidR="0084258A" w:rsidRPr="00783571">
        <w:t>(</w:t>
      </w:r>
      <w:r w:rsidR="0061048F" w:rsidRPr="00783571">
        <w:t xml:space="preserve">denoted </w:t>
      </w:r>
      <w:r w:rsidR="0084258A" w:rsidRPr="00783571">
        <w:t xml:space="preserve">by </w:t>
      </w:r>
      <w:r w:rsidR="0084258A" w:rsidRPr="00783571">
        <w:rPr>
          <w:i/>
          <w:iCs/>
        </w:rPr>
        <w:t>μ</w:t>
      </w:r>
      <w:r w:rsidR="00E748ED" w:rsidRPr="00783571">
        <w:rPr>
          <w:rFonts w:ascii="Calibri" w:hAnsi="Calibri"/>
          <w:vertAlign w:val="subscript"/>
        </w:rPr>
        <w:t>Њ</w:t>
      </w:r>
      <w:r w:rsidR="0084258A" w:rsidRPr="00783571">
        <w:rPr>
          <w:i/>
          <w:iCs/>
        </w:rPr>
        <w:t>*</w:t>
      </w:r>
      <w:r w:rsidR="0084258A" w:rsidRPr="00783571">
        <w:t>)</w:t>
      </w:r>
      <w:r w:rsidR="00454562" w:rsidRPr="00783571">
        <w:t xml:space="preserve"> </w:t>
      </w:r>
      <w:r w:rsidR="003D0938" w:rsidRPr="00783571">
        <w:t>wa</w:t>
      </w:r>
      <w:r w:rsidRPr="00783571">
        <w:t xml:space="preserve">s calculated as the average of the collection of absolute values of the elementary effects collected for </w:t>
      </w:r>
      <w:r w:rsidR="000D648F" w:rsidRPr="00783571">
        <w:t xml:space="preserve">input </w:t>
      </w:r>
      <w:r w:rsidR="00E748ED" w:rsidRPr="00783571">
        <w:rPr>
          <w:i/>
          <w:iCs/>
        </w:rPr>
        <w:t>Њ</w:t>
      </w:r>
      <w:r w:rsidR="000D648F" w:rsidRPr="00783571">
        <w:t xml:space="preserve">, as outlined in Equation </w:t>
      </w:r>
      <w:r w:rsidR="00CC1DD7" w:rsidRPr="00783571">
        <w:t>12.</w:t>
      </w:r>
      <w:r w:rsidR="00454562" w:rsidRPr="00783571">
        <w:t>4</w:t>
      </w:r>
      <w:r w:rsidR="004414A7" w:rsidRPr="00783571">
        <w:t>; the absolute value is used to offset the canceling out effect of positive and negative elementary effects</w:t>
      </w:r>
      <w:r w:rsidRPr="00783571">
        <w:t>.</w:t>
      </w:r>
    </w:p>
    <w:p w14:paraId="7DB0FD98" w14:textId="6E9AB8CB" w:rsidR="0084258A" w:rsidRPr="00783571" w:rsidRDefault="000D648F" w:rsidP="002B1529">
      <w:pPr>
        <w:pStyle w:val="equation"/>
        <w:rPr>
          <w:lang w:val="en-US"/>
        </w:rPr>
      </w:pPr>
      <w:r w:rsidRPr="00783571">
        <w:rPr>
          <w:lang w:val="en-US"/>
        </w:rPr>
        <w:tab/>
        <w:t xml:space="preserve">Mean of the absolute values of elementary effects of input </w:t>
      </w:r>
      <w:r w:rsidR="00E748ED" w:rsidRPr="00783571">
        <w:rPr>
          <w:lang w:val="en-US"/>
        </w:rPr>
        <w:t>Њ</w:t>
      </w:r>
      <w:r w:rsidRPr="00783571">
        <w:rPr>
          <w:lang w:val="en-US"/>
        </w:rPr>
        <w:t xml:space="preserve"> =</w:t>
      </w:r>
      <w:r w:rsidR="002B1529" w:rsidRPr="00783571">
        <w:rPr>
          <w:lang w:val="en-US"/>
        </w:rPr>
        <w:br/>
      </w:r>
      <w:r w:rsidR="004414A7" w:rsidRPr="00783571">
        <w:rPr>
          <w:iCs/>
          <w:lang w:val="en-US"/>
        </w:rPr>
        <w:tab/>
      </w:r>
      <m:oMath>
        <m:sSup>
          <m:sSupPr>
            <m:ctrlPr>
              <w:rPr>
                <w:rFonts w:ascii="Cambria Math" w:hAnsi="Cambria Math"/>
                <w:i/>
                <w:iCs/>
                <w:lang w:val="en-US"/>
              </w:rPr>
            </m:ctrlPr>
          </m:sSupPr>
          <m:e>
            <m:sSub>
              <m:sSubPr>
                <m:ctrlPr>
                  <w:rPr>
                    <w:rFonts w:ascii="Cambria Math" w:hAnsi="Cambria Math"/>
                    <w:i/>
                    <w:iCs/>
                    <w:lang w:val="en-US"/>
                  </w:rPr>
                </m:ctrlPr>
              </m:sSubPr>
              <m:e>
                <m:r>
                  <w:rPr>
                    <w:rFonts w:ascii="Cambria Math" w:hAnsi="Cambria Math"/>
                    <w:lang w:val="en-US"/>
                  </w:rPr>
                  <m:t>μ</m:t>
                </m:r>
              </m:e>
              <m:sub>
                <m:r>
                  <m:rPr>
                    <m:sty m:val="p"/>
                  </m:rPr>
                  <w:rPr>
                    <w:rFonts w:ascii="Cambria Math" w:hAnsi="Cambria Math"/>
                    <w:vertAlign w:val="subscript"/>
                    <w:lang w:val="en-US"/>
                  </w:rPr>
                  <m:t>Њ</m:t>
                </m:r>
              </m:sub>
            </m:sSub>
          </m:e>
          <m:sup>
            <m:r>
              <w:rPr>
                <w:rFonts w:ascii="Cambria Math" w:hAnsi="Cambria Math"/>
                <w:lang w:val="en-US"/>
              </w:rPr>
              <m:t>*</m:t>
            </m:r>
          </m:sup>
        </m:sSup>
        <m:r>
          <w:rPr>
            <w:rFonts w:ascii="Cambria Math" w:hAnsi="Cambria Math"/>
            <w:lang w:val="en-US"/>
          </w:rPr>
          <m:t>= </m:t>
        </m:r>
        <m:f>
          <m:fPr>
            <m:ctrlPr>
              <w:rPr>
                <w:rFonts w:ascii="Cambria Math" w:hAnsi="Cambria Math"/>
                <w:i/>
                <w:iCs/>
                <w:lang w:val="en-US"/>
              </w:rPr>
            </m:ctrlPr>
          </m:fPr>
          <m:num>
            <m:nary>
              <m:naryPr>
                <m:chr m:val="∑"/>
                <m:ctrlPr>
                  <w:rPr>
                    <w:rFonts w:ascii="Cambria Math" w:hAnsi="Cambria Math"/>
                    <w:i/>
                    <w:iCs/>
                    <w:lang w:val="en-US"/>
                  </w:rPr>
                </m:ctrlPr>
              </m:naryPr>
              <m:sub>
                <m:r>
                  <w:rPr>
                    <w:rFonts w:ascii="Cambria Math" w:hAnsi="Cambria Math"/>
                    <w:lang w:val="en-US"/>
                  </w:rPr>
                  <m:t>ш=1</m:t>
                </m:r>
              </m:sub>
              <m:sup>
                <m:r>
                  <w:rPr>
                    <w:rFonts w:ascii="Cambria Math" w:hAnsi="Cambria Math"/>
                    <w:lang w:val="en-US"/>
                  </w:rPr>
                  <m:t>Z</m:t>
                </m:r>
              </m:sup>
              <m:e>
                <m:d>
                  <m:dPr>
                    <m:begChr m:val="|"/>
                    <m:endChr m:val="|"/>
                    <m:ctrlPr>
                      <w:rPr>
                        <w:rFonts w:ascii="Cambria Math" w:hAnsi="Cambria Math"/>
                        <w:i/>
                        <w:iCs/>
                        <w:lang w:val="en-US"/>
                      </w:rPr>
                    </m:ctrlPr>
                  </m:dPr>
                  <m:e>
                    <m:sSub>
                      <m:sSubPr>
                        <m:ctrlPr>
                          <w:rPr>
                            <w:rFonts w:ascii="Cambria Math" w:hAnsi="Cambria Math"/>
                            <w:i/>
                            <w:iCs/>
                            <w:lang w:val="en-US"/>
                          </w:rPr>
                        </m:ctrlPr>
                      </m:sSubPr>
                      <m:e>
                        <m:r>
                          <w:rPr>
                            <w:rFonts w:ascii="Cambria Math" w:hAnsi="Cambria Math"/>
                            <w:lang w:val="en-US"/>
                          </w:rPr>
                          <m:t>EE</m:t>
                        </m:r>
                      </m:e>
                      <m:sub>
                        <m:r>
                          <w:rPr>
                            <w:rFonts w:ascii="Cambria Math" w:hAnsi="Cambria Math"/>
                            <w:lang w:val="en-US"/>
                          </w:rPr>
                          <m:t>ш,</m:t>
                        </m:r>
                        <m:r>
                          <m:rPr>
                            <m:sty m:val="p"/>
                          </m:rPr>
                          <w:rPr>
                            <w:rFonts w:ascii="Cambria Math" w:hAnsi="Cambria Math"/>
                            <w:vertAlign w:val="subscript"/>
                            <w:lang w:val="en-US"/>
                          </w:rPr>
                          <m:t>Њ</m:t>
                        </m:r>
                      </m:sub>
                    </m:sSub>
                  </m:e>
                </m:d>
              </m:e>
            </m:nary>
          </m:num>
          <m:den>
            <m:r>
              <w:rPr>
                <w:rFonts w:ascii="Cambria Math" w:hAnsi="Cambria Math"/>
                <w:lang w:val="en-US"/>
              </w:rPr>
              <m:t>Z</m:t>
            </m:r>
          </m:den>
        </m:f>
      </m:oMath>
      <w:r w:rsidRPr="00783571">
        <w:rPr>
          <w:iCs/>
          <w:lang w:val="en-US"/>
        </w:rPr>
        <w:tab/>
        <w:t>(</w:t>
      </w:r>
      <w:r w:rsidR="00CC1DD7" w:rsidRPr="00783571">
        <w:rPr>
          <w:iCs/>
          <w:lang w:val="en-US"/>
        </w:rPr>
        <w:t>12.</w:t>
      </w:r>
      <w:r w:rsidRPr="00783571">
        <w:rPr>
          <w:iCs/>
          <w:lang w:val="en-US"/>
        </w:rPr>
        <w:t>4</w:t>
      </w:r>
      <w:r w:rsidR="004414A7" w:rsidRPr="00783571">
        <w:rPr>
          <w:iCs/>
          <w:lang w:val="en-US"/>
        </w:rPr>
        <w:t>)</w:t>
      </w:r>
    </w:p>
    <w:p w14:paraId="26C4BD06" w14:textId="68EF9742" w:rsidR="003D0938" w:rsidRPr="00783571" w:rsidRDefault="002B1529" w:rsidP="00A424BD">
      <w:pPr>
        <w:pStyle w:val="bullets-blank"/>
      </w:pPr>
      <w:r w:rsidRPr="00783571">
        <w:tab/>
      </w:r>
      <w:r w:rsidR="003D0938" w:rsidRPr="00783571">
        <w:t xml:space="preserve">The standard deviation of elementary effects for input </w:t>
      </w:r>
      <w:r w:rsidR="00E748ED" w:rsidRPr="00783571">
        <w:rPr>
          <w:i/>
          <w:iCs/>
        </w:rPr>
        <w:t>Њ</w:t>
      </w:r>
      <w:r w:rsidR="003D0938" w:rsidRPr="00783571">
        <w:t xml:space="preserve"> (</w:t>
      </w:r>
      <w:r w:rsidR="0061048F" w:rsidRPr="00783571">
        <w:t xml:space="preserve">denoted </w:t>
      </w:r>
      <w:r w:rsidR="003D0938" w:rsidRPr="00783571">
        <w:t xml:space="preserve">by </w:t>
      </w:r>
      <w:r w:rsidR="003D0938" w:rsidRPr="00783571">
        <w:rPr>
          <w:i/>
          <w:iCs/>
        </w:rPr>
        <w:t>σ</w:t>
      </w:r>
      <w:r w:rsidR="00E748ED" w:rsidRPr="00783571">
        <w:rPr>
          <w:rFonts w:ascii="Calibri" w:hAnsi="Calibri"/>
          <w:vertAlign w:val="subscript"/>
        </w:rPr>
        <w:t>Њ</w:t>
      </w:r>
      <w:r w:rsidR="003D0938" w:rsidRPr="00783571">
        <w:t xml:space="preserve">) was calculated as the standard deviation of the elementary effects collected for the input; its calculation uses Equation </w:t>
      </w:r>
      <w:r w:rsidR="00CC1DD7" w:rsidRPr="00783571">
        <w:t>12.</w:t>
      </w:r>
      <w:r w:rsidR="003D0938" w:rsidRPr="00783571">
        <w:t>5.</w:t>
      </w:r>
    </w:p>
    <w:p w14:paraId="31FDCF0C" w14:textId="2C8E52F3" w:rsidR="0084258A" w:rsidRPr="00783571" w:rsidRDefault="000B5AE4" w:rsidP="002B1529">
      <w:pPr>
        <w:pStyle w:val="equation"/>
        <w:rPr>
          <w:lang w:val="en-US"/>
        </w:rPr>
      </w:pPr>
      <w:r w:rsidRPr="00783571">
        <w:rPr>
          <w:lang w:val="en-US"/>
        </w:rPr>
        <w:tab/>
      </w:r>
      <w:r w:rsidR="000D648F" w:rsidRPr="00783571">
        <w:rPr>
          <w:lang w:val="en-US"/>
        </w:rPr>
        <w:t xml:space="preserve">Standard deviation of the elementary effects of </w:t>
      </w:r>
      <w:r w:rsidRPr="00783571">
        <w:rPr>
          <w:lang w:val="en-US"/>
        </w:rPr>
        <w:t xml:space="preserve">input </w:t>
      </w:r>
      <w:r w:rsidR="00E748ED" w:rsidRPr="00783571">
        <w:rPr>
          <w:lang w:val="en-US"/>
        </w:rPr>
        <w:t>Њ</w:t>
      </w:r>
      <w:r w:rsidRPr="00783571">
        <w:rPr>
          <w:lang w:val="en-US"/>
        </w:rPr>
        <w:t xml:space="preserve"> =</w:t>
      </w:r>
      <w:r w:rsidR="002B1529" w:rsidRPr="00783571">
        <w:rPr>
          <w:lang w:val="en-US"/>
        </w:rPr>
        <w:br/>
      </w:r>
      <w:r w:rsidR="0084258A" w:rsidRPr="00783571">
        <w:rPr>
          <w:lang w:val="en-US"/>
        </w:rPr>
        <w:tab/>
        <w:t xml:space="preserve"> </w:t>
      </w:r>
      <m:oMath>
        <m:sSub>
          <m:sSubPr>
            <m:ctrlPr>
              <w:rPr>
                <w:rFonts w:ascii="Cambria Math" w:hAnsi="Cambria Math"/>
                <w:i/>
                <w:iCs/>
                <w:lang w:val="en-US"/>
              </w:rPr>
            </m:ctrlPr>
          </m:sSubPr>
          <m:e>
            <m:r>
              <w:rPr>
                <w:rFonts w:ascii="Cambria Math" w:hAnsi="Cambria Math"/>
                <w:lang w:val="en-US"/>
              </w:rPr>
              <m:t>σ</m:t>
            </m:r>
          </m:e>
          <m:sub>
            <m:r>
              <m:rPr>
                <m:sty m:val="p"/>
              </m:rPr>
              <w:rPr>
                <w:rFonts w:ascii="Cambria Math" w:hAnsi="Cambria Math"/>
                <w:vertAlign w:val="subscript"/>
                <w:lang w:val="en-US"/>
              </w:rPr>
              <m:t>Њ</m:t>
            </m:r>
          </m:sub>
        </m:sSub>
        <m:r>
          <w:rPr>
            <w:rFonts w:ascii="Cambria Math" w:hAnsi="Cambria Math"/>
            <w:lang w:val="en-US"/>
          </w:rPr>
          <m:t>= </m:t>
        </m:r>
        <m:rad>
          <m:radPr>
            <m:degHide m:val="1"/>
            <m:ctrlPr>
              <w:rPr>
                <w:rFonts w:ascii="Cambria Math" w:hAnsi="Cambria Math"/>
                <w:i/>
                <w:iCs/>
                <w:lang w:val="en-US"/>
              </w:rPr>
            </m:ctrlPr>
          </m:radPr>
          <m:deg/>
          <m:e>
            <m:f>
              <m:fPr>
                <m:ctrlPr>
                  <w:rPr>
                    <w:rFonts w:ascii="Cambria Math" w:hAnsi="Cambria Math"/>
                    <w:i/>
                    <w:iCs/>
                    <w:lang w:val="en-US"/>
                  </w:rPr>
                </m:ctrlPr>
              </m:fPr>
              <m:num>
                <m:nary>
                  <m:naryPr>
                    <m:chr m:val="∑"/>
                    <m:ctrlPr>
                      <w:rPr>
                        <w:rFonts w:ascii="Cambria Math" w:hAnsi="Cambria Math"/>
                        <w:i/>
                        <w:iCs/>
                        <w:lang w:val="en-US"/>
                      </w:rPr>
                    </m:ctrlPr>
                  </m:naryPr>
                  <m:sub>
                    <m:r>
                      <w:rPr>
                        <w:rFonts w:ascii="Cambria Math" w:hAnsi="Cambria Math"/>
                        <w:lang w:val="en-US"/>
                      </w:rPr>
                      <m:t>ш=1</m:t>
                    </m:r>
                  </m:sub>
                  <m:sup>
                    <m:r>
                      <w:rPr>
                        <w:rFonts w:ascii="Cambria Math" w:hAnsi="Cambria Math"/>
                        <w:lang w:val="en-US"/>
                      </w:rPr>
                      <m:t>Z</m:t>
                    </m:r>
                  </m:sup>
                  <m:e>
                    <m:sSup>
                      <m:sSupPr>
                        <m:ctrlPr>
                          <w:rPr>
                            <w:rFonts w:ascii="Cambria Math" w:hAnsi="Cambria Math"/>
                            <w:i/>
                            <w:iCs/>
                            <w:lang w:val="en-US"/>
                          </w:rPr>
                        </m:ctrlPr>
                      </m:sSupPr>
                      <m:e>
                        <m:r>
                          <w:rPr>
                            <w:rFonts w:ascii="Cambria Math" w:hAnsi="Cambria Math"/>
                            <w:lang w:val="en-US"/>
                          </w:rPr>
                          <m:t>(</m:t>
                        </m:r>
                        <m:sSub>
                          <m:sSubPr>
                            <m:ctrlPr>
                              <w:rPr>
                                <w:rFonts w:ascii="Cambria Math" w:hAnsi="Cambria Math"/>
                                <w:i/>
                                <w:iCs/>
                                <w:lang w:val="en-US"/>
                              </w:rPr>
                            </m:ctrlPr>
                          </m:sSubPr>
                          <m:e>
                            <m:r>
                              <w:rPr>
                                <w:rFonts w:ascii="Cambria Math" w:hAnsi="Cambria Math"/>
                                <w:lang w:val="en-US"/>
                              </w:rPr>
                              <m:t>EE</m:t>
                            </m:r>
                          </m:e>
                          <m:sub>
                            <m:r>
                              <w:rPr>
                                <w:rFonts w:ascii="Cambria Math" w:hAnsi="Cambria Math"/>
                                <w:lang w:val="en-US"/>
                              </w:rPr>
                              <m:t>ш,</m:t>
                            </m:r>
                            <m:r>
                              <m:rPr>
                                <m:sty m:val="p"/>
                              </m:rPr>
                              <w:rPr>
                                <w:rFonts w:ascii="Cambria Math" w:hAnsi="Cambria Math"/>
                                <w:vertAlign w:val="subscript"/>
                                <w:lang w:val="en-US"/>
                              </w:rPr>
                              <m:t>Њ</m:t>
                            </m:r>
                          </m:sub>
                        </m:sSub>
                        <m:r>
                          <w:rPr>
                            <w:rFonts w:ascii="Cambria Math" w:hAnsi="Cambria Math"/>
                            <w:lang w:val="en-US"/>
                          </w:rPr>
                          <m:t>-</m:t>
                        </m:r>
                        <m:acc>
                          <m:accPr>
                            <m:chr m:val="̅"/>
                            <m:ctrlPr>
                              <w:rPr>
                                <w:rFonts w:ascii="Cambria Math" w:hAnsi="Cambria Math"/>
                                <w:i/>
                                <w:iCs/>
                                <w:lang w:val="en-US"/>
                              </w:rPr>
                            </m:ctrlPr>
                          </m:accPr>
                          <m:e>
                            <m:sSub>
                              <m:sSubPr>
                                <m:ctrlPr>
                                  <w:rPr>
                                    <w:rFonts w:ascii="Cambria Math" w:hAnsi="Cambria Math"/>
                                    <w:i/>
                                    <w:iCs/>
                                    <w:lang w:val="en-US"/>
                                  </w:rPr>
                                </m:ctrlPr>
                              </m:sSubPr>
                              <m:e>
                                <m:r>
                                  <w:rPr>
                                    <w:rFonts w:ascii="Cambria Math" w:hAnsi="Cambria Math"/>
                                    <w:lang w:val="en-US"/>
                                  </w:rPr>
                                  <m:t>EE</m:t>
                                </m:r>
                              </m:e>
                              <m:sub>
                                <m:r>
                                  <m:rPr>
                                    <m:sty m:val="p"/>
                                  </m:rPr>
                                  <w:rPr>
                                    <w:rFonts w:ascii="Cambria Math" w:hAnsi="Cambria Math"/>
                                    <w:vertAlign w:val="subscript"/>
                                    <w:lang w:val="en-US"/>
                                  </w:rPr>
                                  <m:t>Њ</m:t>
                                </m:r>
                              </m:sub>
                            </m:sSub>
                          </m:e>
                        </m:acc>
                        <m:r>
                          <w:rPr>
                            <w:rFonts w:ascii="Cambria Math" w:hAnsi="Cambria Math"/>
                            <w:lang w:val="en-US"/>
                          </w:rPr>
                          <m:t>)</m:t>
                        </m:r>
                      </m:e>
                      <m:sup>
                        <m:r>
                          <w:rPr>
                            <w:rFonts w:ascii="Cambria Math" w:hAnsi="Cambria Math"/>
                            <w:lang w:val="en-US"/>
                          </w:rPr>
                          <m:t>2</m:t>
                        </m:r>
                      </m:sup>
                    </m:sSup>
                  </m:e>
                </m:nary>
              </m:num>
              <m:den>
                <m:r>
                  <w:rPr>
                    <w:rFonts w:ascii="Cambria Math" w:hAnsi="Cambria Math"/>
                    <w:lang w:val="en-US"/>
                  </w:rPr>
                  <m:t>Z</m:t>
                </m:r>
              </m:den>
            </m:f>
          </m:e>
        </m:rad>
      </m:oMath>
      <w:r w:rsidRPr="00783571">
        <w:rPr>
          <w:iCs/>
          <w:lang w:val="en-US"/>
        </w:rPr>
        <w:tab/>
        <w:t>(</w:t>
      </w:r>
      <w:r w:rsidR="00CC1DD7" w:rsidRPr="00783571">
        <w:rPr>
          <w:iCs/>
          <w:lang w:val="en-US"/>
        </w:rPr>
        <w:t>12.</w:t>
      </w:r>
      <w:r w:rsidRPr="00783571">
        <w:rPr>
          <w:iCs/>
          <w:lang w:val="en-US"/>
        </w:rPr>
        <w:t>5)</w:t>
      </w:r>
    </w:p>
    <w:p w14:paraId="23F4593A" w14:textId="1E84566E" w:rsidR="00E4212D" w:rsidRPr="00783571" w:rsidRDefault="002B1529" w:rsidP="00A424BD">
      <w:pPr>
        <w:pStyle w:val="bullets-blank"/>
      </w:pPr>
      <w:r w:rsidRPr="00783571">
        <w:tab/>
      </w:r>
      <w:r w:rsidR="00E4212D" w:rsidRPr="00783571">
        <w:t>The</w:t>
      </w:r>
      <w:r w:rsidR="008A16BA" w:rsidRPr="00783571">
        <w:t xml:space="preserve">se measures are reported for all inputs in </w:t>
      </w:r>
      <w:r w:rsidR="00814158" w:rsidRPr="00783571">
        <w:t>Table </w:t>
      </w:r>
      <w:r w:rsidR="00CC1DD7" w:rsidRPr="00783571">
        <w:t>12.</w:t>
      </w:r>
      <w:r w:rsidR="008A16BA" w:rsidRPr="00783571">
        <w:t>1</w:t>
      </w:r>
      <w:r w:rsidR="00270DD7" w:rsidRPr="00783571">
        <w:t xml:space="preserve"> for </w:t>
      </w:r>
      <w:r w:rsidR="003E3C01" w:rsidRPr="00783571">
        <w:t>total U.S. HIV incidence in 2020</w:t>
      </w:r>
      <w:r w:rsidR="008A16BA" w:rsidRPr="00783571">
        <w:t>.</w:t>
      </w:r>
      <w:r w:rsidR="00E4212D" w:rsidRPr="00783571">
        <w:t xml:space="preserve"> We then plotted the inputs as shown in Figure </w:t>
      </w:r>
      <w:r w:rsidR="00CC1DD7" w:rsidRPr="00783571">
        <w:t>12.</w:t>
      </w:r>
      <w:r w:rsidR="00E4212D" w:rsidRPr="00783571">
        <w:t>1.</w:t>
      </w:r>
    </w:p>
    <w:p w14:paraId="67B79A50" w14:textId="741A82EB" w:rsidR="0016571A" w:rsidRPr="00783571" w:rsidRDefault="00901AE9" w:rsidP="003E456A">
      <w:pPr>
        <w:pStyle w:val="BodyText"/>
      </w:pPr>
      <w:r w:rsidRPr="00783571">
        <w:t xml:space="preserve">For </w:t>
      </w:r>
      <w:r w:rsidR="003E3C01" w:rsidRPr="00783571">
        <w:t>total U.S. HIV incidence in 2020</w:t>
      </w:r>
      <w:r w:rsidRPr="00783571">
        <w:t xml:space="preserve">, the elementary effects method found that the following inputs had the greatest effect on </w:t>
      </w:r>
      <w:r w:rsidR="00D12329" w:rsidRPr="00783571">
        <w:t>HIV incidence in 2020</w:t>
      </w:r>
      <w:r w:rsidRPr="00783571">
        <w:t xml:space="preserve">: annual number of sexual partners and </w:t>
      </w:r>
      <w:r w:rsidR="001803DB" w:rsidRPr="00783571">
        <w:t>sex act</w:t>
      </w:r>
      <w:r w:rsidRPr="00783571">
        <w:t xml:space="preserve">s per person, </w:t>
      </w:r>
      <w:r w:rsidR="00D12329" w:rsidRPr="00783571">
        <w:t xml:space="preserve">the percentage of HET females’ sexual partners with HET males (versus MSM and male PWID), </w:t>
      </w:r>
      <w:r w:rsidR="00E524D1" w:rsidRPr="00783571">
        <w:t>p</w:t>
      </w:r>
      <w:r w:rsidR="00D12329" w:rsidRPr="00783571">
        <w:t>ercentage of MSM's sexual partners with MSM (versus HET females and female PWID), and the probability of HIV transmission per condomless anal receptive sex act.</w:t>
      </w:r>
    </w:p>
    <w:p w14:paraId="6F2064C7" w14:textId="55F47B13" w:rsidR="0030594F" w:rsidRPr="00783571" w:rsidRDefault="0030594F" w:rsidP="00764051">
      <w:pPr>
        <w:pStyle w:val="TableTitle"/>
      </w:pPr>
      <w:bookmarkStart w:id="136" w:name="_Toc510104051"/>
      <w:r w:rsidRPr="00783571">
        <w:t xml:space="preserve">Table </w:t>
      </w:r>
      <w:r w:rsidR="00CC1DD7" w:rsidRPr="00783571">
        <w:t>12.</w:t>
      </w:r>
      <w:r w:rsidRPr="00783571">
        <w:t>1</w:t>
      </w:r>
      <w:r w:rsidRPr="00783571">
        <w:tab/>
      </w:r>
      <w:r w:rsidR="008A16BA" w:rsidRPr="00783571">
        <w:t xml:space="preserve">Elementary </w:t>
      </w:r>
      <w:r w:rsidR="001B428A" w:rsidRPr="00783571">
        <w:t>E</w:t>
      </w:r>
      <w:r w:rsidR="008A16BA" w:rsidRPr="00783571">
        <w:t xml:space="preserve">ffects </w:t>
      </w:r>
      <w:r w:rsidR="001B428A" w:rsidRPr="00783571">
        <w:t>A</w:t>
      </w:r>
      <w:r w:rsidR="008A16BA" w:rsidRPr="00783571">
        <w:t xml:space="preserve">nalysis </w:t>
      </w:r>
      <w:r w:rsidR="001B428A" w:rsidRPr="00783571">
        <w:t>R</w:t>
      </w:r>
      <w:r w:rsidR="008A16BA" w:rsidRPr="00783571">
        <w:t>esults</w:t>
      </w:r>
      <w:r w:rsidR="002A3893" w:rsidRPr="00783571">
        <w:t xml:space="preserve"> for </w:t>
      </w:r>
      <w:r w:rsidR="00E524D1" w:rsidRPr="00783571">
        <w:t>T</w:t>
      </w:r>
      <w:r w:rsidR="00E32EF2" w:rsidRPr="00783571">
        <w:t>otal U.S. HIV Incidence in 2020</w:t>
      </w:r>
      <w:r w:rsidR="008A16BA" w:rsidRPr="00783571">
        <w:t xml:space="preserve">: </w:t>
      </w:r>
      <w:r w:rsidR="001B428A" w:rsidRPr="00783571">
        <w:t>M</w:t>
      </w:r>
      <w:r w:rsidRPr="00783571">
        <w:t xml:space="preserve">ean of </w:t>
      </w:r>
      <w:r w:rsidR="001B428A" w:rsidRPr="00783571">
        <w:t>A</w:t>
      </w:r>
      <w:r w:rsidRPr="00783571">
        <w:t>bsolute</w:t>
      </w:r>
      <w:r w:rsidR="0061048F" w:rsidRPr="00783571">
        <w:t>,</w:t>
      </w:r>
      <w:r w:rsidRPr="00783571">
        <w:t xml:space="preserve"> and </w:t>
      </w:r>
      <w:r w:rsidR="001B428A" w:rsidRPr="00783571">
        <w:t xml:space="preserve">Standard Deviation </w:t>
      </w:r>
      <w:r w:rsidRPr="00783571">
        <w:t xml:space="preserve">of </w:t>
      </w:r>
      <w:r w:rsidR="001B428A" w:rsidRPr="00783571">
        <w:t>Elementary Effects</w:t>
      </w:r>
      <w:r w:rsidR="008A16BA" w:rsidRPr="00783571">
        <w:t xml:space="preserve"> for </w:t>
      </w:r>
      <w:r w:rsidR="00E32EF2" w:rsidRPr="00783571">
        <w:t>5</w:t>
      </w:r>
      <w:r w:rsidR="0010154C" w:rsidRPr="00783571">
        <w:t>2</w:t>
      </w:r>
      <w:r w:rsidR="00625555" w:rsidRPr="00783571">
        <w:rPr>
          <w:vertAlign w:val="superscript"/>
        </w:rPr>
        <w:t>a</w:t>
      </w:r>
      <w:r w:rsidR="0010154C" w:rsidRPr="00783571">
        <w:t xml:space="preserve"> </w:t>
      </w:r>
      <w:r w:rsidR="001B428A" w:rsidRPr="00783571">
        <w:t xml:space="preserve">Inputs </w:t>
      </w:r>
      <w:r w:rsidRPr="00783571">
        <w:t xml:space="preserve">(in </w:t>
      </w:r>
      <w:r w:rsidR="001B428A" w:rsidRPr="00783571">
        <w:t xml:space="preserve">Descending Order </w:t>
      </w:r>
      <w:r w:rsidRPr="00783571">
        <w:t xml:space="preserve">by </w:t>
      </w:r>
      <w:r w:rsidR="001B428A" w:rsidRPr="00783571">
        <w:t>M</w:t>
      </w:r>
      <w:r w:rsidRPr="00783571">
        <w:t xml:space="preserve">ean of </w:t>
      </w:r>
      <w:r w:rsidR="001B428A" w:rsidRPr="00783571">
        <w:t>A</w:t>
      </w:r>
      <w:r w:rsidRPr="00783571">
        <w:t xml:space="preserve">bsolute </w:t>
      </w:r>
      <w:r w:rsidR="001B428A" w:rsidRPr="00783571">
        <w:t>E</w:t>
      </w:r>
      <w:r w:rsidRPr="00783571">
        <w:t xml:space="preserve">lementary </w:t>
      </w:r>
      <w:r w:rsidR="001B428A" w:rsidRPr="00783571">
        <w:t>E</w:t>
      </w:r>
      <w:r w:rsidRPr="00783571">
        <w:t>ffects)</w:t>
      </w:r>
      <w:bookmarkEnd w:id="136"/>
    </w:p>
    <w:tbl>
      <w:tblPr>
        <w:tblStyle w:val="TableFormat4"/>
        <w:tblW w:w="5000" w:type="pct"/>
        <w:tblInd w:w="0" w:type="dxa"/>
        <w:tblLayout w:type="fixed"/>
        <w:tblCellMar>
          <w:left w:w="58" w:type="dxa"/>
          <w:right w:w="58" w:type="dxa"/>
        </w:tblCellMar>
        <w:tblLook w:val="0620" w:firstRow="1" w:lastRow="0" w:firstColumn="0" w:lastColumn="0" w:noHBand="1" w:noVBand="1"/>
      </w:tblPr>
      <w:tblGrid>
        <w:gridCol w:w="823"/>
        <w:gridCol w:w="5045"/>
        <w:gridCol w:w="1746"/>
        <w:gridCol w:w="1746"/>
      </w:tblGrid>
      <w:tr w:rsidR="00782B9B" w:rsidRPr="00783571" w14:paraId="33A3E82A" w14:textId="77777777" w:rsidTr="004F70FA">
        <w:trPr>
          <w:cnfStyle w:val="100000000000" w:firstRow="1" w:lastRow="0" w:firstColumn="0" w:lastColumn="0" w:oddVBand="0" w:evenVBand="0" w:oddHBand="0" w:evenHBand="0" w:firstRowFirstColumn="0" w:firstRowLastColumn="0" w:lastRowFirstColumn="0" w:lastRowLastColumn="0"/>
        </w:trPr>
        <w:tc>
          <w:tcPr>
            <w:tcW w:w="823" w:type="dxa"/>
            <w:noWrap/>
            <w:vAlign w:val="bottom"/>
            <w:hideMark/>
          </w:tcPr>
          <w:p w14:paraId="3D892AB0" w14:textId="77777777" w:rsidR="00782B9B" w:rsidRPr="00783571" w:rsidRDefault="00782B9B" w:rsidP="003E456A">
            <w:pPr>
              <w:pStyle w:val="TableHeaders"/>
              <w:keepNext/>
            </w:pPr>
            <w:r w:rsidRPr="00783571">
              <w:t>Input #</w:t>
            </w:r>
            <w:r w:rsidRPr="00783571">
              <w:rPr>
                <w:vertAlign w:val="superscript"/>
              </w:rPr>
              <w:t>a</w:t>
            </w:r>
          </w:p>
        </w:tc>
        <w:tc>
          <w:tcPr>
            <w:tcW w:w="5045" w:type="dxa"/>
            <w:noWrap/>
            <w:vAlign w:val="bottom"/>
            <w:hideMark/>
          </w:tcPr>
          <w:p w14:paraId="52376D9D" w14:textId="77777777" w:rsidR="00782B9B" w:rsidRPr="00783571" w:rsidRDefault="00782B9B" w:rsidP="003E456A">
            <w:pPr>
              <w:pStyle w:val="TableHeaders"/>
              <w:keepNext/>
            </w:pPr>
            <w:r w:rsidRPr="00783571">
              <w:t>Input</w:t>
            </w:r>
            <w:r w:rsidRPr="00783571">
              <w:rPr>
                <w:vertAlign w:val="superscript"/>
              </w:rPr>
              <w:t>a</w:t>
            </w:r>
          </w:p>
        </w:tc>
        <w:tc>
          <w:tcPr>
            <w:tcW w:w="1746" w:type="dxa"/>
            <w:vAlign w:val="bottom"/>
            <w:hideMark/>
          </w:tcPr>
          <w:p w14:paraId="33750B69" w14:textId="77777777" w:rsidR="00782B9B" w:rsidRPr="00783571" w:rsidRDefault="00782B9B" w:rsidP="003E456A">
            <w:pPr>
              <w:pStyle w:val="TableHeaders"/>
              <w:keepNext/>
            </w:pPr>
            <w:r w:rsidRPr="00783571">
              <w:t>Mean of Absolute Elementary Effects (µ*)</w:t>
            </w:r>
            <w:r w:rsidRPr="00783571">
              <w:rPr>
                <w:vertAlign w:val="superscript"/>
              </w:rPr>
              <w:t>b</w:t>
            </w:r>
          </w:p>
        </w:tc>
        <w:tc>
          <w:tcPr>
            <w:tcW w:w="1746" w:type="dxa"/>
            <w:noWrap/>
            <w:vAlign w:val="bottom"/>
            <w:hideMark/>
          </w:tcPr>
          <w:p w14:paraId="2C4379C9" w14:textId="1F225BD3" w:rsidR="00782B9B" w:rsidRPr="00783571" w:rsidRDefault="00782B9B" w:rsidP="003E456A">
            <w:pPr>
              <w:pStyle w:val="TableHeaders"/>
              <w:keepNext/>
            </w:pPr>
            <w:r w:rsidRPr="00783571">
              <w:t>Standard Deviation of Elementary Effects (σ)</w:t>
            </w:r>
            <w:r w:rsidR="0061048F" w:rsidRPr="00783571">
              <w:rPr>
                <w:vertAlign w:val="superscript"/>
              </w:rPr>
              <w:t>c</w:t>
            </w:r>
          </w:p>
        </w:tc>
      </w:tr>
      <w:tr w:rsidR="005F3077" w:rsidRPr="00783571" w14:paraId="17F8DCCA" w14:textId="77777777" w:rsidTr="004F70FA">
        <w:tc>
          <w:tcPr>
            <w:tcW w:w="823" w:type="dxa"/>
            <w:tcBorders>
              <w:top w:val="single" w:sz="6" w:space="0" w:color="auto"/>
              <w:bottom w:val="single" w:sz="4" w:space="0" w:color="808080" w:themeColor="background1" w:themeShade="80"/>
            </w:tcBorders>
            <w:noWrap/>
            <w:hideMark/>
          </w:tcPr>
          <w:p w14:paraId="320E6C6C" w14:textId="3EB0322E" w:rsidR="005F3077" w:rsidRPr="00783571" w:rsidRDefault="005F3077" w:rsidP="003E456A">
            <w:pPr>
              <w:pStyle w:val="TableText"/>
              <w:keepNext/>
              <w:jc w:val="center"/>
              <w:rPr>
                <w:b/>
                <w:bCs/>
                <w:szCs w:val="18"/>
              </w:rPr>
            </w:pPr>
            <w:r w:rsidRPr="00783571">
              <w:rPr>
                <w:b/>
              </w:rPr>
              <w:t>26</w:t>
            </w:r>
          </w:p>
        </w:tc>
        <w:tc>
          <w:tcPr>
            <w:tcW w:w="5045" w:type="dxa"/>
            <w:tcBorders>
              <w:top w:val="single" w:sz="6" w:space="0" w:color="auto"/>
              <w:bottom w:val="single" w:sz="4" w:space="0" w:color="808080" w:themeColor="background1" w:themeShade="80"/>
            </w:tcBorders>
            <w:noWrap/>
            <w:hideMark/>
          </w:tcPr>
          <w:p w14:paraId="6E624AEA" w14:textId="6DB79487" w:rsidR="005F3077" w:rsidRPr="00783571" w:rsidRDefault="005F3077" w:rsidP="003E456A">
            <w:pPr>
              <w:pStyle w:val="TableText"/>
              <w:keepNext/>
              <w:rPr>
                <w:b/>
                <w:bCs/>
                <w:szCs w:val="18"/>
              </w:rPr>
            </w:pPr>
            <w:r w:rsidRPr="00783571">
              <w:rPr>
                <w:b/>
              </w:rPr>
              <w:t>Annual number of sexual partners per person</w:t>
            </w:r>
          </w:p>
        </w:tc>
        <w:tc>
          <w:tcPr>
            <w:tcW w:w="1746" w:type="dxa"/>
            <w:tcBorders>
              <w:top w:val="single" w:sz="6" w:space="0" w:color="auto"/>
              <w:bottom w:val="single" w:sz="4" w:space="0" w:color="808080" w:themeColor="background1" w:themeShade="80"/>
            </w:tcBorders>
            <w:noWrap/>
            <w:hideMark/>
          </w:tcPr>
          <w:p w14:paraId="4BE0F17D" w14:textId="27AEEE1F" w:rsidR="005F3077" w:rsidRPr="00783571" w:rsidRDefault="005F3077" w:rsidP="003E456A">
            <w:pPr>
              <w:pStyle w:val="TableText"/>
              <w:keepNext/>
              <w:tabs>
                <w:tab w:val="decimal" w:pos="1172"/>
              </w:tabs>
              <w:rPr>
                <w:szCs w:val="18"/>
              </w:rPr>
            </w:pPr>
            <w:r w:rsidRPr="00783571">
              <w:t>212,688</w:t>
            </w:r>
          </w:p>
        </w:tc>
        <w:tc>
          <w:tcPr>
            <w:tcW w:w="1746" w:type="dxa"/>
            <w:tcBorders>
              <w:top w:val="single" w:sz="6" w:space="0" w:color="auto"/>
              <w:bottom w:val="single" w:sz="4" w:space="0" w:color="808080" w:themeColor="background1" w:themeShade="80"/>
            </w:tcBorders>
            <w:noWrap/>
            <w:hideMark/>
          </w:tcPr>
          <w:p w14:paraId="0F9D1344" w14:textId="6829C591" w:rsidR="005F3077" w:rsidRPr="00783571" w:rsidRDefault="005F3077" w:rsidP="003E456A">
            <w:pPr>
              <w:pStyle w:val="TableText"/>
              <w:keepNext/>
              <w:tabs>
                <w:tab w:val="decimal" w:pos="1172"/>
              </w:tabs>
              <w:rPr>
                <w:szCs w:val="18"/>
              </w:rPr>
            </w:pPr>
            <w:r w:rsidRPr="00783571">
              <w:t>199,915</w:t>
            </w:r>
          </w:p>
        </w:tc>
      </w:tr>
      <w:tr w:rsidR="005F3077" w:rsidRPr="00783571" w14:paraId="0109419C"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413AF6FE" w14:textId="78D1F144" w:rsidR="005F3077" w:rsidRPr="00783571" w:rsidRDefault="005F3077" w:rsidP="003E456A">
            <w:pPr>
              <w:pStyle w:val="TableText"/>
              <w:keepNext/>
              <w:jc w:val="center"/>
              <w:rPr>
                <w:b/>
                <w:bCs/>
                <w:szCs w:val="18"/>
              </w:rPr>
            </w:pPr>
            <w:r w:rsidRPr="00783571">
              <w:rPr>
                <w:b/>
              </w:rPr>
              <w:t>1</w:t>
            </w:r>
          </w:p>
        </w:tc>
        <w:tc>
          <w:tcPr>
            <w:tcW w:w="5045" w:type="dxa"/>
            <w:tcBorders>
              <w:top w:val="single" w:sz="4" w:space="0" w:color="808080" w:themeColor="background1" w:themeShade="80"/>
              <w:bottom w:val="single" w:sz="4" w:space="0" w:color="808080" w:themeColor="background1" w:themeShade="80"/>
            </w:tcBorders>
            <w:noWrap/>
            <w:hideMark/>
          </w:tcPr>
          <w:p w14:paraId="0E223E4D" w14:textId="01BFEDF7" w:rsidR="005F3077" w:rsidRPr="00783571" w:rsidRDefault="005F3077" w:rsidP="003E456A">
            <w:pPr>
              <w:pStyle w:val="TableText"/>
              <w:keepNext/>
              <w:rPr>
                <w:b/>
                <w:bCs/>
                <w:szCs w:val="18"/>
              </w:rPr>
            </w:pPr>
            <w:r w:rsidRPr="00783571">
              <w:rPr>
                <w:b/>
              </w:rPr>
              <w:t>Annual number of sex acts per person</w:t>
            </w:r>
          </w:p>
        </w:tc>
        <w:tc>
          <w:tcPr>
            <w:tcW w:w="1746" w:type="dxa"/>
            <w:tcBorders>
              <w:top w:val="single" w:sz="4" w:space="0" w:color="808080" w:themeColor="background1" w:themeShade="80"/>
              <w:bottom w:val="single" w:sz="4" w:space="0" w:color="808080" w:themeColor="background1" w:themeShade="80"/>
            </w:tcBorders>
            <w:noWrap/>
            <w:hideMark/>
          </w:tcPr>
          <w:p w14:paraId="52BCC326" w14:textId="33D67FC3" w:rsidR="005F3077" w:rsidRPr="00783571" w:rsidRDefault="005F3077" w:rsidP="003E456A">
            <w:pPr>
              <w:pStyle w:val="TableText"/>
              <w:keepNext/>
              <w:tabs>
                <w:tab w:val="decimal" w:pos="1172"/>
              </w:tabs>
              <w:rPr>
                <w:szCs w:val="18"/>
              </w:rPr>
            </w:pPr>
            <w:r w:rsidRPr="00783571">
              <w:t>206,104</w:t>
            </w:r>
          </w:p>
        </w:tc>
        <w:tc>
          <w:tcPr>
            <w:tcW w:w="1746" w:type="dxa"/>
            <w:tcBorders>
              <w:top w:val="single" w:sz="4" w:space="0" w:color="808080" w:themeColor="background1" w:themeShade="80"/>
              <w:bottom w:val="single" w:sz="4" w:space="0" w:color="808080" w:themeColor="background1" w:themeShade="80"/>
            </w:tcBorders>
            <w:noWrap/>
            <w:hideMark/>
          </w:tcPr>
          <w:p w14:paraId="2E9764F8" w14:textId="08146837" w:rsidR="005F3077" w:rsidRPr="00783571" w:rsidRDefault="005F3077" w:rsidP="003E456A">
            <w:pPr>
              <w:pStyle w:val="TableText"/>
              <w:keepNext/>
              <w:tabs>
                <w:tab w:val="decimal" w:pos="1172"/>
              </w:tabs>
              <w:rPr>
                <w:szCs w:val="18"/>
              </w:rPr>
            </w:pPr>
            <w:r w:rsidRPr="00783571">
              <w:t>138,647</w:t>
            </w:r>
          </w:p>
        </w:tc>
      </w:tr>
      <w:tr w:rsidR="005F3077" w:rsidRPr="00783571" w14:paraId="4416285D"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5B26A409" w14:textId="0C09BB47" w:rsidR="005F3077" w:rsidRPr="00783571" w:rsidRDefault="005F3077" w:rsidP="003E456A">
            <w:pPr>
              <w:pStyle w:val="TableText"/>
              <w:keepNext/>
              <w:jc w:val="center"/>
              <w:rPr>
                <w:b/>
                <w:bCs/>
                <w:szCs w:val="18"/>
              </w:rPr>
            </w:pPr>
            <w:r w:rsidRPr="00783571">
              <w:rPr>
                <w:b/>
              </w:rPr>
              <w:t>28</w:t>
            </w:r>
          </w:p>
        </w:tc>
        <w:tc>
          <w:tcPr>
            <w:tcW w:w="5045" w:type="dxa"/>
            <w:tcBorders>
              <w:top w:val="single" w:sz="4" w:space="0" w:color="808080" w:themeColor="background1" w:themeShade="80"/>
              <w:bottom w:val="single" w:sz="4" w:space="0" w:color="808080" w:themeColor="background1" w:themeShade="80"/>
            </w:tcBorders>
            <w:noWrap/>
            <w:hideMark/>
          </w:tcPr>
          <w:p w14:paraId="746FC71B" w14:textId="0ADB0B01" w:rsidR="005F3077" w:rsidRPr="00783571" w:rsidRDefault="005F3077" w:rsidP="003E456A">
            <w:pPr>
              <w:pStyle w:val="TableText"/>
              <w:keepNext/>
              <w:rPr>
                <w:b/>
                <w:bCs/>
                <w:szCs w:val="18"/>
              </w:rPr>
            </w:pPr>
            <w:r w:rsidRPr="00783571">
              <w:rPr>
                <w:b/>
              </w:rPr>
              <w:t>Percentage of HET females' sexual partners with HET males (versus MSM and male PWID)</w:t>
            </w:r>
          </w:p>
        </w:tc>
        <w:tc>
          <w:tcPr>
            <w:tcW w:w="1746" w:type="dxa"/>
            <w:tcBorders>
              <w:top w:val="single" w:sz="4" w:space="0" w:color="808080" w:themeColor="background1" w:themeShade="80"/>
              <w:bottom w:val="single" w:sz="4" w:space="0" w:color="808080" w:themeColor="background1" w:themeShade="80"/>
            </w:tcBorders>
            <w:noWrap/>
            <w:hideMark/>
          </w:tcPr>
          <w:p w14:paraId="7F365A4E" w14:textId="0DDA945A" w:rsidR="005F3077" w:rsidRPr="00783571" w:rsidRDefault="005F3077" w:rsidP="003E456A">
            <w:pPr>
              <w:pStyle w:val="TableText"/>
              <w:keepNext/>
              <w:tabs>
                <w:tab w:val="decimal" w:pos="1172"/>
              </w:tabs>
              <w:rPr>
                <w:szCs w:val="18"/>
              </w:rPr>
            </w:pPr>
            <w:r w:rsidRPr="00783571">
              <w:t>127,812</w:t>
            </w:r>
          </w:p>
        </w:tc>
        <w:tc>
          <w:tcPr>
            <w:tcW w:w="1746" w:type="dxa"/>
            <w:tcBorders>
              <w:top w:val="single" w:sz="4" w:space="0" w:color="808080" w:themeColor="background1" w:themeShade="80"/>
              <w:bottom w:val="single" w:sz="4" w:space="0" w:color="808080" w:themeColor="background1" w:themeShade="80"/>
            </w:tcBorders>
            <w:noWrap/>
            <w:hideMark/>
          </w:tcPr>
          <w:p w14:paraId="63335A25" w14:textId="043CBAC7" w:rsidR="005F3077" w:rsidRPr="00783571" w:rsidRDefault="005F3077" w:rsidP="003E456A">
            <w:pPr>
              <w:pStyle w:val="TableText"/>
              <w:keepNext/>
              <w:tabs>
                <w:tab w:val="decimal" w:pos="1172"/>
              </w:tabs>
              <w:rPr>
                <w:szCs w:val="18"/>
              </w:rPr>
            </w:pPr>
            <w:r w:rsidRPr="00783571">
              <w:t>190,460</w:t>
            </w:r>
          </w:p>
        </w:tc>
      </w:tr>
      <w:tr w:rsidR="005F3077" w:rsidRPr="00783571" w14:paraId="34EBF968"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21175958" w14:textId="142294BB" w:rsidR="005F3077" w:rsidRPr="00783571" w:rsidRDefault="005F3077" w:rsidP="003E456A">
            <w:pPr>
              <w:pStyle w:val="TableText"/>
              <w:keepNext/>
              <w:jc w:val="center"/>
              <w:rPr>
                <w:b/>
                <w:bCs/>
                <w:szCs w:val="18"/>
              </w:rPr>
            </w:pPr>
            <w:r w:rsidRPr="00783571">
              <w:rPr>
                <w:b/>
                <w:szCs w:val="18"/>
              </w:rPr>
              <w:t>29</w:t>
            </w:r>
          </w:p>
        </w:tc>
        <w:tc>
          <w:tcPr>
            <w:tcW w:w="5045" w:type="dxa"/>
            <w:tcBorders>
              <w:top w:val="single" w:sz="4" w:space="0" w:color="808080" w:themeColor="background1" w:themeShade="80"/>
              <w:bottom w:val="single" w:sz="4" w:space="0" w:color="808080" w:themeColor="background1" w:themeShade="80"/>
            </w:tcBorders>
            <w:noWrap/>
            <w:hideMark/>
          </w:tcPr>
          <w:p w14:paraId="17CB4B7B" w14:textId="53951F9F" w:rsidR="005F3077" w:rsidRPr="00783571" w:rsidRDefault="005F3077" w:rsidP="003E456A">
            <w:pPr>
              <w:keepNext/>
              <w:rPr>
                <w:b/>
                <w:color w:val="000000"/>
                <w:szCs w:val="18"/>
              </w:rPr>
            </w:pPr>
            <w:r w:rsidRPr="00783571">
              <w:rPr>
                <w:b/>
                <w:color w:val="000000"/>
                <w:szCs w:val="18"/>
              </w:rPr>
              <w:t>Percentage of MSM's sexual partners with MSM (versus HET females and female PWID)</w:t>
            </w:r>
          </w:p>
        </w:tc>
        <w:tc>
          <w:tcPr>
            <w:tcW w:w="1746" w:type="dxa"/>
            <w:tcBorders>
              <w:top w:val="single" w:sz="4" w:space="0" w:color="808080" w:themeColor="background1" w:themeShade="80"/>
              <w:bottom w:val="single" w:sz="4" w:space="0" w:color="808080" w:themeColor="background1" w:themeShade="80"/>
            </w:tcBorders>
            <w:noWrap/>
            <w:hideMark/>
          </w:tcPr>
          <w:p w14:paraId="6D1B5E3C" w14:textId="3A1B1E10" w:rsidR="005F3077" w:rsidRPr="00783571" w:rsidRDefault="005F3077" w:rsidP="003E456A">
            <w:pPr>
              <w:pStyle w:val="TableText"/>
              <w:keepNext/>
              <w:tabs>
                <w:tab w:val="decimal" w:pos="1172"/>
              </w:tabs>
              <w:rPr>
                <w:szCs w:val="18"/>
              </w:rPr>
            </w:pPr>
            <w:r w:rsidRPr="00783571">
              <w:t>121,619</w:t>
            </w:r>
          </w:p>
        </w:tc>
        <w:tc>
          <w:tcPr>
            <w:tcW w:w="1746" w:type="dxa"/>
            <w:tcBorders>
              <w:top w:val="single" w:sz="4" w:space="0" w:color="808080" w:themeColor="background1" w:themeShade="80"/>
              <w:bottom w:val="single" w:sz="4" w:space="0" w:color="808080" w:themeColor="background1" w:themeShade="80"/>
            </w:tcBorders>
            <w:noWrap/>
            <w:hideMark/>
          </w:tcPr>
          <w:p w14:paraId="4DFB189C" w14:textId="3ACD7A14" w:rsidR="005F3077" w:rsidRPr="00783571" w:rsidRDefault="005F3077" w:rsidP="003E456A">
            <w:pPr>
              <w:pStyle w:val="TableText"/>
              <w:keepNext/>
              <w:tabs>
                <w:tab w:val="decimal" w:pos="1172"/>
              </w:tabs>
              <w:rPr>
                <w:szCs w:val="18"/>
              </w:rPr>
            </w:pPr>
            <w:r w:rsidRPr="00783571">
              <w:t>143,651</w:t>
            </w:r>
          </w:p>
        </w:tc>
      </w:tr>
      <w:tr w:rsidR="005F3077" w:rsidRPr="00783571" w14:paraId="3EADB7AD"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5BCBD15D" w14:textId="4546C825" w:rsidR="005F3077" w:rsidRPr="00783571" w:rsidRDefault="005F3077" w:rsidP="005F3077">
            <w:pPr>
              <w:pStyle w:val="TableText"/>
              <w:jc w:val="center"/>
              <w:rPr>
                <w:b/>
                <w:bCs/>
                <w:szCs w:val="18"/>
              </w:rPr>
            </w:pPr>
            <w:r w:rsidRPr="00783571">
              <w:rPr>
                <w:b/>
              </w:rPr>
              <w:t>49</w:t>
            </w:r>
          </w:p>
        </w:tc>
        <w:tc>
          <w:tcPr>
            <w:tcW w:w="5045" w:type="dxa"/>
            <w:tcBorders>
              <w:top w:val="single" w:sz="4" w:space="0" w:color="808080" w:themeColor="background1" w:themeShade="80"/>
              <w:bottom w:val="single" w:sz="4" w:space="0" w:color="808080" w:themeColor="background1" w:themeShade="80"/>
            </w:tcBorders>
            <w:noWrap/>
            <w:hideMark/>
          </w:tcPr>
          <w:p w14:paraId="352BBAAC" w14:textId="4868CE0E" w:rsidR="005F3077" w:rsidRPr="00783571" w:rsidRDefault="005F3077" w:rsidP="005F3077">
            <w:pPr>
              <w:pStyle w:val="TableText"/>
              <w:rPr>
                <w:b/>
                <w:bCs/>
                <w:szCs w:val="18"/>
              </w:rPr>
            </w:pPr>
            <w:r w:rsidRPr="00783571">
              <w:rPr>
                <w:b/>
              </w:rPr>
              <w:t>Probability of HIV transmission per condomless anal receptive sex act</w:t>
            </w:r>
          </w:p>
        </w:tc>
        <w:tc>
          <w:tcPr>
            <w:tcW w:w="1746" w:type="dxa"/>
            <w:tcBorders>
              <w:top w:val="single" w:sz="4" w:space="0" w:color="808080" w:themeColor="background1" w:themeShade="80"/>
              <w:bottom w:val="single" w:sz="4" w:space="0" w:color="808080" w:themeColor="background1" w:themeShade="80"/>
            </w:tcBorders>
            <w:noWrap/>
            <w:hideMark/>
          </w:tcPr>
          <w:p w14:paraId="69A522D0" w14:textId="303B67CA" w:rsidR="005F3077" w:rsidRPr="00783571" w:rsidRDefault="005F3077" w:rsidP="003E456A">
            <w:pPr>
              <w:pStyle w:val="TableText"/>
              <w:tabs>
                <w:tab w:val="decimal" w:pos="1172"/>
              </w:tabs>
              <w:rPr>
                <w:szCs w:val="18"/>
              </w:rPr>
            </w:pPr>
            <w:r w:rsidRPr="00783571">
              <w:t>114,055</w:t>
            </w:r>
          </w:p>
        </w:tc>
        <w:tc>
          <w:tcPr>
            <w:tcW w:w="1746" w:type="dxa"/>
            <w:tcBorders>
              <w:top w:val="single" w:sz="4" w:space="0" w:color="808080" w:themeColor="background1" w:themeShade="80"/>
              <w:bottom w:val="single" w:sz="4" w:space="0" w:color="808080" w:themeColor="background1" w:themeShade="80"/>
            </w:tcBorders>
            <w:noWrap/>
            <w:hideMark/>
          </w:tcPr>
          <w:p w14:paraId="7F356697" w14:textId="71E90B4F" w:rsidR="005F3077" w:rsidRPr="00783571" w:rsidRDefault="005F3077" w:rsidP="003E456A">
            <w:pPr>
              <w:pStyle w:val="TableText"/>
              <w:tabs>
                <w:tab w:val="decimal" w:pos="1172"/>
              </w:tabs>
              <w:rPr>
                <w:szCs w:val="18"/>
              </w:rPr>
            </w:pPr>
            <w:r w:rsidRPr="00783571">
              <w:t>106,314</w:t>
            </w:r>
          </w:p>
        </w:tc>
      </w:tr>
      <w:tr w:rsidR="005F3077" w:rsidRPr="00783571" w14:paraId="4F19C6DF"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296C3566" w14:textId="0C32BB7C" w:rsidR="005F3077" w:rsidRPr="00783571" w:rsidRDefault="005F3077" w:rsidP="005F3077">
            <w:pPr>
              <w:pStyle w:val="TableText"/>
              <w:jc w:val="center"/>
              <w:rPr>
                <w:b/>
                <w:bCs/>
                <w:szCs w:val="18"/>
              </w:rPr>
            </w:pPr>
            <w:r w:rsidRPr="00783571">
              <w:rPr>
                <w:b/>
              </w:rPr>
              <w:t>27</w:t>
            </w:r>
          </w:p>
        </w:tc>
        <w:tc>
          <w:tcPr>
            <w:tcW w:w="5045" w:type="dxa"/>
            <w:tcBorders>
              <w:top w:val="single" w:sz="4" w:space="0" w:color="808080" w:themeColor="background1" w:themeShade="80"/>
              <w:bottom w:val="single" w:sz="4" w:space="0" w:color="808080" w:themeColor="background1" w:themeShade="80"/>
            </w:tcBorders>
            <w:noWrap/>
            <w:hideMark/>
          </w:tcPr>
          <w:p w14:paraId="374963D2" w14:textId="73175A62" w:rsidR="005F3077" w:rsidRPr="00783571" w:rsidRDefault="005F3077" w:rsidP="005F3077">
            <w:pPr>
              <w:pStyle w:val="TableText"/>
              <w:rPr>
                <w:b/>
                <w:bCs/>
                <w:szCs w:val="18"/>
              </w:rPr>
            </w:pPr>
            <w:r w:rsidRPr="00783571">
              <w:rPr>
                <w:b/>
              </w:rPr>
              <w:t>Percentage of HET males' sexual partners with HET females (versus female PWID)</w:t>
            </w:r>
          </w:p>
        </w:tc>
        <w:tc>
          <w:tcPr>
            <w:tcW w:w="1746" w:type="dxa"/>
            <w:tcBorders>
              <w:top w:val="single" w:sz="4" w:space="0" w:color="808080" w:themeColor="background1" w:themeShade="80"/>
              <w:bottom w:val="single" w:sz="4" w:space="0" w:color="808080" w:themeColor="background1" w:themeShade="80"/>
            </w:tcBorders>
            <w:noWrap/>
            <w:hideMark/>
          </w:tcPr>
          <w:p w14:paraId="158739FF" w14:textId="538AE241" w:rsidR="005F3077" w:rsidRPr="00783571" w:rsidRDefault="005F3077" w:rsidP="003E456A">
            <w:pPr>
              <w:pStyle w:val="TableText"/>
              <w:tabs>
                <w:tab w:val="decimal" w:pos="1172"/>
              </w:tabs>
              <w:rPr>
                <w:szCs w:val="18"/>
              </w:rPr>
            </w:pPr>
            <w:r w:rsidRPr="00783571">
              <w:t>103,927</w:t>
            </w:r>
          </w:p>
        </w:tc>
        <w:tc>
          <w:tcPr>
            <w:tcW w:w="1746" w:type="dxa"/>
            <w:tcBorders>
              <w:top w:val="single" w:sz="4" w:space="0" w:color="808080" w:themeColor="background1" w:themeShade="80"/>
              <w:bottom w:val="single" w:sz="4" w:space="0" w:color="808080" w:themeColor="background1" w:themeShade="80"/>
            </w:tcBorders>
            <w:noWrap/>
            <w:hideMark/>
          </w:tcPr>
          <w:p w14:paraId="7FC8A2C8" w14:textId="0A5DAF6E" w:rsidR="005F3077" w:rsidRPr="00783571" w:rsidRDefault="005F3077" w:rsidP="003E456A">
            <w:pPr>
              <w:pStyle w:val="TableText"/>
              <w:tabs>
                <w:tab w:val="decimal" w:pos="1172"/>
              </w:tabs>
              <w:rPr>
                <w:szCs w:val="18"/>
              </w:rPr>
            </w:pPr>
            <w:r w:rsidRPr="00783571">
              <w:t>139,894</w:t>
            </w:r>
          </w:p>
        </w:tc>
      </w:tr>
      <w:tr w:rsidR="005F3077" w:rsidRPr="00783571" w14:paraId="035CC105" w14:textId="77777777" w:rsidTr="004F70FA">
        <w:tc>
          <w:tcPr>
            <w:tcW w:w="823" w:type="dxa"/>
            <w:tcBorders>
              <w:top w:val="single" w:sz="4" w:space="0" w:color="808080" w:themeColor="background1" w:themeShade="80"/>
              <w:bottom w:val="single" w:sz="6" w:space="0" w:color="808080" w:themeColor="background1" w:themeShade="80"/>
            </w:tcBorders>
            <w:noWrap/>
            <w:hideMark/>
          </w:tcPr>
          <w:p w14:paraId="2AEF285D" w14:textId="26B025C0" w:rsidR="005F3077" w:rsidRPr="00783571" w:rsidRDefault="005F3077" w:rsidP="005F3077">
            <w:pPr>
              <w:pStyle w:val="TableText"/>
              <w:jc w:val="center"/>
              <w:rPr>
                <w:b/>
                <w:bCs/>
                <w:szCs w:val="18"/>
              </w:rPr>
            </w:pPr>
            <w:r w:rsidRPr="00783571">
              <w:rPr>
                <w:b/>
              </w:rPr>
              <w:t>52</w:t>
            </w:r>
          </w:p>
        </w:tc>
        <w:tc>
          <w:tcPr>
            <w:tcW w:w="5045" w:type="dxa"/>
            <w:tcBorders>
              <w:top w:val="single" w:sz="4" w:space="0" w:color="808080" w:themeColor="background1" w:themeShade="80"/>
              <w:bottom w:val="single" w:sz="6" w:space="0" w:color="808080" w:themeColor="background1" w:themeShade="80"/>
            </w:tcBorders>
            <w:noWrap/>
            <w:hideMark/>
          </w:tcPr>
          <w:p w14:paraId="33EC38F9" w14:textId="423D06DC" w:rsidR="005F3077" w:rsidRPr="00783571" w:rsidRDefault="005F3077" w:rsidP="005F3077">
            <w:pPr>
              <w:pStyle w:val="TableText"/>
              <w:rPr>
                <w:b/>
                <w:bCs/>
                <w:szCs w:val="18"/>
              </w:rPr>
            </w:pPr>
            <w:r w:rsidRPr="00783571">
              <w:rPr>
                <w:b/>
              </w:rPr>
              <w:t xml:space="preserve">Reduction in HIV transmission per </w:t>
            </w:r>
            <w:r w:rsidR="00E524D1" w:rsidRPr="00783571">
              <w:rPr>
                <w:b/>
              </w:rPr>
              <w:t xml:space="preserve">sex </w:t>
            </w:r>
            <w:r w:rsidRPr="00783571">
              <w:rPr>
                <w:b/>
              </w:rPr>
              <w:t>act if VLS versus not VLS</w:t>
            </w:r>
          </w:p>
        </w:tc>
        <w:tc>
          <w:tcPr>
            <w:tcW w:w="1746" w:type="dxa"/>
            <w:tcBorders>
              <w:top w:val="single" w:sz="4" w:space="0" w:color="808080" w:themeColor="background1" w:themeShade="80"/>
              <w:bottom w:val="single" w:sz="6" w:space="0" w:color="808080" w:themeColor="background1" w:themeShade="80"/>
            </w:tcBorders>
            <w:noWrap/>
            <w:hideMark/>
          </w:tcPr>
          <w:p w14:paraId="08528359" w14:textId="292DEBF4" w:rsidR="005F3077" w:rsidRPr="00783571" w:rsidRDefault="005F3077" w:rsidP="003E456A">
            <w:pPr>
              <w:pStyle w:val="TableText"/>
              <w:tabs>
                <w:tab w:val="decimal" w:pos="1172"/>
              </w:tabs>
              <w:rPr>
                <w:szCs w:val="18"/>
              </w:rPr>
            </w:pPr>
            <w:r w:rsidRPr="00783571">
              <w:t>72,588</w:t>
            </w:r>
          </w:p>
        </w:tc>
        <w:tc>
          <w:tcPr>
            <w:tcW w:w="1746" w:type="dxa"/>
            <w:tcBorders>
              <w:top w:val="single" w:sz="4" w:space="0" w:color="808080" w:themeColor="background1" w:themeShade="80"/>
              <w:bottom w:val="single" w:sz="6" w:space="0" w:color="808080" w:themeColor="background1" w:themeShade="80"/>
            </w:tcBorders>
            <w:noWrap/>
            <w:hideMark/>
          </w:tcPr>
          <w:p w14:paraId="6085AD78" w14:textId="6263E4F7" w:rsidR="005F3077" w:rsidRPr="00783571" w:rsidRDefault="005F3077" w:rsidP="003E456A">
            <w:pPr>
              <w:pStyle w:val="TableText"/>
              <w:tabs>
                <w:tab w:val="decimal" w:pos="1172"/>
              </w:tabs>
              <w:rPr>
                <w:szCs w:val="18"/>
              </w:rPr>
            </w:pPr>
            <w:r w:rsidRPr="00783571">
              <w:t>76,251</w:t>
            </w:r>
          </w:p>
        </w:tc>
      </w:tr>
      <w:tr w:rsidR="005F3077" w:rsidRPr="00783571" w14:paraId="064D4E41" w14:textId="77777777" w:rsidTr="004F70FA">
        <w:tc>
          <w:tcPr>
            <w:tcW w:w="823" w:type="dxa"/>
            <w:tcBorders>
              <w:top w:val="single" w:sz="6" w:space="0" w:color="808080" w:themeColor="background1" w:themeShade="80"/>
              <w:bottom w:val="single" w:sz="4" w:space="0" w:color="808080" w:themeColor="background1" w:themeShade="80"/>
            </w:tcBorders>
            <w:noWrap/>
            <w:hideMark/>
          </w:tcPr>
          <w:p w14:paraId="64E3BF16" w14:textId="2B695A53" w:rsidR="005F3077" w:rsidRPr="00783571" w:rsidRDefault="005F3077" w:rsidP="005F3077">
            <w:pPr>
              <w:pStyle w:val="TableText"/>
              <w:jc w:val="center"/>
              <w:rPr>
                <w:b/>
                <w:bCs/>
                <w:szCs w:val="18"/>
              </w:rPr>
            </w:pPr>
            <w:r w:rsidRPr="00783571">
              <w:rPr>
                <w:b/>
              </w:rPr>
              <w:t>19</w:t>
            </w:r>
          </w:p>
        </w:tc>
        <w:tc>
          <w:tcPr>
            <w:tcW w:w="5045" w:type="dxa"/>
            <w:tcBorders>
              <w:top w:val="single" w:sz="6" w:space="0" w:color="808080" w:themeColor="background1" w:themeShade="80"/>
              <w:bottom w:val="single" w:sz="4" w:space="0" w:color="808080" w:themeColor="background1" w:themeShade="80"/>
            </w:tcBorders>
            <w:noWrap/>
            <w:hideMark/>
          </w:tcPr>
          <w:p w14:paraId="1026ABC0" w14:textId="179443CC" w:rsidR="005F3077" w:rsidRPr="00783571" w:rsidRDefault="005F3077" w:rsidP="005F3077">
            <w:pPr>
              <w:pStyle w:val="TableText"/>
              <w:rPr>
                <w:b/>
                <w:bCs/>
                <w:szCs w:val="18"/>
              </w:rPr>
            </w:pPr>
            <w:r w:rsidRPr="00783571">
              <w:rPr>
                <w:b/>
              </w:rPr>
              <w:t>Condom efficacy per sex act for MSM</w:t>
            </w:r>
          </w:p>
        </w:tc>
        <w:tc>
          <w:tcPr>
            <w:tcW w:w="1746" w:type="dxa"/>
            <w:tcBorders>
              <w:top w:val="single" w:sz="6" w:space="0" w:color="808080" w:themeColor="background1" w:themeShade="80"/>
              <w:bottom w:val="single" w:sz="4" w:space="0" w:color="808080" w:themeColor="background1" w:themeShade="80"/>
            </w:tcBorders>
            <w:noWrap/>
            <w:hideMark/>
          </w:tcPr>
          <w:p w14:paraId="3697A8C9" w14:textId="02A4339D" w:rsidR="005F3077" w:rsidRPr="00783571" w:rsidRDefault="005F3077" w:rsidP="003E456A">
            <w:pPr>
              <w:pStyle w:val="TableText"/>
              <w:tabs>
                <w:tab w:val="decimal" w:pos="1172"/>
              </w:tabs>
              <w:rPr>
                <w:szCs w:val="18"/>
              </w:rPr>
            </w:pPr>
            <w:r w:rsidRPr="00783571">
              <w:t>63,259</w:t>
            </w:r>
          </w:p>
        </w:tc>
        <w:tc>
          <w:tcPr>
            <w:tcW w:w="1746" w:type="dxa"/>
            <w:tcBorders>
              <w:top w:val="single" w:sz="6" w:space="0" w:color="808080" w:themeColor="background1" w:themeShade="80"/>
              <w:bottom w:val="single" w:sz="4" w:space="0" w:color="808080" w:themeColor="background1" w:themeShade="80"/>
            </w:tcBorders>
            <w:noWrap/>
            <w:hideMark/>
          </w:tcPr>
          <w:p w14:paraId="7332FE29" w14:textId="33869899" w:rsidR="005F3077" w:rsidRPr="00783571" w:rsidRDefault="005F3077" w:rsidP="003E456A">
            <w:pPr>
              <w:pStyle w:val="TableText"/>
              <w:tabs>
                <w:tab w:val="decimal" w:pos="1172"/>
              </w:tabs>
              <w:rPr>
                <w:szCs w:val="18"/>
              </w:rPr>
            </w:pPr>
            <w:r w:rsidRPr="00783571">
              <w:t>64,564</w:t>
            </w:r>
          </w:p>
        </w:tc>
      </w:tr>
      <w:tr w:rsidR="005F3077" w:rsidRPr="00783571" w14:paraId="5D2666C7"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5EBFC1B1" w14:textId="35F7E13E" w:rsidR="005F3077" w:rsidRPr="00783571" w:rsidRDefault="005F3077" w:rsidP="005F3077">
            <w:pPr>
              <w:pStyle w:val="TableText"/>
              <w:jc w:val="center"/>
              <w:rPr>
                <w:b/>
                <w:bCs/>
                <w:szCs w:val="18"/>
              </w:rPr>
            </w:pPr>
            <w:r w:rsidRPr="00783571">
              <w:rPr>
                <w:b/>
              </w:rPr>
              <w:t>47</w:t>
            </w:r>
          </w:p>
        </w:tc>
        <w:tc>
          <w:tcPr>
            <w:tcW w:w="5045" w:type="dxa"/>
            <w:tcBorders>
              <w:top w:val="single" w:sz="4" w:space="0" w:color="808080" w:themeColor="background1" w:themeShade="80"/>
              <w:bottom w:val="single" w:sz="4" w:space="0" w:color="808080" w:themeColor="background1" w:themeShade="80"/>
            </w:tcBorders>
            <w:noWrap/>
            <w:hideMark/>
          </w:tcPr>
          <w:p w14:paraId="7D769856" w14:textId="18412843" w:rsidR="005F3077" w:rsidRPr="00783571" w:rsidRDefault="005F3077" w:rsidP="005F3077">
            <w:pPr>
              <w:pStyle w:val="TableText"/>
              <w:rPr>
                <w:b/>
                <w:bCs/>
                <w:szCs w:val="18"/>
              </w:rPr>
            </w:pPr>
            <w:r w:rsidRPr="00783571">
              <w:rPr>
                <w:b/>
              </w:rPr>
              <w:t>Probability of HIV transmission per condomless vaginal receptive sex act</w:t>
            </w:r>
          </w:p>
        </w:tc>
        <w:tc>
          <w:tcPr>
            <w:tcW w:w="1746" w:type="dxa"/>
            <w:tcBorders>
              <w:top w:val="single" w:sz="4" w:space="0" w:color="808080" w:themeColor="background1" w:themeShade="80"/>
              <w:bottom w:val="single" w:sz="4" w:space="0" w:color="808080" w:themeColor="background1" w:themeShade="80"/>
            </w:tcBorders>
            <w:noWrap/>
            <w:hideMark/>
          </w:tcPr>
          <w:p w14:paraId="49BF10CE" w14:textId="01242891" w:rsidR="005F3077" w:rsidRPr="00783571" w:rsidRDefault="005F3077" w:rsidP="003E456A">
            <w:pPr>
              <w:pStyle w:val="TableText"/>
              <w:tabs>
                <w:tab w:val="decimal" w:pos="1172"/>
              </w:tabs>
              <w:rPr>
                <w:szCs w:val="18"/>
              </w:rPr>
            </w:pPr>
            <w:r w:rsidRPr="00783571">
              <w:t>59,801</w:t>
            </w:r>
          </w:p>
        </w:tc>
        <w:tc>
          <w:tcPr>
            <w:tcW w:w="1746" w:type="dxa"/>
            <w:tcBorders>
              <w:top w:val="single" w:sz="4" w:space="0" w:color="808080" w:themeColor="background1" w:themeShade="80"/>
              <w:bottom w:val="single" w:sz="4" w:space="0" w:color="808080" w:themeColor="background1" w:themeShade="80"/>
            </w:tcBorders>
            <w:noWrap/>
            <w:hideMark/>
          </w:tcPr>
          <w:p w14:paraId="41F48886" w14:textId="00FF516A" w:rsidR="005F3077" w:rsidRPr="00783571" w:rsidRDefault="005F3077" w:rsidP="003E456A">
            <w:pPr>
              <w:pStyle w:val="TableText"/>
              <w:tabs>
                <w:tab w:val="decimal" w:pos="1172"/>
              </w:tabs>
              <w:rPr>
                <w:szCs w:val="18"/>
              </w:rPr>
            </w:pPr>
            <w:r w:rsidRPr="00783571">
              <w:t>34,138</w:t>
            </w:r>
          </w:p>
        </w:tc>
      </w:tr>
      <w:tr w:rsidR="005F3077" w:rsidRPr="00783571" w14:paraId="337870D5"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2541C1ED" w14:textId="787D1E02" w:rsidR="005F3077" w:rsidRPr="00783571" w:rsidRDefault="005F3077" w:rsidP="005F3077">
            <w:pPr>
              <w:pStyle w:val="TableText"/>
              <w:jc w:val="center"/>
              <w:rPr>
                <w:b/>
                <w:bCs/>
                <w:szCs w:val="18"/>
              </w:rPr>
            </w:pPr>
            <w:r w:rsidRPr="00783571">
              <w:rPr>
                <w:b/>
              </w:rPr>
              <w:t>23</w:t>
            </w:r>
          </w:p>
        </w:tc>
        <w:tc>
          <w:tcPr>
            <w:tcW w:w="5045" w:type="dxa"/>
            <w:tcBorders>
              <w:top w:val="single" w:sz="4" w:space="0" w:color="808080" w:themeColor="background1" w:themeShade="80"/>
              <w:bottom w:val="single" w:sz="4" w:space="0" w:color="808080" w:themeColor="background1" w:themeShade="80"/>
            </w:tcBorders>
            <w:noWrap/>
            <w:hideMark/>
          </w:tcPr>
          <w:p w14:paraId="66B96E92" w14:textId="048D4477" w:rsidR="005F3077" w:rsidRPr="00783571" w:rsidRDefault="005F3077" w:rsidP="005F3077">
            <w:pPr>
              <w:pStyle w:val="TableText"/>
              <w:rPr>
                <w:b/>
                <w:bCs/>
                <w:szCs w:val="18"/>
              </w:rPr>
            </w:pPr>
            <w:r w:rsidRPr="00783571">
              <w:rPr>
                <w:b/>
              </w:rPr>
              <w:t>Percentage of anal sex acts protected with condoms</w:t>
            </w:r>
          </w:p>
        </w:tc>
        <w:tc>
          <w:tcPr>
            <w:tcW w:w="1746" w:type="dxa"/>
            <w:tcBorders>
              <w:top w:val="single" w:sz="4" w:space="0" w:color="808080" w:themeColor="background1" w:themeShade="80"/>
              <w:bottom w:val="single" w:sz="4" w:space="0" w:color="808080" w:themeColor="background1" w:themeShade="80"/>
            </w:tcBorders>
            <w:noWrap/>
            <w:hideMark/>
          </w:tcPr>
          <w:p w14:paraId="72D3D032" w14:textId="6A521F92" w:rsidR="005F3077" w:rsidRPr="00783571" w:rsidRDefault="005F3077" w:rsidP="003E456A">
            <w:pPr>
              <w:pStyle w:val="TableText"/>
              <w:tabs>
                <w:tab w:val="decimal" w:pos="1172"/>
              </w:tabs>
              <w:rPr>
                <w:szCs w:val="18"/>
              </w:rPr>
            </w:pPr>
            <w:r w:rsidRPr="00783571">
              <w:t>58,829</w:t>
            </w:r>
          </w:p>
        </w:tc>
        <w:tc>
          <w:tcPr>
            <w:tcW w:w="1746" w:type="dxa"/>
            <w:tcBorders>
              <w:top w:val="single" w:sz="4" w:space="0" w:color="808080" w:themeColor="background1" w:themeShade="80"/>
              <w:bottom w:val="single" w:sz="4" w:space="0" w:color="808080" w:themeColor="background1" w:themeShade="80"/>
            </w:tcBorders>
            <w:noWrap/>
            <w:hideMark/>
          </w:tcPr>
          <w:p w14:paraId="42E7035A" w14:textId="5C6EDF45" w:rsidR="005F3077" w:rsidRPr="00783571" w:rsidRDefault="005F3077" w:rsidP="003E456A">
            <w:pPr>
              <w:pStyle w:val="TableText"/>
              <w:tabs>
                <w:tab w:val="decimal" w:pos="1172"/>
              </w:tabs>
              <w:rPr>
                <w:szCs w:val="18"/>
              </w:rPr>
            </w:pPr>
            <w:r w:rsidRPr="00783571">
              <w:t>62,342</w:t>
            </w:r>
          </w:p>
        </w:tc>
      </w:tr>
      <w:tr w:rsidR="005F3077" w:rsidRPr="00783571" w14:paraId="21FB8FBA"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2E8D6CC1" w14:textId="44D4E48E" w:rsidR="005F3077" w:rsidRPr="00783571" w:rsidRDefault="005F3077" w:rsidP="005F3077">
            <w:pPr>
              <w:pStyle w:val="TableText"/>
              <w:jc w:val="center"/>
              <w:rPr>
                <w:b/>
                <w:bCs/>
                <w:szCs w:val="18"/>
              </w:rPr>
            </w:pPr>
            <w:r w:rsidRPr="00783571">
              <w:rPr>
                <w:b/>
              </w:rPr>
              <w:t>46</w:t>
            </w:r>
          </w:p>
        </w:tc>
        <w:tc>
          <w:tcPr>
            <w:tcW w:w="5045" w:type="dxa"/>
            <w:tcBorders>
              <w:top w:val="single" w:sz="4" w:space="0" w:color="808080" w:themeColor="background1" w:themeShade="80"/>
              <w:bottom w:val="single" w:sz="4" w:space="0" w:color="808080" w:themeColor="background1" w:themeShade="80"/>
            </w:tcBorders>
            <w:noWrap/>
            <w:hideMark/>
          </w:tcPr>
          <w:p w14:paraId="0291E5A2" w14:textId="65D101F5" w:rsidR="005F3077" w:rsidRPr="00783571" w:rsidRDefault="005F3077" w:rsidP="005F3077">
            <w:pPr>
              <w:pStyle w:val="TableText"/>
              <w:rPr>
                <w:b/>
                <w:bCs/>
                <w:szCs w:val="18"/>
              </w:rPr>
            </w:pPr>
            <w:r w:rsidRPr="00783571">
              <w:rPr>
                <w:b/>
              </w:rPr>
              <w:t>Probability of HIV transmission per condomless vaginal insertive sex act</w:t>
            </w:r>
          </w:p>
        </w:tc>
        <w:tc>
          <w:tcPr>
            <w:tcW w:w="1746" w:type="dxa"/>
            <w:tcBorders>
              <w:top w:val="single" w:sz="4" w:space="0" w:color="808080" w:themeColor="background1" w:themeShade="80"/>
              <w:bottom w:val="single" w:sz="4" w:space="0" w:color="808080" w:themeColor="background1" w:themeShade="80"/>
            </w:tcBorders>
            <w:noWrap/>
            <w:hideMark/>
          </w:tcPr>
          <w:p w14:paraId="32233033" w14:textId="32F616BF" w:rsidR="005F3077" w:rsidRPr="00783571" w:rsidRDefault="005F3077" w:rsidP="003E456A">
            <w:pPr>
              <w:pStyle w:val="TableText"/>
              <w:tabs>
                <w:tab w:val="decimal" w:pos="1172"/>
              </w:tabs>
              <w:rPr>
                <w:szCs w:val="18"/>
              </w:rPr>
            </w:pPr>
            <w:r w:rsidRPr="00783571">
              <w:t>51,427</w:t>
            </w:r>
          </w:p>
        </w:tc>
        <w:tc>
          <w:tcPr>
            <w:tcW w:w="1746" w:type="dxa"/>
            <w:tcBorders>
              <w:top w:val="single" w:sz="4" w:space="0" w:color="808080" w:themeColor="background1" w:themeShade="80"/>
              <w:bottom w:val="single" w:sz="4" w:space="0" w:color="808080" w:themeColor="background1" w:themeShade="80"/>
            </w:tcBorders>
            <w:noWrap/>
            <w:hideMark/>
          </w:tcPr>
          <w:p w14:paraId="0AFCDECA" w14:textId="3B9A88DD" w:rsidR="005F3077" w:rsidRPr="00783571" w:rsidRDefault="005F3077" w:rsidP="003E456A">
            <w:pPr>
              <w:pStyle w:val="TableText"/>
              <w:tabs>
                <w:tab w:val="decimal" w:pos="1172"/>
              </w:tabs>
              <w:rPr>
                <w:szCs w:val="18"/>
              </w:rPr>
            </w:pPr>
            <w:r w:rsidRPr="00783571">
              <w:t>40,048</w:t>
            </w:r>
          </w:p>
        </w:tc>
      </w:tr>
      <w:tr w:rsidR="005F3077" w:rsidRPr="00783571" w14:paraId="5CF61881"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2BDF081D" w14:textId="5BF81BDA" w:rsidR="005F3077" w:rsidRPr="00783571" w:rsidRDefault="005F3077" w:rsidP="005F3077">
            <w:pPr>
              <w:pStyle w:val="TableText"/>
              <w:jc w:val="center"/>
              <w:rPr>
                <w:b/>
                <w:bCs/>
                <w:szCs w:val="18"/>
              </w:rPr>
            </w:pPr>
            <w:r w:rsidRPr="00783571">
              <w:rPr>
                <w:b/>
              </w:rPr>
              <w:t>2</w:t>
            </w:r>
          </w:p>
        </w:tc>
        <w:tc>
          <w:tcPr>
            <w:tcW w:w="5045" w:type="dxa"/>
            <w:tcBorders>
              <w:top w:val="single" w:sz="4" w:space="0" w:color="808080" w:themeColor="background1" w:themeShade="80"/>
              <w:bottom w:val="single" w:sz="4" w:space="0" w:color="808080" w:themeColor="background1" w:themeShade="80"/>
            </w:tcBorders>
            <w:noWrap/>
            <w:hideMark/>
          </w:tcPr>
          <w:p w14:paraId="26470027" w14:textId="6D2C8534" w:rsidR="005F3077" w:rsidRPr="00783571" w:rsidRDefault="005F3077" w:rsidP="005F3077">
            <w:pPr>
              <w:pStyle w:val="TableText"/>
              <w:rPr>
                <w:b/>
                <w:bCs/>
                <w:szCs w:val="18"/>
              </w:rPr>
            </w:pPr>
            <w:r w:rsidRPr="00783571">
              <w:rPr>
                <w:b/>
              </w:rPr>
              <w:t>Percentage of MSM sex acts that are insertive</w:t>
            </w:r>
          </w:p>
        </w:tc>
        <w:tc>
          <w:tcPr>
            <w:tcW w:w="1746" w:type="dxa"/>
            <w:tcBorders>
              <w:top w:val="single" w:sz="4" w:space="0" w:color="808080" w:themeColor="background1" w:themeShade="80"/>
              <w:bottom w:val="single" w:sz="4" w:space="0" w:color="808080" w:themeColor="background1" w:themeShade="80"/>
            </w:tcBorders>
            <w:noWrap/>
            <w:hideMark/>
          </w:tcPr>
          <w:p w14:paraId="0CDD93D0" w14:textId="299EEE4C" w:rsidR="005F3077" w:rsidRPr="00783571" w:rsidRDefault="005F3077" w:rsidP="003E456A">
            <w:pPr>
              <w:pStyle w:val="TableText"/>
              <w:tabs>
                <w:tab w:val="decimal" w:pos="1172"/>
              </w:tabs>
              <w:rPr>
                <w:szCs w:val="18"/>
              </w:rPr>
            </w:pPr>
            <w:r w:rsidRPr="00783571">
              <w:t>40,465</w:t>
            </w:r>
          </w:p>
        </w:tc>
        <w:tc>
          <w:tcPr>
            <w:tcW w:w="1746" w:type="dxa"/>
            <w:tcBorders>
              <w:top w:val="single" w:sz="4" w:space="0" w:color="808080" w:themeColor="background1" w:themeShade="80"/>
              <w:bottom w:val="single" w:sz="4" w:space="0" w:color="808080" w:themeColor="background1" w:themeShade="80"/>
            </w:tcBorders>
            <w:noWrap/>
            <w:hideMark/>
          </w:tcPr>
          <w:p w14:paraId="2B7C5C85" w14:textId="1EC173C0" w:rsidR="005F3077" w:rsidRPr="00783571" w:rsidRDefault="005F3077" w:rsidP="003E456A">
            <w:pPr>
              <w:pStyle w:val="TableText"/>
              <w:tabs>
                <w:tab w:val="decimal" w:pos="1172"/>
              </w:tabs>
              <w:rPr>
                <w:szCs w:val="18"/>
              </w:rPr>
            </w:pPr>
            <w:r w:rsidRPr="00783571">
              <w:t>31,785</w:t>
            </w:r>
          </w:p>
        </w:tc>
      </w:tr>
      <w:tr w:rsidR="005F3077" w:rsidRPr="00783571" w14:paraId="7B612D8E"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681703EC" w14:textId="46F44232" w:rsidR="005F3077" w:rsidRPr="00783571" w:rsidRDefault="005F3077" w:rsidP="005F3077">
            <w:pPr>
              <w:pStyle w:val="TableText"/>
              <w:jc w:val="center"/>
              <w:rPr>
                <w:b/>
                <w:bCs/>
                <w:szCs w:val="18"/>
              </w:rPr>
            </w:pPr>
            <w:r w:rsidRPr="00783571">
              <w:rPr>
                <w:b/>
              </w:rPr>
              <w:t>16</w:t>
            </w:r>
          </w:p>
        </w:tc>
        <w:tc>
          <w:tcPr>
            <w:tcW w:w="5045" w:type="dxa"/>
            <w:tcBorders>
              <w:top w:val="single" w:sz="4" w:space="0" w:color="808080" w:themeColor="background1" w:themeShade="80"/>
              <w:bottom w:val="single" w:sz="4" w:space="0" w:color="808080" w:themeColor="background1" w:themeShade="80"/>
            </w:tcBorders>
            <w:noWrap/>
            <w:hideMark/>
          </w:tcPr>
          <w:p w14:paraId="55FE66A0" w14:textId="23EA8616" w:rsidR="005F3077" w:rsidRPr="00783571" w:rsidRDefault="005F3077" w:rsidP="005F3077">
            <w:pPr>
              <w:pStyle w:val="TableText"/>
              <w:rPr>
                <w:b/>
                <w:bCs/>
                <w:szCs w:val="18"/>
              </w:rPr>
            </w:pPr>
            <w:r w:rsidRPr="00783571">
              <w:rPr>
                <w:b/>
              </w:rPr>
              <w:t>Annual probability of becoming VLS if prescribed ART but not VLS</w:t>
            </w:r>
          </w:p>
        </w:tc>
        <w:tc>
          <w:tcPr>
            <w:tcW w:w="1746" w:type="dxa"/>
            <w:tcBorders>
              <w:top w:val="single" w:sz="4" w:space="0" w:color="808080" w:themeColor="background1" w:themeShade="80"/>
              <w:bottom w:val="single" w:sz="4" w:space="0" w:color="808080" w:themeColor="background1" w:themeShade="80"/>
            </w:tcBorders>
            <w:noWrap/>
            <w:hideMark/>
          </w:tcPr>
          <w:p w14:paraId="1BB3E590" w14:textId="65CFC3C6" w:rsidR="005F3077" w:rsidRPr="00783571" w:rsidRDefault="005F3077" w:rsidP="003E456A">
            <w:pPr>
              <w:pStyle w:val="TableText"/>
              <w:tabs>
                <w:tab w:val="decimal" w:pos="1172"/>
              </w:tabs>
              <w:rPr>
                <w:szCs w:val="18"/>
              </w:rPr>
            </w:pPr>
            <w:r w:rsidRPr="00783571">
              <w:t>32,370</w:t>
            </w:r>
          </w:p>
        </w:tc>
        <w:tc>
          <w:tcPr>
            <w:tcW w:w="1746" w:type="dxa"/>
            <w:tcBorders>
              <w:top w:val="single" w:sz="4" w:space="0" w:color="808080" w:themeColor="background1" w:themeShade="80"/>
              <w:bottom w:val="single" w:sz="4" w:space="0" w:color="808080" w:themeColor="background1" w:themeShade="80"/>
            </w:tcBorders>
            <w:noWrap/>
            <w:hideMark/>
          </w:tcPr>
          <w:p w14:paraId="5F7A8C31" w14:textId="1E570ADB" w:rsidR="005F3077" w:rsidRPr="00783571" w:rsidRDefault="005F3077" w:rsidP="003E456A">
            <w:pPr>
              <w:pStyle w:val="TableText"/>
              <w:tabs>
                <w:tab w:val="decimal" w:pos="1172"/>
              </w:tabs>
              <w:rPr>
                <w:szCs w:val="18"/>
              </w:rPr>
            </w:pPr>
            <w:r w:rsidRPr="00783571">
              <w:t>20,778</w:t>
            </w:r>
          </w:p>
        </w:tc>
      </w:tr>
      <w:tr w:rsidR="005F3077" w:rsidRPr="00783571" w14:paraId="2CFB7734"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25DA2A92" w14:textId="3DFA4DEF" w:rsidR="005F3077" w:rsidRPr="00783571" w:rsidRDefault="005F3077" w:rsidP="005F3077">
            <w:pPr>
              <w:pStyle w:val="TableText"/>
              <w:jc w:val="center"/>
              <w:rPr>
                <w:b/>
                <w:bCs/>
                <w:szCs w:val="18"/>
              </w:rPr>
            </w:pPr>
            <w:r w:rsidRPr="00783571">
              <w:rPr>
                <w:b/>
              </w:rPr>
              <w:t>18</w:t>
            </w:r>
          </w:p>
        </w:tc>
        <w:tc>
          <w:tcPr>
            <w:tcW w:w="5045" w:type="dxa"/>
            <w:tcBorders>
              <w:top w:val="single" w:sz="4" w:space="0" w:color="808080" w:themeColor="background1" w:themeShade="80"/>
              <w:bottom w:val="single" w:sz="4" w:space="0" w:color="808080" w:themeColor="background1" w:themeShade="80"/>
            </w:tcBorders>
            <w:noWrap/>
            <w:hideMark/>
          </w:tcPr>
          <w:p w14:paraId="3D9FF23D" w14:textId="599C69D0" w:rsidR="005F3077" w:rsidRPr="00783571" w:rsidRDefault="005F3077" w:rsidP="005F3077">
            <w:pPr>
              <w:pStyle w:val="TableText"/>
              <w:rPr>
                <w:b/>
                <w:bCs/>
                <w:szCs w:val="18"/>
              </w:rPr>
            </w:pPr>
            <w:r w:rsidRPr="00783571">
              <w:rPr>
                <w:b/>
              </w:rPr>
              <w:t>Condom efficacy per sex act for HETs</w:t>
            </w:r>
          </w:p>
        </w:tc>
        <w:tc>
          <w:tcPr>
            <w:tcW w:w="1746" w:type="dxa"/>
            <w:tcBorders>
              <w:top w:val="single" w:sz="4" w:space="0" w:color="808080" w:themeColor="background1" w:themeShade="80"/>
              <w:bottom w:val="single" w:sz="4" w:space="0" w:color="808080" w:themeColor="background1" w:themeShade="80"/>
            </w:tcBorders>
            <w:noWrap/>
            <w:hideMark/>
          </w:tcPr>
          <w:p w14:paraId="3C1CE7C6" w14:textId="47F44B98" w:rsidR="005F3077" w:rsidRPr="00783571" w:rsidRDefault="005F3077" w:rsidP="003E456A">
            <w:pPr>
              <w:pStyle w:val="TableText"/>
              <w:tabs>
                <w:tab w:val="decimal" w:pos="1172"/>
              </w:tabs>
              <w:rPr>
                <w:szCs w:val="18"/>
              </w:rPr>
            </w:pPr>
            <w:r w:rsidRPr="00783571">
              <w:t>31,666</w:t>
            </w:r>
          </w:p>
        </w:tc>
        <w:tc>
          <w:tcPr>
            <w:tcW w:w="1746" w:type="dxa"/>
            <w:tcBorders>
              <w:top w:val="single" w:sz="4" w:space="0" w:color="808080" w:themeColor="background1" w:themeShade="80"/>
              <w:bottom w:val="single" w:sz="4" w:space="0" w:color="808080" w:themeColor="background1" w:themeShade="80"/>
            </w:tcBorders>
            <w:noWrap/>
            <w:hideMark/>
          </w:tcPr>
          <w:p w14:paraId="3BF47A0F" w14:textId="12591700" w:rsidR="005F3077" w:rsidRPr="00783571" w:rsidRDefault="005F3077" w:rsidP="003E456A">
            <w:pPr>
              <w:pStyle w:val="TableText"/>
              <w:tabs>
                <w:tab w:val="decimal" w:pos="1172"/>
              </w:tabs>
              <w:rPr>
                <w:szCs w:val="18"/>
              </w:rPr>
            </w:pPr>
            <w:r w:rsidRPr="00783571">
              <w:t>18,622</w:t>
            </w:r>
          </w:p>
        </w:tc>
      </w:tr>
      <w:tr w:rsidR="005F3077" w:rsidRPr="00783571" w14:paraId="52B82EA3" w14:textId="77777777" w:rsidTr="004F70FA">
        <w:tc>
          <w:tcPr>
            <w:tcW w:w="823" w:type="dxa"/>
            <w:tcBorders>
              <w:top w:val="single" w:sz="4" w:space="0" w:color="808080" w:themeColor="background1" w:themeShade="80"/>
              <w:bottom w:val="single" w:sz="4" w:space="0" w:color="808080" w:themeColor="background1" w:themeShade="80"/>
            </w:tcBorders>
            <w:noWrap/>
            <w:hideMark/>
          </w:tcPr>
          <w:p w14:paraId="4618D2FE" w14:textId="1BB1CAF8" w:rsidR="005F3077" w:rsidRPr="00783571" w:rsidRDefault="005F3077" w:rsidP="005F3077">
            <w:pPr>
              <w:pStyle w:val="TableText"/>
              <w:jc w:val="center"/>
              <w:rPr>
                <w:b/>
                <w:bCs/>
                <w:szCs w:val="18"/>
              </w:rPr>
            </w:pPr>
            <w:r w:rsidRPr="00783571">
              <w:rPr>
                <w:b/>
              </w:rPr>
              <w:t>51</w:t>
            </w:r>
          </w:p>
        </w:tc>
        <w:tc>
          <w:tcPr>
            <w:tcW w:w="5045" w:type="dxa"/>
            <w:tcBorders>
              <w:top w:val="single" w:sz="4" w:space="0" w:color="808080" w:themeColor="background1" w:themeShade="80"/>
              <w:bottom w:val="single" w:sz="4" w:space="0" w:color="808080" w:themeColor="background1" w:themeShade="80"/>
            </w:tcBorders>
            <w:noWrap/>
            <w:hideMark/>
          </w:tcPr>
          <w:p w14:paraId="41633097" w14:textId="553E5EAF" w:rsidR="005F3077" w:rsidRPr="00783571" w:rsidRDefault="005F3077" w:rsidP="005F3077">
            <w:pPr>
              <w:pStyle w:val="TableText"/>
              <w:rPr>
                <w:b/>
                <w:bCs/>
                <w:szCs w:val="18"/>
              </w:rPr>
            </w:pPr>
            <w:r w:rsidRPr="00783571">
              <w:rPr>
                <w:b/>
              </w:rPr>
              <w:t xml:space="preserve">Reduction in probability of HIV transmission per </w:t>
            </w:r>
            <w:r w:rsidR="00E524D1" w:rsidRPr="00783571">
              <w:rPr>
                <w:b/>
              </w:rPr>
              <w:t xml:space="preserve">sex </w:t>
            </w:r>
            <w:r w:rsidRPr="00783571">
              <w:rPr>
                <w:b/>
              </w:rPr>
              <w:t>act if circumcised versus uncircumcised</w:t>
            </w:r>
          </w:p>
        </w:tc>
        <w:tc>
          <w:tcPr>
            <w:tcW w:w="1746" w:type="dxa"/>
            <w:tcBorders>
              <w:top w:val="single" w:sz="4" w:space="0" w:color="808080" w:themeColor="background1" w:themeShade="80"/>
              <w:bottom w:val="single" w:sz="4" w:space="0" w:color="808080" w:themeColor="background1" w:themeShade="80"/>
            </w:tcBorders>
            <w:noWrap/>
            <w:hideMark/>
          </w:tcPr>
          <w:p w14:paraId="154BF44A" w14:textId="29E5B3DB" w:rsidR="005F3077" w:rsidRPr="00783571" w:rsidRDefault="005F3077" w:rsidP="003E456A">
            <w:pPr>
              <w:pStyle w:val="TableText"/>
              <w:tabs>
                <w:tab w:val="decimal" w:pos="1172"/>
              </w:tabs>
              <w:rPr>
                <w:szCs w:val="18"/>
              </w:rPr>
            </w:pPr>
            <w:r w:rsidRPr="00783571">
              <w:t>30,147</w:t>
            </w:r>
          </w:p>
        </w:tc>
        <w:tc>
          <w:tcPr>
            <w:tcW w:w="1746" w:type="dxa"/>
            <w:tcBorders>
              <w:top w:val="single" w:sz="4" w:space="0" w:color="808080" w:themeColor="background1" w:themeShade="80"/>
              <w:bottom w:val="single" w:sz="4" w:space="0" w:color="808080" w:themeColor="background1" w:themeShade="80"/>
            </w:tcBorders>
            <w:noWrap/>
            <w:hideMark/>
          </w:tcPr>
          <w:p w14:paraId="1DE76FC9" w14:textId="48C10E4C" w:rsidR="005F3077" w:rsidRPr="00783571" w:rsidRDefault="005F3077" w:rsidP="003E456A">
            <w:pPr>
              <w:pStyle w:val="TableText"/>
              <w:tabs>
                <w:tab w:val="decimal" w:pos="1172"/>
              </w:tabs>
              <w:rPr>
                <w:szCs w:val="18"/>
              </w:rPr>
            </w:pPr>
            <w:r w:rsidRPr="00783571">
              <w:t>30,828</w:t>
            </w:r>
          </w:p>
        </w:tc>
      </w:tr>
      <w:tr w:rsidR="003E456A" w:rsidRPr="00783571" w14:paraId="76762253" w14:textId="77777777" w:rsidTr="004F70FA">
        <w:tc>
          <w:tcPr>
            <w:tcW w:w="823" w:type="dxa"/>
            <w:tcBorders>
              <w:top w:val="single" w:sz="4" w:space="0" w:color="808080" w:themeColor="background1" w:themeShade="80"/>
              <w:bottom w:val="single" w:sz="4" w:space="0" w:color="808080" w:themeColor="background1" w:themeShade="80"/>
            </w:tcBorders>
            <w:noWrap/>
          </w:tcPr>
          <w:p w14:paraId="2CB3B144" w14:textId="13A92998" w:rsidR="003E456A" w:rsidRPr="00783571" w:rsidRDefault="003E456A" w:rsidP="003E456A">
            <w:pPr>
              <w:pStyle w:val="TableText"/>
              <w:jc w:val="center"/>
              <w:rPr>
                <w:b/>
              </w:rPr>
            </w:pPr>
            <w:r w:rsidRPr="00783571">
              <w:rPr>
                <w:b/>
              </w:rPr>
              <w:t>22</w:t>
            </w:r>
          </w:p>
        </w:tc>
        <w:tc>
          <w:tcPr>
            <w:tcW w:w="5045" w:type="dxa"/>
            <w:tcBorders>
              <w:top w:val="single" w:sz="4" w:space="0" w:color="808080" w:themeColor="background1" w:themeShade="80"/>
              <w:bottom w:val="single" w:sz="4" w:space="0" w:color="808080" w:themeColor="background1" w:themeShade="80"/>
            </w:tcBorders>
            <w:noWrap/>
          </w:tcPr>
          <w:p w14:paraId="04A43767" w14:textId="2ADEE6BF" w:rsidR="003E456A" w:rsidRPr="00783571" w:rsidRDefault="003E456A" w:rsidP="003E456A">
            <w:pPr>
              <w:pStyle w:val="TableText"/>
              <w:rPr>
                <w:b/>
              </w:rPr>
            </w:pPr>
            <w:r w:rsidRPr="00783571">
              <w:rPr>
                <w:b/>
              </w:rPr>
              <w:t>Percentage of vaginal sex acts protected with condoms</w:t>
            </w:r>
          </w:p>
        </w:tc>
        <w:tc>
          <w:tcPr>
            <w:tcW w:w="1746" w:type="dxa"/>
            <w:tcBorders>
              <w:top w:val="single" w:sz="4" w:space="0" w:color="808080" w:themeColor="background1" w:themeShade="80"/>
              <w:bottom w:val="single" w:sz="4" w:space="0" w:color="808080" w:themeColor="background1" w:themeShade="80"/>
            </w:tcBorders>
            <w:noWrap/>
          </w:tcPr>
          <w:p w14:paraId="2AEE18A6" w14:textId="50DCBE1E" w:rsidR="003E456A" w:rsidRPr="00783571" w:rsidRDefault="003E456A" w:rsidP="003E456A">
            <w:pPr>
              <w:pStyle w:val="TableText"/>
              <w:tabs>
                <w:tab w:val="decimal" w:pos="1172"/>
              </w:tabs>
            </w:pPr>
            <w:r w:rsidRPr="00783571">
              <w:t>27,949</w:t>
            </w:r>
          </w:p>
        </w:tc>
        <w:tc>
          <w:tcPr>
            <w:tcW w:w="1746" w:type="dxa"/>
            <w:tcBorders>
              <w:top w:val="single" w:sz="4" w:space="0" w:color="808080" w:themeColor="background1" w:themeShade="80"/>
              <w:bottom w:val="single" w:sz="4" w:space="0" w:color="808080" w:themeColor="background1" w:themeShade="80"/>
            </w:tcBorders>
            <w:noWrap/>
          </w:tcPr>
          <w:p w14:paraId="0B3474EB" w14:textId="3CEAA58A" w:rsidR="003E456A" w:rsidRPr="00783571" w:rsidRDefault="003E456A" w:rsidP="003E456A">
            <w:pPr>
              <w:pStyle w:val="TableText"/>
              <w:tabs>
                <w:tab w:val="decimal" w:pos="1172"/>
              </w:tabs>
            </w:pPr>
            <w:r w:rsidRPr="00783571">
              <w:t>30,446</w:t>
            </w:r>
          </w:p>
        </w:tc>
      </w:tr>
      <w:tr w:rsidR="003E456A" w:rsidRPr="00783571" w14:paraId="137FC73F" w14:textId="77777777" w:rsidTr="004F70FA">
        <w:tc>
          <w:tcPr>
            <w:tcW w:w="823" w:type="dxa"/>
            <w:tcBorders>
              <w:top w:val="single" w:sz="4" w:space="0" w:color="808080" w:themeColor="background1" w:themeShade="80"/>
              <w:bottom w:val="single" w:sz="4" w:space="0" w:color="808080" w:themeColor="background1" w:themeShade="80"/>
            </w:tcBorders>
            <w:noWrap/>
          </w:tcPr>
          <w:p w14:paraId="2D308428" w14:textId="22D52FBD" w:rsidR="003E456A" w:rsidRPr="00783571" w:rsidRDefault="003E456A" w:rsidP="003E456A">
            <w:pPr>
              <w:pStyle w:val="TableText"/>
              <w:jc w:val="center"/>
              <w:rPr>
                <w:b/>
              </w:rPr>
            </w:pPr>
            <w:r w:rsidRPr="00783571">
              <w:rPr>
                <w:b/>
              </w:rPr>
              <w:t>4</w:t>
            </w:r>
          </w:p>
        </w:tc>
        <w:tc>
          <w:tcPr>
            <w:tcW w:w="5045" w:type="dxa"/>
            <w:tcBorders>
              <w:top w:val="single" w:sz="4" w:space="0" w:color="808080" w:themeColor="background1" w:themeShade="80"/>
              <w:bottom w:val="single" w:sz="4" w:space="0" w:color="808080" w:themeColor="background1" w:themeShade="80"/>
            </w:tcBorders>
            <w:noWrap/>
          </w:tcPr>
          <w:p w14:paraId="394AB0F2" w14:textId="67952532" w:rsidR="003E456A" w:rsidRPr="00783571" w:rsidRDefault="003E456A" w:rsidP="003E456A">
            <w:pPr>
              <w:pStyle w:val="TableText"/>
              <w:rPr>
                <w:b/>
              </w:rPr>
            </w:pPr>
            <w:r w:rsidRPr="00783571">
              <w:rPr>
                <w:b/>
              </w:rPr>
              <w:t>Annual testing rate, 2010+</w:t>
            </w:r>
          </w:p>
        </w:tc>
        <w:tc>
          <w:tcPr>
            <w:tcW w:w="1746" w:type="dxa"/>
            <w:tcBorders>
              <w:top w:val="single" w:sz="4" w:space="0" w:color="808080" w:themeColor="background1" w:themeShade="80"/>
              <w:bottom w:val="single" w:sz="4" w:space="0" w:color="808080" w:themeColor="background1" w:themeShade="80"/>
            </w:tcBorders>
            <w:noWrap/>
          </w:tcPr>
          <w:p w14:paraId="01731985" w14:textId="197CD0E5" w:rsidR="003E456A" w:rsidRPr="00783571" w:rsidRDefault="003E456A" w:rsidP="003E456A">
            <w:pPr>
              <w:pStyle w:val="TableText"/>
              <w:tabs>
                <w:tab w:val="decimal" w:pos="1172"/>
              </w:tabs>
            </w:pPr>
            <w:r w:rsidRPr="00783571">
              <w:t>26,110</w:t>
            </w:r>
          </w:p>
        </w:tc>
        <w:tc>
          <w:tcPr>
            <w:tcW w:w="1746" w:type="dxa"/>
            <w:tcBorders>
              <w:top w:val="single" w:sz="4" w:space="0" w:color="808080" w:themeColor="background1" w:themeShade="80"/>
              <w:bottom w:val="single" w:sz="4" w:space="0" w:color="808080" w:themeColor="background1" w:themeShade="80"/>
            </w:tcBorders>
            <w:noWrap/>
          </w:tcPr>
          <w:p w14:paraId="37A6C27B" w14:textId="4DC6FCC7" w:rsidR="003E456A" w:rsidRPr="00783571" w:rsidRDefault="003E456A" w:rsidP="003E456A">
            <w:pPr>
              <w:pStyle w:val="TableText"/>
              <w:tabs>
                <w:tab w:val="decimal" w:pos="1172"/>
              </w:tabs>
            </w:pPr>
            <w:r w:rsidRPr="00783571">
              <w:t>20,649</w:t>
            </w:r>
          </w:p>
        </w:tc>
      </w:tr>
      <w:tr w:rsidR="003E456A" w:rsidRPr="00783571" w14:paraId="3B402352" w14:textId="77777777" w:rsidTr="004F70FA">
        <w:tc>
          <w:tcPr>
            <w:tcW w:w="823" w:type="dxa"/>
            <w:tcBorders>
              <w:top w:val="single" w:sz="4" w:space="0" w:color="808080" w:themeColor="background1" w:themeShade="80"/>
              <w:bottom w:val="single" w:sz="4" w:space="0" w:color="808080" w:themeColor="background1" w:themeShade="80"/>
            </w:tcBorders>
            <w:noWrap/>
          </w:tcPr>
          <w:p w14:paraId="725000E7" w14:textId="469181EE" w:rsidR="003E456A" w:rsidRPr="00783571" w:rsidRDefault="003E456A" w:rsidP="003E456A">
            <w:pPr>
              <w:pStyle w:val="TableText"/>
              <w:jc w:val="center"/>
              <w:rPr>
                <w:b/>
              </w:rPr>
            </w:pPr>
            <w:r w:rsidRPr="00783571">
              <w:rPr>
                <w:b/>
              </w:rPr>
              <w:t>15</w:t>
            </w:r>
          </w:p>
        </w:tc>
        <w:tc>
          <w:tcPr>
            <w:tcW w:w="5045" w:type="dxa"/>
            <w:tcBorders>
              <w:top w:val="single" w:sz="4" w:space="0" w:color="808080" w:themeColor="background1" w:themeShade="80"/>
              <w:bottom w:val="single" w:sz="4" w:space="0" w:color="808080" w:themeColor="background1" w:themeShade="80"/>
            </w:tcBorders>
            <w:noWrap/>
          </w:tcPr>
          <w:p w14:paraId="023F839A" w14:textId="57325BAE" w:rsidR="003E456A" w:rsidRPr="00783571" w:rsidRDefault="003E456A" w:rsidP="003E456A">
            <w:pPr>
              <w:pStyle w:val="TableText"/>
              <w:rPr>
                <w:b/>
              </w:rPr>
            </w:pPr>
            <w:r w:rsidRPr="00783571">
              <w:rPr>
                <w:b/>
              </w:rPr>
              <w:t>Annual probability of being prescribed ART, given eligible for ART</w:t>
            </w:r>
          </w:p>
        </w:tc>
        <w:tc>
          <w:tcPr>
            <w:tcW w:w="1746" w:type="dxa"/>
            <w:tcBorders>
              <w:top w:val="single" w:sz="4" w:space="0" w:color="808080" w:themeColor="background1" w:themeShade="80"/>
              <w:bottom w:val="single" w:sz="4" w:space="0" w:color="808080" w:themeColor="background1" w:themeShade="80"/>
            </w:tcBorders>
            <w:noWrap/>
          </w:tcPr>
          <w:p w14:paraId="59A84ACA" w14:textId="4B2BCFFE" w:rsidR="003E456A" w:rsidRPr="00783571" w:rsidRDefault="003E456A" w:rsidP="003E456A">
            <w:pPr>
              <w:pStyle w:val="TableText"/>
              <w:tabs>
                <w:tab w:val="decimal" w:pos="1172"/>
              </w:tabs>
            </w:pPr>
            <w:r w:rsidRPr="00783571">
              <w:t>22,769</w:t>
            </w:r>
          </w:p>
        </w:tc>
        <w:tc>
          <w:tcPr>
            <w:tcW w:w="1746" w:type="dxa"/>
            <w:tcBorders>
              <w:top w:val="single" w:sz="4" w:space="0" w:color="808080" w:themeColor="background1" w:themeShade="80"/>
              <w:bottom w:val="single" w:sz="4" w:space="0" w:color="808080" w:themeColor="background1" w:themeShade="80"/>
            </w:tcBorders>
            <w:noWrap/>
          </w:tcPr>
          <w:p w14:paraId="284A08CB" w14:textId="57290E5D" w:rsidR="003E456A" w:rsidRPr="00783571" w:rsidRDefault="003E456A" w:rsidP="003E456A">
            <w:pPr>
              <w:pStyle w:val="TableText"/>
              <w:tabs>
                <w:tab w:val="decimal" w:pos="1172"/>
              </w:tabs>
            </w:pPr>
            <w:r w:rsidRPr="00783571">
              <w:t>20,351</w:t>
            </w:r>
          </w:p>
        </w:tc>
      </w:tr>
      <w:tr w:rsidR="003E456A" w:rsidRPr="00783571" w14:paraId="3817406D" w14:textId="77777777" w:rsidTr="004F70FA">
        <w:tc>
          <w:tcPr>
            <w:tcW w:w="823" w:type="dxa"/>
            <w:tcBorders>
              <w:top w:val="single" w:sz="4" w:space="0" w:color="808080" w:themeColor="background1" w:themeShade="80"/>
              <w:bottom w:val="single" w:sz="4" w:space="0" w:color="808080" w:themeColor="background1" w:themeShade="80"/>
            </w:tcBorders>
            <w:noWrap/>
          </w:tcPr>
          <w:p w14:paraId="2129BA82" w14:textId="3D48CAE6" w:rsidR="003E456A" w:rsidRPr="00783571" w:rsidRDefault="003E456A" w:rsidP="003E456A">
            <w:pPr>
              <w:pStyle w:val="TableText"/>
              <w:jc w:val="center"/>
              <w:rPr>
                <w:b/>
              </w:rPr>
            </w:pPr>
            <w:r w:rsidRPr="00783571">
              <w:rPr>
                <w:b/>
              </w:rPr>
              <w:t>14</w:t>
            </w:r>
          </w:p>
        </w:tc>
        <w:tc>
          <w:tcPr>
            <w:tcW w:w="5045" w:type="dxa"/>
            <w:tcBorders>
              <w:top w:val="single" w:sz="4" w:space="0" w:color="808080" w:themeColor="background1" w:themeShade="80"/>
              <w:bottom w:val="single" w:sz="4" w:space="0" w:color="808080" w:themeColor="background1" w:themeShade="80"/>
            </w:tcBorders>
            <w:noWrap/>
          </w:tcPr>
          <w:p w14:paraId="58E4DEBF" w14:textId="2C9CA0E3" w:rsidR="003E456A" w:rsidRPr="00783571" w:rsidRDefault="003E456A" w:rsidP="003E456A">
            <w:pPr>
              <w:pStyle w:val="TableText"/>
              <w:rPr>
                <w:b/>
              </w:rPr>
            </w:pPr>
            <w:r w:rsidRPr="00783571">
              <w:rPr>
                <w:b/>
              </w:rPr>
              <w:t>Annual probability of losing VLS and moving to ART-not-VLS</w:t>
            </w:r>
          </w:p>
        </w:tc>
        <w:tc>
          <w:tcPr>
            <w:tcW w:w="1746" w:type="dxa"/>
            <w:tcBorders>
              <w:top w:val="single" w:sz="4" w:space="0" w:color="808080" w:themeColor="background1" w:themeShade="80"/>
              <w:bottom w:val="single" w:sz="4" w:space="0" w:color="808080" w:themeColor="background1" w:themeShade="80"/>
            </w:tcBorders>
            <w:noWrap/>
          </w:tcPr>
          <w:p w14:paraId="5F423734" w14:textId="216CAA96" w:rsidR="003E456A" w:rsidRPr="00783571" w:rsidRDefault="003E456A" w:rsidP="003E456A">
            <w:pPr>
              <w:pStyle w:val="TableText"/>
              <w:tabs>
                <w:tab w:val="decimal" w:pos="1172"/>
              </w:tabs>
            </w:pPr>
            <w:r w:rsidRPr="00783571">
              <w:t>22,434</w:t>
            </w:r>
          </w:p>
        </w:tc>
        <w:tc>
          <w:tcPr>
            <w:tcW w:w="1746" w:type="dxa"/>
            <w:tcBorders>
              <w:top w:val="single" w:sz="4" w:space="0" w:color="808080" w:themeColor="background1" w:themeShade="80"/>
              <w:bottom w:val="single" w:sz="4" w:space="0" w:color="808080" w:themeColor="background1" w:themeShade="80"/>
            </w:tcBorders>
            <w:noWrap/>
          </w:tcPr>
          <w:p w14:paraId="0A4C9C5D" w14:textId="02B65281" w:rsidR="003E456A" w:rsidRPr="00783571" w:rsidRDefault="003E456A" w:rsidP="003E456A">
            <w:pPr>
              <w:pStyle w:val="TableText"/>
              <w:tabs>
                <w:tab w:val="decimal" w:pos="1172"/>
              </w:tabs>
            </w:pPr>
            <w:r w:rsidRPr="00783571">
              <w:t>17,788</w:t>
            </w:r>
          </w:p>
        </w:tc>
      </w:tr>
      <w:tr w:rsidR="003E456A" w:rsidRPr="00783571" w14:paraId="66B909BA" w14:textId="77777777" w:rsidTr="004F70FA">
        <w:tc>
          <w:tcPr>
            <w:tcW w:w="823" w:type="dxa"/>
            <w:tcBorders>
              <w:top w:val="single" w:sz="4" w:space="0" w:color="808080" w:themeColor="background1" w:themeShade="80"/>
              <w:bottom w:val="single" w:sz="4" w:space="0" w:color="808080" w:themeColor="background1" w:themeShade="80"/>
            </w:tcBorders>
            <w:noWrap/>
          </w:tcPr>
          <w:p w14:paraId="4AA17341" w14:textId="1E261AA4" w:rsidR="003E456A" w:rsidRPr="00783571" w:rsidRDefault="003E456A" w:rsidP="003E456A">
            <w:pPr>
              <w:pStyle w:val="TableText"/>
              <w:jc w:val="center"/>
              <w:rPr>
                <w:b/>
              </w:rPr>
            </w:pPr>
            <w:r w:rsidRPr="00783571">
              <w:rPr>
                <w:b/>
              </w:rPr>
              <w:t>39</w:t>
            </w:r>
          </w:p>
        </w:tc>
        <w:tc>
          <w:tcPr>
            <w:tcW w:w="5045" w:type="dxa"/>
            <w:tcBorders>
              <w:top w:val="single" w:sz="4" w:space="0" w:color="808080" w:themeColor="background1" w:themeShade="80"/>
              <w:bottom w:val="single" w:sz="4" w:space="0" w:color="808080" w:themeColor="background1" w:themeShade="80"/>
            </w:tcBorders>
            <w:noWrap/>
          </w:tcPr>
          <w:p w14:paraId="2ECF5AB5" w14:textId="36D8D048" w:rsidR="003E456A" w:rsidRPr="00783571" w:rsidRDefault="003E456A" w:rsidP="003E456A">
            <w:pPr>
              <w:pStyle w:val="TableText"/>
              <w:rPr>
                <w:b/>
              </w:rPr>
            </w:pPr>
            <w:r w:rsidRPr="00783571">
              <w:rPr>
                <w:b/>
              </w:rPr>
              <w:t>Percentage of people who have any AI in their male-female partnerships, 2010+</w:t>
            </w:r>
          </w:p>
        </w:tc>
        <w:tc>
          <w:tcPr>
            <w:tcW w:w="1746" w:type="dxa"/>
            <w:tcBorders>
              <w:top w:val="single" w:sz="4" w:space="0" w:color="808080" w:themeColor="background1" w:themeShade="80"/>
              <w:bottom w:val="single" w:sz="4" w:space="0" w:color="808080" w:themeColor="background1" w:themeShade="80"/>
            </w:tcBorders>
            <w:noWrap/>
          </w:tcPr>
          <w:p w14:paraId="63D7A047" w14:textId="3910451A" w:rsidR="003E456A" w:rsidRPr="00783571" w:rsidRDefault="003E456A" w:rsidP="003E456A">
            <w:pPr>
              <w:pStyle w:val="TableText"/>
              <w:tabs>
                <w:tab w:val="decimal" w:pos="1172"/>
              </w:tabs>
            </w:pPr>
            <w:r w:rsidRPr="00783571">
              <w:t>21,839</w:t>
            </w:r>
          </w:p>
        </w:tc>
        <w:tc>
          <w:tcPr>
            <w:tcW w:w="1746" w:type="dxa"/>
            <w:tcBorders>
              <w:top w:val="single" w:sz="4" w:space="0" w:color="808080" w:themeColor="background1" w:themeShade="80"/>
              <w:bottom w:val="single" w:sz="4" w:space="0" w:color="808080" w:themeColor="background1" w:themeShade="80"/>
            </w:tcBorders>
            <w:noWrap/>
          </w:tcPr>
          <w:p w14:paraId="622CAB6B" w14:textId="3655A82D" w:rsidR="003E456A" w:rsidRPr="00783571" w:rsidRDefault="003E456A" w:rsidP="003E456A">
            <w:pPr>
              <w:pStyle w:val="TableText"/>
              <w:tabs>
                <w:tab w:val="decimal" w:pos="1172"/>
              </w:tabs>
            </w:pPr>
            <w:r w:rsidRPr="00783571">
              <w:t>33,952</w:t>
            </w:r>
          </w:p>
        </w:tc>
      </w:tr>
    </w:tbl>
    <w:p w14:paraId="0E39BA1E" w14:textId="2237E53A" w:rsidR="006D322B" w:rsidRPr="00783571" w:rsidRDefault="006D322B" w:rsidP="006D322B">
      <w:pPr>
        <w:pStyle w:val="Tablecont"/>
      </w:pPr>
      <w:r w:rsidRPr="00783571">
        <w:t xml:space="preserve"> (continued)</w:t>
      </w:r>
    </w:p>
    <w:p w14:paraId="0EE9B75A" w14:textId="042971EA" w:rsidR="006D322B" w:rsidRPr="00783571" w:rsidRDefault="006D322B" w:rsidP="006D322B">
      <w:pPr>
        <w:pStyle w:val="TableTitlecont"/>
      </w:pPr>
      <w:r w:rsidRPr="00783571">
        <w:t xml:space="preserve">Table </w:t>
      </w:r>
      <w:r w:rsidR="00CC1DD7" w:rsidRPr="00783571">
        <w:t>12.</w:t>
      </w:r>
      <w:r w:rsidRPr="00783571">
        <w:t>1</w:t>
      </w:r>
      <w:r w:rsidRPr="00783571">
        <w:tab/>
        <w:t>Elementary Effects Analysis Results</w:t>
      </w:r>
      <w:r w:rsidR="002A3893" w:rsidRPr="00783571">
        <w:t xml:space="preserve"> for </w:t>
      </w:r>
      <w:r w:rsidR="00E524D1" w:rsidRPr="00783571">
        <w:t>T</w:t>
      </w:r>
      <w:r w:rsidR="00E32EF2" w:rsidRPr="00783571">
        <w:t>otal U.S. HIV Incidence in 2020</w:t>
      </w:r>
      <w:r w:rsidRPr="00783571">
        <w:t>: Mean of Absolute</w:t>
      </w:r>
      <w:r w:rsidR="0061048F" w:rsidRPr="00783571">
        <w:t>,</w:t>
      </w:r>
      <w:r w:rsidRPr="00783571">
        <w:t xml:space="preserve"> and Standard Deviation of Elementary Effects for </w:t>
      </w:r>
      <w:r w:rsidR="00E32EF2" w:rsidRPr="00783571">
        <w:t>5</w:t>
      </w:r>
      <w:r w:rsidR="0010154C" w:rsidRPr="00783571">
        <w:t>2</w:t>
      </w:r>
      <w:r w:rsidR="00625555" w:rsidRPr="00783571">
        <w:rPr>
          <w:vertAlign w:val="superscript"/>
        </w:rPr>
        <w:t>a</w:t>
      </w:r>
      <w:r w:rsidR="0010154C" w:rsidRPr="00783571">
        <w:t xml:space="preserve"> </w:t>
      </w:r>
      <w:r w:rsidRPr="00783571">
        <w:t>Inputs (in Descending Order by Mean of Absolute Elementary Effects) (continued)</w:t>
      </w:r>
    </w:p>
    <w:tbl>
      <w:tblPr>
        <w:tblStyle w:val="TableFormat4"/>
        <w:tblW w:w="5000" w:type="pct"/>
        <w:tblInd w:w="0" w:type="dxa"/>
        <w:tblLayout w:type="fixed"/>
        <w:tblCellMar>
          <w:left w:w="58" w:type="dxa"/>
          <w:right w:w="58" w:type="dxa"/>
        </w:tblCellMar>
        <w:tblLook w:val="0620" w:firstRow="1" w:lastRow="0" w:firstColumn="0" w:lastColumn="0" w:noHBand="1" w:noVBand="1"/>
      </w:tblPr>
      <w:tblGrid>
        <w:gridCol w:w="826"/>
        <w:gridCol w:w="5030"/>
        <w:gridCol w:w="1797"/>
        <w:gridCol w:w="1707"/>
      </w:tblGrid>
      <w:tr w:rsidR="00782B9B" w:rsidRPr="00783571" w14:paraId="13963DD6" w14:textId="77777777" w:rsidTr="004F70FA">
        <w:trPr>
          <w:cnfStyle w:val="100000000000" w:firstRow="1" w:lastRow="0" w:firstColumn="0" w:lastColumn="0" w:oddVBand="0" w:evenVBand="0" w:oddHBand="0" w:evenHBand="0" w:firstRowFirstColumn="0" w:firstRowLastColumn="0" w:lastRowFirstColumn="0" w:lastRowLastColumn="0"/>
        </w:trPr>
        <w:tc>
          <w:tcPr>
            <w:tcW w:w="826" w:type="dxa"/>
            <w:noWrap/>
            <w:vAlign w:val="bottom"/>
            <w:hideMark/>
          </w:tcPr>
          <w:p w14:paraId="1C1877CF" w14:textId="77777777" w:rsidR="00782B9B" w:rsidRPr="00783571" w:rsidRDefault="00782B9B" w:rsidP="003E456A">
            <w:pPr>
              <w:pStyle w:val="TableHeaders"/>
              <w:keepNext/>
            </w:pPr>
            <w:r w:rsidRPr="00783571">
              <w:t>Input #</w:t>
            </w:r>
            <w:r w:rsidRPr="00783571">
              <w:rPr>
                <w:vertAlign w:val="superscript"/>
              </w:rPr>
              <w:t>a</w:t>
            </w:r>
          </w:p>
        </w:tc>
        <w:tc>
          <w:tcPr>
            <w:tcW w:w="5030" w:type="dxa"/>
            <w:noWrap/>
            <w:vAlign w:val="bottom"/>
            <w:hideMark/>
          </w:tcPr>
          <w:p w14:paraId="71B90E46" w14:textId="77777777" w:rsidR="00782B9B" w:rsidRPr="00783571" w:rsidRDefault="00782B9B" w:rsidP="003E456A">
            <w:pPr>
              <w:pStyle w:val="TableHeaders"/>
              <w:keepNext/>
            </w:pPr>
            <w:r w:rsidRPr="00783571">
              <w:t>Input</w:t>
            </w:r>
            <w:r w:rsidRPr="00783571">
              <w:rPr>
                <w:vertAlign w:val="superscript"/>
              </w:rPr>
              <w:t>a</w:t>
            </w:r>
          </w:p>
        </w:tc>
        <w:tc>
          <w:tcPr>
            <w:tcW w:w="1797" w:type="dxa"/>
            <w:vAlign w:val="bottom"/>
            <w:hideMark/>
          </w:tcPr>
          <w:p w14:paraId="6365779B" w14:textId="77777777" w:rsidR="00782B9B" w:rsidRPr="00783571" w:rsidRDefault="00782B9B" w:rsidP="003E456A">
            <w:pPr>
              <w:pStyle w:val="TableHeaders"/>
              <w:keepNext/>
            </w:pPr>
            <w:r w:rsidRPr="00783571">
              <w:t>Mean of Absolute Elementary Effects (µ*)</w:t>
            </w:r>
            <w:r w:rsidRPr="00783571">
              <w:rPr>
                <w:vertAlign w:val="superscript"/>
              </w:rPr>
              <w:t>b</w:t>
            </w:r>
          </w:p>
        </w:tc>
        <w:tc>
          <w:tcPr>
            <w:tcW w:w="1707" w:type="dxa"/>
            <w:noWrap/>
            <w:vAlign w:val="bottom"/>
            <w:hideMark/>
          </w:tcPr>
          <w:p w14:paraId="46AA6FF7" w14:textId="4503E3B1" w:rsidR="00782B9B" w:rsidRPr="00783571" w:rsidRDefault="00782B9B" w:rsidP="003E456A">
            <w:pPr>
              <w:pStyle w:val="TableHeaders"/>
              <w:keepNext/>
            </w:pPr>
            <w:r w:rsidRPr="00783571">
              <w:t>Standard Deviation of Elementary Effects (σ)</w:t>
            </w:r>
            <w:r w:rsidR="0061048F" w:rsidRPr="00783571">
              <w:rPr>
                <w:vertAlign w:val="superscript"/>
              </w:rPr>
              <w:t>c</w:t>
            </w:r>
          </w:p>
        </w:tc>
      </w:tr>
      <w:tr w:rsidR="005F3077" w:rsidRPr="00783571" w14:paraId="1F432C05" w14:textId="77777777" w:rsidTr="004F70FA">
        <w:tc>
          <w:tcPr>
            <w:tcW w:w="826" w:type="dxa"/>
            <w:tcBorders>
              <w:top w:val="single" w:sz="4" w:space="0" w:color="808080" w:themeColor="background1" w:themeShade="80"/>
              <w:bottom w:val="single" w:sz="4" w:space="0" w:color="808080" w:themeColor="background1" w:themeShade="80"/>
            </w:tcBorders>
            <w:noWrap/>
            <w:hideMark/>
          </w:tcPr>
          <w:p w14:paraId="226AB792" w14:textId="4FFB37B2" w:rsidR="005F3077" w:rsidRPr="00783571" w:rsidRDefault="005F3077" w:rsidP="005F3077">
            <w:pPr>
              <w:pStyle w:val="TableText"/>
              <w:jc w:val="center"/>
              <w:rPr>
                <w:szCs w:val="18"/>
              </w:rPr>
            </w:pPr>
            <w:r w:rsidRPr="00783571">
              <w:t>20</w:t>
            </w:r>
          </w:p>
        </w:tc>
        <w:tc>
          <w:tcPr>
            <w:tcW w:w="5030" w:type="dxa"/>
            <w:tcBorders>
              <w:top w:val="single" w:sz="4" w:space="0" w:color="808080" w:themeColor="background1" w:themeShade="80"/>
              <w:bottom w:val="single" w:sz="4" w:space="0" w:color="808080" w:themeColor="background1" w:themeShade="80"/>
            </w:tcBorders>
            <w:noWrap/>
            <w:hideMark/>
          </w:tcPr>
          <w:p w14:paraId="73112252" w14:textId="7DE4B993" w:rsidR="005F3077" w:rsidRPr="00783571" w:rsidRDefault="005F3077" w:rsidP="005F3077">
            <w:pPr>
              <w:pStyle w:val="TableText"/>
              <w:rPr>
                <w:szCs w:val="18"/>
              </w:rPr>
            </w:pPr>
            <w:r w:rsidRPr="00783571">
              <w:t>Percentage of injections that are shared</w:t>
            </w:r>
          </w:p>
        </w:tc>
        <w:tc>
          <w:tcPr>
            <w:tcW w:w="1797" w:type="dxa"/>
            <w:tcBorders>
              <w:top w:val="single" w:sz="4" w:space="0" w:color="808080" w:themeColor="background1" w:themeShade="80"/>
              <w:bottom w:val="single" w:sz="4" w:space="0" w:color="808080" w:themeColor="background1" w:themeShade="80"/>
            </w:tcBorders>
            <w:noWrap/>
            <w:hideMark/>
          </w:tcPr>
          <w:p w14:paraId="735E8C29" w14:textId="27A55264" w:rsidR="005F3077" w:rsidRPr="00783571" w:rsidRDefault="005F3077" w:rsidP="003E456A">
            <w:pPr>
              <w:pStyle w:val="TableText"/>
              <w:tabs>
                <w:tab w:val="decimal" w:pos="1172"/>
              </w:tabs>
              <w:rPr>
                <w:szCs w:val="18"/>
              </w:rPr>
            </w:pPr>
            <w:r w:rsidRPr="00783571">
              <w:t>21,447</w:t>
            </w:r>
          </w:p>
        </w:tc>
        <w:tc>
          <w:tcPr>
            <w:tcW w:w="1707" w:type="dxa"/>
            <w:tcBorders>
              <w:top w:val="single" w:sz="4" w:space="0" w:color="808080" w:themeColor="background1" w:themeShade="80"/>
              <w:bottom w:val="single" w:sz="4" w:space="0" w:color="808080" w:themeColor="background1" w:themeShade="80"/>
            </w:tcBorders>
            <w:noWrap/>
            <w:hideMark/>
          </w:tcPr>
          <w:p w14:paraId="0D340226" w14:textId="6FF29E52" w:rsidR="005F3077" w:rsidRPr="00783571" w:rsidRDefault="005F3077" w:rsidP="003E456A">
            <w:pPr>
              <w:pStyle w:val="TableText"/>
              <w:tabs>
                <w:tab w:val="decimal" w:pos="1172"/>
              </w:tabs>
              <w:rPr>
                <w:szCs w:val="18"/>
              </w:rPr>
            </w:pPr>
            <w:r w:rsidRPr="00783571">
              <w:t>16,421</w:t>
            </w:r>
          </w:p>
        </w:tc>
      </w:tr>
      <w:tr w:rsidR="005F3077" w:rsidRPr="00783571" w14:paraId="2697A2A6" w14:textId="77777777" w:rsidTr="004F70FA">
        <w:tc>
          <w:tcPr>
            <w:tcW w:w="826" w:type="dxa"/>
            <w:tcBorders>
              <w:top w:val="single" w:sz="4" w:space="0" w:color="808080" w:themeColor="background1" w:themeShade="80"/>
              <w:bottom w:val="single" w:sz="4" w:space="0" w:color="808080" w:themeColor="background1" w:themeShade="80"/>
            </w:tcBorders>
            <w:noWrap/>
            <w:hideMark/>
          </w:tcPr>
          <w:p w14:paraId="6EFC88D7" w14:textId="21E2F2ED" w:rsidR="005F3077" w:rsidRPr="00783571" w:rsidRDefault="005F3077" w:rsidP="005F3077">
            <w:pPr>
              <w:pStyle w:val="TableText"/>
              <w:jc w:val="center"/>
              <w:rPr>
                <w:szCs w:val="18"/>
              </w:rPr>
            </w:pPr>
            <w:r w:rsidRPr="00783571">
              <w:t>17</w:t>
            </w:r>
          </w:p>
        </w:tc>
        <w:tc>
          <w:tcPr>
            <w:tcW w:w="5030" w:type="dxa"/>
            <w:tcBorders>
              <w:top w:val="single" w:sz="4" w:space="0" w:color="808080" w:themeColor="background1" w:themeShade="80"/>
              <w:bottom w:val="single" w:sz="4" w:space="0" w:color="808080" w:themeColor="background1" w:themeShade="80"/>
            </w:tcBorders>
            <w:noWrap/>
            <w:hideMark/>
          </w:tcPr>
          <w:p w14:paraId="691A95D1" w14:textId="679BA643" w:rsidR="005F3077" w:rsidRPr="00783571" w:rsidRDefault="005F3077" w:rsidP="005F3077">
            <w:pPr>
              <w:pStyle w:val="TableText"/>
              <w:rPr>
                <w:szCs w:val="18"/>
              </w:rPr>
            </w:pPr>
            <w:r w:rsidRPr="00783571">
              <w:t>Percentage of individuals who become VLS when prescribed ART</w:t>
            </w:r>
          </w:p>
        </w:tc>
        <w:tc>
          <w:tcPr>
            <w:tcW w:w="1797" w:type="dxa"/>
            <w:tcBorders>
              <w:top w:val="single" w:sz="4" w:space="0" w:color="808080" w:themeColor="background1" w:themeShade="80"/>
              <w:bottom w:val="single" w:sz="4" w:space="0" w:color="808080" w:themeColor="background1" w:themeShade="80"/>
            </w:tcBorders>
            <w:noWrap/>
            <w:hideMark/>
          </w:tcPr>
          <w:p w14:paraId="3BF25A8D" w14:textId="17237A11" w:rsidR="005F3077" w:rsidRPr="00783571" w:rsidRDefault="005F3077" w:rsidP="003E456A">
            <w:pPr>
              <w:pStyle w:val="TableText"/>
              <w:tabs>
                <w:tab w:val="decimal" w:pos="1172"/>
              </w:tabs>
              <w:rPr>
                <w:szCs w:val="18"/>
              </w:rPr>
            </w:pPr>
            <w:r w:rsidRPr="00783571">
              <w:t>21,277</w:t>
            </w:r>
          </w:p>
        </w:tc>
        <w:tc>
          <w:tcPr>
            <w:tcW w:w="1707" w:type="dxa"/>
            <w:tcBorders>
              <w:top w:val="single" w:sz="4" w:space="0" w:color="808080" w:themeColor="background1" w:themeShade="80"/>
              <w:bottom w:val="single" w:sz="4" w:space="0" w:color="808080" w:themeColor="background1" w:themeShade="80"/>
            </w:tcBorders>
            <w:noWrap/>
            <w:hideMark/>
          </w:tcPr>
          <w:p w14:paraId="5B88B514" w14:textId="13EB315F" w:rsidR="005F3077" w:rsidRPr="00783571" w:rsidRDefault="005F3077" w:rsidP="003E456A">
            <w:pPr>
              <w:pStyle w:val="TableText"/>
              <w:tabs>
                <w:tab w:val="decimal" w:pos="1172"/>
              </w:tabs>
              <w:rPr>
                <w:szCs w:val="18"/>
              </w:rPr>
            </w:pPr>
            <w:r w:rsidRPr="00783571">
              <w:t>15,501</w:t>
            </w:r>
          </w:p>
        </w:tc>
      </w:tr>
      <w:tr w:rsidR="005F3077" w:rsidRPr="00783571" w14:paraId="43C53F56" w14:textId="77777777" w:rsidTr="004F70FA">
        <w:tc>
          <w:tcPr>
            <w:tcW w:w="826" w:type="dxa"/>
            <w:tcBorders>
              <w:top w:val="single" w:sz="4" w:space="0" w:color="808080" w:themeColor="background1" w:themeShade="80"/>
              <w:bottom w:val="single" w:sz="4" w:space="0" w:color="808080" w:themeColor="background1" w:themeShade="80"/>
            </w:tcBorders>
            <w:noWrap/>
          </w:tcPr>
          <w:p w14:paraId="224780BD" w14:textId="5E1D22DC" w:rsidR="005F3077" w:rsidRPr="00783571" w:rsidRDefault="005F3077" w:rsidP="005F3077">
            <w:pPr>
              <w:pStyle w:val="TableText"/>
              <w:jc w:val="center"/>
              <w:rPr>
                <w:szCs w:val="18"/>
              </w:rPr>
            </w:pPr>
            <w:r w:rsidRPr="00783571">
              <w:t>5</w:t>
            </w:r>
          </w:p>
        </w:tc>
        <w:tc>
          <w:tcPr>
            <w:tcW w:w="5030" w:type="dxa"/>
            <w:tcBorders>
              <w:top w:val="single" w:sz="4" w:space="0" w:color="808080" w:themeColor="background1" w:themeShade="80"/>
              <w:bottom w:val="single" w:sz="4" w:space="0" w:color="808080" w:themeColor="background1" w:themeShade="80"/>
            </w:tcBorders>
            <w:noWrap/>
          </w:tcPr>
          <w:p w14:paraId="2C22A29C" w14:textId="768F6E67" w:rsidR="005F3077" w:rsidRPr="00783571" w:rsidRDefault="005F3077" w:rsidP="005F3077">
            <w:pPr>
              <w:pStyle w:val="TableText"/>
              <w:rPr>
                <w:szCs w:val="18"/>
              </w:rPr>
            </w:pPr>
            <w:r w:rsidRPr="00783571">
              <w:t>Probability of being notified of HIV status if tested</w:t>
            </w:r>
          </w:p>
        </w:tc>
        <w:tc>
          <w:tcPr>
            <w:tcW w:w="1797" w:type="dxa"/>
            <w:tcBorders>
              <w:top w:val="single" w:sz="4" w:space="0" w:color="808080" w:themeColor="background1" w:themeShade="80"/>
              <w:bottom w:val="single" w:sz="4" w:space="0" w:color="808080" w:themeColor="background1" w:themeShade="80"/>
            </w:tcBorders>
            <w:noWrap/>
          </w:tcPr>
          <w:p w14:paraId="47C50D3E" w14:textId="492C6901" w:rsidR="005F3077" w:rsidRPr="00783571" w:rsidRDefault="005F3077" w:rsidP="003E456A">
            <w:pPr>
              <w:pStyle w:val="TableText"/>
              <w:tabs>
                <w:tab w:val="decimal" w:pos="1172"/>
              </w:tabs>
              <w:rPr>
                <w:szCs w:val="18"/>
              </w:rPr>
            </w:pPr>
            <w:r w:rsidRPr="00783571">
              <w:t>21,039</w:t>
            </w:r>
          </w:p>
        </w:tc>
        <w:tc>
          <w:tcPr>
            <w:tcW w:w="1707" w:type="dxa"/>
            <w:tcBorders>
              <w:top w:val="single" w:sz="4" w:space="0" w:color="808080" w:themeColor="background1" w:themeShade="80"/>
              <w:bottom w:val="single" w:sz="4" w:space="0" w:color="808080" w:themeColor="background1" w:themeShade="80"/>
            </w:tcBorders>
            <w:noWrap/>
          </w:tcPr>
          <w:p w14:paraId="6D99E3CE" w14:textId="722B224F" w:rsidR="005F3077" w:rsidRPr="00783571" w:rsidRDefault="005F3077" w:rsidP="003E456A">
            <w:pPr>
              <w:pStyle w:val="TableText"/>
              <w:tabs>
                <w:tab w:val="decimal" w:pos="1172"/>
              </w:tabs>
              <w:rPr>
                <w:szCs w:val="18"/>
              </w:rPr>
            </w:pPr>
            <w:r w:rsidRPr="00783571">
              <w:t>22,762</w:t>
            </w:r>
          </w:p>
        </w:tc>
      </w:tr>
      <w:tr w:rsidR="005F3077" w:rsidRPr="00783571" w14:paraId="5BB7FFB8" w14:textId="77777777" w:rsidTr="004F70FA">
        <w:tc>
          <w:tcPr>
            <w:tcW w:w="826" w:type="dxa"/>
            <w:tcBorders>
              <w:top w:val="single" w:sz="4" w:space="0" w:color="808080" w:themeColor="background1" w:themeShade="80"/>
              <w:bottom w:val="single" w:sz="4" w:space="0" w:color="808080" w:themeColor="background1" w:themeShade="80"/>
            </w:tcBorders>
            <w:noWrap/>
          </w:tcPr>
          <w:p w14:paraId="011B967F" w14:textId="0F63CBC5" w:rsidR="005F3077" w:rsidRPr="00783571" w:rsidRDefault="005F3077" w:rsidP="005F3077">
            <w:pPr>
              <w:pStyle w:val="TableText"/>
              <w:jc w:val="center"/>
              <w:rPr>
                <w:szCs w:val="18"/>
              </w:rPr>
            </w:pPr>
            <w:r w:rsidRPr="00783571">
              <w:t>7</w:t>
            </w:r>
          </w:p>
        </w:tc>
        <w:tc>
          <w:tcPr>
            <w:tcW w:w="5030" w:type="dxa"/>
            <w:tcBorders>
              <w:top w:val="single" w:sz="4" w:space="0" w:color="808080" w:themeColor="background1" w:themeShade="80"/>
              <w:bottom w:val="single" w:sz="4" w:space="0" w:color="808080" w:themeColor="background1" w:themeShade="80"/>
            </w:tcBorders>
            <w:noWrap/>
          </w:tcPr>
          <w:p w14:paraId="1A6927DB" w14:textId="5DCAFAB9" w:rsidR="005F3077" w:rsidRPr="00783571" w:rsidRDefault="005F3077" w:rsidP="005F3077">
            <w:pPr>
              <w:pStyle w:val="TableText"/>
              <w:rPr>
                <w:szCs w:val="18"/>
              </w:rPr>
            </w:pPr>
            <w:r w:rsidRPr="00783571">
              <w:t>Test sensitivity</w:t>
            </w:r>
          </w:p>
        </w:tc>
        <w:tc>
          <w:tcPr>
            <w:tcW w:w="1797" w:type="dxa"/>
            <w:tcBorders>
              <w:top w:val="single" w:sz="4" w:space="0" w:color="808080" w:themeColor="background1" w:themeShade="80"/>
              <w:bottom w:val="single" w:sz="4" w:space="0" w:color="808080" w:themeColor="background1" w:themeShade="80"/>
            </w:tcBorders>
            <w:noWrap/>
          </w:tcPr>
          <w:p w14:paraId="4F2ACC5C" w14:textId="7AE2D741" w:rsidR="005F3077" w:rsidRPr="00783571" w:rsidRDefault="005F3077" w:rsidP="003E456A">
            <w:pPr>
              <w:pStyle w:val="TableText"/>
              <w:tabs>
                <w:tab w:val="decimal" w:pos="1172"/>
              </w:tabs>
              <w:rPr>
                <w:szCs w:val="18"/>
              </w:rPr>
            </w:pPr>
            <w:r w:rsidRPr="00783571">
              <w:t>20,545</w:t>
            </w:r>
          </w:p>
        </w:tc>
        <w:tc>
          <w:tcPr>
            <w:tcW w:w="1707" w:type="dxa"/>
            <w:tcBorders>
              <w:top w:val="single" w:sz="4" w:space="0" w:color="808080" w:themeColor="background1" w:themeShade="80"/>
              <w:bottom w:val="single" w:sz="4" w:space="0" w:color="808080" w:themeColor="background1" w:themeShade="80"/>
            </w:tcBorders>
            <w:noWrap/>
          </w:tcPr>
          <w:p w14:paraId="37EEB58F" w14:textId="2E4D32F4" w:rsidR="005F3077" w:rsidRPr="00783571" w:rsidRDefault="005F3077" w:rsidP="003E456A">
            <w:pPr>
              <w:pStyle w:val="TableText"/>
              <w:tabs>
                <w:tab w:val="decimal" w:pos="1172"/>
              </w:tabs>
              <w:rPr>
                <w:szCs w:val="18"/>
              </w:rPr>
            </w:pPr>
            <w:r w:rsidRPr="00783571">
              <w:t>15,358</w:t>
            </w:r>
          </w:p>
        </w:tc>
      </w:tr>
      <w:tr w:rsidR="005F3077" w:rsidRPr="00783571" w14:paraId="7826D054" w14:textId="77777777" w:rsidTr="004F70FA">
        <w:tc>
          <w:tcPr>
            <w:tcW w:w="826" w:type="dxa"/>
            <w:tcBorders>
              <w:top w:val="single" w:sz="4" w:space="0" w:color="808080" w:themeColor="background1" w:themeShade="80"/>
              <w:bottom w:val="single" w:sz="4" w:space="0" w:color="808080" w:themeColor="background1" w:themeShade="80"/>
            </w:tcBorders>
            <w:noWrap/>
          </w:tcPr>
          <w:p w14:paraId="3CDA2EB4" w14:textId="76B27D0B" w:rsidR="005F3077" w:rsidRPr="00783571" w:rsidRDefault="005F3077" w:rsidP="005F3077">
            <w:pPr>
              <w:pStyle w:val="TableText"/>
              <w:jc w:val="center"/>
              <w:rPr>
                <w:szCs w:val="18"/>
              </w:rPr>
            </w:pPr>
            <w:r w:rsidRPr="00783571">
              <w:t>21</w:t>
            </w:r>
          </w:p>
        </w:tc>
        <w:tc>
          <w:tcPr>
            <w:tcW w:w="5030" w:type="dxa"/>
            <w:tcBorders>
              <w:top w:val="single" w:sz="4" w:space="0" w:color="808080" w:themeColor="background1" w:themeShade="80"/>
              <w:bottom w:val="single" w:sz="4" w:space="0" w:color="808080" w:themeColor="background1" w:themeShade="80"/>
            </w:tcBorders>
            <w:noWrap/>
          </w:tcPr>
          <w:p w14:paraId="193E88B5" w14:textId="0D12DFFF" w:rsidR="005F3077" w:rsidRPr="00783571" w:rsidRDefault="005F3077" w:rsidP="005F3077">
            <w:pPr>
              <w:pStyle w:val="TableText"/>
              <w:rPr>
                <w:szCs w:val="18"/>
              </w:rPr>
            </w:pPr>
            <w:r w:rsidRPr="00783571">
              <w:t>Annual number of needle-sharing partners for PWID</w:t>
            </w:r>
          </w:p>
        </w:tc>
        <w:tc>
          <w:tcPr>
            <w:tcW w:w="1797" w:type="dxa"/>
            <w:tcBorders>
              <w:top w:val="single" w:sz="4" w:space="0" w:color="808080" w:themeColor="background1" w:themeShade="80"/>
              <w:bottom w:val="single" w:sz="4" w:space="0" w:color="808080" w:themeColor="background1" w:themeShade="80"/>
            </w:tcBorders>
            <w:noWrap/>
          </w:tcPr>
          <w:p w14:paraId="0F0F4F04" w14:textId="7580A4F1" w:rsidR="005F3077" w:rsidRPr="00783571" w:rsidRDefault="005F3077" w:rsidP="003E456A">
            <w:pPr>
              <w:pStyle w:val="TableText"/>
              <w:tabs>
                <w:tab w:val="decimal" w:pos="1172"/>
              </w:tabs>
              <w:rPr>
                <w:szCs w:val="18"/>
              </w:rPr>
            </w:pPr>
            <w:r w:rsidRPr="00783571">
              <w:t>19,556</w:t>
            </w:r>
          </w:p>
        </w:tc>
        <w:tc>
          <w:tcPr>
            <w:tcW w:w="1707" w:type="dxa"/>
            <w:tcBorders>
              <w:top w:val="single" w:sz="4" w:space="0" w:color="808080" w:themeColor="background1" w:themeShade="80"/>
              <w:bottom w:val="single" w:sz="4" w:space="0" w:color="808080" w:themeColor="background1" w:themeShade="80"/>
            </w:tcBorders>
            <w:noWrap/>
          </w:tcPr>
          <w:p w14:paraId="5956F5F6" w14:textId="5DBA46FB" w:rsidR="005F3077" w:rsidRPr="00783571" w:rsidRDefault="005F3077" w:rsidP="003E456A">
            <w:pPr>
              <w:pStyle w:val="TableText"/>
              <w:tabs>
                <w:tab w:val="decimal" w:pos="1172"/>
              </w:tabs>
              <w:rPr>
                <w:szCs w:val="18"/>
              </w:rPr>
            </w:pPr>
            <w:r w:rsidRPr="00783571">
              <w:t>18,104</w:t>
            </w:r>
          </w:p>
        </w:tc>
      </w:tr>
      <w:tr w:rsidR="005F3077" w:rsidRPr="00783571" w14:paraId="422751B0" w14:textId="77777777" w:rsidTr="004F70FA">
        <w:tc>
          <w:tcPr>
            <w:tcW w:w="826" w:type="dxa"/>
            <w:tcBorders>
              <w:top w:val="single" w:sz="4" w:space="0" w:color="808080" w:themeColor="background1" w:themeShade="80"/>
              <w:bottom w:val="single" w:sz="6" w:space="0" w:color="808080" w:themeColor="background1" w:themeShade="80"/>
            </w:tcBorders>
            <w:noWrap/>
          </w:tcPr>
          <w:p w14:paraId="04133149" w14:textId="54B4E004" w:rsidR="005F3077" w:rsidRPr="00783571" w:rsidRDefault="005F3077" w:rsidP="005F3077">
            <w:pPr>
              <w:pStyle w:val="TableText"/>
              <w:jc w:val="center"/>
              <w:rPr>
                <w:szCs w:val="18"/>
              </w:rPr>
            </w:pPr>
            <w:r w:rsidRPr="00783571">
              <w:t>36</w:t>
            </w:r>
          </w:p>
        </w:tc>
        <w:tc>
          <w:tcPr>
            <w:tcW w:w="5030" w:type="dxa"/>
            <w:tcBorders>
              <w:top w:val="single" w:sz="4" w:space="0" w:color="808080" w:themeColor="background1" w:themeShade="80"/>
              <w:bottom w:val="single" w:sz="6" w:space="0" w:color="808080" w:themeColor="background1" w:themeShade="80"/>
            </w:tcBorders>
            <w:noWrap/>
          </w:tcPr>
          <w:p w14:paraId="6F568047" w14:textId="0FFDB1B2" w:rsidR="005F3077" w:rsidRPr="00783571" w:rsidRDefault="005F3077" w:rsidP="005F3077">
            <w:pPr>
              <w:pStyle w:val="TableText"/>
              <w:rPr>
                <w:szCs w:val="18"/>
              </w:rPr>
            </w:pPr>
            <w:r w:rsidRPr="00783571">
              <w:t>Percentage of sexual partners within same age group</w:t>
            </w:r>
          </w:p>
        </w:tc>
        <w:tc>
          <w:tcPr>
            <w:tcW w:w="1797" w:type="dxa"/>
            <w:tcBorders>
              <w:top w:val="single" w:sz="4" w:space="0" w:color="808080" w:themeColor="background1" w:themeShade="80"/>
              <w:bottom w:val="single" w:sz="6" w:space="0" w:color="808080" w:themeColor="background1" w:themeShade="80"/>
            </w:tcBorders>
            <w:noWrap/>
          </w:tcPr>
          <w:p w14:paraId="64841DED" w14:textId="50AE4C58" w:rsidR="005F3077" w:rsidRPr="00783571" w:rsidRDefault="005F3077" w:rsidP="003E456A">
            <w:pPr>
              <w:pStyle w:val="TableText"/>
              <w:tabs>
                <w:tab w:val="decimal" w:pos="1172"/>
              </w:tabs>
              <w:rPr>
                <w:szCs w:val="18"/>
              </w:rPr>
            </w:pPr>
            <w:r w:rsidRPr="00783571">
              <w:t>19,438</w:t>
            </w:r>
          </w:p>
        </w:tc>
        <w:tc>
          <w:tcPr>
            <w:tcW w:w="1707" w:type="dxa"/>
            <w:tcBorders>
              <w:top w:val="single" w:sz="4" w:space="0" w:color="808080" w:themeColor="background1" w:themeShade="80"/>
              <w:bottom w:val="single" w:sz="6" w:space="0" w:color="808080" w:themeColor="background1" w:themeShade="80"/>
            </w:tcBorders>
            <w:noWrap/>
          </w:tcPr>
          <w:p w14:paraId="3B7CE9EF" w14:textId="0B48EF3F" w:rsidR="005F3077" w:rsidRPr="00783571" w:rsidRDefault="005F3077" w:rsidP="003E456A">
            <w:pPr>
              <w:pStyle w:val="TableText"/>
              <w:tabs>
                <w:tab w:val="decimal" w:pos="1172"/>
              </w:tabs>
              <w:rPr>
                <w:szCs w:val="18"/>
              </w:rPr>
            </w:pPr>
            <w:r w:rsidRPr="00783571">
              <w:t>15,603</w:t>
            </w:r>
          </w:p>
        </w:tc>
      </w:tr>
      <w:tr w:rsidR="005F3077" w:rsidRPr="00783571" w14:paraId="2572E6DD" w14:textId="77777777" w:rsidTr="004F70FA">
        <w:tc>
          <w:tcPr>
            <w:tcW w:w="826" w:type="dxa"/>
            <w:tcBorders>
              <w:top w:val="single" w:sz="6" w:space="0" w:color="808080" w:themeColor="background1" w:themeShade="80"/>
              <w:bottom w:val="single" w:sz="4" w:space="0" w:color="808080" w:themeColor="background1" w:themeShade="80"/>
            </w:tcBorders>
            <w:noWrap/>
            <w:hideMark/>
          </w:tcPr>
          <w:p w14:paraId="120B969C" w14:textId="1A764A27" w:rsidR="005F3077" w:rsidRPr="00783571" w:rsidRDefault="005F3077" w:rsidP="005F3077">
            <w:pPr>
              <w:pStyle w:val="TableText"/>
              <w:jc w:val="center"/>
              <w:rPr>
                <w:szCs w:val="18"/>
              </w:rPr>
            </w:pPr>
            <w:r w:rsidRPr="00783571">
              <w:t>44</w:t>
            </w:r>
          </w:p>
        </w:tc>
        <w:tc>
          <w:tcPr>
            <w:tcW w:w="5030" w:type="dxa"/>
            <w:tcBorders>
              <w:top w:val="single" w:sz="6" w:space="0" w:color="808080" w:themeColor="background1" w:themeShade="80"/>
              <w:bottom w:val="single" w:sz="4" w:space="0" w:color="808080" w:themeColor="background1" w:themeShade="80"/>
            </w:tcBorders>
            <w:noWrap/>
            <w:hideMark/>
          </w:tcPr>
          <w:p w14:paraId="619D9E22" w14:textId="3C686E20" w:rsidR="005F3077" w:rsidRPr="00783571" w:rsidRDefault="005F3077" w:rsidP="005F3077">
            <w:pPr>
              <w:pStyle w:val="TableText"/>
              <w:rPr>
                <w:szCs w:val="18"/>
              </w:rPr>
            </w:pPr>
            <w:r w:rsidRPr="00783571">
              <w:t>Annual rate of improving one CD4 stage if VLS</w:t>
            </w:r>
          </w:p>
        </w:tc>
        <w:tc>
          <w:tcPr>
            <w:tcW w:w="1797" w:type="dxa"/>
            <w:tcBorders>
              <w:top w:val="single" w:sz="6" w:space="0" w:color="808080" w:themeColor="background1" w:themeShade="80"/>
              <w:bottom w:val="single" w:sz="4" w:space="0" w:color="808080" w:themeColor="background1" w:themeShade="80"/>
            </w:tcBorders>
            <w:noWrap/>
            <w:hideMark/>
          </w:tcPr>
          <w:p w14:paraId="76C878C8" w14:textId="41D85516" w:rsidR="005F3077" w:rsidRPr="00783571" w:rsidRDefault="005F3077" w:rsidP="003E456A">
            <w:pPr>
              <w:pStyle w:val="TableText"/>
              <w:tabs>
                <w:tab w:val="decimal" w:pos="1172"/>
              </w:tabs>
              <w:rPr>
                <w:szCs w:val="18"/>
              </w:rPr>
            </w:pPr>
            <w:r w:rsidRPr="00783571">
              <w:t>18,905</w:t>
            </w:r>
          </w:p>
        </w:tc>
        <w:tc>
          <w:tcPr>
            <w:tcW w:w="1707" w:type="dxa"/>
            <w:tcBorders>
              <w:top w:val="single" w:sz="6" w:space="0" w:color="808080" w:themeColor="background1" w:themeShade="80"/>
              <w:bottom w:val="single" w:sz="4" w:space="0" w:color="808080" w:themeColor="background1" w:themeShade="80"/>
            </w:tcBorders>
            <w:noWrap/>
            <w:hideMark/>
          </w:tcPr>
          <w:p w14:paraId="03CE8938" w14:textId="295D93FA" w:rsidR="005F3077" w:rsidRPr="00783571" w:rsidRDefault="005F3077" w:rsidP="003E456A">
            <w:pPr>
              <w:pStyle w:val="TableText"/>
              <w:tabs>
                <w:tab w:val="decimal" w:pos="1172"/>
              </w:tabs>
              <w:rPr>
                <w:szCs w:val="18"/>
              </w:rPr>
            </w:pPr>
            <w:r w:rsidRPr="00783571">
              <w:t>8,970</w:t>
            </w:r>
          </w:p>
        </w:tc>
      </w:tr>
      <w:tr w:rsidR="005F3077" w:rsidRPr="00783571" w14:paraId="311FA0E2" w14:textId="77777777" w:rsidTr="004F70FA">
        <w:tc>
          <w:tcPr>
            <w:tcW w:w="826" w:type="dxa"/>
            <w:tcBorders>
              <w:top w:val="single" w:sz="4" w:space="0" w:color="808080" w:themeColor="background1" w:themeShade="80"/>
              <w:bottom w:val="single" w:sz="4" w:space="0" w:color="808080" w:themeColor="background1" w:themeShade="80"/>
            </w:tcBorders>
            <w:noWrap/>
            <w:hideMark/>
          </w:tcPr>
          <w:p w14:paraId="440F64A2" w14:textId="043F7685" w:rsidR="005F3077" w:rsidRPr="00783571" w:rsidRDefault="005F3077" w:rsidP="005F3077">
            <w:pPr>
              <w:pStyle w:val="TableText"/>
              <w:jc w:val="center"/>
              <w:rPr>
                <w:szCs w:val="18"/>
              </w:rPr>
            </w:pPr>
            <w:r w:rsidRPr="00783571">
              <w:t>24</w:t>
            </w:r>
          </w:p>
        </w:tc>
        <w:tc>
          <w:tcPr>
            <w:tcW w:w="5030" w:type="dxa"/>
            <w:tcBorders>
              <w:top w:val="single" w:sz="4" w:space="0" w:color="808080" w:themeColor="background1" w:themeShade="80"/>
              <w:bottom w:val="single" w:sz="4" w:space="0" w:color="808080" w:themeColor="background1" w:themeShade="80"/>
            </w:tcBorders>
            <w:noWrap/>
            <w:hideMark/>
          </w:tcPr>
          <w:p w14:paraId="1D94651C" w14:textId="252103E6" w:rsidR="005F3077" w:rsidRPr="00783571" w:rsidRDefault="005F3077" w:rsidP="005F3077">
            <w:pPr>
              <w:pStyle w:val="TableText"/>
              <w:rPr>
                <w:szCs w:val="18"/>
              </w:rPr>
            </w:pPr>
            <w:r w:rsidRPr="00783571">
              <w:t>Increase in percentage of sex acts protected with condoms for diagnosed versus undiagnosed</w:t>
            </w:r>
          </w:p>
        </w:tc>
        <w:tc>
          <w:tcPr>
            <w:tcW w:w="1797" w:type="dxa"/>
            <w:tcBorders>
              <w:top w:val="single" w:sz="4" w:space="0" w:color="808080" w:themeColor="background1" w:themeShade="80"/>
              <w:bottom w:val="single" w:sz="4" w:space="0" w:color="808080" w:themeColor="background1" w:themeShade="80"/>
            </w:tcBorders>
            <w:noWrap/>
            <w:hideMark/>
          </w:tcPr>
          <w:p w14:paraId="60F796DF" w14:textId="2DDA27C5" w:rsidR="005F3077" w:rsidRPr="00783571" w:rsidRDefault="005F3077" w:rsidP="003E456A">
            <w:pPr>
              <w:pStyle w:val="TableText"/>
              <w:tabs>
                <w:tab w:val="decimal" w:pos="1172"/>
              </w:tabs>
              <w:rPr>
                <w:szCs w:val="18"/>
              </w:rPr>
            </w:pPr>
            <w:r w:rsidRPr="00783571">
              <w:t>18,370</w:t>
            </w:r>
          </w:p>
        </w:tc>
        <w:tc>
          <w:tcPr>
            <w:tcW w:w="1707" w:type="dxa"/>
            <w:tcBorders>
              <w:top w:val="single" w:sz="4" w:space="0" w:color="808080" w:themeColor="background1" w:themeShade="80"/>
              <w:bottom w:val="single" w:sz="4" w:space="0" w:color="808080" w:themeColor="background1" w:themeShade="80"/>
            </w:tcBorders>
            <w:noWrap/>
            <w:hideMark/>
          </w:tcPr>
          <w:p w14:paraId="1563CF97" w14:textId="6B7DABA6" w:rsidR="005F3077" w:rsidRPr="00783571" w:rsidRDefault="005F3077" w:rsidP="003E456A">
            <w:pPr>
              <w:pStyle w:val="TableText"/>
              <w:tabs>
                <w:tab w:val="decimal" w:pos="1172"/>
              </w:tabs>
              <w:rPr>
                <w:szCs w:val="18"/>
              </w:rPr>
            </w:pPr>
            <w:r w:rsidRPr="00783571">
              <w:t>18,914</w:t>
            </w:r>
          </w:p>
        </w:tc>
      </w:tr>
      <w:tr w:rsidR="005F3077" w:rsidRPr="00783571" w14:paraId="7FEBC9CA" w14:textId="77777777" w:rsidTr="004F70FA">
        <w:tc>
          <w:tcPr>
            <w:tcW w:w="826" w:type="dxa"/>
            <w:tcBorders>
              <w:top w:val="single" w:sz="4" w:space="0" w:color="808080" w:themeColor="background1" w:themeShade="80"/>
              <w:bottom w:val="single" w:sz="4" w:space="0" w:color="808080" w:themeColor="background1" w:themeShade="80"/>
            </w:tcBorders>
            <w:noWrap/>
            <w:hideMark/>
          </w:tcPr>
          <w:p w14:paraId="256BCD74" w14:textId="09786DEE" w:rsidR="005F3077" w:rsidRPr="00783571" w:rsidRDefault="005F3077" w:rsidP="005F3077">
            <w:pPr>
              <w:pStyle w:val="TableText"/>
              <w:jc w:val="center"/>
              <w:rPr>
                <w:szCs w:val="18"/>
              </w:rPr>
            </w:pPr>
            <w:r w:rsidRPr="00783571">
              <w:t>40</w:t>
            </w:r>
          </w:p>
        </w:tc>
        <w:tc>
          <w:tcPr>
            <w:tcW w:w="5030" w:type="dxa"/>
            <w:tcBorders>
              <w:top w:val="single" w:sz="4" w:space="0" w:color="808080" w:themeColor="background1" w:themeShade="80"/>
              <w:bottom w:val="single" w:sz="4" w:space="0" w:color="808080" w:themeColor="background1" w:themeShade="80"/>
            </w:tcBorders>
            <w:noWrap/>
            <w:hideMark/>
          </w:tcPr>
          <w:p w14:paraId="33B59C54" w14:textId="73E0FA58" w:rsidR="005F3077" w:rsidRPr="00783571" w:rsidRDefault="005F3077" w:rsidP="005F3077">
            <w:pPr>
              <w:pStyle w:val="TableText"/>
              <w:rPr>
                <w:szCs w:val="18"/>
              </w:rPr>
            </w:pPr>
            <w:r w:rsidRPr="00783571">
              <w:t xml:space="preserve">Among people who have male-female AI, </w:t>
            </w:r>
            <w:r w:rsidR="00E524D1" w:rsidRPr="00783571">
              <w:t>percentage</w:t>
            </w:r>
            <w:r w:rsidRPr="00783571">
              <w:t xml:space="preserve"> of partnerships with AI</w:t>
            </w:r>
          </w:p>
        </w:tc>
        <w:tc>
          <w:tcPr>
            <w:tcW w:w="1797" w:type="dxa"/>
            <w:tcBorders>
              <w:top w:val="single" w:sz="4" w:space="0" w:color="808080" w:themeColor="background1" w:themeShade="80"/>
              <w:bottom w:val="single" w:sz="4" w:space="0" w:color="808080" w:themeColor="background1" w:themeShade="80"/>
            </w:tcBorders>
            <w:noWrap/>
            <w:hideMark/>
          </w:tcPr>
          <w:p w14:paraId="593B1D67" w14:textId="57FBDC2F" w:rsidR="005F3077" w:rsidRPr="00783571" w:rsidRDefault="005F3077" w:rsidP="003E456A">
            <w:pPr>
              <w:pStyle w:val="TableText"/>
              <w:tabs>
                <w:tab w:val="decimal" w:pos="1172"/>
              </w:tabs>
              <w:rPr>
                <w:szCs w:val="18"/>
              </w:rPr>
            </w:pPr>
            <w:r w:rsidRPr="00783571">
              <w:t>17,257</w:t>
            </w:r>
          </w:p>
        </w:tc>
        <w:tc>
          <w:tcPr>
            <w:tcW w:w="1707" w:type="dxa"/>
            <w:tcBorders>
              <w:top w:val="single" w:sz="4" w:space="0" w:color="808080" w:themeColor="background1" w:themeShade="80"/>
              <w:bottom w:val="single" w:sz="4" w:space="0" w:color="808080" w:themeColor="background1" w:themeShade="80"/>
            </w:tcBorders>
            <w:noWrap/>
            <w:hideMark/>
          </w:tcPr>
          <w:p w14:paraId="4BE3DEEB" w14:textId="108A05E1" w:rsidR="005F3077" w:rsidRPr="00783571" w:rsidRDefault="005F3077" w:rsidP="003E456A">
            <w:pPr>
              <w:pStyle w:val="TableText"/>
              <w:tabs>
                <w:tab w:val="decimal" w:pos="1172"/>
              </w:tabs>
              <w:rPr>
                <w:szCs w:val="18"/>
              </w:rPr>
            </w:pPr>
            <w:r w:rsidRPr="00783571">
              <w:t>15,535</w:t>
            </w:r>
          </w:p>
        </w:tc>
      </w:tr>
      <w:tr w:rsidR="005F3077" w:rsidRPr="00783571" w14:paraId="4B7DAB33" w14:textId="77777777" w:rsidTr="004F70FA">
        <w:tc>
          <w:tcPr>
            <w:tcW w:w="826" w:type="dxa"/>
            <w:tcBorders>
              <w:top w:val="single" w:sz="4" w:space="0" w:color="808080" w:themeColor="background1" w:themeShade="80"/>
              <w:bottom w:val="single" w:sz="4" w:space="0" w:color="808080" w:themeColor="background1" w:themeShade="80"/>
            </w:tcBorders>
            <w:noWrap/>
            <w:hideMark/>
          </w:tcPr>
          <w:p w14:paraId="13A94438" w14:textId="52721F8F" w:rsidR="005F3077" w:rsidRPr="00783571" w:rsidRDefault="005F3077" w:rsidP="005F3077">
            <w:pPr>
              <w:pStyle w:val="TableText"/>
              <w:jc w:val="center"/>
              <w:rPr>
                <w:szCs w:val="18"/>
              </w:rPr>
            </w:pPr>
            <w:r w:rsidRPr="00783571">
              <w:t>41</w:t>
            </w:r>
          </w:p>
        </w:tc>
        <w:tc>
          <w:tcPr>
            <w:tcW w:w="5030" w:type="dxa"/>
            <w:tcBorders>
              <w:top w:val="single" w:sz="4" w:space="0" w:color="808080" w:themeColor="background1" w:themeShade="80"/>
              <w:bottom w:val="single" w:sz="4" w:space="0" w:color="808080" w:themeColor="background1" w:themeShade="80"/>
            </w:tcBorders>
            <w:noWrap/>
            <w:hideMark/>
          </w:tcPr>
          <w:p w14:paraId="5FAAD94E" w14:textId="71A61D5D" w:rsidR="005F3077" w:rsidRPr="00783571" w:rsidRDefault="005F3077" w:rsidP="005F3077">
            <w:pPr>
              <w:pStyle w:val="TableText"/>
              <w:rPr>
                <w:szCs w:val="18"/>
              </w:rPr>
            </w:pPr>
            <w:r w:rsidRPr="00783571">
              <w:t>In male-female partnerships with AI, percentage of contacts AI, 2010+</w:t>
            </w:r>
          </w:p>
        </w:tc>
        <w:tc>
          <w:tcPr>
            <w:tcW w:w="1797" w:type="dxa"/>
            <w:tcBorders>
              <w:top w:val="single" w:sz="4" w:space="0" w:color="808080" w:themeColor="background1" w:themeShade="80"/>
              <w:bottom w:val="single" w:sz="4" w:space="0" w:color="808080" w:themeColor="background1" w:themeShade="80"/>
            </w:tcBorders>
            <w:noWrap/>
            <w:hideMark/>
          </w:tcPr>
          <w:p w14:paraId="385F71AF" w14:textId="7DEE041D" w:rsidR="005F3077" w:rsidRPr="00783571" w:rsidRDefault="005F3077" w:rsidP="003E456A">
            <w:pPr>
              <w:pStyle w:val="TableText"/>
              <w:tabs>
                <w:tab w:val="decimal" w:pos="1172"/>
              </w:tabs>
              <w:rPr>
                <w:szCs w:val="18"/>
              </w:rPr>
            </w:pPr>
            <w:r w:rsidRPr="00783571">
              <w:t>16,844</w:t>
            </w:r>
          </w:p>
        </w:tc>
        <w:tc>
          <w:tcPr>
            <w:tcW w:w="1707" w:type="dxa"/>
            <w:tcBorders>
              <w:top w:val="single" w:sz="4" w:space="0" w:color="808080" w:themeColor="background1" w:themeShade="80"/>
              <w:bottom w:val="single" w:sz="4" w:space="0" w:color="808080" w:themeColor="background1" w:themeShade="80"/>
            </w:tcBorders>
            <w:noWrap/>
            <w:hideMark/>
          </w:tcPr>
          <w:p w14:paraId="40991314" w14:textId="151F65A8" w:rsidR="005F3077" w:rsidRPr="00783571" w:rsidRDefault="005F3077" w:rsidP="003E456A">
            <w:pPr>
              <w:pStyle w:val="TableText"/>
              <w:tabs>
                <w:tab w:val="decimal" w:pos="1172"/>
              </w:tabs>
              <w:rPr>
                <w:szCs w:val="18"/>
              </w:rPr>
            </w:pPr>
            <w:r w:rsidRPr="00783571">
              <w:t>13,261</w:t>
            </w:r>
          </w:p>
        </w:tc>
      </w:tr>
      <w:tr w:rsidR="005F3077" w:rsidRPr="00783571" w14:paraId="7C32541E" w14:textId="77777777" w:rsidTr="004F70FA">
        <w:tc>
          <w:tcPr>
            <w:tcW w:w="826" w:type="dxa"/>
            <w:tcBorders>
              <w:top w:val="single" w:sz="4" w:space="0" w:color="808080" w:themeColor="background1" w:themeShade="80"/>
              <w:bottom w:val="single" w:sz="4" w:space="0" w:color="808080" w:themeColor="background1" w:themeShade="80"/>
            </w:tcBorders>
            <w:noWrap/>
          </w:tcPr>
          <w:p w14:paraId="63DCC190" w14:textId="2D91976E" w:rsidR="005F3077" w:rsidRPr="00783571" w:rsidRDefault="005F3077" w:rsidP="005F3077">
            <w:pPr>
              <w:pStyle w:val="TableText"/>
              <w:jc w:val="center"/>
              <w:rPr>
                <w:szCs w:val="18"/>
              </w:rPr>
            </w:pPr>
            <w:r w:rsidRPr="00783571">
              <w:t>35</w:t>
            </w:r>
          </w:p>
        </w:tc>
        <w:tc>
          <w:tcPr>
            <w:tcW w:w="5030" w:type="dxa"/>
            <w:tcBorders>
              <w:top w:val="single" w:sz="4" w:space="0" w:color="808080" w:themeColor="background1" w:themeShade="80"/>
              <w:bottom w:val="single" w:sz="4" w:space="0" w:color="808080" w:themeColor="background1" w:themeShade="80"/>
            </w:tcBorders>
            <w:noWrap/>
          </w:tcPr>
          <w:p w14:paraId="26FAABE6" w14:textId="7345EAEF" w:rsidR="005F3077" w:rsidRPr="00783571" w:rsidRDefault="005F3077" w:rsidP="005F3077">
            <w:pPr>
              <w:pStyle w:val="TableText"/>
              <w:rPr>
                <w:szCs w:val="18"/>
              </w:rPr>
            </w:pPr>
            <w:r w:rsidRPr="00783571">
              <w:t>Percentage of sexual partners within same race</w:t>
            </w:r>
          </w:p>
        </w:tc>
        <w:tc>
          <w:tcPr>
            <w:tcW w:w="1797" w:type="dxa"/>
            <w:tcBorders>
              <w:top w:val="single" w:sz="4" w:space="0" w:color="808080" w:themeColor="background1" w:themeShade="80"/>
              <w:bottom w:val="single" w:sz="4" w:space="0" w:color="808080" w:themeColor="background1" w:themeShade="80"/>
            </w:tcBorders>
            <w:noWrap/>
          </w:tcPr>
          <w:p w14:paraId="79A15052" w14:textId="35F812C9" w:rsidR="005F3077" w:rsidRPr="00783571" w:rsidRDefault="005F3077" w:rsidP="003E456A">
            <w:pPr>
              <w:pStyle w:val="TableText"/>
              <w:tabs>
                <w:tab w:val="decimal" w:pos="1172"/>
              </w:tabs>
              <w:rPr>
                <w:szCs w:val="18"/>
              </w:rPr>
            </w:pPr>
            <w:r w:rsidRPr="00783571">
              <w:t>13,945</w:t>
            </w:r>
          </w:p>
        </w:tc>
        <w:tc>
          <w:tcPr>
            <w:tcW w:w="1707" w:type="dxa"/>
            <w:tcBorders>
              <w:top w:val="single" w:sz="4" w:space="0" w:color="808080" w:themeColor="background1" w:themeShade="80"/>
              <w:bottom w:val="single" w:sz="4" w:space="0" w:color="808080" w:themeColor="background1" w:themeShade="80"/>
            </w:tcBorders>
            <w:noWrap/>
          </w:tcPr>
          <w:p w14:paraId="3C935BB7" w14:textId="4E22BE29" w:rsidR="005F3077" w:rsidRPr="00783571" w:rsidRDefault="005F3077" w:rsidP="003E456A">
            <w:pPr>
              <w:pStyle w:val="TableText"/>
              <w:tabs>
                <w:tab w:val="decimal" w:pos="1172"/>
              </w:tabs>
              <w:rPr>
                <w:szCs w:val="18"/>
              </w:rPr>
            </w:pPr>
            <w:r w:rsidRPr="00783571">
              <w:t>16,380</w:t>
            </w:r>
          </w:p>
        </w:tc>
      </w:tr>
      <w:tr w:rsidR="005F3077" w:rsidRPr="00783571" w14:paraId="6DD6CE7B" w14:textId="77777777" w:rsidTr="004F70FA">
        <w:tc>
          <w:tcPr>
            <w:tcW w:w="826" w:type="dxa"/>
            <w:tcBorders>
              <w:top w:val="single" w:sz="4" w:space="0" w:color="808080" w:themeColor="background1" w:themeShade="80"/>
              <w:bottom w:val="single" w:sz="4" w:space="0" w:color="808080" w:themeColor="background1" w:themeShade="80"/>
            </w:tcBorders>
            <w:noWrap/>
          </w:tcPr>
          <w:p w14:paraId="60FCC83B" w14:textId="3C97F602" w:rsidR="005F3077" w:rsidRPr="00783571" w:rsidRDefault="005F3077" w:rsidP="005F3077">
            <w:pPr>
              <w:pStyle w:val="TableText"/>
              <w:jc w:val="center"/>
              <w:rPr>
                <w:szCs w:val="18"/>
              </w:rPr>
            </w:pPr>
            <w:r w:rsidRPr="00783571">
              <w:t>50</w:t>
            </w:r>
          </w:p>
        </w:tc>
        <w:tc>
          <w:tcPr>
            <w:tcW w:w="5030" w:type="dxa"/>
            <w:tcBorders>
              <w:top w:val="single" w:sz="4" w:space="0" w:color="808080" w:themeColor="background1" w:themeShade="80"/>
              <w:bottom w:val="single" w:sz="4" w:space="0" w:color="808080" w:themeColor="background1" w:themeShade="80"/>
            </w:tcBorders>
            <w:noWrap/>
          </w:tcPr>
          <w:p w14:paraId="5C9A6CAD" w14:textId="6D9F4615" w:rsidR="005F3077" w:rsidRPr="00783571" w:rsidRDefault="005F3077" w:rsidP="005F3077">
            <w:pPr>
              <w:pStyle w:val="TableText"/>
              <w:rPr>
                <w:szCs w:val="18"/>
              </w:rPr>
            </w:pPr>
            <w:r w:rsidRPr="00783571">
              <w:t>Probability of HIV transmission per shared needle</w:t>
            </w:r>
          </w:p>
        </w:tc>
        <w:tc>
          <w:tcPr>
            <w:tcW w:w="1797" w:type="dxa"/>
            <w:tcBorders>
              <w:top w:val="single" w:sz="4" w:space="0" w:color="808080" w:themeColor="background1" w:themeShade="80"/>
              <w:bottom w:val="single" w:sz="4" w:space="0" w:color="808080" w:themeColor="background1" w:themeShade="80"/>
            </w:tcBorders>
            <w:noWrap/>
          </w:tcPr>
          <w:p w14:paraId="2B48229C" w14:textId="070DD26B" w:rsidR="005F3077" w:rsidRPr="00783571" w:rsidRDefault="005F3077" w:rsidP="003E456A">
            <w:pPr>
              <w:pStyle w:val="TableText"/>
              <w:tabs>
                <w:tab w:val="decimal" w:pos="1172"/>
              </w:tabs>
              <w:rPr>
                <w:szCs w:val="18"/>
              </w:rPr>
            </w:pPr>
            <w:r w:rsidRPr="00783571">
              <w:t>12,957</w:t>
            </w:r>
          </w:p>
        </w:tc>
        <w:tc>
          <w:tcPr>
            <w:tcW w:w="1707" w:type="dxa"/>
            <w:tcBorders>
              <w:top w:val="single" w:sz="4" w:space="0" w:color="808080" w:themeColor="background1" w:themeShade="80"/>
              <w:bottom w:val="single" w:sz="4" w:space="0" w:color="808080" w:themeColor="background1" w:themeShade="80"/>
            </w:tcBorders>
            <w:noWrap/>
          </w:tcPr>
          <w:p w14:paraId="09647485" w14:textId="230EA4C0" w:rsidR="005F3077" w:rsidRPr="00783571" w:rsidRDefault="005F3077" w:rsidP="003E456A">
            <w:pPr>
              <w:pStyle w:val="TableText"/>
              <w:tabs>
                <w:tab w:val="decimal" w:pos="1172"/>
              </w:tabs>
              <w:rPr>
                <w:szCs w:val="18"/>
              </w:rPr>
            </w:pPr>
            <w:r w:rsidRPr="00783571">
              <w:t>14,513</w:t>
            </w:r>
          </w:p>
        </w:tc>
      </w:tr>
      <w:tr w:rsidR="005F3077" w:rsidRPr="00783571" w14:paraId="76793B69" w14:textId="77777777" w:rsidTr="004F70FA">
        <w:tc>
          <w:tcPr>
            <w:tcW w:w="826" w:type="dxa"/>
            <w:tcBorders>
              <w:top w:val="single" w:sz="4" w:space="0" w:color="808080" w:themeColor="background1" w:themeShade="80"/>
              <w:bottom w:val="single" w:sz="4" w:space="0" w:color="808080" w:themeColor="background1" w:themeShade="80"/>
            </w:tcBorders>
            <w:noWrap/>
          </w:tcPr>
          <w:p w14:paraId="15A9A9D6" w14:textId="2DE65E18" w:rsidR="005F3077" w:rsidRPr="00783571" w:rsidRDefault="005F3077" w:rsidP="005F3077">
            <w:pPr>
              <w:pStyle w:val="TableText"/>
              <w:jc w:val="center"/>
              <w:rPr>
                <w:szCs w:val="18"/>
              </w:rPr>
            </w:pPr>
            <w:r w:rsidRPr="00783571">
              <w:t>48</w:t>
            </w:r>
          </w:p>
        </w:tc>
        <w:tc>
          <w:tcPr>
            <w:tcW w:w="5030" w:type="dxa"/>
            <w:tcBorders>
              <w:top w:val="single" w:sz="4" w:space="0" w:color="808080" w:themeColor="background1" w:themeShade="80"/>
              <w:bottom w:val="single" w:sz="4" w:space="0" w:color="808080" w:themeColor="background1" w:themeShade="80"/>
            </w:tcBorders>
            <w:noWrap/>
          </w:tcPr>
          <w:p w14:paraId="28E5468B" w14:textId="5EBCB8FA" w:rsidR="005F3077" w:rsidRPr="00783571" w:rsidRDefault="005F3077" w:rsidP="005F3077">
            <w:pPr>
              <w:pStyle w:val="TableText"/>
              <w:rPr>
                <w:szCs w:val="18"/>
              </w:rPr>
            </w:pPr>
            <w:r w:rsidRPr="00783571">
              <w:t>Probability of HIV transmission per condomless anal insertive sex act</w:t>
            </w:r>
          </w:p>
        </w:tc>
        <w:tc>
          <w:tcPr>
            <w:tcW w:w="1797" w:type="dxa"/>
            <w:tcBorders>
              <w:top w:val="single" w:sz="4" w:space="0" w:color="808080" w:themeColor="background1" w:themeShade="80"/>
              <w:bottom w:val="single" w:sz="4" w:space="0" w:color="808080" w:themeColor="background1" w:themeShade="80"/>
            </w:tcBorders>
            <w:noWrap/>
          </w:tcPr>
          <w:p w14:paraId="7ED00720" w14:textId="54082C39" w:rsidR="005F3077" w:rsidRPr="00783571" w:rsidRDefault="005F3077" w:rsidP="003E456A">
            <w:pPr>
              <w:pStyle w:val="TableText"/>
              <w:tabs>
                <w:tab w:val="decimal" w:pos="1172"/>
              </w:tabs>
              <w:rPr>
                <w:szCs w:val="18"/>
              </w:rPr>
            </w:pPr>
            <w:r w:rsidRPr="00783571">
              <w:t>11,519</w:t>
            </w:r>
          </w:p>
        </w:tc>
        <w:tc>
          <w:tcPr>
            <w:tcW w:w="1707" w:type="dxa"/>
            <w:tcBorders>
              <w:top w:val="single" w:sz="4" w:space="0" w:color="808080" w:themeColor="background1" w:themeShade="80"/>
              <w:bottom w:val="single" w:sz="4" w:space="0" w:color="808080" w:themeColor="background1" w:themeShade="80"/>
            </w:tcBorders>
            <w:noWrap/>
          </w:tcPr>
          <w:p w14:paraId="0DAE6584" w14:textId="76356610" w:rsidR="005F3077" w:rsidRPr="00783571" w:rsidRDefault="005F3077" w:rsidP="003E456A">
            <w:pPr>
              <w:pStyle w:val="TableText"/>
              <w:tabs>
                <w:tab w:val="decimal" w:pos="1172"/>
              </w:tabs>
              <w:rPr>
                <w:szCs w:val="18"/>
              </w:rPr>
            </w:pPr>
            <w:r w:rsidRPr="00783571">
              <w:t>8,705</w:t>
            </w:r>
          </w:p>
        </w:tc>
      </w:tr>
      <w:tr w:rsidR="005F3077" w:rsidRPr="00783571" w14:paraId="4B36FDA7" w14:textId="77777777" w:rsidTr="004F70FA">
        <w:tc>
          <w:tcPr>
            <w:tcW w:w="826" w:type="dxa"/>
            <w:tcBorders>
              <w:top w:val="single" w:sz="4" w:space="0" w:color="808080" w:themeColor="background1" w:themeShade="80"/>
              <w:bottom w:val="single" w:sz="4" w:space="0" w:color="808080" w:themeColor="background1" w:themeShade="80"/>
            </w:tcBorders>
            <w:noWrap/>
          </w:tcPr>
          <w:p w14:paraId="0655F2C2" w14:textId="1E8D0BCC" w:rsidR="005F3077" w:rsidRPr="00783571" w:rsidRDefault="005F3077" w:rsidP="005F3077">
            <w:pPr>
              <w:pStyle w:val="TableText"/>
              <w:jc w:val="center"/>
              <w:rPr>
                <w:szCs w:val="18"/>
              </w:rPr>
            </w:pPr>
            <w:r w:rsidRPr="00783571">
              <w:t>45</w:t>
            </w:r>
          </w:p>
        </w:tc>
        <w:tc>
          <w:tcPr>
            <w:tcW w:w="5030" w:type="dxa"/>
            <w:tcBorders>
              <w:top w:val="single" w:sz="4" w:space="0" w:color="808080" w:themeColor="background1" w:themeShade="80"/>
              <w:bottom w:val="single" w:sz="4" w:space="0" w:color="808080" w:themeColor="background1" w:themeShade="80"/>
            </w:tcBorders>
            <w:noWrap/>
          </w:tcPr>
          <w:p w14:paraId="2A4EC289" w14:textId="036C1707" w:rsidR="005F3077" w:rsidRPr="00783571" w:rsidRDefault="005F3077" w:rsidP="005F3077">
            <w:pPr>
              <w:pStyle w:val="TableText"/>
              <w:rPr>
                <w:szCs w:val="18"/>
              </w:rPr>
            </w:pPr>
            <w:r w:rsidRPr="00783571">
              <w:t xml:space="preserve">Annual probability of death if HIV+ and VLS, </w:t>
            </w:r>
            <w:r w:rsidR="00E524D1" w:rsidRPr="00783571">
              <w:t>b</w:t>
            </w:r>
            <w:r w:rsidRPr="00783571">
              <w:t>efore 2016</w:t>
            </w:r>
          </w:p>
        </w:tc>
        <w:tc>
          <w:tcPr>
            <w:tcW w:w="1797" w:type="dxa"/>
            <w:tcBorders>
              <w:top w:val="single" w:sz="4" w:space="0" w:color="808080" w:themeColor="background1" w:themeShade="80"/>
              <w:bottom w:val="single" w:sz="4" w:space="0" w:color="808080" w:themeColor="background1" w:themeShade="80"/>
            </w:tcBorders>
            <w:noWrap/>
          </w:tcPr>
          <w:p w14:paraId="2A89D53E" w14:textId="0CD1288D" w:rsidR="005F3077" w:rsidRPr="00783571" w:rsidRDefault="005F3077" w:rsidP="003E456A">
            <w:pPr>
              <w:pStyle w:val="TableText"/>
              <w:tabs>
                <w:tab w:val="decimal" w:pos="1172"/>
              </w:tabs>
              <w:rPr>
                <w:szCs w:val="18"/>
              </w:rPr>
            </w:pPr>
            <w:r w:rsidRPr="00783571">
              <w:t>10,811</w:t>
            </w:r>
          </w:p>
        </w:tc>
        <w:tc>
          <w:tcPr>
            <w:tcW w:w="1707" w:type="dxa"/>
            <w:tcBorders>
              <w:top w:val="single" w:sz="4" w:space="0" w:color="808080" w:themeColor="background1" w:themeShade="80"/>
              <w:bottom w:val="single" w:sz="4" w:space="0" w:color="808080" w:themeColor="background1" w:themeShade="80"/>
            </w:tcBorders>
            <w:noWrap/>
          </w:tcPr>
          <w:p w14:paraId="04C66C57" w14:textId="4FF781B2" w:rsidR="005F3077" w:rsidRPr="00783571" w:rsidRDefault="005F3077" w:rsidP="003E456A">
            <w:pPr>
              <w:pStyle w:val="TableText"/>
              <w:tabs>
                <w:tab w:val="decimal" w:pos="1172"/>
              </w:tabs>
              <w:rPr>
                <w:szCs w:val="18"/>
              </w:rPr>
            </w:pPr>
            <w:r w:rsidRPr="00783571">
              <w:t>10,856</w:t>
            </w:r>
          </w:p>
        </w:tc>
      </w:tr>
      <w:tr w:rsidR="005F3077" w:rsidRPr="00783571" w14:paraId="21C51316" w14:textId="77777777" w:rsidTr="004F70FA">
        <w:tc>
          <w:tcPr>
            <w:tcW w:w="826" w:type="dxa"/>
            <w:tcBorders>
              <w:top w:val="single" w:sz="4" w:space="0" w:color="808080" w:themeColor="background1" w:themeShade="80"/>
              <w:bottom w:val="single" w:sz="4" w:space="0" w:color="808080" w:themeColor="background1" w:themeShade="80"/>
            </w:tcBorders>
            <w:noWrap/>
          </w:tcPr>
          <w:p w14:paraId="3F0C7545" w14:textId="3D45CE81" w:rsidR="005F3077" w:rsidRPr="00783571" w:rsidRDefault="005F3077" w:rsidP="005F3077">
            <w:pPr>
              <w:pStyle w:val="TableText"/>
              <w:jc w:val="center"/>
              <w:rPr>
                <w:szCs w:val="18"/>
              </w:rPr>
            </w:pPr>
            <w:r w:rsidRPr="00783571">
              <w:t>34</w:t>
            </w:r>
          </w:p>
        </w:tc>
        <w:tc>
          <w:tcPr>
            <w:tcW w:w="5030" w:type="dxa"/>
            <w:tcBorders>
              <w:top w:val="single" w:sz="4" w:space="0" w:color="808080" w:themeColor="background1" w:themeShade="80"/>
              <w:bottom w:val="single" w:sz="4" w:space="0" w:color="808080" w:themeColor="background1" w:themeShade="80"/>
            </w:tcBorders>
            <w:noWrap/>
          </w:tcPr>
          <w:p w14:paraId="5BFBAB3C" w14:textId="7347EF7B" w:rsidR="005F3077" w:rsidRPr="00783571" w:rsidRDefault="005F3077" w:rsidP="005F3077">
            <w:pPr>
              <w:pStyle w:val="TableText"/>
              <w:rPr>
                <w:szCs w:val="18"/>
              </w:rPr>
            </w:pPr>
            <w:r w:rsidRPr="00783571">
              <w:t>Percentage of MSM sexual partners within same risk level</w:t>
            </w:r>
          </w:p>
        </w:tc>
        <w:tc>
          <w:tcPr>
            <w:tcW w:w="1797" w:type="dxa"/>
            <w:tcBorders>
              <w:top w:val="single" w:sz="4" w:space="0" w:color="808080" w:themeColor="background1" w:themeShade="80"/>
              <w:bottom w:val="single" w:sz="4" w:space="0" w:color="808080" w:themeColor="background1" w:themeShade="80"/>
            </w:tcBorders>
            <w:noWrap/>
          </w:tcPr>
          <w:p w14:paraId="60E50E76" w14:textId="1BF93A9F" w:rsidR="005F3077" w:rsidRPr="00783571" w:rsidRDefault="005F3077" w:rsidP="003E456A">
            <w:pPr>
              <w:pStyle w:val="TableText"/>
              <w:tabs>
                <w:tab w:val="decimal" w:pos="1172"/>
              </w:tabs>
              <w:rPr>
                <w:szCs w:val="18"/>
              </w:rPr>
            </w:pPr>
            <w:r w:rsidRPr="00783571">
              <w:t>10,795</w:t>
            </w:r>
          </w:p>
        </w:tc>
        <w:tc>
          <w:tcPr>
            <w:tcW w:w="1707" w:type="dxa"/>
            <w:tcBorders>
              <w:top w:val="single" w:sz="4" w:space="0" w:color="808080" w:themeColor="background1" w:themeShade="80"/>
              <w:bottom w:val="single" w:sz="4" w:space="0" w:color="808080" w:themeColor="background1" w:themeShade="80"/>
            </w:tcBorders>
            <w:noWrap/>
          </w:tcPr>
          <w:p w14:paraId="4E68B3C3" w14:textId="1FCE8BDE" w:rsidR="005F3077" w:rsidRPr="00783571" w:rsidRDefault="005F3077" w:rsidP="003E456A">
            <w:pPr>
              <w:pStyle w:val="TableText"/>
              <w:tabs>
                <w:tab w:val="decimal" w:pos="1172"/>
              </w:tabs>
              <w:rPr>
                <w:szCs w:val="18"/>
              </w:rPr>
            </w:pPr>
            <w:r w:rsidRPr="00783571">
              <w:t>7,710</w:t>
            </w:r>
          </w:p>
        </w:tc>
      </w:tr>
      <w:tr w:rsidR="005F3077" w:rsidRPr="00783571" w14:paraId="055D8909" w14:textId="77777777" w:rsidTr="004F70FA">
        <w:tc>
          <w:tcPr>
            <w:tcW w:w="826" w:type="dxa"/>
            <w:tcBorders>
              <w:top w:val="single" w:sz="4" w:space="0" w:color="808080" w:themeColor="background1" w:themeShade="80"/>
              <w:bottom w:val="single" w:sz="4" w:space="0" w:color="808080" w:themeColor="background1" w:themeShade="80"/>
            </w:tcBorders>
            <w:noWrap/>
          </w:tcPr>
          <w:p w14:paraId="6624F3DC" w14:textId="12101065" w:rsidR="005F3077" w:rsidRPr="00783571" w:rsidRDefault="005F3077" w:rsidP="005F3077">
            <w:pPr>
              <w:pStyle w:val="TableText"/>
              <w:jc w:val="center"/>
              <w:rPr>
                <w:szCs w:val="18"/>
              </w:rPr>
            </w:pPr>
            <w:r w:rsidRPr="00783571">
              <w:t>42</w:t>
            </w:r>
          </w:p>
        </w:tc>
        <w:tc>
          <w:tcPr>
            <w:tcW w:w="5030" w:type="dxa"/>
            <w:tcBorders>
              <w:top w:val="single" w:sz="4" w:space="0" w:color="808080" w:themeColor="background1" w:themeShade="80"/>
              <w:bottom w:val="single" w:sz="4" w:space="0" w:color="808080" w:themeColor="background1" w:themeShade="80"/>
            </w:tcBorders>
            <w:noWrap/>
          </w:tcPr>
          <w:p w14:paraId="32AC39E1" w14:textId="09AB3187" w:rsidR="005F3077" w:rsidRPr="00783571" w:rsidRDefault="005F3077" w:rsidP="005F3077">
            <w:pPr>
              <w:pStyle w:val="TableText"/>
              <w:rPr>
                <w:szCs w:val="18"/>
              </w:rPr>
            </w:pPr>
            <w:r w:rsidRPr="00783571">
              <w:t xml:space="preserve">Number of years in each CD4 stage if not </w:t>
            </w:r>
            <w:r w:rsidR="00E32EF2" w:rsidRPr="00783571">
              <w:t xml:space="preserve">prescribed </w:t>
            </w:r>
            <w:r w:rsidRPr="00783571">
              <w:t>ART</w:t>
            </w:r>
          </w:p>
        </w:tc>
        <w:tc>
          <w:tcPr>
            <w:tcW w:w="1797" w:type="dxa"/>
            <w:tcBorders>
              <w:top w:val="single" w:sz="4" w:space="0" w:color="808080" w:themeColor="background1" w:themeShade="80"/>
              <w:bottom w:val="single" w:sz="4" w:space="0" w:color="808080" w:themeColor="background1" w:themeShade="80"/>
            </w:tcBorders>
            <w:noWrap/>
          </w:tcPr>
          <w:p w14:paraId="1435495A" w14:textId="7D3E602A" w:rsidR="005F3077" w:rsidRPr="00783571" w:rsidRDefault="005F3077" w:rsidP="003E456A">
            <w:pPr>
              <w:pStyle w:val="TableText"/>
              <w:tabs>
                <w:tab w:val="decimal" w:pos="1172"/>
              </w:tabs>
              <w:rPr>
                <w:szCs w:val="18"/>
              </w:rPr>
            </w:pPr>
            <w:r w:rsidRPr="00783571">
              <w:t>9,842</w:t>
            </w:r>
          </w:p>
        </w:tc>
        <w:tc>
          <w:tcPr>
            <w:tcW w:w="1707" w:type="dxa"/>
            <w:tcBorders>
              <w:top w:val="single" w:sz="4" w:space="0" w:color="808080" w:themeColor="background1" w:themeShade="80"/>
              <w:bottom w:val="single" w:sz="4" w:space="0" w:color="808080" w:themeColor="background1" w:themeShade="80"/>
            </w:tcBorders>
            <w:noWrap/>
          </w:tcPr>
          <w:p w14:paraId="5B4BC8A7" w14:textId="5338874D" w:rsidR="005F3077" w:rsidRPr="00783571" w:rsidRDefault="005F3077" w:rsidP="003E456A">
            <w:pPr>
              <w:pStyle w:val="TableText"/>
              <w:tabs>
                <w:tab w:val="decimal" w:pos="1172"/>
              </w:tabs>
              <w:rPr>
                <w:szCs w:val="18"/>
              </w:rPr>
            </w:pPr>
            <w:r w:rsidRPr="00783571">
              <w:t>6,464</w:t>
            </w:r>
          </w:p>
        </w:tc>
      </w:tr>
      <w:tr w:rsidR="003E456A" w:rsidRPr="00783571" w14:paraId="3729FC9A" w14:textId="77777777" w:rsidTr="004F70FA">
        <w:tc>
          <w:tcPr>
            <w:tcW w:w="826" w:type="dxa"/>
            <w:tcBorders>
              <w:top w:val="single" w:sz="4" w:space="0" w:color="808080" w:themeColor="background1" w:themeShade="80"/>
              <w:bottom w:val="single" w:sz="4" w:space="0" w:color="808080" w:themeColor="background1" w:themeShade="80"/>
            </w:tcBorders>
            <w:noWrap/>
          </w:tcPr>
          <w:p w14:paraId="1019C757" w14:textId="1662C656" w:rsidR="003E456A" w:rsidRPr="00783571" w:rsidRDefault="003E456A" w:rsidP="003E456A">
            <w:pPr>
              <w:pStyle w:val="TableText"/>
              <w:jc w:val="center"/>
            </w:pPr>
            <w:r w:rsidRPr="00783571">
              <w:t>37</w:t>
            </w:r>
          </w:p>
        </w:tc>
        <w:tc>
          <w:tcPr>
            <w:tcW w:w="5030" w:type="dxa"/>
            <w:tcBorders>
              <w:top w:val="single" w:sz="4" w:space="0" w:color="808080" w:themeColor="background1" w:themeShade="80"/>
              <w:bottom w:val="single" w:sz="4" w:space="0" w:color="808080" w:themeColor="background1" w:themeShade="80"/>
            </w:tcBorders>
            <w:noWrap/>
          </w:tcPr>
          <w:p w14:paraId="48010263" w14:textId="665F8205" w:rsidR="003E456A" w:rsidRPr="00783571" w:rsidRDefault="003E456A" w:rsidP="003E456A">
            <w:pPr>
              <w:pStyle w:val="TableText"/>
            </w:pPr>
            <w:r w:rsidRPr="00783571">
              <w:t>Percentage of needle-sharing partners within same race</w:t>
            </w:r>
          </w:p>
        </w:tc>
        <w:tc>
          <w:tcPr>
            <w:tcW w:w="1797" w:type="dxa"/>
            <w:tcBorders>
              <w:top w:val="single" w:sz="4" w:space="0" w:color="808080" w:themeColor="background1" w:themeShade="80"/>
              <w:bottom w:val="single" w:sz="4" w:space="0" w:color="808080" w:themeColor="background1" w:themeShade="80"/>
            </w:tcBorders>
            <w:noWrap/>
          </w:tcPr>
          <w:p w14:paraId="69C56921" w14:textId="4745548F" w:rsidR="003E456A" w:rsidRPr="00783571" w:rsidRDefault="003E456A" w:rsidP="003E456A">
            <w:pPr>
              <w:pStyle w:val="TableText"/>
              <w:tabs>
                <w:tab w:val="decimal" w:pos="1172"/>
              </w:tabs>
            </w:pPr>
            <w:r w:rsidRPr="00783571">
              <w:t>9,587</w:t>
            </w:r>
          </w:p>
        </w:tc>
        <w:tc>
          <w:tcPr>
            <w:tcW w:w="1707" w:type="dxa"/>
            <w:tcBorders>
              <w:top w:val="single" w:sz="4" w:space="0" w:color="808080" w:themeColor="background1" w:themeShade="80"/>
              <w:bottom w:val="single" w:sz="4" w:space="0" w:color="808080" w:themeColor="background1" w:themeShade="80"/>
            </w:tcBorders>
            <w:noWrap/>
          </w:tcPr>
          <w:p w14:paraId="555EF6AC" w14:textId="5F67C15C" w:rsidR="003E456A" w:rsidRPr="00783571" w:rsidRDefault="003E456A" w:rsidP="003E456A">
            <w:pPr>
              <w:pStyle w:val="TableText"/>
              <w:tabs>
                <w:tab w:val="decimal" w:pos="1172"/>
              </w:tabs>
            </w:pPr>
            <w:r w:rsidRPr="00783571">
              <w:t>11,192</w:t>
            </w:r>
          </w:p>
        </w:tc>
      </w:tr>
      <w:tr w:rsidR="003E456A" w:rsidRPr="00783571" w14:paraId="56EB7DCD" w14:textId="77777777" w:rsidTr="004F70FA">
        <w:tc>
          <w:tcPr>
            <w:tcW w:w="826" w:type="dxa"/>
            <w:tcBorders>
              <w:top w:val="single" w:sz="4" w:space="0" w:color="808080" w:themeColor="background1" w:themeShade="80"/>
              <w:bottom w:val="single" w:sz="4" w:space="0" w:color="808080" w:themeColor="background1" w:themeShade="80"/>
            </w:tcBorders>
            <w:noWrap/>
          </w:tcPr>
          <w:p w14:paraId="59B81EF6" w14:textId="02A74BF9" w:rsidR="003E456A" w:rsidRPr="00783571" w:rsidRDefault="003E456A" w:rsidP="003E456A">
            <w:pPr>
              <w:pStyle w:val="TableText"/>
              <w:jc w:val="center"/>
            </w:pPr>
            <w:r w:rsidRPr="00783571">
              <w:t>25</w:t>
            </w:r>
          </w:p>
        </w:tc>
        <w:tc>
          <w:tcPr>
            <w:tcW w:w="5030" w:type="dxa"/>
            <w:tcBorders>
              <w:top w:val="single" w:sz="4" w:space="0" w:color="808080" w:themeColor="background1" w:themeShade="80"/>
              <w:bottom w:val="single" w:sz="4" w:space="0" w:color="808080" w:themeColor="background1" w:themeShade="80"/>
            </w:tcBorders>
            <w:noWrap/>
          </w:tcPr>
          <w:p w14:paraId="0788B1F7" w14:textId="671A4780" w:rsidR="003E456A" w:rsidRPr="00783571" w:rsidRDefault="003E456A" w:rsidP="003E456A">
            <w:pPr>
              <w:pStyle w:val="TableText"/>
            </w:pPr>
            <w:r w:rsidRPr="00783571">
              <w:t>Decrease in needle sharing for diagnosed versus undiagnosed</w:t>
            </w:r>
          </w:p>
        </w:tc>
        <w:tc>
          <w:tcPr>
            <w:tcW w:w="1797" w:type="dxa"/>
            <w:tcBorders>
              <w:top w:val="single" w:sz="4" w:space="0" w:color="808080" w:themeColor="background1" w:themeShade="80"/>
              <w:bottom w:val="single" w:sz="4" w:space="0" w:color="808080" w:themeColor="background1" w:themeShade="80"/>
            </w:tcBorders>
            <w:noWrap/>
          </w:tcPr>
          <w:p w14:paraId="2220081B" w14:textId="6D8426FC" w:rsidR="003E456A" w:rsidRPr="00783571" w:rsidRDefault="003E456A" w:rsidP="003E456A">
            <w:pPr>
              <w:pStyle w:val="TableText"/>
              <w:tabs>
                <w:tab w:val="decimal" w:pos="1172"/>
              </w:tabs>
            </w:pPr>
            <w:r w:rsidRPr="00783571">
              <w:t>6,648</w:t>
            </w:r>
          </w:p>
        </w:tc>
        <w:tc>
          <w:tcPr>
            <w:tcW w:w="1707" w:type="dxa"/>
            <w:tcBorders>
              <w:top w:val="single" w:sz="4" w:space="0" w:color="808080" w:themeColor="background1" w:themeShade="80"/>
              <w:bottom w:val="single" w:sz="4" w:space="0" w:color="808080" w:themeColor="background1" w:themeShade="80"/>
            </w:tcBorders>
            <w:noWrap/>
          </w:tcPr>
          <w:p w14:paraId="41E3B033" w14:textId="6C0BC81E" w:rsidR="003E456A" w:rsidRPr="00783571" w:rsidRDefault="003E456A" w:rsidP="003E456A">
            <w:pPr>
              <w:pStyle w:val="TableText"/>
              <w:tabs>
                <w:tab w:val="decimal" w:pos="1172"/>
              </w:tabs>
            </w:pPr>
            <w:r w:rsidRPr="00783571">
              <w:t>7,430</w:t>
            </w:r>
          </w:p>
        </w:tc>
      </w:tr>
      <w:tr w:rsidR="003E456A" w:rsidRPr="00783571" w14:paraId="59A19891" w14:textId="77777777" w:rsidTr="004F70FA">
        <w:tc>
          <w:tcPr>
            <w:tcW w:w="826" w:type="dxa"/>
            <w:tcBorders>
              <w:top w:val="single" w:sz="4" w:space="0" w:color="808080" w:themeColor="background1" w:themeShade="80"/>
              <w:bottom w:val="single" w:sz="4" w:space="0" w:color="808080" w:themeColor="background1" w:themeShade="80"/>
            </w:tcBorders>
            <w:noWrap/>
          </w:tcPr>
          <w:p w14:paraId="28FB383D" w14:textId="0999D703" w:rsidR="003E456A" w:rsidRPr="00783571" w:rsidRDefault="003E456A" w:rsidP="003E456A">
            <w:pPr>
              <w:pStyle w:val="TableText"/>
              <w:jc w:val="center"/>
            </w:pPr>
            <w:r w:rsidRPr="00783571">
              <w:t>33</w:t>
            </w:r>
          </w:p>
        </w:tc>
        <w:tc>
          <w:tcPr>
            <w:tcW w:w="5030" w:type="dxa"/>
            <w:tcBorders>
              <w:top w:val="single" w:sz="4" w:space="0" w:color="808080" w:themeColor="background1" w:themeShade="80"/>
              <w:bottom w:val="single" w:sz="4" w:space="0" w:color="808080" w:themeColor="background1" w:themeShade="80"/>
            </w:tcBorders>
            <w:noWrap/>
          </w:tcPr>
          <w:p w14:paraId="48A94FB4" w14:textId="6DDA4AA1" w:rsidR="003E456A" w:rsidRPr="00783571" w:rsidRDefault="003E456A" w:rsidP="003E456A">
            <w:pPr>
              <w:pStyle w:val="TableText"/>
            </w:pPr>
            <w:r w:rsidRPr="00783571">
              <w:t>Percentage of HET/PWID sexual partners within same risk level</w:t>
            </w:r>
          </w:p>
        </w:tc>
        <w:tc>
          <w:tcPr>
            <w:tcW w:w="1797" w:type="dxa"/>
            <w:tcBorders>
              <w:top w:val="single" w:sz="4" w:space="0" w:color="808080" w:themeColor="background1" w:themeShade="80"/>
              <w:bottom w:val="single" w:sz="4" w:space="0" w:color="808080" w:themeColor="background1" w:themeShade="80"/>
            </w:tcBorders>
            <w:noWrap/>
          </w:tcPr>
          <w:p w14:paraId="22639A8A" w14:textId="4473CFA4" w:rsidR="003E456A" w:rsidRPr="00783571" w:rsidRDefault="003E456A" w:rsidP="003E456A">
            <w:pPr>
              <w:pStyle w:val="TableText"/>
              <w:tabs>
                <w:tab w:val="decimal" w:pos="1172"/>
              </w:tabs>
            </w:pPr>
            <w:r w:rsidRPr="00783571">
              <w:t>5,744</w:t>
            </w:r>
          </w:p>
        </w:tc>
        <w:tc>
          <w:tcPr>
            <w:tcW w:w="1707" w:type="dxa"/>
            <w:tcBorders>
              <w:top w:val="single" w:sz="4" w:space="0" w:color="808080" w:themeColor="background1" w:themeShade="80"/>
              <w:bottom w:val="single" w:sz="4" w:space="0" w:color="808080" w:themeColor="background1" w:themeShade="80"/>
            </w:tcBorders>
            <w:noWrap/>
          </w:tcPr>
          <w:p w14:paraId="622C540E" w14:textId="368CD012" w:rsidR="003E456A" w:rsidRPr="00783571" w:rsidRDefault="003E456A" w:rsidP="003E456A">
            <w:pPr>
              <w:pStyle w:val="TableText"/>
              <w:tabs>
                <w:tab w:val="decimal" w:pos="1172"/>
              </w:tabs>
            </w:pPr>
            <w:r w:rsidRPr="00783571">
              <w:t>8,107</w:t>
            </w:r>
          </w:p>
        </w:tc>
      </w:tr>
      <w:tr w:rsidR="003E456A" w:rsidRPr="00783571" w14:paraId="23CCCC97" w14:textId="77777777" w:rsidTr="004F70FA">
        <w:tc>
          <w:tcPr>
            <w:tcW w:w="826" w:type="dxa"/>
            <w:tcBorders>
              <w:top w:val="single" w:sz="4" w:space="0" w:color="808080" w:themeColor="background1" w:themeShade="80"/>
              <w:bottom w:val="single" w:sz="4" w:space="0" w:color="808080" w:themeColor="background1" w:themeShade="80"/>
            </w:tcBorders>
            <w:noWrap/>
          </w:tcPr>
          <w:p w14:paraId="17AA2392" w14:textId="3C9C7DB8" w:rsidR="003E456A" w:rsidRPr="00783571" w:rsidRDefault="003E456A" w:rsidP="003E456A">
            <w:pPr>
              <w:pStyle w:val="TableText"/>
              <w:jc w:val="center"/>
            </w:pPr>
            <w:r w:rsidRPr="00783571">
              <w:t>11</w:t>
            </w:r>
          </w:p>
        </w:tc>
        <w:tc>
          <w:tcPr>
            <w:tcW w:w="5030" w:type="dxa"/>
            <w:tcBorders>
              <w:top w:val="single" w:sz="4" w:space="0" w:color="808080" w:themeColor="background1" w:themeShade="80"/>
              <w:bottom w:val="single" w:sz="4" w:space="0" w:color="808080" w:themeColor="background1" w:themeShade="80"/>
            </w:tcBorders>
            <w:noWrap/>
          </w:tcPr>
          <w:p w14:paraId="75235A1F" w14:textId="5A8FBDB4" w:rsidR="003E456A" w:rsidRPr="00783571" w:rsidRDefault="003E456A" w:rsidP="003E456A">
            <w:pPr>
              <w:pStyle w:val="TableText"/>
            </w:pPr>
            <w:r w:rsidRPr="00783571">
              <w:t>Annual probability of diagnosed individual linked to care after (versus immediately at) diagnosis</w:t>
            </w:r>
          </w:p>
        </w:tc>
        <w:tc>
          <w:tcPr>
            <w:tcW w:w="1797" w:type="dxa"/>
            <w:tcBorders>
              <w:top w:val="single" w:sz="4" w:space="0" w:color="808080" w:themeColor="background1" w:themeShade="80"/>
              <w:bottom w:val="single" w:sz="4" w:space="0" w:color="808080" w:themeColor="background1" w:themeShade="80"/>
            </w:tcBorders>
            <w:noWrap/>
          </w:tcPr>
          <w:p w14:paraId="68455F67" w14:textId="79B6EB00" w:rsidR="003E456A" w:rsidRPr="00783571" w:rsidRDefault="003E456A" w:rsidP="003E456A">
            <w:pPr>
              <w:pStyle w:val="TableText"/>
              <w:tabs>
                <w:tab w:val="decimal" w:pos="1172"/>
              </w:tabs>
            </w:pPr>
            <w:r w:rsidRPr="00783571">
              <w:t>5,205</w:t>
            </w:r>
          </w:p>
        </w:tc>
        <w:tc>
          <w:tcPr>
            <w:tcW w:w="1707" w:type="dxa"/>
            <w:tcBorders>
              <w:top w:val="single" w:sz="4" w:space="0" w:color="808080" w:themeColor="background1" w:themeShade="80"/>
              <w:bottom w:val="single" w:sz="4" w:space="0" w:color="808080" w:themeColor="background1" w:themeShade="80"/>
            </w:tcBorders>
            <w:noWrap/>
          </w:tcPr>
          <w:p w14:paraId="4869F445" w14:textId="4D4A26E1" w:rsidR="003E456A" w:rsidRPr="00783571" w:rsidRDefault="003E456A" w:rsidP="003E456A">
            <w:pPr>
              <w:pStyle w:val="TableText"/>
              <w:tabs>
                <w:tab w:val="decimal" w:pos="1172"/>
              </w:tabs>
            </w:pPr>
            <w:r w:rsidRPr="00783571">
              <w:t>3,403</w:t>
            </w:r>
          </w:p>
        </w:tc>
      </w:tr>
      <w:tr w:rsidR="003E456A" w:rsidRPr="00783571" w14:paraId="553B44D9" w14:textId="77777777" w:rsidTr="004F70FA">
        <w:tc>
          <w:tcPr>
            <w:tcW w:w="826" w:type="dxa"/>
            <w:tcBorders>
              <w:top w:val="single" w:sz="4" w:space="0" w:color="808080" w:themeColor="background1" w:themeShade="80"/>
              <w:bottom w:val="single" w:sz="4" w:space="0" w:color="808080" w:themeColor="background1" w:themeShade="80"/>
            </w:tcBorders>
            <w:noWrap/>
          </w:tcPr>
          <w:p w14:paraId="5E4E7473" w14:textId="2DC5DF22" w:rsidR="003E456A" w:rsidRPr="00783571" w:rsidRDefault="003E456A" w:rsidP="003E456A">
            <w:pPr>
              <w:pStyle w:val="TableText"/>
              <w:jc w:val="center"/>
            </w:pPr>
            <w:r w:rsidRPr="00783571">
              <w:t>12</w:t>
            </w:r>
          </w:p>
        </w:tc>
        <w:tc>
          <w:tcPr>
            <w:tcW w:w="5030" w:type="dxa"/>
            <w:tcBorders>
              <w:top w:val="single" w:sz="4" w:space="0" w:color="808080" w:themeColor="background1" w:themeShade="80"/>
              <w:bottom w:val="single" w:sz="4" w:space="0" w:color="808080" w:themeColor="background1" w:themeShade="80"/>
            </w:tcBorders>
            <w:noWrap/>
          </w:tcPr>
          <w:p w14:paraId="02D64C21" w14:textId="1B0DF57E" w:rsidR="003E456A" w:rsidRPr="00783571" w:rsidRDefault="003E456A" w:rsidP="003E456A">
            <w:pPr>
              <w:pStyle w:val="TableText"/>
            </w:pPr>
            <w:r w:rsidRPr="00783571">
              <w:t>Annual probability of dropping out of care if in care</w:t>
            </w:r>
          </w:p>
        </w:tc>
        <w:tc>
          <w:tcPr>
            <w:tcW w:w="1797" w:type="dxa"/>
            <w:tcBorders>
              <w:top w:val="single" w:sz="4" w:space="0" w:color="808080" w:themeColor="background1" w:themeShade="80"/>
              <w:bottom w:val="single" w:sz="4" w:space="0" w:color="808080" w:themeColor="background1" w:themeShade="80"/>
            </w:tcBorders>
            <w:noWrap/>
          </w:tcPr>
          <w:p w14:paraId="72333420" w14:textId="2CED7606" w:rsidR="003E456A" w:rsidRPr="00783571" w:rsidRDefault="003E456A" w:rsidP="003E456A">
            <w:pPr>
              <w:pStyle w:val="TableText"/>
              <w:tabs>
                <w:tab w:val="decimal" w:pos="1172"/>
              </w:tabs>
            </w:pPr>
            <w:r w:rsidRPr="00783571">
              <w:t>4,630</w:t>
            </w:r>
          </w:p>
        </w:tc>
        <w:tc>
          <w:tcPr>
            <w:tcW w:w="1707" w:type="dxa"/>
            <w:tcBorders>
              <w:top w:val="single" w:sz="4" w:space="0" w:color="808080" w:themeColor="background1" w:themeShade="80"/>
              <w:bottom w:val="single" w:sz="4" w:space="0" w:color="808080" w:themeColor="background1" w:themeShade="80"/>
            </w:tcBorders>
            <w:noWrap/>
          </w:tcPr>
          <w:p w14:paraId="31639AED" w14:textId="183ECCF6" w:rsidR="003E456A" w:rsidRPr="00783571" w:rsidRDefault="003E456A" w:rsidP="003E456A">
            <w:pPr>
              <w:pStyle w:val="TableText"/>
              <w:tabs>
                <w:tab w:val="decimal" w:pos="1172"/>
              </w:tabs>
            </w:pPr>
            <w:r w:rsidRPr="00783571">
              <w:t>4,830</w:t>
            </w:r>
          </w:p>
        </w:tc>
      </w:tr>
    </w:tbl>
    <w:p w14:paraId="39D69435" w14:textId="77777777" w:rsidR="008A678D" w:rsidRPr="00783571" w:rsidRDefault="008A678D" w:rsidP="008A678D">
      <w:pPr>
        <w:pStyle w:val="Tablecont"/>
      </w:pPr>
      <w:r w:rsidRPr="00783571">
        <w:t>(continued)</w:t>
      </w:r>
    </w:p>
    <w:p w14:paraId="20BF7A14" w14:textId="3BD716AA" w:rsidR="008A678D" w:rsidRPr="00783571" w:rsidRDefault="008A678D" w:rsidP="008A678D">
      <w:pPr>
        <w:pStyle w:val="TableTitlecont"/>
      </w:pPr>
      <w:r w:rsidRPr="00783571">
        <w:t>Table 12.1</w:t>
      </w:r>
      <w:r w:rsidRPr="00783571">
        <w:tab/>
        <w:t xml:space="preserve">Elementary Effects Analysis Results for </w:t>
      </w:r>
      <w:r w:rsidR="00E524D1" w:rsidRPr="00783571">
        <w:t>T</w:t>
      </w:r>
      <w:r w:rsidR="00E32EF2" w:rsidRPr="00783571">
        <w:t>otal U.S. HIV Incidence in 2020</w:t>
      </w:r>
      <w:r w:rsidRPr="00783571">
        <w:t>: Mean of Absolute</w:t>
      </w:r>
      <w:r w:rsidR="0061048F" w:rsidRPr="00783571">
        <w:t>,</w:t>
      </w:r>
      <w:r w:rsidRPr="00783571">
        <w:t xml:space="preserve"> and Standard Deviation of Elementary Effects for </w:t>
      </w:r>
      <w:r w:rsidR="00E32EF2" w:rsidRPr="00783571">
        <w:t>5</w:t>
      </w:r>
      <w:r w:rsidRPr="00783571">
        <w:t>2</w:t>
      </w:r>
      <w:r w:rsidR="00625555" w:rsidRPr="00783571">
        <w:rPr>
          <w:vertAlign w:val="superscript"/>
        </w:rPr>
        <w:t>a</w:t>
      </w:r>
      <w:r w:rsidRPr="00783571">
        <w:t xml:space="preserve"> Inputs (in Descending Order by Mean of Absolute Elementary Effects) (continued)</w:t>
      </w:r>
    </w:p>
    <w:tbl>
      <w:tblPr>
        <w:tblStyle w:val="TableFormat4"/>
        <w:tblW w:w="5000" w:type="pct"/>
        <w:tblInd w:w="0" w:type="dxa"/>
        <w:tblLayout w:type="fixed"/>
        <w:tblCellMar>
          <w:left w:w="58" w:type="dxa"/>
          <w:right w:w="58" w:type="dxa"/>
        </w:tblCellMar>
        <w:tblLook w:val="0620" w:firstRow="1" w:lastRow="0" w:firstColumn="0" w:lastColumn="0" w:noHBand="1" w:noVBand="1"/>
      </w:tblPr>
      <w:tblGrid>
        <w:gridCol w:w="826"/>
        <w:gridCol w:w="5030"/>
        <w:gridCol w:w="1797"/>
        <w:gridCol w:w="1707"/>
      </w:tblGrid>
      <w:tr w:rsidR="008A678D" w:rsidRPr="00783571" w14:paraId="6FAD3E98" w14:textId="77777777" w:rsidTr="004F70FA">
        <w:trPr>
          <w:cnfStyle w:val="100000000000" w:firstRow="1" w:lastRow="0" w:firstColumn="0" w:lastColumn="0" w:oddVBand="0" w:evenVBand="0" w:oddHBand="0" w:evenHBand="0" w:firstRowFirstColumn="0" w:firstRowLastColumn="0" w:lastRowFirstColumn="0" w:lastRowLastColumn="0"/>
        </w:trPr>
        <w:tc>
          <w:tcPr>
            <w:tcW w:w="826" w:type="dxa"/>
            <w:noWrap/>
            <w:vAlign w:val="bottom"/>
            <w:hideMark/>
          </w:tcPr>
          <w:p w14:paraId="6CBB0A95" w14:textId="77777777" w:rsidR="008A678D" w:rsidRPr="00783571" w:rsidRDefault="008A678D" w:rsidP="003E456A">
            <w:pPr>
              <w:pStyle w:val="TableHeaders"/>
              <w:keepNext/>
            </w:pPr>
            <w:r w:rsidRPr="00783571">
              <w:t>Input #</w:t>
            </w:r>
            <w:r w:rsidRPr="00783571">
              <w:rPr>
                <w:vertAlign w:val="superscript"/>
              </w:rPr>
              <w:t>a</w:t>
            </w:r>
          </w:p>
        </w:tc>
        <w:tc>
          <w:tcPr>
            <w:tcW w:w="5030" w:type="dxa"/>
            <w:noWrap/>
            <w:vAlign w:val="bottom"/>
            <w:hideMark/>
          </w:tcPr>
          <w:p w14:paraId="5E91F49B" w14:textId="77777777" w:rsidR="008A678D" w:rsidRPr="00783571" w:rsidRDefault="008A678D" w:rsidP="003E456A">
            <w:pPr>
              <w:pStyle w:val="TableHeaders"/>
              <w:keepNext/>
            </w:pPr>
            <w:r w:rsidRPr="00783571">
              <w:t>Input</w:t>
            </w:r>
            <w:r w:rsidRPr="00783571">
              <w:rPr>
                <w:vertAlign w:val="superscript"/>
              </w:rPr>
              <w:t>a</w:t>
            </w:r>
          </w:p>
        </w:tc>
        <w:tc>
          <w:tcPr>
            <w:tcW w:w="1797" w:type="dxa"/>
            <w:vAlign w:val="bottom"/>
            <w:hideMark/>
          </w:tcPr>
          <w:p w14:paraId="2061CF87" w14:textId="77777777" w:rsidR="008A678D" w:rsidRPr="00783571" w:rsidRDefault="008A678D" w:rsidP="003E456A">
            <w:pPr>
              <w:pStyle w:val="TableHeaders"/>
              <w:keepNext/>
            </w:pPr>
            <w:r w:rsidRPr="00783571">
              <w:t>Mean of Absolute Elementary Effects (µ*)</w:t>
            </w:r>
            <w:r w:rsidRPr="00783571">
              <w:rPr>
                <w:vertAlign w:val="superscript"/>
              </w:rPr>
              <w:t>b</w:t>
            </w:r>
          </w:p>
        </w:tc>
        <w:tc>
          <w:tcPr>
            <w:tcW w:w="1707" w:type="dxa"/>
            <w:noWrap/>
            <w:vAlign w:val="bottom"/>
            <w:hideMark/>
          </w:tcPr>
          <w:p w14:paraId="63633320" w14:textId="458D544B" w:rsidR="008A678D" w:rsidRPr="00783571" w:rsidRDefault="008A678D" w:rsidP="003E456A">
            <w:pPr>
              <w:pStyle w:val="TableHeaders"/>
              <w:keepNext/>
            </w:pPr>
            <w:r w:rsidRPr="00783571">
              <w:t>Standard Deviation of Elementary Effects (σ)</w:t>
            </w:r>
            <w:r w:rsidR="0061048F" w:rsidRPr="00783571">
              <w:rPr>
                <w:vertAlign w:val="superscript"/>
              </w:rPr>
              <w:t>c</w:t>
            </w:r>
          </w:p>
        </w:tc>
      </w:tr>
      <w:tr w:rsidR="00E32EF2" w:rsidRPr="00783571" w14:paraId="7349E5D1" w14:textId="77777777" w:rsidTr="004F70FA">
        <w:tc>
          <w:tcPr>
            <w:tcW w:w="826" w:type="dxa"/>
            <w:tcBorders>
              <w:top w:val="single" w:sz="4" w:space="0" w:color="808080" w:themeColor="background1" w:themeShade="80"/>
              <w:bottom w:val="single" w:sz="4" w:space="0" w:color="808080" w:themeColor="background1" w:themeShade="80"/>
            </w:tcBorders>
            <w:noWrap/>
          </w:tcPr>
          <w:p w14:paraId="5A90FA61" w14:textId="5BA71AED" w:rsidR="00E32EF2" w:rsidRPr="00783571" w:rsidRDefault="00E32EF2" w:rsidP="00E32EF2">
            <w:pPr>
              <w:pStyle w:val="TableText"/>
              <w:jc w:val="center"/>
            </w:pPr>
            <w:r w:rsidRPr="00783571">
              <w:t>9</w:t>
            </w:r>
          </w:p>
        </w:tc>
        <w:tc>
          <w:tcPr>
            <w:tcW w:w="5030" w:type="dxa"/>
            <w:tcBorders>
              <w:top w:val="single" w:sz="4" w:space="0" w:color="808080" w:themeColor="background1" w:themeShade="80"/>
              <w:bottom w:val="single" w:sz="4" w:space="0" w:color="808080" w:themeColor="background1" w:themeShade="80"/>
            </w:tcBorders>
            <w:noWrap/>
          </w:tcPr>
          <w:p w14:paraId="06E23B4D" w14:textId="5603E1BF" w:rsidR="00E32EF2" w:rsidRPr="00783571" w:rsidRDefault="00E32EF2" w:rsidP="00E32EF2">
            <w:pPr>
              <w:pStyle w:val="TableText"/>
            </w:pPr>
            <w:r w:rsidRPr="00783571">
              <w:t>Probability that a newly diagnosed individual will be immediately linked to care</w:t>
            </w:r>
          </w:p>
        </w:tc>
        <w:tc>
          <w:tcPr>
            <w:tcW w:w="1797" w:type="dxa"/>
            <w:tcBorders>
              <w:top w:val="single" w:sz="4" w:space="0" w:color="808080" w:themeColor="background1" w:themeShade="80"/>
              <w:bottom w:val="single" w:sz="4" w:space="0" w:color="808080" w:themeColor="background1" w:themeShade="80"/>
            </w:tcBorders>
            <w:noWrap/>
          </w:tcPr>
          <w:p w14:paraId="3009A734" w14:textId="7E55B5A3" w:rsidR="00E32EF2" w:rsidRPr="00783571" w:rsidRDefault="00E32EF2" w:rsidP="003E456A">
            <w:pPr>
              <w:pStyle w:val="TableText"/>
              <w:tabs>
                <w:tab w:val="decimal" w:pos="1172"/>
              </w:tabs>
            </w:pPr>
            <w:r w:rsidRPr="00783571">
              <w:t>4,032</w:t>
            </w:r>
          </w:p>
        </w:tc>
        <w:tc>
          <w:tcPr>
            <w:tcW w:w="1707" w:type="dxa"/>
            <w:tcBorders>
              <w:top w:val="single" w:sz="4" w:space="0" w:color="808080" w:themeColor="background1" w:themeShade="80"/>
              <w:bottom w:val="single" w:sz="4" w:space="0" w:color="808080" w:themeColor="background1" w:themeShade="80"/>
            </w:tcBorders>
            <w:noWrap/>
          </w:tcPr>
          <w:p w14:paraId="7D605280" w14:textId="06B608BB" w:rsidR="00E32EF2" w:rsidRPr="00783571" w:rsidRDefault="00E32EF2" w:rsidP="003E456A">
            <w:pPr>
              <w:pStyle w:val="TableText"/>
              <w:tabs>
                <w:tab w:val="decimal" w:pos="1172"/>
              </w:tabs>
            </w:pPr>
            <w:r w:rsidRPr="00783571">
              <w:t>4,665</w:t>
            </w:r>
          </w:p>
        </w:tc>
      </w:tr>
      <w:tr w:rsidR="00E32EF2" w:rsidRPr="00783571" w14:paraId="73D696C9" w14:textId="77777777" w:rsidTr="004F70FA">
        <w:tc>
          <w:tcPr>
            <w:tcW w:w="826" w:type="dxa"/>
            <w:tcBorders>
              <w:top w:val="single" w:sz="4" w:space="0" w:color="808080" w:themeColor="background1" w:themeShade="80"/>
              <w:bottom w:val="single" w:sz="4" w:space="0" w:color="808080" w:themeColor="background1" w:themeShade="80"/>
            </w:tcBorders>
            <w:noWrap/>
          </w:tcPr>
          <w:p w14:paraId="31F7469F" w14:textId="34C0D149" w:rsidR="00E32EF2" w:rsidRPr="00783571" w:rsidRDefault="00E32EF2" w:rsidP="00E32EF2">
            <w:pPr>
              <w:pStyle w:val="TableText"/>
              <w:jc w:val="center"/>
            </w:pPr>
            <w:r w:rsidRPr="00783571">
              <w:t>8</w:t>
            </w:r>
          </w:p>
        </w:tc>
        <w:tc>
          <w:tcPr>
            <w:tcW w:w="5030" w:type="dxa"/>
            <w:tcBorders>
              <w:top w:val="single" w:sz="4" w:space="0" w:color="808080" w:themeColor="background1" w:themeShade="80"/>
              <w:bottom w:val="single" w:sz="4" w:space="0" w:color="808080" w:themeColor="background1" w:themeShade="80"/>
            </w:tcBorders>
            <w:noWrap/>
          </w:tcPr>
          <w:p w14:paraId="765D21F7" w14:textId="6DF8473C" w:rsidR="00E32EF2" w:rsidRPr="00783571" w:rsidRDefault="00E32EF2" w:rsidP="00E32EF2">
            <w:pPr>
              <w:pStyle w:val="TableText"/>
            </w:pPr>
            <w:r w:rsidRPr="00783571">
              <w:t>Probability that a newly diagnosed individual will be immediately linked to care</w:t>
            </w:r>
          </w:p>
        </w:tc>
        <w:tc>
          <w:tcPr>
            <w:tcW w:w="1797" w:type="dxa"/>
            <w:tcBorders>
              <w:top w:val="single" w:sz="4" w:space="0" w:color="808080" w:themeColor="background1" w:themeShade="80"/>
              <w:bottom w:val="single" w:sz="4" w:space="0" w:color="808080" w:themeColor="background1" w:themeShade="80"/>
            </w:tcBorders>
            <w:noWrap/>
          </w:tcPr>
          <w:p w14:paraId="6DED099F" w14:textId="25A225C6" w:rsidR="00E32EF2" w:rsidRPr="00783571" w:rsidRDefault="00E32EF2" w:rsidP="003E456A">
            <w:pPr>
              <w:pStyle w:val="TableText"/>
              <w:tabs>
                <w:tab w:val="decimal" w:pos="1172"/>
              </w:tabs>
            </w:pPr>
            <w:r w:rsidRPr="00783571">
              <w:t>3,073</w:t>
            </w:r>
          </w:p>
        </w:tc>
        <w:tc>
          <w:tcPr>
            <w:tcW w:w="1707" w:type="dxa"/>
            <w:tcBorders>
              <w:top w:val="single" w:sz="4" w:space="0" w:color="808080" w:themeColor="background1" w:themeShade="80"/>
              <w:bottom w:val="single" w:sz="4" w:space="0" w:color="808080" w:themeColor="background1" w:themeShade="80"/>
            </w:tcBorders>
            <w:noWrap/>
          </w:tcPr>
          <w:p w14:paraId="39971392" w14:textId="24D2A290" w:rsidR="00E32EF2" w:rsidRPr="00783571" w:rsidRDefault="00E32EF2" w:rsidP="003E456A">
            <w:pPr>
              <w:pStyle w:val="TableText"/>
              <w:tabs>
                <w:tab w:val="decimal" w:pos="1172"/>
              </w:tabs>
            </w:pPr>
            <w:r w:rsidRPr="00783571">
              <w:t>3,371</w:t>
            </w:r>
          </w:p>
        </w:tc>
      </w:tr>
      <w:tr w:rsidR="00E32EF2" w:rsidRPr="00783571" w14:paraId="0D7771F2" w14:textId="77777777" w:rsidTr="004F70FA">
        <w:tc>
          <w:tcPr>
            <w:tcW w:w="826" w:type="dxa"/>
            <w:tcBorders>
              <w:top w:val="single" w:sz="4" w:space="0" w:color="808080" w:themeColor="background1" w:themeShade="80"/>
              <w:bottom w:val="single" w:sz="4" w:space="0" w:color="808080" w:themeColor="background1" w:themeShade="80"/>
            </w:tcBorders>
            <w:noWrap/>
          </w:tcPr>
          <w:p w14:paraId="3BBC710F" w14:textId="6429B988" w:rsidR="00E32EF2" w:rsidRPr="00783571" w:rsidRDefault="00E32EF2" w:rsidP="00E32EF2">
            <w:pPr>
              <w:pStyle w:val="TableText"/>
              <w:jc w:val="center"/>
            </w:pPr>
            <w:r w:rsidRPr="00783571">
              <w:t>10</w:t>
            </w:r>
          </w:p>
        </w:tc>
        <w:tc>
          <w:tcPr>
            <w:tcW w:w="5030" w:type="dxa"/>
            <w:tcBorders>
              <w:top w:val="single" w:sz="4" w:space="0" w:color="808080" w:themeColor="background1" w:themeShade="80"/>
              <w:bottom w:val="single" w:sz="4" w:space="0" w:color="808080" w:themeColor="background1" w:themeShade="80"/>
            </w:tcBorders>
            <w:noWrap/>
          </w:tcPr>
          <w:p w14:paraId="474A1129" w14:textId="68D1BA63" w:rsidR="00E32EF2" w:rsidRPr="00783571" w:rsidRDefault="00E32EF2" w:rsidP="00E32EF2">
            <w:pPr>
              <w:pStyle w:val="TableText"/>
            </w:pPr>
            <w:r w:rsidRPr="00783571">
              <w:t>Annual probability of diagnosed individual linked to care after (versus immediately at) diagnosis</w:t>
            </w:r>
          </w:p>
        </w:tc>
        <w:tc>
          <w:tcPr>
            <w:tcW w:w="1797" w:type="dxa"/>
            <w:tcBorders>
              <w:top w:val="single" w:sz="4" w:space="0" w:color="808080" w:themeColor="background1" w:themeShade="80"/>
              <w:bottom w:val="single" w:sz="4" w:space="0" w:color="808080" w:themeColor="background1" w:themeShade="80"/>
            </w:tcBorders>
            <w:noWrap/>
          </w:tcPr>
          <w:p w14:paraId="7F811B05" w14:textId="5671B090" w:rsidR="00E32EF2" w:rsidRPr="00783571" w:rsidRDefault="00E32EF2" w:rsidP="003E456A">
            <w:pPr>
              <w:pStyle w:val="TableText"/>
              <w:tabs>
                <w:tab w:val="decimal" w:pos="1172"/>
              </w:tabs>
            </w:pPr>
            <w:r w:rsidRPr="00783571">
              <w:t>2,990</w:t>
            </w:r>
          </w:p>
        </w:tc>
        <w:tc>
          <w:tcPr>
            <w:tcW w:w="1707" w:type="dxa"/>
            <w:tcBorders>
              <w:top w:val="single" w:sz="4" w:space="0" w:color="808080" w:themeColor="background1" w:themeShade="80"/>
              <w:bottom w:val="single" w:sz="4" w:space="0" w:color="808080" w:themeColor="background1" w:themeShade="80"/>
            </w:tcBorders>
            <w:noWrap/>
          </w:tcPr>
          <w:p w14:paraId="16F699D0" w14:textId="319D2A05" w:rsidR="00E32EF2" w:rsidRPr="00783571" w:rsidRDefault="00E32EF2" w:rsidP="003E456A">
            <w:pPr>
              <w:pStyle w:val="TableText"/>
              <w:tabs>
                <w:tab w:val="decimal" w:pos="1172"/>
              </w:tabs>
            </w:pPr>
            <w:r w:rsidRPr="00783571">
              <w:t>1,737</w:t>
            </w:r>
          </w:p>
        </w:tc>
      </w:tr>
      <w:tr w:rsidR="00E32EF2" w:rsidRPr="00783571" w14:paraId="6B9F57B9" w14:textId="77777777" w:rsidTr="004F70FA">
        <w:tc>
          <w:tcPr>
            <w:tcW w:w="826" w:type="dxa"/>
            <w:tcBorders>
              <w:top w:val="single" w:sz="4" w:space="0" w:color="808080" w:themeColor="background1" w:themeShade="80"/>
              <w:bottom w:val="single" w:sz="4" w:space="0" w:color="808080" w:themeColor="background1" w:themeShade="80"/>
            </w:tcBorders>
            <w:noWrap/>
          </w:tcPr>
          <w:p w14:paraId="3ADA9E1F" w14:textId="2FBF7258" w:rsidR="00E32EF2" w:rsidRPr="00783571" w:rsidRDefault="00E32EF2" w:rsidP="00E32EF2">
            <w:pPr>
              <w:pStyle w:val="TableText"/>
              <w:jc w:val="center"/>
            </w:pPr>
            <w:r w:rsidRPr="00783571">
              <w:t>43</w:t>
            </w:r>
          </w:p>
        </w:tc>
        <w:tc>
          <w:tcPr>
            <w:tcW w:w="5030" w:type="dxa"/>
            <w:tcBorders>
              <w:top w:val="single" w:sz="4" w:space="0" w:color="808080" w:themeColor="background1" w:themeShade="80"/>
              <w:bottom w:val="single" w:sz="4" w:space="0" w:color="808080" w:themeColor="background1" w:themeShade="80"/>
            </w:tcBorders>
            <w:noWrap/>
          </w:tcPr>
          <w:p w14:paraId="6FF0E027" w14:textId="50E84FE4" w:rsidR="00E32EF2" w:rsidRPr="00783571" w:rsidRDefault="00E32EF2" w:rsidP="00E32EF2">
            <w:pPr>
              <w:pStyle w:val="TableText"/>
            </w:pPr>
            <w:r w:rsidRPr="00783571">
              <w:t>Number of years in each CD4 stage if on ART-not-VLS</w:t>
            </w:r>
          </w:p>
        </w:tc>
        <w:tc>
          <w:tcPr>
            <w:tcW w:w="1797" w:type="dxa"/>
            <w:tcBorders>
              <w:top w:val="single" w:sz="4" w:space="0" w:color="808080" w:themeColor="background1" w:themeShade="80"/>
              <w:bottom w:val="single" w:sz="4" w:space="0" w:color="808080" w:themeColor="background1" w:themeShade="80"/>
            </w:tcBorders>
            <w:noWrap/>
          </w:tcPr>
          <w:p w14:paraId="06D430A8" w14:textId="4717A37C" w:rsidR="00E32EF2" w:rsidRPr="00783571" w:rsidRDefault="00E32EF2" w:rsidP="003E456A">
            <w:pPr>
              <w:pStyle w:val="TableText"/>
              <w:tabs>
                <w:tab w:val="decimal" w:pos="1172"/>
              </w:tabs>
            </w:pPr>
            <w:r w:rsidRPr="00783571">
              <w:t>2,889</w:t>
            </w:r>
          </w:p>
        </w:tc>
        <w:tc>
          <w:tcPr>
            <w:tcW w:w="1707" w:type="dxa"/>
            <w:tcBorders>
              <w:top w:val="single" w:sz="4" w:space="0" w:color="808080" w:themeColor="background1" w:themeShade="80"/>
              <w:bottom w:val="single" w:sz="4" w:space="0" w:color="808080" w:themeColor="background1" w:themeShade="80"/>
            </w:tcBorders>
            <w:noWrap/>
          </w:tcPr>
          <w:p w14:paraId="155B5382" w14:textId="04B965C6" w:rsidR="00E32EF2" w:rsidRPr="00783571" w:rsidRDefault="00E32EF2" w:rsidP="003E456A">
            <w:pPr>
              <w:pStyle w:val="TableText"/>
              <w:tabs>
                <w:tab w:val="decimal" w:pos="1172"/>
              </w:tabs>
            </w:pPr>
            <w:r w:rsidRPr="00783571">
              <w:t>1,484</w:t>
            </w:r>
          </w:p>
        </w:tc>
      </w:tr>
      <w:tr w:rsidR="00E32EF2" w:rsidRPr="00783571" w14:paraId="2A636968" w14:textId="77777777" w:rsidTr="004F70FA">
        <w:tc>
          <w:tcPr>
            <w:tcW w:w="826" w:type="dxa"/>
            <w:tcBorders>
              <w:top w:val="single" w:sz="4" w:space="0" w:color="808080" w:themeColor="background1" w:themeShade="80"/>
              <w:bottom w:val="single" w:sz="4" w:space="0" w:color="808080" w:themeColor="background1" w:themeShade="80"/>
            </w:tcBorders>
            <w:noWrap/>
          </w:tcPr>
          <w:p w14:paraId="67D59974" w14:textId="5E926EF0" w:rsidR="00E32EF2" w:rsidRPr="00783571" w:rsidRDefault="00E32EF2" w:rsidP="00E32EF2">
            <w:pPr>
              <w:pStyle w:val="TableText"/>
              <w:jc w:val="center"/>
            </w:pPr>
            <w:r w:rsidRPr="00783571">
              <w:t>13</w:t>
            </w:r>
          </w:p>
        </w:tc>
        <w:tc>
          <w:tcPr>
            <w:tcW w:w="5030" w:type="dxa"/>
            <w:tcBorders>
              <w:top w:val="single" w:sz="4" w:space="0" w:color="808080" w:themeColor="background1" w:themeShade="80"/>
              <w:bottom w:val="single" w:sz="4" w:space="0" w:color="808080" w:themeColor="background1" w:themeShade="80"/>
            </w:tcBorders>
            <w:noWrap/>
          </w:tcPr>
          <w:p w14:paraId="086CEEE1" w14:textId="7B4DB531" w:rsidR="00E32EF2" w:rsidRPr="00783571" w:rsidRDefault="00E32EF2" w:rsidP="00E32EF2">
            <w:pPr>
              <w:pStyle w:val="TableText"/>
            </w:pPr>
            <w:r w:rsidRPr="00783571">
              <w:t>Annual probability of dropping off of ART if on ART but not VLS</w:t>
            </w:r>
          </w:p>
        </w:tc>
        <w:tc>
          <w:tcPr>
            <w:tcW w:w="1797" w:type="dxa"/>
            <w:tcBorders>
              <w:top w:val="single" w:sz="4" w:space="0" w:color="808080" w:themeColor="background1" w:themeShade="80"/>
              <w:bottom w:val="single" w:sz="4" w:space="0" w:color="808080" w:themeColor="background1" w:themeShade="80"/>
            </w:tcBorders>
            <w:noWrap/>
          </w:tcPr>
          <w:p w14:paraId="5614EB41" w14:textId="354EA559" w:rsidR="00E32EF2" w:rsidRPr="00783571" w:rsidRDefault="00E32EF2" w:rsidP="003E456A">
            <w:pPr>
              <w:pStyle w:val="TableText"/>
              <w:tabs>
                <w:tab w:val="decimal" w:pos="1172"/>
              </w:tabs>
            </w:pPr>
            <w:r w:rsidRPr="00783571">
              <w:t>2,729</w:t>
            </w:r>
          </w:p>
        </w:tc>
        <w:tc>
          <w:tcPr>
            <w:tcW w:w="1707" w:type="dxa"/>
            <w:tcBorders>
              <w:top w:val="single" w:sz="4" w:space="0" w:color="808080" w:themeColor="background1" w:themeShade="80"/>
              <w:bottom w:val="single" w:sz="4" w:space="0" w:color="808080" w:themeColor="background1" w:themeShade="80"/>
            </w:tcBorders>
            <w:noWrap/>
          </w:tcPr>
          <w:p w14:paraId="7B91FB52" w14:textId="5BFCAA04" w:rsidR="00E32EF2" w:rsidRPr="00783571" w:rsidRDefault="00E32EF2" w:rsidP="003E456A">
            <w:pPr>
              <w:pStyle w:val="TableText"/>
              <w:tabs>
                <w:tab w:val="decimal" w:pos="1172"/>
              </w:tabs>
            </w:pPr>
            <w:r w:rsidRPr="00783571">
              <w:t>3,466</w:t>
            </w:r>
          </w:p>
        </w:tc>
      </w:tr>
      <w:tr w:rsidR="00E32EF2" w:rsidRPr="00783571" w14:paraId="6BB34DC5" w14:textId="77777777" w:rsidTr="004F70FA">
        <w:tc>
          <w:tcPr>
            <w:tcW w:w="826" w:type="dxa"/>
            <w:tcBorders>
              <w:top w:val="single" w:sz="4" w:space="0" w:color="808080" w:themeColor="background1" w:themeShade="80"/>
              <w:bottom w:val="single" w:sz="4" w:space="0" w:color="808080" w:themeColor="background1" w:themeShade="80"/>
            </w:tcBorders>
            <w:noWrap/>
          </w:tcPr>
          <w:p w14:paraId="29017C13" w14:textId="28E16A83" w:rsidR="00E32EF2" w:rsidRPr="00783571" w:rsidRDefault="00E32EF2" w:rsidP="00E32EF2">
            <w:pPr>
              <w:pStyle w:val="TableText"/>
              <w:jc w:val="center"/>
            </w:pPr>
            <w:r w:rsidRPr="00783571">
              <w:t>6</w:t>
            </w:r>
          </w:p>
        </w:tc>
        <w:tc>
          <w:tcPr>
            <w:tcW w:w="5030" w:type="dxa"/>
            <w:tcBorders>
              <w:top w:val="single" w:sz="4" w:space="0" w:color="808080" w:themeColor="background1" w:themeShade="80"/>
              <w:bottom w:val="single" w:sz="4" w:space="0" w:color="808080" w:themeColor="background1" w:themeShade="80"/>
            </w:tcBorders>
            <w:noWrap/>
          </w:tcPr>
          <w:p w14:paraId="3901B022" w14:textId="2EF45AD2" w:rsidR="00E32EF2" w:rsidRPr="00783571" w:rsidRDefault="00E32EF2" w:rsidP="00E32EF2">
            <w:pPr>
              <w:pStyle w:val="TableText"/>
            </w:pPr>
            <w:r w:rsidRPr="00783571">
              <w:t>Percentage of tests that are rapid vs. conventional</w:t>
            </w:r>
          </w:p>
        </w:tc>
        <w:tc>
          <w:tcPr>
            <w:tcW w:w="1797" w:type="dxa"/>
            <w:tcBorders>
              <w:top w:val="single" w:sz="4" w:space="0" w:color="808080" w:themeColor="background1" w:themeShade="80"/>
              <w:bottom w:val="single" w:sz="4" w:space="0" w:color="808080" w:themeColor="background1" w:themeShade="80"/>
            </w:tcBorders>
            <w:noWrap/>
          </w:tcPr>
          <w:p w14:paraId="10CEC9EB" w14:textId="0B6E1C31" w:rsidR="00E32EF2" w:rsidRPr="00783571" w:rsidRDefault="00E32EF2" w:rsidP="003E456A">
            <w:pPr>
              <w:pStyle w:val="TableText"/>
              <w:tabs>
                <w:tab w:val="decimal" w:pos="1172"/>
              </w:tabs>
            </w:pPr>
            <w:r w:rsidRPr="00783571">
              <w:t>2,188</w:t>
            </w:r>
          </w:p>
        </w:tc>
        <w:tc>
          <w:tcPr>
            <w:tcW w:w="1707" w:type="dxa"/>
            <w:tcBorders>
              <w:top w:val="single" w:sz="4" w:space="0" w:color="808080" w:themeColor="background1" w:themeShade="80"/>
              <w:bottom w:val="single" w:sz="4" w:space="0" w:color="808080" w:themeColor="background1" w:themeShade="80"/>
            </w:tcBorders>
            <w:noWrap/>
          </w:tcPr>
          <w:p w14:paraId="6824ED5F" w14:textId="133E2F2D" w:rsidR="00E32EF2" w:rsidRPr="00783571" w:rsidRDefault="00E32EF2" w:rsidP="003E456A">
            <w:pPr>
              <w:pStyle w:val="TableText"/>
              <w:tabs>
                <w:tab w:val="decimal" w:pos="1172"/>
              </w:tabs>
            </w:pPr>
            <w:r w:rsidRPr="00783571">
              <w:t>3,310</w:t>
            </w:r>
          </w:p>
        </w:tc>
      </w:tr>
      <w:tr w:rsidR="00E32EF2" w:rsidRPr="00783571" w14:paraId="1D17E9E6" w14:textId="77777777" w:rsidTr="004F70FA">
        <w:tc>
          <w:tcPr>
            <w:tcW w:w="826" w:type="dxa"/>
            <w:tcBorders>
              <w:top w:val="single" w:sz="4" w:space="0" w:color="808080" w:themeColor="background1" w:themeShade="80"/>
              <w:bottom w:val="single" w:sz="4" w:space="0" w:color="808080" w:themeColor="background1" w:themeShade="80"/>
            </w:tcBorders>
            <w:noWrap/>
          </w:tcPr>
          <w:p w14:paraId="70D468C6" w14:textId="5D0674B5" w:rsidR="00E32EF2" w:rsidRPr="00783571" w:rsidRDefault="00E32EF2" w:rsidP="00E32EF2">
            <w:pPr>
              <w:pStyle w:val="TableText"/>
              <w:jc w:val="center"/>
              <w:rPr>
                <w:szCs w:val="18"/>
              </w:rPr>
            </w:pPr>
            <w:r w:rsidRPr="00783571">
              <w:t>30</w:t>
            </w:r>
          </w:p>
        </w:tc>
        <w:tc>
          <w:tcPr>
            <w:tcW w:w="5030" w:type="dxa"/>
            <w:tcBorders>
              <w:top w:val="single" w:sz="4" w:space="0" w:color="808080" w:themeColor="background1" w:themeShade="80"/>
              <w:bottom w:val="single" w:sz="4" w:space="0" w:color="808080" w:themeColor="background1" w:themeShade="80"/>
            </w:tcBorders>
            <w:noWrap/>
          </w:tcPr>
          <w:p w14:paraId="1FC4624D" w14:textId="761A94E3" w:rsidR="00E32EF2" w:rsidRPr="00783571" w:rsidRDefault="00E32EF2" w:rsidP="00E32EF2">
            <w:pPr>
              <w:pStyle w:val="TableText"/>
              <w:rPr>
                <w:szCs w:val="18"/>
              </w:rPr>
            </w:pPr>
            <w:r w:rsidRPr="00783571">
              <w:t>Percentage of PWID males' sexual partners with HET females (versus female PWID)</w:t>
            </w:r>
          </w:p>
        </w:tc>
        <w:tc>
          <w:tcPr>
            <w:tcW w:w="1797" w:type="dxa"/>
            <w:tcBorders>
              <w:top w:val="single" w:sz="4" w:space="0" w:color="808080" w:themeColor="background1" w:themeShade="80"/>
              <w:bottom w:val="single" w:sz="4" w:space="0" w:color="808080" w:themeColor="background1" w:themeShade="80"/>
            </w:tcBorders>
            <w:noWrap/>
          </w:tcPr>
          <w:p w14:paraId="4BFBECE1" w14:textId="6909EA03" w:rsidR="00E32EF2" w:rsidRPr="00783571" w:rsidRDefault="00E32EF2" w:rsidP="003E456A">
            <w:pPr>
              <w:pStyle w:val="TableText"/>
              <w:tabs>
                <w:tab w:val="decimal" w:pos="1172"/>
              </w:tabs>
              <w:rPr>
                <w:szCs w:val="18"/>
              </w:rPr>
            </w:pPr>
            <w:r w:rsidRPr="00783571">
              <w:t>1,726</w:t>
            </w:r>
          </w:p>
        </w:tc>
        <w:tc>
          <w:tcPr>
            <w:tcW w:w="1707" w:type="dxa"/>
            <w:tcBorders>
              <w:top w:val="single" w:sz="4" w:space="0" w:color="808080" w:themeColor="background1" w:themeShade="80"/>
              <w:bottom w:val="single" w:sz="4" w:space="0" w:color="808080" w:themeColor="background1" w:themeShade="80"/>
            </w:tcBorders>
            <w:noWrap/>
          </w:tcPr>
          <w:p w14:paraId="1ABB4377" w14:textId="4CF3E2CD" w:rsidR="00E32EF2" w:rsidRPr="00783571" w:rsidRDefault="00E32EF2" w:rsidP="003E456A">
            <w:pPr>
              <w:pStyle w:val="TableText"/>
              <w:tabs>
                <w:tab w:val="decimal" w:pos="1172"/>
              </w:tabs>
              <w:rPr>
                <w:szCs w:val="18"/>
              </w:rPr>
            </w:pPr>
            <w:r w:rsidRPr="00783571">
              <w:t>2,310</w:t>
            </w:r>
          </w:p>
        </w:tc>
      </w:tr>
      <w:tr w:rsidR="00E32EF2" w:rsidRPr="00783571" w14:paraId="6B90B220" w14:textId="77777777" w:rsidTr="004F70FA">
        <w:tc>
          <w:tcPr>
            <w:tcW w:w="826" w:type="dxa"/>
            <w:tcBorders>
              <w:top w:val="single" w:sz="4" w:space="0" w:color="808080" w:themeColor="background1" w:themeShade="80"/>
              <w:bottom w:val="single" w:sz="4" w:space="0" w:color="808080" w:themeColor="background1" w:themeShade="80"/>
            </w:tcBorders>
            <w:noWrap/>
          </w:tcPr>
          <w:p w14:paraId="36D08659" w14:textId="447EBD6C" w:rsidR="00E32EF2" w:rsidRPr="00783571" w:rsidRDefault="00E32EF2" w:rsidP="00E32EF2">
            <w:pPr>
              <w:pStyle w:val="TableText"/>
              <w:jc w:val="center"/>
              <w:rPr>
                <w:szCs w:val="18"/>
              </w:rPr>
            </w:pPr>
            <w:r w:rsidRPr="00783571">
              <w:t>3</w:t>
            </w:r>
          </w:p>
        </w:tc>
        <w:tc>
          <w:tcPr>
            <w:tcW w:w="5030" w:type="dxa"/>
            <w:tcBorders>
              <w:top w:val="single" w:sz="4" w:space="0" w:color="808080" w:themeColor="background1" w:themeShade="80"/>
              <w:bottom w:val="single" w:sz="4" w:space="0" w:color="808080" w:themeColor="background1" w:themeShade="80"/>
            </w:tcBorders>
            <w:noWrap/>
          </w:tcPr>
          <w:p w14:paraId="78BEC67E" w14:textId="37BC4A7F" w:rsidR="00E32EF2" w:rsidRPr="00783571" w:rsidRDefault="00E32EF2" w:rsidP="00E32EF2">
            <w:pPr>
              <w:pStyle w:val="TableText"/>
              <w:rPr>
                <w:szCs w:val="18"/>
              </w:rPr>
            </w:pPr>
            <w:r w:rsidRPr="00783571">
              <w:t>Annual risk of death due to non-HIV-related causes, HETs</w:t>
            </w:r>
          </w:p>
        </w:tc>
        <w:tc>
          <w:tcPr>
            <w:tcW w:w="1797" w:type="dxa"/>
            <w:tcBorders>
              <w:top w:val="single" w:sz="4" w:space="0" w:color="808080" w:themeColor="background1" w:themeShade="80"/>
              <w:bottom w:val="single" w:sz="4" w:space="0" w:color="808080" w:themeColor="background1" w:themeShade="80"/>
            </w:tcBorders>
            <w:noWrap/>
          </w:tcPr>
          <w:p w14:paraId="49D1B886" w14:textId="070C6077" w:rsidR="00E32EF2" w:rsidRPr="00783571" w:rsidRDefault="00E32EF2" w:rsidP="003E456A">
            <w:pPr>
              <w:pStyle w:val="TableText"/>
              <w:tabs>
                <w:tab w:val="decimal" w:pos="1172"/>
              </w:tabs>
              <w:rPr>
                <w:szCs w:val="18"/>
              </w:rPr>
            </w:pPr>
            <w:r w:rsidRPr="00783571">
              <w:t>1,147</w:t>
            </w:r>
          </w:p>
        </w:tc>
        <w:tc>
          <w:tcPr>
            <w:tcW w:w="1707" w:type="dxa"/>
            <w:tcBorders>
              <w:top w:val="single" w:sz="4" w:space="0" w:color="808080" w:themeColor="background1" w:themeShade="80"/>
              <w:bottom w:val="single" w:sz="4" w:space="0" w:color="808080" w:themeColor="background1" w:themeShade="80"/>
            </w:tcBorders>
            <w:noWrap/>
          </w:tcPr>
          <w:p w14:paraId="0DA0C420" w14:textId="493A7719" w:rsidR="00E32EF2" w:rsidRPr="00783571" w:rsidRDefault="00E32EF2" w:rsidP="003E456A">
            <w:pPr>
              <w:pStyle w:val="TableText"/>
              <w:tabs>
                <w:tab w:val="decimal" w:pos="1172"/>
              </w:tabs>
              <w:rPr>
                <w:szCs w:val="18"/>
              </w:rPr>
            </w:pPr>
            <w:r w:rsidRPr="00783571">
              <w:t>669</w:t>
            </w:r>
          </w:p>
        </w:tc>
      </w:tr>
      <w:tr w:rsidR="00E32EF2" w:rsidRPr="00783571" w14:paraId="000ED4DC" w14:textId="77777777" w:rsidTr="004F70FA">
        <w:tc>
          <w:tcPr>
            <w:tcW w:w="826" w:type="dxa"/>
            <w:tcBorders>
              <w:top w:val="single" w:sz="4" w:space="0" w:color="808080" w:themeColor="background1" w:themeShade="80"/>
              <w:bottom w:val="single" w:sz="4" w:space="0" w:color="808080" w:themeColor="background1" w:themeShade="80"/>
            </w:tcBorders>
            <w:noWrap/>
          </w:tcPr>
          <w:p w14:paraId="086CB31E" w14:textId="1E3CE8C0" w:rsidR="00E32EF2" w:rsidRPr="00783571" w:rsidRDefault="00E32EF2" w:rsidP="00E32EF2">
            <w:pPr>
              <w:pStyle w:val="TableText"/>
              <w:jc w:val="center"/>
              <w:rPr>
                <w:szCs w:val="18"/>
              </w:rPr>
            </w:pPr>
            <w:r w:rsidRPr="00783571">
              <w:t>38</w:t>
            </w:r>
          </w:p>
        </w:tc>
        <w:tc>
          <w:tcPr>
            <w:tcW w:w="5030" w:type="dxa"/>
            <w:tcBorders>
              <w:top w:val="single" w:sz="4" w:space="0" w:color="808080" w:themeColor="background1" w:themeShade="80"/>
              <w:bottom w:val="single" w:sz="4" w:space="0" w:color="808080" w:themeColor="background1" w:themeShade="80"/>
            </w:tcBorders>
            <w:noWrap/>
          </w:tcPr>
          <w:p w14:paraId="4D204909" w14:textId="2A213C76" w:rsidR="00E32EF2" w:rsidRPr="00783571" w:rsidRDefault="00E32EF2" w:rsidP="00E32EF2">
            <w:pPr>
              <w:pStyle w:val="TableText"/>
              <w:rPr>
                <w:szCs w:val="18"/>
              </w:rPr>
            </w:pPr>
            <w:r w:rsidRPr="00783571">
              <w:t>Percentage of needle-sharing partners within same age group</w:t>
            </w:r>
          </w:p>
        </w:tc>
        <w:tc>
          <w:tcPr>
            <w:tcW w:w="1797" w:type="dxa"/>
            <w:tcBorders>
              <w:top w:val="single" w:sz="4" w:space="0" w:color="808080" w:themeColor="background1" w:themeShade="80"/>
              <w:bottom w:val="single" w:sz="4" w:space="0" w:color="808080" w:themeColor="background1" w:themeShade="80"/>
            </w:tcBorders>
            <w:noWrap/>
          </w:tcPr>
          <w:p w14:paraId="6A9EAE84" w14:textId="58DA5E3F" w:rsidR="00E32EF2" w:rsidRPr="00783571" w:rsidRDefault="00E32EF2" w:rsidP="003E456A">
            <w:pPr>
              <w:pStyle w:val="TableText"/>
              <w:tabs>
                <w:tab w:val="decimal" w:pos="1172"/>
              </w:tabs>
              <w:rPr>
                <w:szCs w:val="18"/>
              </w:rPr>
            </w:pPr>
            <w:r w:rsidRPr="00783571">
              <w:t>568</w:t>
            </w:r>
          </w:p>
        </w:tc>
        <w:tc>
          <w:tcPr>
            <w:tcW w:w="1707" w:type="dxa"/>
            <w:tcBorders>
              <w:top w:val="single" w:sz="4" w:space="0" w:color="808080" w:themeColor="background1" w:themeShade="80"/>
              <w:bottom w:val="single" w:sz="4" w:space="0" w:color="808080" w:themeColor="background1" w:themeShade="80"/>
            </w:tcBorders>
            <w:noWrap/>
          </w:tcPr>
          <w:p w14:paraId="6499EC65" w14:textId="6286CE28" w:rsidR="00E32EF2" w:rsidRPr="00783571" w:rsidRDefault="00E32EF2" w:rsidP="003E456A">
            <w:pPr>
              <w:pStyle w:val="TableText"/>
              <w:tabs>
                <w:tab w:val="decimal" w:pos="1172"/>
              </w:tabs>
              <w:rPr>
                <w:szCs w:val="18"/>
              </w:rPr>
            </w:pPr>
            <w:r w:rsidRPr="00783571">
              <w:t>512</w:t>
            </w:r>
          </w:p>
        </w:tc>
      </w:tr>
      <w:tr w:rsidR="00E32EF2" w:rsidRPr="00783571" w14:paraId="1FC1B71B" w14:textId="77777777" w:rsidTr="004F70FA">
        <w:tc>
          <w:tcPr>
            <w:tcW w:w="826" w:type="dxa"/>
            <w:tcBorders>
              <w:top w:val="single" w:sz="4" w:space="0" w:color="808080" w:themeColor="background1" w:themeShade="80"/>
              <w:bottom w:val="single" w:sz="4" w:space="0" w:color="808080" w:themeColor="background1" w:themeShade="80"/>
            </w:tcBorders>
            <w:noWrap/>
            <w:hideMark/>
          </w:tcPr>
          <w:p w14:paraId="2F1DA190" w14:textId="7280AE56" w:rsidR="00E32EF2" w:rsidRPr="00783571" w:rsidRDefault="00E32EF2" w:rsidP="00E32EF2">
            <w:pPr>
              <w:pStyle w:val="TableText"/>
              <w:jc w:val="center"/>
              <w:rPr>
                <w:szCs w:val="18"/>
              </w:rPr>
            </w:pPr>
            <w:r w:rsidRPr="00783571">
              <w:t>32</w:t>
            </w:r>
          </w:p>
        </w:tc>
        <w:tc>
          <w:tcPr>
            <w:tcW w:w="5030" w:type="dxa"/>
            <w:tcBorders>
              <w:top w:val="single" w:sz="4" w:space="0" w:color="808080" w:themeColor="background1" w:themeShade="80"/>
              <w:bottom w:val="single" w:sz="4" w:space="0" w:color="808080" w:themeColor="background1" w:themeShade="80"/>
            </w:tcBorders>
            <w:noWrap/>
            <w:hideMark/>
          </w:tcPr>
          <w:p w14:paraId="1ECBE995" w14:textId="22DA1FD6" w:rsidR="00E32EF2" w:rsidRPr="00783571" w:rsidRDefault="00E32EF2" w:rsidP="00E32EF2">
            <w:pPr>
              <w:pStyle w:val="TableText"/>
              <w:rPr>
                <w:szCs w:val="18"/>
              </w:rPr>
            </w:pPr>
            <w:r w:rsidRPr="00783571">
              <w:t xml:space="preserve">Mixing: Percentage of needle sharing partners within each subgroup, PWID, </w:t>
            </w:r>
            <w:r w:rsidR="00E524D1" w:rsidRPr="00783571">
              <w:t>m</w:t>
            </w:r>
            <w:r w:rsidRPr="00783571">
              <w:t>ale</w:t>
            </w:r>
          </w:p>
        </w:tc>
        <w:tc>
          <w:tcPr>
            <w:tcW w:w="1797" w:type="dxa"/>
            <w:tcBorders>
              <w:top w:val="single" w:sz="4" w:space="0" w:color="808080" w:themeColor="background1" w:themeShade="80"/>
              <w:bottom w:val="single" w:sz="4" w:space="0" w:color="808080" w:themeColor="background1" w:themeShade="80"/>
            </w:tcBorders>
            <w:noWrap/>
            <w:hideMark/>
          </w:tcPr>
          <w:p w14:paraId="0FCCAB8F" w14:textId="54247F53" w:rsidR="00E32EF2" w:rsidRPr="00783571" w:rsidRDefault="00E32EF2" w:rsidP="003E456A">
            <w:pPr>
              <w:pStyle w:val="TableText"/>
              <w:tabs>
                <w:tab w:val="decimal" w:pos="1172"/>
              </w:tabs>
              <w:rPr>
                <w:szCs w:val="18"/>
              </w:rPr>
            </w:pPr>
            <w:r w:rsidRPr="00783571">
              <w:t>560</w:t>
            </w:r>
          </w:p>
        </w:tc>
        <w:tc>
          <w:tcPr>
            <w:tcW w:w="1707" w:type="dxa"/>
            <w:tcBorders>
              <w:top w:val="single" w:sz="4" w:space="0" w:color="808080" w:themeColor="background1" w:themeShade="80"/>
              <w:bottom w:val="single" w:sz="4" w:space="0" w:color="808080" w:themeColor="background1" w:themeShade="80"/>
            </w:tcBorders>
            <w:noWrap/>
            <w:hideMark/>
          </w:tcPr>
          <w:p w14:paraId="39DE49CB" w14:textId="79C8253E" w:rsidR="00E32EF2" w:rsidRPr="00783571" w:rsidRDefault="00E32EF2" w:rsidP="003E456A">
            <w:pPr>
              <w:pStyle w:val="TableText"/>
              <w:tabs>
                <w:tab w:val="decimal" w:pos="1172"/>
              </w:tabs>
              <w:rPr>
                <w:szCs w:val="18"/>
              </w:rPr>
            </w:pPr>
            <w:r w:rsidRPr="00783571">
              <w:t>919</w:t>
            </w:r>
          </w:p>
        </w:tc>
      </w:tr>
      <w:tr w:rsidR="00E32EF2" w:rsidRPr="00783571" w14:paraId="54A2B632" w14:textId="77777777" w:rsidTr="004F70FA">
        <w:trPr>
          <w:trHeight w:val="440"/>
        </w:trPr>
        <w:tc>
          <w:tcPr>
            <w:tcW w:w="826" w:type="dxa"/>
            <w:tcBorders>
              <w:top w:val="single" w:sz="4" w:space="0" w:color="808080" w:themeColor="background1" w:themeShade="80"/>
              <w:bottom w:val="single" w:sz="12" w:space="0" w:color="auto"/>
            </w:tcBorders>
            <w:noWrap/>
            <w:hideMark/>
          </w:tcPr>
          <w:p w14:paraId="659A4FC9" w14:textId="0470FF45" w:rsidR="00E32EF2" w:rsidRPr="00783571" w:rsidRDefault="00E32EF2" w:rsidP="00E32EF2">
            <w:pPr>
              <w:pStyle w:val="TableText"/>
              <w:jc w:val="center"/>
              <w:rPr>
                <w:szCs w:val="18"/>
              </w:rPr>
            </w:pPr>
            <w:r w:rsidRPr="00783571">
              <w:t>31</w:t>
            </w:r>
          </w:p>
        </w:tc>
        <w:tc>
          <w:tcPr>
            <w:tcW w:w="5030" w:type="dxa"/>
            <w:tcBorders>
              <w:top w:val="single" w:sz="4" w:space="0" w:color="808080" w:themeColor="background1" w:themeShade="80"/>
              <w:bottom w:val="single" w:sz="12" w:space="0" w:color="auto"/>
            </w:tcBorders>
            <w:noWrap/>
            <w:hideMark/>
          </w:tcPr>
          <w:p w14:paraId="6BF3CF13" w14:textId="7BC87067" w:rsidR="00E32EF2" w:rsidRPr="00783571" w:rsidRDefault="00E32EF2" w:rsidP="00E32EF2">
            <w:pPr>
              <w:pStyle w:val="TableText"/>
              <w:rPr>
                <w:szCs w:val="18"/>
              </w:rPr>
            </w:pPr>
            <w:r w:rsidRPr="00783571">
              <w:t>Percentage of PWID females' sexual partners with HET males (versus MSM and male PWID)</w:t>
            </w:r>
          </w:p>
        </w:tc>
        <w:tc>
          <w:tcPr>
            <w:tcW w:w="1797" w:type="dxa"/>
            <w:tcBorders>
              <w:top w:val="single" w:sz="4" w:space="0" w:color="808080" w:themeColor="background1" w:themeShade="80"/>
              <w:bottom w:val="single" w:sz="12" w:space="0" w:color="auto"/>
            </w:tcBorders>
            <w:noWrap/>
            <w:hideMark/>
          </w:tcPr>
          <w:p w14:paraId="035BEBD1" w14:textId="3AA8A34A" w:rsidR="00E32EF2" w:rsidRPr="00783571" w:rsidRDefault="00E32EF2" w:rsidP="003E456A">
            <w:pPr>
              <w:pStyle w:val="TableText"/>
              <w:tabs>
                <w:tab w:val="decimal" w:pos="1172"/>
              </w:tabs>
              <w:rPr>
                <w:szCs w:val="18"/>
              </w:rPr>
            </w:pPr>
            <w:r w:rsidRPr="00783571">
              <w:t>389</w:t>
            </w:r>
          </w:p>
        </w:tc>
        <w:tc>
          <w:tcPr>
            <w:tcW w:w="1707" w:type="dxa"/>
            <w:tcBorders>
              <w:top w:val="single" w:sz="4" w:space="0" w:color="808080" w:themeColor="background1" w:themeShade="80"/>
              <w:bottom w:val="single" w:sz="12" w:space="0" w:color="auto"/>
            </w:tcBorders>
            <w:noWrap/>
            <w:hideMark/>
          </w:tcPr>
          <w:p w14:paraId="78725137" w14:textId="2CCC4F49" w:rsidR="00E32EF2" w:rsidRPr="00783571" w:rsidRDefault="00E32EF2" w:rsidP="003E456A">
            <w:pPr>
              <w:pStyle w:val="TableText"/>
              <w:tabs>
                <w:tab w:val="decimal" w:pos="1172"/>
              </w:tabs>
              <w:rPr>
                <w:szCs w:val="18"/>
              </w:rPr>
            </w:pPr>
            <w:r w:rsidRPr="00783571">
              <w:t>599</w:t>
            </w:r>
          </w:p>
        </w:tc>
      </w:tr>
    </w:tbl>
    <w:p w14:paraId="536266BC" w14:textId="6C7A8338" w:rsidR="002A08CE" w:rsidRPr="00783571" w:rsidRDefault="002A08CE" w:rsidP="003E456A">
      <w:pPr>
        <w:pStyle w:val="Source2"/>
      </w:pPr>
      <w:bookmarkStart w:id="137" w:name="_Hlk494453200"/>
      <w:r w:rsidRPr="00783571">
        <w:t>ART = antiretroviral therapy; HET = heterosexual; MSM = men who have sex with men; PWID = people who inject drugs; VLS = viral load suppressed</w:t>
      </w:r>
      <w:bookmarkEnd w:id="137"/>
      <w:r w:rsidR="00E524D1" w:rsidRPr="00783571">
        <w:t>.</w:t>
      </w:r>
    </w:p>
    <w:p w14:paraId="2B0B0AF5" w14:textId="4C52CE98" w:rsidR="00E4212D" w:rsidRPr="00783571" w:rsidRDefault="002A08CE" w:rsidP="003E456A">
      <w:pPr>
        <w:pStyle w:val="Source3"/>
      </w:pPr>
      <w:r w:rsidRPr="00783571">
        <w:rPr>
          <w:vertAlign w:val="superscript"/>
        </w:rPr>
        <w:t xml:space="preserve">a </w:t>
      </w:r>
      <w:r w:rsidR="007755BE" w:rsidRPr="00783571">
        <w:t>5</w:t>
      </w:r>
      <w:r w:rsidR="0010154C" w:rsidRPr="00783571">
        <w:t xml:space="preserve">2 inputs were selected based on uncertainty about their values and whether their values may depend on program implementation. </w:t>
      </w:r>
      <w:r w:rsidR="000A562B" w:rsidRPr="00783571">
        <w:t xml:space="preserve">The number and name of the </w:t>
      </w:r>
      <w:r w:rsidR="001B428A" w:rsidRPr="00783571">
        <w:t xml:space="preserve">20 </w:t>
      </w:r>
      <w:r w:rsidR="000A562B" w:rsidRPr="00783571">
        <w:t>inputs with the largest mean absolute elementary effects are bolded. Those inputs were varied in the one-way sensitivity analysis.</w:t>
      </w:r>
    </w:p>
    <w:p w14:paraId="4FB19598" w14:textId="4C2F58DE" w:rsidR="0010154C" w:rsidRPr="00783571" w:rsidRDefault="0010154C" w:rsidP="007B145B">
      <w:pPr>
        <w:pStyle w:val="Source4"/>
        <w:ind w:left="0" w:firstLine="0"/>
      </w:pPr>
      <w:r w:rsidRPr="00783571">
        <w:rPr>
          <w:vertAlign w:val="superscript"/>
        </w:rPr>
        <w:t xml:space="preserve">b </w:t>
      </w:r>
      <w:r w:rsidRPr="00783571">
        <w:t>Calculated using Equation 12.4.</w:t>
      </w:r>
      <w:r w:rsidR="0061048F" w:rsidRPr="00783571">
        <w:br/>
      </w:r>
      <w:r w:rsidR="0061048F" w:rsidRPr="00783571">
        <w:rPr>
          <w:vertAlign w:val="superscript"/>
        </w:rPr>
        <w:t xml:space="preserve">c </w:t>
      </w:r>
      <w:r w:rsidR="0061048F" w:rsidRPr="00783571">
        <w:t>Calculated using Equation 12.5.</w:t>
      </w:r>
    </w:p>
    <w:p w14:paraId="1E62D80A" w14:textId="1F14F633" w:rsidR="008A16BA" w:rsidRPr="00783571" w:rsidRDefault="008A16BA" w:rsidP="00911B01">
      <w:pPr>
        <w:pStyle w:val="FigureTitle"/>
      </w:pPr>
      <w:bookmarkStart w:id="138" w:name="_Toc498078974"/>
      <w:r w:rsidRPr="00783571">
        <w:t xml:space="preserve">Figure </w:t>
      </w:r>
      <w:r w:rsidR="00CC1DD7" w:rsidRPr="00783571">
        <w:t>12.</w:t>
      </w:r>
      <w:r w:rsidRPr="00783571">
        <w:t>1</w:t>
      </w:r>
      <w:r w:rsidRPr="00783571">
        <w:tab/>
        <w:t xml:space="preserve">Elementary </w:t>
      </w:r>
      <w:r w:rsidR="006D322B" w:rsidRPr="00783571">
        <w:t>Effects Analysis Results</w:t>
      </w:r>
      <w:r w:rsidR="00B65F7F" w:rsidRPr="00783571">
        <w:t xml:space="preserve"> for </w:t>
      </w:r>
      <w:r w:rsidR="001D3B67" w:rsidRPr="00783571">
        <w:t xml:space="preserve">Total </w:t>
      </w:r>
      <w:r w:rsidR="00AB1E10" w:rsidRPr="00783571">
        <w:t xml:space="preserve">U.S. HIV Incidence </w:t>
      </w:r>
      <w:r w:rsidR="001D3B67" w:rsidRPr="00783571">
        <w:t>in 2020</w:t>
      </w:r>
      <w:r w:rsidR="006D322B" w:rsidRPr="00783571">
        <w:t>:</w:t>
      </w:r>
      <w:r w:rsidRPr="00783571">
        <w:t xml:space="preserve"> Standard </w:t>
      </w:r>
      <w:r w:rsidR="006D322B" w:rsidRPr="00783571">
        <w:t xml:space="preserve">Deviation </w:t>
      </w:r>
      <w:r w:rsidRPr="00783571">
        <w:t xml:space="preserve">of the </w:t>
      </w:r>
      <w:r w:rsidR="006D322B" w:rsidRPr="00783571">
        <w:t>Elementary Effects Versus Mean</w:t>
      </w:r>
      <w:r w:rsidRPr="00783571">
        <w:t xml:space="preserve"> of </w:t>
      </w:r>
      <w:r w:rsidR="006D322B" w:rsidRPr="00783571">
        <w:t>Absolute Elementary Effects</w:t>
      </w:r>
      <w:r w:rsidRPr="00783571">
        <w:t xml:space="preserve"> for </w:t>
      </w:r>
      <w:r w:rsidR="001D3B67" w:rsidRPr="00783571">
        <w:t xml:space="preserve">52 </w:t>
      </w:r>
      <w:r w:rsidR="006D322B" w:rsidRPr="00783571">
        <w:t>Inputs</w:t>
      </w:r>
      <w:r w:rsidRPr="00783571">
        <w:t xml:space="preserve"> (</w:t>
      </w:r>
      <w:r w:rsidR="006D322B" w:rsidRPr="00783571">
        <w:t xml:space="preserve">Using Input Numbers Defined </w:t>
      </w:r>
      <w:r w:rsidRPr="00783571">
        <w:t xml:space="preserve">in </w:t>
      </w:r>
      <w:r w:rsidR="00F113A0" w:rsidRPr="00783571">
        <w:t>Table</w:t>
      </w:r>
      <w:r w:rsidRPr="00783571">
        <w:t xml:space="preserve"> </w:t>
      </w:r>
      <w:r w:rsidR="00CC1DD7" w:rsidRPr="00783571">
        <w:t>12.</w:t>
      </w:r>
      <w:r w:rsidRPr="00783571">
        <w:t>1)</w:t>
      </w:r>
      <w:bookmarkEnd w:id="138"/>
    </w:p>
    <w:p w14:paraId="7B4A6993" w14:textId="28C3603D" w:rsidR="00E4212D" w:rsidRPr="00783571" w:rsidRDefault="001D3B67" w:rsidP="006D322B">
      <w:pPr>
        <w:pStyle w:val="figurewbox"/>
      </w:pPr>
      <w:r w:rsidRPr="00783571">
        <w:rPr>
          <w:noProof/>
        </w:rPr>
        <w:drawing>
          <wp:inline distT="0" distB="0" distL="0" distR="0" wp14:anchorId="2D3D277F" wp14:editId="34256E8E">
            <wp:extent cx="5463540" cy="2971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2"/>
                    <a:srcRect l="1487" t="5048" r="1600" b="1202"/>
                    <a:stretch/>
                  </pic:blipFill>
                  <pic:spPr bwMode="auto">
                    <a:xfrm>
                      <a:off x="0" y="0"/>
                      <a:ext cx="5464164" cy="2972140"/>
                    </a:xfrm>
                    <a:prstGeom prst="rect">
                      <a:avLst/>
                    </a:prstGeom>
                    <a:ln>
                      <a:noFill/>
                    </a:ln>
                    <a:extLst>
                      <a:ext uri="{53640926-AAD7-44D8-BBD7-CCE9431645EC}">
                        <a14:shadowObscured xmlns:a14="http://schemas.microsoft.com/office/drawing/2010/main"/>
                      </a:ext>
                    </a:extLst>
                  </pic:spPr>
                </pic:pic>
              </a:graphicData>
            </a:graphic>
          </wp:inline>
        </w:drawing>
      </w:r>
    </w:p>
    <w:p w14:paraId="0B3D0F5F" w14:textId="2B71C8E5" w:rsidR="006D322B" w:rsidRPr="00783571" w:rsidRDefault="006D322B" w:rsidP="006D322B">
      <w:pPr>
        <w:pStyle w:val="Source1"/>
      </w:pPr>
    </w:p>
    <w:p w14:paraId="3BA0EB37" w14:textId="77777777" w:rsidR="006D60BF" w:rsidRPr="00783571" w:rsidRDefault="006D60BF" w:rsidP="006D60BF">
      <w:pPr>
        <w:pStyle w:val="Heading2"/>
      </w:pPr>
      <w:bookmarkStart w:id="139" w:name="_Toc494985098"/>
      <w:bookmarkStart w:id="140" w:name="_Toc510104494"/>
      <w:r w:rsidRPr="00783571">
        <w:rPr>
          <w:rFonts w:cs="Arial"/>
          <w:sz w:val="22"/>
          <w:szCs w:val="22"/>
        </w:rPr>
        <w:t>Values and Sources for Key Model Parameters</w:t>
      </w:r>
      <w:bookmarkEnd w:id="139"/>
      <w:bookmarkEnd w:id="140"/>
    </w:p>
    <w:p w14:paraId="4734CB17" w14:textId="3D6605D6" w:rsidR="00F821CB" w:rsidRPr="00783571" w:rsidRDefault="00F821CB" w:rsidP="00912097">
      <w:pPr>
        <w:pStyle w:val="BodyText"/>
      </w:pPr>
      <w:r w:rsidRPr="00783571">
        <w:t xml:space="preserve">The values and sources for the 20 inputs with the largest mean absolute elementary effects, </w:t>
      </w:r>
      <w:r w:rsidR="00912097" w:rsidRPr="00783571">
        <w:t>and</w:t>
      </w:r>
      <w:r w:rsidRPr="00783571">
        <w:t xml:space="preserve"> their sources and assumptions, are listed in </w:t>
      </w:r>
      <w:r w:rsidR="00814158" w:rsidRPr="00783571">
        <w:t>Table </w:t>
      </w:r>
      <w:r w:rsidRPr="00783571">
        <w:t>12.2</w:t>
      </w:r>
      <w:r w:rsidR="006D60BF" w:rsidRPr="00783571">
        <w:t xml:space="preserve"> in order of the magnitude of the absolute elementary effect</w:t>
      </w:r>
      <w:r w:rsidRPr="00783571">
        <w:t>.</w:t>
      </w:r>
    </w:p>
    <w:p w14:paraId="02438A6B" w14:textId="7B0E7A53" w:rsidR="00F821CB" w:rsidRPr="00783571" w:rsidRDefault="00F821CB" w:rsidP="00F821CB">
      <w:pPr>
        <w:pStyle w:val="TableTitle"/>
      </w:pPr>
      <w:bookmarkStart w:id="141" w:name="_Toc510104052"/>
      <w:r w:rsidRPr="00783571">
        <w:t>Table 12.2</w:t>
      </w:r>
      <w:r w:rsidR="003E456A" w:rsidRPr="00783571">
        <w:t>.</w:t>
      </w:r>
      <w:r w:rsidR="003E456A" w:rsidRPr="00783571">
        <w:tab/>
      </w:r>
      <w:r w:rsidRPr="00783571">
        <w:t xml:space="preserve">Values and </w:t>
      </w:r>
      <w:r w:rsidR="003E456A" w:rsidRPr="00783571">
        <w:t xml:space="preserve">Sources </w:t>
      </w:r>
      <w:r w:rsidRPr="00783571">
        <w:t xml:space="preserve">of </w:t>
      </w:r>
      <w:r w:rsidR="003E456A" w:rsidRPr="00783571">
        <w:t>Key Model Parameters</w:t>
      </w:r>
      <w:bookmarkEnd w:id="141"/>
    </w:p>
    <w:tbl>
      <w:tblPr>
        <w:tblStyle w:val="TableFormat4"/>
        <w:tblW w:w="9360" w:type="dxa"/>
        <w:tblInd w:w="0" w:type="dxa"/>
        <w:tblLayout w:type="fixed"/>
        <w:tblLook w:val="04A0" w:firstRow="1" w:lastRow="0" w:firstColumn="1" w:lastColumn="0" w:noHBand="0" w:noVBand="1"/>
      </w:tblPr>
      <w:tblGrid>
        <w:gridCol w:w="3119"/>
        <w:gridCol w:w="3541"/>
        <w:gridCol w:w="2700"/>
      </w:tblGrid>
      <w:tr w:rsidR="00F821CB" w:rsidRPr="00783571" w14:paraId="22BA94C8" w14:textId="77777777" w:rsidTr="00D15349">
        <w:trPr>
          <w:cnfStyle w:val="100000000000" w:firstRow="1" w:lastRow="0" w:firstColumn="0" w:lastColumn="0" w:oddVBand="0" w:evenVBand="0" w:oddHBand="0" w:evenHBand="0" w:firstRowFirstColumn="0" w:firstRowLastColumn="0" w:lastRowFirstColumn="0" w:lastRowLastColumn="0"/>
          <w:tblHeader/>
        </w:trPr>
        <w:tc>
          <w:tcPr>
            <w:tcW w:w="3119" w:type="dxa"/>
            <w:vAlign w:val="bottom"/>
          </w:tcPr>
          <w:p w14:paraId="7421DD25" w14:textId="77777777" w:rsidR="00F821CB" w:rsidRPr="00783571" w:rsidRDefault="00F821CB" w:rsidP="004A1ECD">
            <w:pPr>
              <w:pStyle w:val="TableHeaders"/>
            </w:pPr>
            <w:r w:rsidRPr="00783571">
              <w:t>Input</w:t>
            </w:r>
          </w:p>
        </w:tc>
        <w:tc>
          <w:tcPr>
            <w:tcW w:w="3541" w:type="dxa"/>
            <w:vAlign w:val="bottom"/>
          </w:tcPr>
          <w:p w14:paraId="42944E95" w14:textId="21766B21" w:rsidR="00F821CB" w:rsidRPr="00783571" w:rsidRDefault="003E456A" w:rsidP="004A1ECD">
            <w:pPr>
              <w:pStyle w:val="TableHeaders"/>
            </w:pPr>
            <w:r w:rsidRPr="00783571">
              <w:t>Value</w:t>
            </w:r>
          </w:p>
        </w:tc>
        <w:tc>
          <w:tcPr>
            <w:tcW w:w="2700" w:type="dxa"/>
            <w:vAlign w:val="bottom"/>
          </w:tcPr>
          <w:p w14:paraId="4E977043" w14:textId="77777777" w:rsidR="00F821CB" w:rsidRPr="00783571" w:rsidRDefault="00F821CB" w:rsidP="004A1ECD">
            <w:pPr>
              <w:pStyle w:val="TableHeaders"/>
            </w:pPr>
            <w:r w:rsidRPr="00783571">
              <w:t>Source</w:t>
            </w:r>
          </w:p>
        </w:tc>
      </w:tr>
      <w:tr w:rsidR="00F821CB" w:rsidRPr="00783571" w14:paraId="400B2673" w14:textId="77777777" w:rsidTr="00D15349">
        <w:tc>
          <w:tcPr>
            <w:tcW w:w="3119" w:type="dxa"/>
          </w:tcPr>
          <w:p w14:paraId="6AEA7959" w14:textId="518212AA" w:rsidR="00F821CB" w:rsidRPr="00783571" w:rsidRDefault="00F821CB" w:rsidP="00430AFB">
            <w:pPr>
              <w:pStyle w:val="TableText"/>
              <w:rPr>
                <w:vertAlign w:val="superscript"/>
              </w:rPr>
            </w:pPr>
            <w:r w:rsidRPr="00783571">
              <w:t>Annual number of sexual partners per person</w:t>
            </w:r>
            <w:r w:rsidRPr="00783571">
              <w:rPr>
                <w:vertAlign w:val="superscript"/>
              </w:rPr>
              <w:t>a</w:t>
            </w:r>
          </w:p>
        </w:tc>
        <w:tc>
          <w:tcPr>
            <w:tcW w:w="3541" w:type="dxa"/>
          </w:tcPr>
          <w:p w14:paraId="2BE29232" w14:textId="7E6A48C3" w:rsidR="00F821CB" w:rsidRPr="00783571" w:rsidRDefault="00F821CB" w:rsidP="00430AFB">
            <w:pPr>
              <w:pStyle w:val="TableText"/>
            </w:pPr>
            <w:r w:rsidRPr="00783571">
              <w:t>High Risk HET Males:</w:t>
            </w:r>
            <w:r w:rsidR="004A1ECD" w:rsidRPr="00783571">
              <w:t xml:space="preserve"> </w:t>
            </w:r>
            <w:r w:rsidRPr="00783571">
              <w:t>9.4/6.3/4.5</w:t>
            </w:r>
          </w:p>
          <w:p w14:paraId="2849322E" w14:textId="402583F6" w:rsidR="00F821CB" w:rsidRPr="00783571" w:rsidRDefault="00F821CB" w:rsidP="00430AFB">
            <w:pPr>
              <w:pStyle w:val="TableText"/>
            </w:pPr>
            <w:r w:rsidRPr="00783571">
              <w:t>High Risk HET Females:</w:t>
            </w:r>
            <w:r w:rsidR="004A1ECD" w:rsidRPr="00783571">
              <w:t xml:space="preserve"> </w:t>
            </w:r>
            <w:r w:rsidRPr="00783571">
              <w:t>5.1/3.8/3.1</w:t>
            </w:r>
          </w:p>
          <w:p w14:paraId="43A12318" w14:textId="4AF45474" w:rsidR="00F821CB" w:rsidRPr="00783571" w:rsidRDefault="00F821CB" w:rsidP="00430AFB">
            <w:pPr>
              <w:pStyle w:val="TableText"/>
            </w:pPr>
            <w:r w:rsidRPr="00783571">
              <w:t>Low Risk HET Ma</w:t>
            </w:r>
            <w:r w:rsidR="008C6A34" w:rsidRPr="00783571">
              <w:t>l</w:t>
            </w:r>
            <w:r w:rsidR="004A1ECD" w:rsidRPr="00783571">
              <w:t xml:space="preserve">es: </w:t>
            </w:r>
            <w:r w:rsidRPr="00783571">
              <w:t>1.4/1.1/0.8</w:t>
            </w:r>
          </w:p>
          <w:p w14:paraId="7BD086A7" w14:textId="7AF3819F" w:rsidR="00F821CB" w:rsidRPr="00783571" w:rsidRDefault="004A1ECD" w:rsidP="00430AFB">
            <w:pPr>
              <w:pStyle w:val="TableText"/>
            </w:pPr>
            <w:r w:rsidRPr="00783571">
              <w:t>Low Risk HET Females: 1.0/0.8/0.8</w:t>
            </w:r>
          </w:p>
        </w:tc>
        <w:tc>
          <w:tcPr>
            <w:tcW w:w="2700" w:type="dxa"/>
          </w:tcPr>
          <w:p w14:paraId="09CAB194" w14:textId="77777777" w:rsidR="00F821CB" w:rsidRPr="00783571" w:rsidRDefault="00F821CB" w:rsidP="00430AFB">
            <w:pPr>
              <w:pStyle w:val="TableText"/>
              <w:rPr>
                <w:vertAlign w:val="superscript"/>
              </w:rPr>
            </w:pPr>
            <w:r w:rsidRPr="00783571">
              <w:t>Calculated from CDC unpublished data based on NHBS</w:t>
            </w:r>
            <w:r w:rsidRPr="00783571">
              <w:rPr>
                <w:vertAlign w:val="superscript"/>
              </w:rPr>
              <w:t>b</w:t>
            </w:r>
          </w:p>
        </w:tc>
      </w:tr>
      <w:tr w:rsidR="00F821CB" w:rsidRPr="00783571" w14:paraId="7044E7C6" w14:textId="77777777" w:rsidTr="007B145B">
        <w:tc>
          <w:tcPr>
            <w:tcW w:w="3119" w:type="dxa"/>
            <w:tcBorders>
              <w:bottom w:val="nil"/>
            </w:tcBorders>
          </w:tcPr>
          <w:p w14:paraId="49669CED" w14:textId="044925C9" w:rsidR="00F821CB" w:rsidRPr="00783571" w:rsidRDefault="00F821CB" w:rsidP="00430AFB">
            <w:pPr>
              <w:pStyle w:val="TableText"/>
              <w:rPr>
                <w:color w:val="000000"/>
              </w:rPr>
            </w:pPr>
            <w:r w:rsidRPr="00783571">
              <w:rPr>
                <w:color w:val="000000"/>
              </w:rPr>
              <w:t>Annual number of sex</w:t>
            </w:r>
            <w:r w:rsidR="00912097" w:rsidRPr="00783571">
              <w:rPr>
                <w:color w:val="000000"/>
              </w:rPr>
              <w:t xml:space="preserve"> </w:t>
            </w:r>
            <w:r w:rsidR="004A1ECD" w:rsidRPr="00783571">
              <w:rPr>
                <w:color w:val="000000"/>
              </w:rPr>
              <w:t>acts per person</w:t>
            </w:r>
          </w:p>
        </w:tc>
        <w:tc>
          <w:tcPr>
            <w:tcW w:w="3541" w:type="dxa"/>
            <w:tcBorders>
              <w:bottom w:val="nil"/>
            </w:tcBorders>
          </w:tcPr>
          <w:p w14:paraId="009EFDBA" w14:textId="77777777" w:rsidR="00F821CB" w:rsidRPr="00783571" w:rsidRDefault="00F821CB" w:rsidP="00430AFB">
            <w:pPr>
              <w:pStyle w:val="TableText"/>
            </w:pPr>
            <w:r w:rsidRPr="00783571">
              <w:t>High-risk HETs: 200</w:t>
            </w:r>
          </w:p>
          <w:p w14:paraId="6E7882F0" w14:textId="77777777" w:rsidR="00F821CB" w:rsidRPr="00783571" w:rsidRDefault="00F821CB" w:rsidP="00430AFB">
            <w:pPr>
              <w:pStyle w:val="TableText"/>
            </w:pPr>
            <w:r w:rsidRPr="00783571">
              <w:t>Low-risk HETs: 30</w:t>
            </w:r>
          </w:p>
        </w:tc>
        <w:tc>
          <w:tcPr>
            <w:tcW w:w="2700" w:type="dxa"/>
            <w:tcBorders>
              <w:bottom w:val="nil"/>
            </w:tcBorders>
          </w:tcPr>
          <w:p w14:paraId="20441E23" w14:textId="77777777" w:rsidR="00F821CB" w:rsidRPr="00783571" w:rsidRDefault="00F821CB" w:rsidP="00430AFB">
            <w:pPr>
              <w:pStyle w:val="TableText"/>
              <w:rPr>
                <w:vertAlign w:val="superscript"/>
              </w:rPr>
            </w:pPr>
            <w:r w:rsidRPr="00783571">
              <w:t>Estimated</w:t>
            </w:r>
            <w:r w:rsidRPr="00783571">
              <w:rPr>
                <w:vertAlign w:val="superscript"/>
              </w:rPr>
              <w:t>c</w:t>
            </w:r>
          </w:p>
        </w:tc>
      </w:tr>
      <w:tr w:rsidR="00F821CB" w:rsidRPr="00783571" w14:paraId="7160563B" w14:textId="77777777" w:rsidTr="007B145B">
        <w:tc>
          <w:tcPr>
            <w:tcW w:w="3119" w:type="dxa"/>
            <w:tcBorders>
              <w:top w:val="nil"/>
              <w:bottom w:val="single" w:sz="4" w:space="0" w:color="auto"/>
            </w:tcBorders>
          </w:tcPr>
          <w:p w14:paraId="1E7C8693" w14:textId="77777777" w:rsidR="00F821CB" w:rsidRPr="00783571" w:rsidRDefault="00F821CB" w:rsidP="00430AFB">
            <w:pPr>
              <w:pStyle w:val="TableText"/>
            </w:pPr>
            <w:r w:rsidRPr="00783571">
              <w:t>Percentage of HET females' sexual partners with HET males (versus MSM and male PWID)</w:t>
            </w:r>
          </w:p>
        </w:tc>
        <w:tc>
          <w:tcPr>
            <w:tcW w:w="3541" w:type="dxa"/>
            <w:tcBorders>
              <w:top w:val="nil"/>
              <w:bottom w:val="single" w:sz="4" w:space="0" w:color="auto"/>
            </w:tcBorders>
          </w:tcPr>
          <w:p w14:paraId="2A4381C2" w14:textId="77777777" w:rsidR="00F821CB" w:rsidRPr="00783571" w:rsidRDefault="00F821CB" w:rsidP="00430AFB">
            <w:pPr>
              <w:pStyle w:val="TableText"/>
            </w:pPr>
            <w:r w:rsidRPr="00783571">
              <w:t>97.2%</w:t>
            </w:r>
          </w:p>
        </w:tc>
        <w:tc>
          <w:tcPr>
            <w:tcW w:w="2700" w:type="dxa"/>
            <w:tcBorders>
              <w:top w:val="nil"/>
              <w:bottom w:val="single" w:sz="4" w:space="0" w:color="auto"/>
            </w:tcBorders>
          </w:tcPr>
          <w:p w14:paraId="7AD5A678" w14:textId="77777777" w:rsidR="00F821CB" w:rsidRPr="00783571" w:rsidRDefault="00F821CB" w:rsidP="00430AFB">
            <w:pPr>
              <w:pStyle w:val="TableText"/>
            </w:pPr>
            <w:r w:rsidRPr="00783571">
              <w:t>Calibration</w:t>
            </w:r>
          </w:p>
        </w:tc>
      </w:tr>
    </w:tbl>
    <w:p w14:paraId="7E51BA48" w14:textId="229025C3" w:rsidR="004A1ECD" w:rsidRPr="00783571" w:rsidRDefault="004A1ECD" w:rsidP="00D15349">
      <w:pPr>
        <w:pStyle w:val="Tablecont"/>
        <w:ind w:right="0"/>
      </w:pPr>
      <w:r w:rsidRPr="00783571">
        <w:t>(continued)</w:t>
      </w:r>
    </w:p>
    <w:p w14:paraId="703D683D" w14:textId="1F1736E2" w:rsidR="004A1ECD" w:rsidRPr="00783571" w:rsidRDefault="004A1ECD" w:rsidP="004A1ECD">
      <w:pPr>
        <w:pStyle w:val="TableTitlecont"/>
      </w:pPr>
      <w:r w:rsidRPr="00783571">
        <w:t>Table 12.2.</w:t>
      </w:r>
      <w:r w:rsidRPr="00783571">
        <w:tab/>
        <w:t>Values and Sources of Key Model Parameters (continued)</w:t>
      </w:r>
    </w:p>
    <w:tbl>
      <w:tblPr>
        <w:tblStyle w:val="TableFormat4"/>
        <w:tblW w:w="9374" w:type="dxa"/>
        <w:tblInd w:w="0" w:type="dxa"/>
        <w:tblLayout w:type="fixed"/>
        <w:tblLook w:val="04A0" w:firstRow="1" w:lastRow="0" w:firstColumn="1" w:lastColumn="0" w:noHBand="0" w:noVBand="1"/>
      </w:tblPr>
      <w:tblGrid>
        <w:gridCol w:w="3253"/>
        <w:gridCol w:w="3469"/>
        <w:gridCol w:w="2652"/>
      </w:tblGrid>
      <w:tr w:rsidR="004A1ECD" w:rsidRPr="00783571" w14:paraId="55677025" w14:textId="77777777" w:rsidTr="007B145B">
        <w:trPr>
          <w:cnfStyle w:val="100000000000" w:firstRow="1" w:lastRow="0" w:firstColumn="0" w:lastColumn="0" w:oddVBand="0" w:evenVBand="0" w:oddHBand="0" w:evenHBand="0" w:firstRowFirstColumn="0" w:firstRowLastColumn="0" w:lastRowFirstColumn="0" w:lastRowLastColumn="0"/>
          <w:tblHeader/>
        </w:trPr>
        <w:tc>
          <w:tcPr>
            <w:tcW w:w="3253" w:type="dxa"/>
            <w:vAlign w:val="bottom"/>
          </w:tcPr>
          <w:p w14:paraId="7ED4D8CD" w14:textId="77777777" w:rsidR="004A1ECD" w:rsidRPr="00783571" w:rsidRDefault="004A1ECD" w:rsidP="003E37E1">
            <w:pPr>
              <w:pStyle w:val="TableHeaders"/>
            </w:pPr>
            <w:r w:rsidRPr="00783571">
              <w:t>Input</w:t>
            </w:r>
          </w:p>
        </w:tc>
        <w:tc>
          <w:tcPr>
            <w:tcW w:w="3469" w:type="dxa"/>
            <w:vAlign w:val="bottom"/>
          </w:tcPr>
          <w:p w14:paraId="468E3F5C" w14:textId="77777777" w:rsidR="004A1ECD" w:rsidRPr="00783571" w:rsidRDefault="004A1ECD" w:rsidP="003E37E1">
            <w:pPr>
              <w:pStyle w:val="TableHeaders"/>
            </w:pPr>
            <w:r w:rsidRPr="00783571">
              <w:t>Value</w:t>
            </w:r>
          </w:p>
        </w:tc>
        <w:tc>
          <w:tcPr>
            <w:tcW w:w="2652" w:type="dxa"/>
            <w:vAlign w:val="bottom"/>
          </w:tcPr>
          <w:p w14:paraId="5A21953F" w14:textId="77777777" w:rsidR="004A1ECD" w:rsidRPr="00783571" w:rsidRDefault="004A1ECD" w:rsidP="003E37E1">
            <w:pPr>
              <w:pStyle w:val="TableHeaders"/>
            </w:pPr>
            <w:r w:rsidRPr="00783571">
              <w:t>Source</w:t>
            </w:r>
          </w:p>
        </w:tc>
      </w:tr>
      <w:tr w:rsidR="00617A02" w:rsidRPr="00783571" w14:paraId="0555CCE3" w14:textId="77777777" w:rsidTr="00617A02">
        <w:tc>
          <w:tcPr>
            <w:tcW w:w="3253" w:type="dxa"/>
          </w:tcPr>
          <w:p w14:paraId="620B825A" w14:textId="626B6F83" w:rsidR="00617A02" w:rsidRPr="00783571" w:rsidRDefault="00617A02" w:rsidP="004A1ECD">
            <w:pPr>
              <w:pStyle w:val="TableText"/>
            </w:pPr>
            <w:r w:rsidRPr="00783571">
              <w:t>Percentage of MSM's sexual partners with MSM (versus HET females and female PWID)</w:t>
            </w:r>
          </w:p>
        </w:tc>
        <w:tc>
          <w:tcPr>
            <w:tcW w:w="3469" w:type="dxa"/>
          </w:tcPr>
          <w:p w14:paraId="6E94A00B" w14:textId="320DD14B" w:rsidR="00617A02" w:rsidRPr="00783571" w:rsidRDefault="00617A02" w:rsidP="004A1ECD">
            <w:pPr>
              <w:pStyle w:val="TableText"/>
            </w:pPr>
            <w:r w:rsidRPr="00783571">
              <w:t>60.5%</w:t>
            </w:r>
          </w:p>
        </w:tc>
        <w:tc>
          <w:tcPr>
            <w:tcW w:w="2652" w:type="dxa"/>
          </w:tcPr>
          <w:p w14:paraId="56CCAEAB" w14:textId="613B8E8F" w:rsidR="00617A02" w:rsidRPr="00783571" w:rsidRDefault="00617A02" w:rsidP="004A1ECD">
            <w:pPr>
              <w:pStyle w:val="TableText"/>
            </w:pPr>
            <w:r w:rsidRPr="00783571">
              <w:t>Calibration</w:t>
            </w:r>
          </w:p>
        </w:tc>
      </w:tr>
      <w:tr w:rsidR="00F821CB" w:rsidRPr="00783571" w14:paraId="3F8C9117" w14:textId="77777777" w:rsidTr="007B145B">
        <w:tc>
          <w:tcPr>
            <w:tcW w:w="3253" w:type="dxa"/>
          </w:tcPr>
          <w:p w14:paraId="7A96A0E7" w14:textId="05FA3FB3" w:rsidR="00F821CB" w:rsidRPr="00783571" w:rsidRDefault="00F821CB" w:rsidP="004A1ECD">
            <w:pPr>
              <w:pStyle w:val="TableText"/>
            </w:pPr>
            <w:r w:rsidRPr="00783571">
              <w:t>Probability of HIV transmission per condomless anal receptive sex act</w:t>
            </w:r>
          </w:p>
        </w:tc>
        <w:tc>
          <w:tcPr>
            <w:tcW w:w="3469" w:type="dxa"/>
          </w:tcPr>
          <w:p w14:paraId="5F471340" w14:textId="6205D15B" w:rsidR="00F821CB" w:rsidRPr="00783571" w:rsidRDefault="004A1ECD" w:rsidP="004A1ECD">
            <w:pPr>
              <w:pStyle w:val="TableText"/>
            </w:pPr>
            <w:r w:rsidRPr="00783571">
              <w:t>0.0089</w:t>
            </w:r>
          </w:p>
        </w:tc>
        <w:tc>
          <w:tcPr>
            <w:tcW w:w="2652" w:type="dxa"/>
          </w:tcPr>
          <w:p w14:paraId="44BA70F7" w14:textId="77777777" w:rsidR="00F821CB" w:rsidRPr="00783571" w:rsidRDefault="00F821CB" w:rsidP="004A1ECD">
            <w:pPr>
              <w:pStyle w:val="TableText"/>
            </w:pPr>
            <w:r w:rsidRPr="00783571">
              <w:t>Calibration</w:t>
            </w:r>
          </w:p>
        </w:tc>
      </w:tr>
      <w:tr w:rsidR="00F821CB" w:rsidRPr="00783571" w14:paraId="71D12B3C" w14:textId="77777777" w:rsidTr="007B145B">
        <w:tc>
          <w:tcPr>
            <w:tcW w:w="3253" w:type="dxa"/>
          </w:tcPr>
          <w:p w14:paraId="0EA705A3" w14:textId="77777777" w:rsidR="00F821CB" w:rsidRPr="00783571" w:rsidRDefault="00F821CB" w:rsidP="004A1ECD">
            <w:pPr>
              <w:pStyle w:val="TableText"/>
            </w:pPr>
            <w:r w:rsidRPr="00783571">
              <w:t>Percentage of HET males' sexual partners with HET females (versus female PWID)</w:t>
            </w:r>
          </w:p>
        </w:tc>
        <w:tc>
          <w:tcPr>
            <w:tcW w:w="3469" w:type="dxa"/>
          </w:tcPr>
          <w:p w14:paraId="388FEF5E" w14:textId="77777777" w:rsidR="00F821CB" w:rsidRPr="00783571" w:rsidRDefault="00F821CB" w:rsidP="004A1ECD">
            <w:pPr>
              <w:pStyle w:val="TableText"/>
            </w:pPr>
            <w:r w:rsidRPr="00783571">
              <w:t>99.5%</w:t>
            </w:r>
          </w:p>
        </w:tc>
        <w:tc>
          <w:tcPr>
            <w:tcW w:w="2652" w:type="dxa"/>
          </w:tcPr>
          <w:p w14:paraId="04DEC8FC" w14:textId="77777777" w:rsidR="00F821CB" w:rsidRPr="00783571" w:rsidRDefault="00F821CB" w:rsidP="004A1ECD">
            <w:pPr>
              <w:pStyle w:val="TableText"/>
            </w:pPr>
            <w:r w:rsidRPr="00783571">
              <w:t>Calibration</w:t>
            </w:r>
          </w:p>
        </w:tc>
      </w:tr>
      <w:tr w:rsidR="00F821CB" w:rsidRPr="00783571" w14:paraId="08F43BB4" w14:textId="77777777" w:rsidTr="007B145B">
        <w:tc>
          <w:tcPr>
            <w:tcW w:w="3253" w:type="dxa"/>
          </w:tcPr>
          <w:p w14:paraId="007485C7" w14:textId="6FAA30C3" w:rsidR="00F821CB" w:rsidRPr="00783571" w:rsidRDefault="00F821CB" w:rsidP="004A1ECD">
            <w:pPr>
              <w:pStyle w:val="TableText"/>
            </w:pPr>
            <w:r w:rsidRPr="00783571">
              <w:t>Reduction in HIV transmission per sexual contact for HETs</w:t>
            </w:r>
            <w:r w:rsidR="00CE4221" w:rsidRPr="00783571">
              <w:t xml:space="preserve"> </w:t>
            </w:r>
            <w:r w:rsidRPr="00783571">
              <w:t xml:space="preserve">if virally </w:t>
            </w:r>
            <w:r w:rsidR="00DA350E" w:rsidRPr="00783571">
              <w:t>suppressed</w:t>
            </w:r>
          </w:p>
        </w:tc>
        <w:tc>
          <w:tcPr>
            <w:tcW w:w="3469" w:type="dxa"/>
          </w:tcPr>
          <w:p w14:paraId="630B77A3" w14:textId="40D1B9F9" w:rsidR="00F821CB" w:rsidRPr="00783571" w:rsidRDefault="004A1ECD" w:rsidP="004A1ECD">
            <w:pPr>
              <w:pStyle w:val="TableText"/>
            </w:pPr>
            <w:r w:rsidRPr="00783571">
              <w:t>0.96</w:t>
            </w:r>
          </w:p>
        </w:tc>
        <w:tc>
          <w:tcPr>
            <w:tcW w:w="2652" w:type="dxa"/>
          </w:tcPr>
          <w:p w14:paraId="49F9A322" w14:textId="40C67B5E" w:rsidR="00F821CB" w:rsidRPr="00783571" w:rsidRDefault="00A76334" w:rsidP="004A1ECD">
            <w:pPr>
              <w:pStyle w:val="TableText"/>
            </w:pPr>
            <w:r w:rsidRPr="00783571">
              <w:t>Cohen et al. (2011)</w:t>
            </w:r>
          </w:p>
        </w:tc>
      </w:tr>
      <w:tr w:rsidR="00F821CB" w:rsidRPr="00783571" w14:paraId="209D442F" w14:textId="77777777" w:rsidTr="007B145B">
        <w:tc>
          <w:tcPr>
            <w:tcW w:w="3253" w:type="dxa"/>
          </w:tcPr>
          <w:p w14:paraId="1CA30E88" w14:textId="0FEABDB9" w:rsidR="00F821CB" w:rsidRPr="00783571" w:rsidRDefault="00F821CB" w:rsidP="004A1ECD">
            <w:pPr>
              <w:pStyle w:val="TableText"/>
            </w:pPr>
            <w:r w:rsidRPr="00783571">
              <w:t>Condom efficacy per sex act for MSM</w:t>
            </w:r>
          </w:p>
        </w:tc>
        <w:tc>
          <w:tcPr>
            <w:tcW w:w="3469" w:type="dxa"/>
          </w:tcPr>
          <w:p w14:paraId="36713C57" w14:textId="77777777" w:rsidR="00F821CB" w:rsidRPr="00783571" w:rsidRDefault="00F821CB" w:rsidP="004A1ECD">
            <w:pPr>
              <w:pStyle w:val="TableText"/>
            </w:pPr>
            <w:r w:rsidRPr="00783571">
              <w:t>MSM insertive: 63%</w:t>
            </w:r>
          </w:p>
          <w:p w14:paraId="3124B3A4" w14:textId="77777777" w:rsidR="00F821CB" w:rsidRPr="00783571" w:rsidRDefault="00F821CB" w:rsidP="004A1ECD">
            <w:pPr>
              <w:pStyle w:val="TableText"/>
            </w:pPr>
            <w:r w:rsidRPr="00783571">
              <w:t>MSM: receptive: 72%</w:t>
            </w:r>
          </w:p>
        </w:tc>
        <w:tc>
          <w:tcPr>
            <w:tcW w:w="2652" w:type="dxa"/>
          </w:tcPr>
          <w:p w14:paraId="680C72D7" w14:textId="51C8B2EC" w:rsidR="00F821CB" w:rsidRPr="00783571" w:rsidRDefault="00A76334" w:rsidP="004A1ECD">
            <w:pPr>
              <w:pStyle w:val="TableText"/>
            </w:pPr>
            <w:r w:rsidRPr="00783571">
              <w:t>Smith et al. (2015)</w:t>
            </w:r>
          </w:p>
          <w:p w14:paraId="409EA142" w14:textId="501DF008" w:rsidR="00F821CB" w:rsidRPr="00783571" w:rsidRDefault="00A76334" w:rsidP="004A1ECD">
            <w:pPr>
              <w:pStyle w:val="TableText"/>
            </w:pPr>
            <w:r w:rsidRPr="00783571">
              <w:t>Smith et al. (2015)</w:t>
            </w:r>
          </w:p>
        </w:tc>
      </w:tr>
      <w:tr w:rsidR="00F821CB" w:rsidRPr="00783571" w14:paraId="6B198FCC" w14:textId="77777777" w:rsidTr="007B145B">
        <w:tc>
          <w:tcPr>
            <w:tcW w:w="3253" w:type="dxa"/>
          </w:tcPr>
          <w:p w14:paraId="4C4D856E" w14:textId="7A0F42CE" w:rsidR="00F821CB" w:rsidRPr="00783571" w:rsidRDefault="00F821CB" w:rsidP="004A1ECD">
            <w:pPr>
              <w:pStyle w:val="TableText"/>
            </w:pPr>
            <w:r w:rsidRPr="00783571">
              <w:t>Probability of HIV transmission per condomless vaginal receptive sex act</w:t>
            </w:r>
          </w:p>
        </w:tc>
        <w:tc>
          <w:tcPr>
            <w:tcW w:w="3469" w:type="dxa"/>
          </w:tcPr>
          <w:p w14:paraId="31B8D307" w14:textId="7432A271" w:rsidR="00F821CB" w:rsidRPr="00783571" w:rsidRDefault="004A1ECD" w:rsidP="004A1ECD">
            <w:pPr>
              <w:pStyle w:val="TableText"/>
            </w:pPr>
            <w:r w:rsidRPr="00783571">
              <w:t>0.00067</w:t>
            </w:r>
          </w:p>
        </w:tc>
        <w:tc>
          <w:tcPr>
            <w:tcW w:w="2652" w:type="dxa"/>
          </w:tcPr>
          <w:p w14:paraId="1A849374" w14:textId="77777777" w:rsidR="00F821CB" w:rsidRPr="00783571" w:rsidRDefault="00F821CB" w:rsidP="004A1ECD">
            <w:pPr>
              <w:pStyle w:val="TableText"/>
            </w:pPr>
            <w:r w:rsidRPr="00783571">
              <w:t>Calibration</w:t>
            </w:r>
          </w:p>
        </w:tc>
      </w:tr>
      <w:tr w:rsidR="004A1ECD" w:rsidRPr="00783571" w14:paraId="3359E646" w14:textId="77777777" w:rsidTr="007B145B">
        <w:tc>
          <w:tcPr>
            <w:tcW w:w="3253" w:type="dxa"/>
            <w:vMerge w:val="restart"/>
          </w:tcPr>
          <w:p w14:paraId="4EAE69F6" w14:textId="70730EFA" w:rsidR="004A1ECD" w:rsidRPr="00783571" w:rsidRDefault="004A1ECD" w:rsidP="004A1ECD">
            <w:pPr>
              <w:pStyle w:val="TableText"/>
            </w:pPr>
            <w:r w:rsidRPr="00783571">
              <w:t>Percentage of anal sex acts protected with condoms</w:t>
            </w:r>
          </w:p>
        </w:tc>
        <w:tc>
          <w:tcPr>
            <w:tcW w:w="3469" w:type="dxa"/>
          </w:tcPr>
          <w:p w14:paraId="1EA869F5" w14:textId="338AB6EE" w:rsidR="004A1ECD" w:rsidRPr="00783571" w:rsidRDefault="004A1ECD" w:rsidP="004A1ECD">
            <w:pPr>
              <w:pStyle w:val="TableText"/>
            </w:pPr>
            <w:r w:rsidRPr="00783571">
              <w:t>Females with male partners: 13.2%</w:t>
            </w:r>
          </w:p>
        </w:tc>
        <w:tc>
          <w:tcPr>
            <w:tcW w:w="2652" w:type="dxa"/>
          </w:tcPr>
          <w:p w14:paraId="7EC3A9E6" w14:textId="0B8D7FED" w:rsidR="004A1ECD" w:rsidRPr="00783571" w:rsidRDefault="004A1ECD" w:rsidP="004A1ECD">
            <w:pPr>
              <w:pStyle w:val="TableText"/>
            </w:pPr>
            <w:r w:rsidRPr="00783571">
              <w:t>Reece et al. (2010)</w:t>
            </w:r>
          </w:p>
        </w:tc>
      </w:tr>
      <w:tr w:rsidR="004A1ECD" w:rsidRPr="00783571" w14:paraId="7C0E212F" w14:textId="77777777" w:rsidTr="007B145B">
        <w:tc>
          <w:tcPr>
            <w:tcW w:w="3253" w:type="dxa"/>
            <w:vMerge/>
          </w:tcPr>
          <w:p w14:paraId="65EB8EEE" w14:textId="77777777" w:rsidR="004A1ECD" w:rsidRPr="00783571" w:rsidRDefault="004A1ECD" w:rsidP="004A1ECD">
            <w:pPr>
              <w:pStyle w:val="TableText"/>
            </w:pPr>
          </w:p>
        </w:tc>
        <w:tc>
          <w:tcPr>
            <w:tcW w:w="3469" w:type="dxa"/>
          </w:tcPr>
          <w:p w14:paraId="18D73521" w14:textId="60E301E8" w:rsidR="004A1ECD" w:rsidRPr="00783571" w:rsidRDefault="004A1ECD" w:rsidP="004A1ECD">
            <w:pPr>
              <w:pStyle w:val="TableText"/>
            </w:pPr>
            <w:r w:rsidRPr="00783571">
              <w:t>Males with female partners: 17.8%</w:t>
            </w:r>
          </w:p>
        </w:tc>
        <w:tc>
          <w:tcPr>
            <w:tcW w:w="2652" w:type="dxa"/>
          </w:tcPr>
          <w:p w14:paraId="131DDF59" w14:textId="092FC64C" w:rsidR="004A1ECD" w:rsidRPr="00783571" w:rsidRDefault="004A1ECD" w:rsidP="004A1ECD">
            <w:pPr>
              <w:pStyle w:val="TableText"/>
            </w:pPr>
            <w:r w:rsidRPr="00783571">
              <w:t>Reece et al. (2010b)</w:t>
            </w:r>
            <w:r w:rsidRPr="00783571">
              <w:rPr>
                <w:vertAlign w:val="superscript"/>
              </w:rPr>
              <w:t>d</w:t>
            </w:r>
          </w:p>
        </w:tc>
      </w:tr>
      <w:tr w:rsidR="004A1ECD" w:rsidRPr="00783571" w14:paraId="5FC5B4D7" w14:textId="77777777" w:rsidTr="007B145B">
        <w:tc>
          <w:tcPr>
            <w:tcW w:w="3253" w:type="dxa"/>
            <w:vMerge/>
          </w:tcPr>
          <w:p w14:paraId="451C0FB2" w14:textId="77777777" w:rsidR="004A1ECD" w:rsidRPr="00783571" w:rsidRDefault="004A1ECD" w:rsidP="004A1ECD">
            <w:pPr>
              <w:pStyle w:val="TableText"/>
            </w:pPr>
          </w:p>
        </w:tc>
        <w:tc>
          <w:tcPr>
            <w:tcW w:w="3469" w:type="dxa"/>
          </w:tcPr>
          <w:p w14:paraId="6092F0CF" w14:textId="3CF8E8D8" w:rsidR="004A1ECD" w:rsidRPr="00783571" w:rsidRDefault="004A1ECD" w:rsidP="004A1ECD">
            <w:pPr>
              <w:pStyle w:val="TableText"/>
            </w:pPr>
            <w:r w:rsidRPr="00783571">
              <w:t>Males with Male partners: 50.0%</w:t>
            </w:r>
          </w:p>
        </w:tc>
        <w:tc>
          <w:tcPr>
            <w:tcW w:w="2652" w:type="dxa"/>
          </w:tcPr>
          <w:p w14:paraId="002D2A8B" w14:textId="02289C22" w:rsidR="004A1ECD" w:rsidRPr="00783571" w:rsidRDefault="004A1ECD" w:rsidP="004A1ECD">
            <w:pPr>
              <w:pStyle w:val="TableText"/>
            </w:pPr>
            <w:r w:rsidRPr="00783571">
              <w:t>Sorensen et al. (2012); Crepaz et al. (2009); Marks et al. (2001); Marks et al. (2006); Marks et al. (2005); Marks et al.; Marks et al. (2009)</w:t>
            </w:r>
          </w:p>
        </w:tc>
      </w:tr>
      <w:tr w:rsidR="00F821CB" w:rsidRPr="00783571" w14:paraId="2B84AC77" w14:textId="77777777" w:rsidTr="007B145B">
        <w:tc>
          <w:tcPr>
            <w:tcW w:w="3253" w:type="dxa"/>
          </w:tcPr>
          <w:p w14:paraId="1AE3DFE0" w14:textId="1166AAE2" w:rsidR="00F821CB" w:rsidRPr="00783571" w:rsidRDefault="00F821CB" w:rsidP="004A1ECD">
            <w:pPr>
              <w:pStyle w:val="TableText"/>
            </w:pPr>
            <w:r w:rsidRPr="00783571">
              <w:t>Probability of HIV transmission per condomless vaginal insertive sex act</w:t>
            </w:r>
          </w:p>
        </w:tc>
        <w:tc>
          <w:tcPr>
            <w:tcW w:w="3469" w:type="dxa"/>
          </w:tcPr>
          <w:p w14:paraId="16B4B8ED" w14:textId="3D38A330" w:rsidR="00F821CB" w:rsidRPr="00783571" w:rsidRDefault="00F821CB" w:rsidP="004A1ECD">
            <w:pPr>
              <w:pStyle w:val="TableText"/>
            </w:pPr>
            <w:r w:rsidRPr="00783571">
              <w:t>0.000</w:t>
            </w:r>
            <w:r w:rsidR="00D15349" w:rsidRPr="00783571">
              <w:t>4111</w:t>
            </w:r>
          </w:p>
        </w:tc>
        <w:tc>
          <w:tcPr>
            <w:tcW w:w="2652" w:type="dxa"/>
          </w:tcPr>
          <w:p w14:paraId="2E270F5A" w14:textId="77777777" w:rsidR="00F821CB" w:rsidRPr="00783571" w:rsidRDefault="00F821CB" w:rsidP="004A1ECD">
            <w:pPr>
              <w:pStyle w:val="TableText"/>
            </w:pPr>
            <w:r w:rsidRPr="00783571">
              <w:t>Calibration</w:t>
            </w:r>
          </w:p>
        </w:tc>
      </w:tr>
      <w:tr w:rsidR="00F821CB" w:rsidRPr="00783571" w14:paraId="56AC8B60" w14:textId="77777777" w:rsidTr="007B145B">
        <w:tc>
          <w:tcPr>
            <w:tcW w:w="3253" w:type="dxa"/>
          </w:tcPr>
          <w:p w14:paraId="1BD9109F" w14:textId="7527D55F" w:rsidR="00F821CB" w:rsidRPr="00783571" w:rsidRDefault="00F821CB" w:rsidP="004A1ECD">
            <w:pPr>
              <w:pStyle w:val="TableText"/>
            </w:pPr>
            <w:r w:rsidRPr="00783571">
              <w:t>Percentage of MSM sex acts that are insertive</w:t>
            </w:r>
          </w:p>
        </w:tc>
        <w:tc>
          <w:tcPr>
            <w:tcW w:w="3469" w:type="dxa"/>
          </w:tcPr>
          <w:p w14:paraId="715F70DC" w14:textId="77777777" w:rsidR="00F821CB" w:rsidRPr="00783571" w:rsidRDefault="00F821CB" w:rsidP="004A1ECD">
            <w:pPr>
              <w:pStyle w:val="TableText"/>
            </w:pPr>
            <w:r w:rsidRPr="00783571">
              <w:t>50%</w:t>
            </w:r>
          </w:p>
        </w:tc>
        <w:tc>
          <w:tcPr>
            <w:tcW w:w="2652" w:type="dxa"/>
          </w:tcPr>
          <w:p w14:paraId="7579A49A" w14:textId="46A8A771" w:rsidR="00F821CB" w:rsidRPr="00783571" w:rsidRDefault="00A76334" w:rsidP="004A1ECD">
            <w:pPr>
              <w:pStyle w:val="TableText"/>
            </w:pPr>
            <w:r w:rsidRPr="00783571">
              <w:t>Sánchez et al. (2011)</w:t>
            </w:r>
          </w:p>
        </w:tc>
      </w:tr>
      <w:tr w:rsidR="00F821CB" w:rsidRPr="00783571" w14:paraId="7513DE08" w14:textId="77777777" w:rsidTr="007B145B">
        <w:tc>
          <w:tcPr>
            <w:tcW w:w="3253" w:type="dxa"/>
          </w:tcPr>
          <w:p w14:paraId="346BBD37" w14:textId="77777777" w:rsidR="00F821CB" w:rsidRPr="00783571" w:rsidRDefault="00F821CB" w:rsidP="004A1ECD">
            <w:pPr>
              <w:pStyle w:val="TableText"/>
            </w:pPr>
            <w:r w:rsidRPr="00783571">
              <w:t>Annual probability of becoming VLS if on ART but not VLS</w:t>
            </w:r>
          </w:p>
        </w:tc>
        <w:tc>
          <w:tcPr>
            <w:tcW w:w="3469" w:type="dxa"/>
          </w:tcPr>
          <w:p w14:paraId="2446AA91" w14:textId="6791E65C" w:rsidR="00F821CB" w:rsidRPr="00783571" w:rsidRDefault="00F821CB" w:rsidP="004A1ECD">
            <w:pPr>
              <w:pStyle w:val="TableText"/>
            </w:pPr>
            <w:r w:rsidRPr="00783571">
              <w:t>Years 2006</w:t>
            </w:r>
            <w:r w:rsidR="00377525" w:rsidRPr="00783571">
              <w:t>–20</w:t>
            </w:r>
            <w:r w:rsidRPr="00783571">
              <w:t>09:</w:t>
            </w:r>
          </w:p>
          <w:p w14:paraId="460A505F" w14:textId="77777777" w:rsidR="00F821CB" w:rsidRPr="00783571" w:rsidRDefault="00F821CB" w:rsidP="00D15349">
            <w:pPr>
              <w:pStyle w:val="TableTextIndent1"/>
            </w:pPr>
            <w:r w:rsidRPr="00783571">
              <w:t>Black: 0.122</w:t>
            </w:r>
          </w:p>
          <w:p w14:paraId="14BA223C" w14:textId="77777777" w:rsidR="00F821CB" w:rsidRPr="00783571" w:rsidRDefault="00F821CB" w:rsidP="00D15349">
            <w:pPr>
              <w:pStyle w:val="TableTextIndent1"/>
            </w:pPr>
            <w:r w:rsidRPr="00783571">
              <w:t>Hispanic/Latino: 0.302</w:t>
            </w:r>
          </w:p>
          <w:p w14:paraId="43C0037B" w14:textId="77777777" w:rsidR="00F821CB" w:rsidRPr="00783571" w:rsidRDefault="00F821CB" w:rsidP="00D15349">
            <w:pPr>
              <w:pStyle w:val="TableTextIndent1"/>
            </w:pPr>
            <w:r w:rsidRPr="00783571">
              <w:t>Other: 0.154</w:t>
            </w:r>
          </w:p>
          <w:p w14:paraId="4A8F1035" w14:textId="4320590B" w:rsidR="00F821CB" w:rsidRPr="00783571" w:rsidRDefault="00D15349" w:rsidP="004A1ECD">
            <w:pPr>
              <w:pStyle w:val="TableText"/>
            </w:pPr>
            <w:r w:rsidRPr="00783571">
              <w:t>Years 2010+:</w:t>
            </w:r>
          </w:p>
          <w:p w14:paraId="6D6D8EE1" w14:textId="77777777" w:rsidR="00F821CB" w:rsidRPr="00783571" w:rsidRDefault="00F821CB" w:rsidP="00D15349">
            <w:pPr>
              <w:pStyle w:val="TableTextIndent1"/>
            </w:pPr>
            <w:r w:rsidRPr="00783571">
              <w:t>Black: 0.236</w:t>
            </w:r>
          </w:p>
          <w:p w14:paraId="1F0F2E79" w14:textId="77777777" w:rsidR="00F821CB" w:rsidRPr="00783571" w:rsidRDefault="00F821CB" w:rsidP="00D15349">
            <w:pPr>
              <w:pStyle w:val="TableTextIndent1"/>
            </w:pPr>
            <w:r w:rsidRPr="00783571">
              <w:t>Hispanic/Latino: 0.404</w:t>
            </w:r>
          </w:p>
          <w:p w14:paraId="24769E9E" w14:textId="77777777" w:rsidR="00F821CB" w:rsidRPr="00783571" w:rsidRDefault="00F821CB" w:rsidP="00D15349">
            <w:pPr>
              <w:pStyle w:val="TableTextIndent1"/>
            </w:pPr>
            <w:r w:rsidRPr="00783571">
              <w:t>Other: 0.147</w:t>
            </w:r>
          </w:p>
        </w:tc>
        <w:tc>
          <w:tcPr>
            <w:tcW w:w="2652" w:type="dxa"/>
          </w:tcPr>
          <w:p w14:paraId="75AFD1E3" w14:textId="77777777" w:rsidR="00F821CB" w:rsidRPr="00783571" w:rsidRDefault="00F821CB" w:rsidP="004A1ECD">
            <w:pPr>
              <w:pStyle w:val="TableText"/>
            </w:pPr>
            <w:r w:rsidRPr="00783571">
              <w:t>Calibration</w:t>
            </w:r>
          </w:p>
        </w:tc>
      </w:tr>
      <w:tr w:rsidR="00F821CB" w:rsidRPr="00783571" w14:paraId="77AEB7B7" w14:textId="77777777" w:rsidTr="007B145B">
        <w:tc>
          <w:tcPr>
            <w:tcW w:w="3253" w:type="dxa"/>
            <w:tcBorders>
              <w:bottom w:val="nil"/>
            </w:tcBorders>
          </w:tcPr>
          <w:p w14:paraId="1639E0C1" w14:textId="7CD0A64E" w:rsidR="00F821CB" w:rsidRPr="00783571" w:rsidRDefault="00F821CB" w:rsidP="004A1ECD">
            <w:pPr>
              <w:pStyle w:val="TableText"/>
            </w:pPr>
            <w:r w:rsidRPr="00783571">
              <w:t>Condom efficacy per sex act for HETs</w:t>
            </w:r>
          </w:p>
        </w:tc>
        <w:tc>
          <w:tcPr>
            <w:tcW w:w="3469" w:type="dxa"/>
            <w:tcBorders>
              <w:bottom w:val="nil"/>
            </w:tcBorders>
          </w:tcPr>
          <w:p w14:paraId="45700BBA" w14:textId="77777777" w:rsidR="00F821CB" w:rsidRPr="00783571" w:rsidRDefault="00F821CB" w:rsidP="004A1ECD">
            <w:pPr>
              <w:pStyle w:val="TableText"/>
            </w:pPr>
            <w:r w:rsidRPr="00783571">
              <w:t>80.2%</w:t>
            </w:r>
          </w:p>
        </w:tc>
        <w:tc>
          <w:tcPr>
            <w:tcW w:w="2652" w:type="dxa"/>
            <w:tcBorders>
              <w:bottom w:val="nil"/>
            </w:tcBorders>
          </w:tcPr>
          <w:p w14:paraId="767EC093" w14:textId="63D3C315" w:rsidR="00F821CB" w:rsidRPr="00783571" w:rsidRDefault="00A76334" w:rsidP="004A1ECD">
            <w:pPr>
              <w:pStyle w:val="TableText"/>
            </w:pPr>
            <w:r w:rsidRPr="00783571">
              <w:t>Weller et al. (2002)</w:t>
            </w:r>
          </w:p>
        </w:tc>
      </w:tr>
      <w:tr w:rsidR="00F821CB" w:rsidRPr="00783571" w14:paraId="67AFC7D7" w14:textId="77777777" w:rsidTr="007B145B">
        <w:tc>
          <w:tcPr>
            <w:tcW w:w="3253" w:type="dxa"/>
            <w:tcBorders>
              <w:top w:val="nil"/>
              <w:bottom w:val="single" w:sz="6" w:space="0" w:color="auto"/>
            </w:tcBorders>
          </w:tcPr>
          <w:p w14:paraId="04CAF27A" w14:textId="56701438" w:rsidR="00F821CB" w:rsidRPr="00783571" w:rsidRDefault="00F821CB" w:rsidP="004A1ECD">
            <w:pPr>
              <w:pStyle w:val="TableText"/>
              <w:rPr>
                <w:rFonts w:cs="Arial"/>
              </w:rPr>
            </w:pPr>
            <w:r w:rsidRPr="00783571">
              <w:rPr>
                <w:rFonts w:cs="Arial"/>
              </w:rPr>
              <w:t xml:space="preserve">Reduction in probability of HIV transmission per </w:t>
            </w:r>
            <w:r w:rsidR="00912097" w:rsidRPr="00783571">
              <w:rPr>
                <w:rFonts w:cs="Arial"/>
              </w:rPr>
              <w:t xml:space="preserve">sex </w:t>
            </w:r>
            <w:r w:rsidRPr="00783571">
              <w:rPr>
                <w:rFonts w:cs="Arial"/>
              </w:rPr>
              <w:t>act if circumcised versus uncircumcised</w:t>
            </w:r>
          </w:p>
        </w:tc>
        <w:tc>
          <w:tcPr>
            <w:tcW w:w="3469" w:type="dxa"/>
            <w:tcBorders>
              <w:top w:val="nil"/>
              <w:bottom w:val="single" w:sz="6" w:space="0" w:color="auto"/>
            </w:tcBorders>
          </w:tcPr>
          <w:p w14:paraId="78C4E3B2" w14:textId="77777777" w:rsidR="00F821CB" w:rsidRPr="00783571" w:rsidRDefault="00F821CB" w:rsidP="004A1ECD">
            <w:pPr>
              <w:pStyle w:val="TableText"/>
              <w:rPr>
                <w:rFonts w:cs="Arial"/>
              </w:rPr>
            </w:pPr>
            <w:r w:rsidRPr="00783571">
              <w:rPr>
                <w:rFonts w:cs="Arial"/>
              </w:rPr>
              <w:t>Vaginal insertive: 0.54</w:t>
            </w:r>
          </w:p>
          <w:p w14:paraId="34601867" w14:textId="77777777" w:rsidR="00F821CB" w:rsidRPr="00783571" w:rsidRDefault="00F821CB" w:rsidP="004A1ECD">
            <w:pPr>
              <w:pStyle w:val="TableText"/>
              <w:rPr>
                <w:rFonts w:cs="Arial"/>
              </w:rPr>
            </w:pPr>
            <w:r w:rsidRPr="00783571">
              <w:rPr>
                <w:rFonts w:cs="Arial"/>
              </w:rPr>
              <w:t>Male-male anal insertive: 0.00</w:t>
            </w:r>
          </w:p>
          <w:p w14:paraId="205E12A7" w14:textId="35A2444D" w:rsidR="00F821CB" w:rsidRPr="00783571" w:rsidRDefault="00F821CB" w:rsidP="004A1ECD">
            <w:pPr>
              <w:pStyle w:val="TableText"/>
              <w:rPr>
                <w:rFonts w:cs="Arial"/>
              </w:rPr>
            </w:pPr>
            <w:r w:rsidRPr="00783571">
              <w:rPr>
                <w:rFonts w:cs="Arial"/>
              </w:rPr>
              <w:t>Male-female anal insertive:</w:t>
            </w:r>
            <w:r w:rsidR="00D15349" w:rsidRPr="00783571">
              <w:rPr>
                <w:rFonts w:cs="Arial"/>
              </w:rPr>
              <w:t xml:space="preserve"> </w:t>
            </w:r>
            <w:r w:rsidRPr="00783571">
              <w:rPr>
                <w:rFonts w:cs="Arial"/>
              </w:rPr>
              <w:t>0.00</w:t>
            </w:r>
          </w:p>
        </w:tc>
        <w:tc>
          <w:tcPr>
            <w:tcW w:w="2652" w:type="dxa"/>
            <w:tcBorders>
              <w:top w:val="nil"/>
              <w:bottom w:val="single" w:sz="6" w:space="0" w:color="auto"/>
            </w:tcBorders>
          </w:tcPr>
          <w:p w14:paraId="53FE43B1" w14:textId="67984E42" w:rsidR="00F821CB" w:rsidRPr="00783571" w:rsidRDefault="00A76334" w:rsidP="004A1ECD">
            <w:pPr>
              <w:pStyle w:val="TableText"/>
              <w:rPr>
                <w:rFonts w:cs="Arial"/>
              </w:rPr>
            </w:pPr>
            <w:r w:rsidRPr="00783571">
              <w:rPr>
                <w:rFonts w:cs="Arial"/>
              </w:rPr>
              <w:t>Siegfried et al. (2009)</w:t>
            </w:r>
          </w:p>
          <w:p w14:paraId="2527CAE7" w14:textId="77777777" w:rsidR="0016571A" w:rsidRPr="00783571" w:rsidRDefault="00F821CB" w:rsidP="004A1ECD">
            <w:pPr>
              <w:pStyle w:val="TableText"/>
              <w:rPr>
                <w:rFonts w:cs="Arial"/>
              </w:rPr>
            </w:pPr>
            <w:r w:rsidRPr="00783571">
              <w:rPr>
                <w:rFonts w:cs="Arial"/>
              </w:rPr>
              <w:t>Assumption</w:t>
            </w:r>
          </w:p>
          <w:p w14:paraId="7216971A" w14:textId="77777777" w:rsidR="00F821CB" w:rsidRPr="00783571" w:rsidRDefault="00F821CB" w:rsidP="004A1ECD">
            <w:pPr>
              <w:pStyle w:val="TableText"/>
              <w:rPr>
                <w:rFonts w:cs="Arial"/>
              </w:rPr>
            </w:pPr>
            <w:r w:rsidRPr="00783571">
              <w:rPr>
                <w:rFonts w:cs="Arial"/>
              </w:rPr>
              <w:t>Assumption</w:t>
            </w:r>
          </w:p>
        </w:tc>
      </w:tr>
    </w:tbl>
    <w:p w14:paraId="033F7609" w14:textId="77777777" w:rsidR="00D15349" w:rsidRPr="00783571" w:rsidRDefault="00D15349" w:rsidP="00D15349">
      <w:pPr>
        <w:pStyle w:val="Tablecont"/>
        <w:ind w:right="0"/>
      </w:pPr>
      <w:r w:rsidRPr="00783571">
        <w:t>(continued)</w:t>
      </w:r>
    </w:p>
    <w:p w14:paraId="349FEAE5" w14:textId="77777777" w:rsidR="00D15349" w:rsidRPr="00783571" w:rsidRDefault="00D15349" w:rsidP="00D15349">
      <w:pPr>
        <w:pStyle w:val="TableTitlecont"/>
      </w:pPr>
      <w:r w:rsidRPr="00783571">
        <w:t>Table 12.2.</w:t>
      </w:r>
      <w:r w:rsidRPr="00783571">
        <w:tab/>
        <w:t>Values and Sources of Key Model Parameters (continued)</w:t>
      </w:r>
    </w:p>
    <w:tbl>
      <w:tblPr>
        <w:tblStyle w:val="TableFormat4"/>
        <w:tblW w:w="9374" w:type="dxa"/>
        <w:tblInd w:w="0" w:type="dxa"/>
        <w:tblLayout w:type="fixed"/>
        <w:tblLook w:val="04A0" w:firstRow="1" w:lastRow="0" w:firstColumn="1" w:lastColumn="0" w:noHBand="0" w:noVBand="1"/>
      </w:tblPr>
      <w:tblGrid>
        <w:gridCol w:w="3125"/>
        <w:gridCol w:w="3542"/>
        <w:gridCol w:w="2707"/>
      </w:tblGrid>
      <w:tr w:rsidR="00D15349" w:rsidRPr="00783571" w14:paraId="596E389E" w14:textId="77777777" w:rsidTr="003E37E1">
        <w:trPr>
          <w:cnfStyle w:val="100000000000" w:firstRow="1" w:lastRow="0" w:firstColumn="0" w:lastColumn="0" w:oddVBand="0" w:evenVBand="0" w:oddHBand="0" w:evenHBand="0" w:firstRowFirstColumn="0" w:firstRowLastColumn="0" w:lastRowFirstColumn="0" w:lastRowLastColumn="0"/>
          <w:tblHeader/>
        </w:trPr>
        <w:tc>
          <w:tcPr>
            <w:tcW w:w="3125" w:type="dxa"/>
            <w:vAlign w:val="bottom"/>
          </w:tcPr>
          <w:p w14:paraId="760332CD" w14:textId="77777777" w:rsidR="00D15349" w:rsidRPr="00783571" w:rsidRDefault="00D15349" w:rsidP="003E37E1">
            <w:pPr>
              <w:pStyle w:val="TableHeaders"/>
            </w:pPr>
            <w:r w:rsidRPr="00783571">
              <w:t>Input</w:t>
            </w:r>
          </w:p>
        </w:tc>
        <w:tc>
          <w:tcPr>
            <w:tcW w:w="3542" w:type="dxa"/>
            <w:vAlign w:val="bottom"/>
          </w:tcPr>
          <w:p w14:paraId="73C0CA9F" w14:textId="77777777" w:rsidR="00D15349" w:rsidRPr="00783571" w:rsidRDefault="00D15349" w:rsidP="003E37E1">
            <w:pPr>
              <w:pStyle w:val="TableHeaders"/>
            </w:pPr>
            <w:r w:rsidRPr="00783571">
              <w:t>Value</w:t>
            </w:r>
          </w:p>
        </w:tc>
        <w:tc>
          <w:tcPr>
            <w:tcW w:w="2707" w:type="dxa"/>
            <w:vAlign w:val="bottom"/>
          </w:tcPr>
          <w:p w14:paraId="462A222F" w14:textId="77777777" w:rsidR="00D15349" w:rsidRPr="00783571" w:rsidRDefault="00D15349" w:rsidP="003E37E1">
            <w:pPr>
              <w:pStyle w:val="TableHeaders"/>
            </w:pPr>
            <w:r w:rsidRPr="00783571">
              <w:t>Source</w:t>
            </w:r>
          </w:p>
        </w:tc>
      </w:tr>
      <w:tr w:rsidR="00F821CB" w:rsidRPr="00783571" w14:paraId="66F00A44" w14:textId="77777777" w:rsidTr="00D15349">
        <w:tc>
          <w:tcPr>
            <w:tcW w:w="3125" w:type="dxa"/>
          </w:tcPr>
          <w:p w14:paraId="5D9265A2" w14:textId="0C5AFD90" w:rsidR="00F821CB" w:rsidRPr="00783571" w:rsidRDefault="00F821CB" w:rsidP="004A1ECD">
            <w:pPr>
              <w:pStyle w:val="TableText"/>
            </w:pPr>
            <w:r w:rsidRPr="00783571">
              <w:t>Percentage of vaginal sex acts protected with condoms</w:t>
            </w:r>
          </w:p>
        </w:tc>
        <w:tc>
          <w:tcPr>
            <w:tcW w:w="3542" w:type="dxa"/>
          </w:tcPr>
          <w:p w14:paraId="5451F295" w14:textId="77777777" w:rsidR="00F821CB" w:rsidRPr="00783571" w:rsidRDefault="00F821CB" w:rsidP="004A1ECD">
            <w:pPr>
              <w:pStyle w:val="TableText"/>
            </w:pPr>
            <w:r w:rsidRPr="00783571">
              <w:t>Black: 30.9%</w:t>
            </w:r>
          </w:p>
          <w:p w14:paraId="66D42C32" w14:textId="77777777" w:rsidR="00F821CB" w:rsidRPr="00783571" w:rsidRDefault="00F821CB" w:rsidP="004A1ECD">
            <w:pPr>
              <w:pStyle w:val="TableText"/>
            </w:pPr>
            <w:r w:rsidRPr="00783571">
              <w:t>Hispanic/Latino: 25.4%</w:t>
            </w:r>
          </w:p>
          <w:p w14:paraId="74B073D8" w14:textId="77777777" w:rsidR="00F821CB" w:rsidRPr="00783571" w:rsidRDefault="00F821CB" w:rsidP="004A1ECD">
            <w:pPr>
              <w:pStyle w:val="TableText"/>
            </w:pPr>
            <w:r w:rsidRPr="00783571">
              <w:t>Other: 17.1%</w:t>
            </w:r>
          </w:p>
        </w:tc>
        <w:tc>
          <w:tcPr>
            <w:tcW w:w="2707" w:type="dxa"/>
          </w:tcPr>
          <w:p w14:paraId="30592513" w14:textId="538DBC06" w:rsidR="00F821CB" w:rsidRPr="00783571" w:rsidRDefault="00A76334" w:rsidP="004A1ECD">
            <w:pPr>
              <w:pStyle w:val="TableText"/>
            </w:pPr>
            <w:r w:rsidRPr="00783571">
              <w:t>Reece et al. (2010</w:t>
            </w:r>
            <w:r w:rsidR="0028007E" w:rsidRPr="00783571">
              <w:t>b</w:t>
            </w:r>
            <w:r w:rsidRPr="00783571">
              <w:t>)</w:t>
            </w:r>
          </w:p>
        </w:tc>
      </w:tr>
      <w:tr w:rsidR="00F821CB" w:rsidRPr="00783571" w14:paraId="21E4E55C" w14:textId="77777777" w:rsidTr="00D15349">
        <w:tc>
          <w:tcPr>
            <w:tcW w:w="3125" w:type="dxa"/>
          </w:tcPr>
          <w:p w14:paraId="21C6ADAB" w14:textId="77777777" w:rsidR="00F821CB" w:rsidRPr="00783571" w:rsidRDefault="00F821CB" w:rsidP="004A1ECD">
            <w:pPr>
              <w:pStyle w:val="TableText"/>
            </w:pPr>
            <w:r w:rsidRPr="00783571">
              <w:t>Annual testing rate, 2010+</w:t>
            </w:r>
          </w:p>
        </w:tc>
        <w:tc>
          <w:tcPr>
            <w:tcW w:w="3542" w:type="dxa"/>
          </w:tcPr>
          <w:p w14:paraId="5E01403A" w14:textId="77777777" w:rsidR="00F821CB" w:rsidRPr="00783571" w:rsidRDefault="00F821CB" w:rsidP="004A1ECD">
            <w:pPr>
              <w:pStyle w:val="TableText"/>
            </w:pPr>
            <w:r w:rsidRPr="00783571">
              <w:t>For reference case (Black, HET, C.CD4 &gt; 500): 0.141</w:t>
            </w:r>
          </w:p>
        </w:tc>
        <w:tc>
          <w:tcPr>
            <w:tcW w:w="2707" w:type="dxa"/>
          </w:tcPr>
          <w:p w14:paraId="7109D95E" w14:textId="77777777" w:rsidR="00F821CB" w:rsidRPr="00783571" w:rsidRDefault="00F821CB" w:rsidP="004A1ECD">
            <w:pPr>
              <w:pStyle w:val="TableText"/>
            </w:pPr>
            <w:r w:rsidRPr="00783571">
              <w:t>Calibration</w:t>
            </w:r>
          </w:p>
        </w:tc>
      </w:tr>
      <w:tr w:rsidR="00F821CB" w:rsidRPr="00783571" w14:paraId="34ADAF63" w14:textId="77777777" w:rsidTr="00D15349">
        <w:tc>
          <w:tcPr>
            <w:tcW w:w="3125" w:type="dxa"/>
          </w:tcPr>
          <w:p w14:paraId="653FB7C9" w14:textId="6CA5FC5C" w:rsidR="00F821CB" w:rsidRPr="00783571" w:rsidRDefault="00F821CB" w:rsidP="004A1ECD">
            <w:pPr>
              <w:pStyle w:val="TableText"/>
            </w:pPr>
            <w:r w:rsidRPr="00783571">
              <w:t xml:space="preserve">Annual probability of being prescribed ART, </w:t>
            </w:r>
            <w:r w:rsidR="00912097" w:rsidRPr="00783571">
              <w:t>if</w:t>
            </w:r>
            <w:r w:rsidRPr="00783571">
              <w:t xml:space="preserve"> eligible for ART</w:t>
            </w:r>
          </w:p>
        </w:tc>
        <w:tc>
          <w:tcPr>
            <w:tcW w:w="3542" w:type="dxa"/>
          </w:tcPr>
          <w:p w14:paraId="587A9128" w14:textId="77777777" w:rsidR="00F821CB" w:rsidRPr="00783571" w:rsidRDefault="00F821CB" w:rsidP="004A1ECD">
            <w:pPr>
              <w:pStyle w:val="TableText"/>
            </w:pPr>
            <w:r w:rsidRPr="00783571">
              <w:t>Acute: 0.000</w:t>
            </w:r>
          </w:p>
          <w:p w14:paraId="711F7E06" w14:textId="77777777" w:rsidR="00F821CB" w:rsidRPr="00783571" w:rsidRDefault="00F821CB" w:rsidP="004A1ECD">
            <w:pPr>
              <w:pStyle w:val="TableText"/>
            </w:pPr>
            <w:r w:rsidRPr="00783571">
              <w:t>CD4&gt;500: 0.540</w:t>
            </w:r>
          </w:p>
          <w:p w14:paraId="6032ABDB" w14:textId="77777777" w:rsidR="00F821CB" w:rsidRPr="00783571" w:rsidRDefault="00F821CB" w:rsidP="004A1ECD">
            <w:pPr>
              <w:pStyle w:val="TableText"/>
            </w:pPr>
            <w:r w:rsidRPr="00783571">
              <w:t>CDC 350-500: 0.600</w:t>
            </w:r>
          </w:p>
          <w:p w14:paraId="12F7DE2F" w14:textId="77777777" w:rsidR="00F821CB" w:rsidRPr="00783571" w:rsidRDefault="00F821CB" w:rsidP="004A1ECD">
            <w:pPr>
              <w:pStyle w:val="TableText"/>
            </w:pPr>
            <w:r w:rsidRPr="00783571">
              <w:t>CD4 200-350: 0.750</w:t>
            </w:r>
          </w:p>
          <w:p w14:paraId="4A135A96" w14:textId="77777777" w:rsidR="00F821CB" w:rsidRPr="00783571" w:rsidRDefault="00F821CB" w:rsidP="004A1ECD">
            <w:pPr>
              <w:pStyle w:val="TableText"/>
            </w:pPr>
            <w:r w:rsidRPr="00783571">
              <w:t>CD4&lt;200: 0.920</w:t>
            </w:r>
          </w:p>
        </w:tc>
        <w:tc>
          <w:tcPr>
            <w:tcW w:w="2707" w:type="dxa"/>
          </w:tcPr>
          <w:p w14:paraId="4BE8951F" w14:textId="0C320ABF" w:rsidR="00F821CB" w:rsidRPr="00783571" w:rsidRDefault="00F821CB" w:rsidP="004A1ECD">
            <w:pPr>
              <w:pStyle w:val="TableText"/>
            </w:pPr>
            <w:r w:rsidRPr="00783571">
              <w:t xml:space="preserve">Based on </w:t>
            </w:r>
            <w:r w:rsidR="00A76334" w:rsidRPr="00783571">
              <w:t>Fleishman et al. (2012)</w:t>
            </w:r>
          </w:p>
        </w:tc>
      </w:tr>
      <w:tr w:rsidR="00F821CB" w:rsidRPr="00783571" w14:paraId="1413EA6E" w14:textId="77777777" w:rsidTr="00D15349">
        <w:tc>
          <w:tcPr>
            <w:tcW w:w="3125" w:type="dxa"/>
          </w:tcPr>
          <w:p w14:paraId="062E3CBD" w14:textId="0434FC59" w:rsidR="00F821CB" w:rsidRPr="00783571" w:rsidRDefault="00F821CB" w:rsidP="004A1ECD">
            <w:pPr>
              <w:pStyle w:val="TableText"/>
            </w:pPr>
            <w:r w:rsidRPr="00783571">
              <w:t>Annual probability of losing viral suppression</w:t>
            </w:r>
          </w:p>
        </w:tc>
        <w:tc>
          <w:tcPr>
            <w:tcW w:w="3542" w:type="dxa"/>
          </w:tcPr>
          <w:p w14:paraId="36DCD4FC" w14:textId="4E5958CF" w:rsidR="00F821CB" w:rsidRPr="00783571" w:rsidRDefault="00F821CB" w:rsidP="004A1ECD">
            <w:pPr>
              <w:pStyle w:val="TableText"/>
            </w:pPr>
            <w:r w:rsidRPr="00783571">
              <w:t>Years :2006</w:t>
            </w:r>
            <w:r w:rsidR="00377525" w:rsidRPr="00783571">
              <w:t>–20</w:t>
            </w:r>
            <w:r w:rsidRPr="00783571">
              <w:t>09</w:t>
            </w:r>
          </w:p>
          <w:p w14:paraId="50E39579" w14:textId="77777777" w:rsidR="00F821CB" w:rsidRPr="00783571" w:rsidRDefault="00F821CB" w:rsidP="00D15349">
            <w:pPr>
              <w:pStyle w:val="TableTextIndent1"/>
            </w:pPr>
            <w:r w:rsidRPr="00783571">
              <w:t>Black: 0.278</w:t>
            </w:r>
          </w:p>
          <w:p w14:paraId="45EA1933" w14:textId="77777777" w:rsidR="00F821CB" w:rsidRPr="00783571" w:rsidRDefault="00F821CB" w:rsidP="00D15349">
            <w:pPr>
              <w:pStyle w:val="TableTextIndent1"/>
            </w:pPr>
            <w:r w:rsidRPr="00783571">
              <w:t>Hispanic/Latino: 0.228</w:t>
            </w:r>
          </w:p>
          <w:p w14:paraId="40D595FD" w14:textId="77777777" w:rsidR="00F821CB" w:rsidRPr="00783571" w:rsidRDefault="00F821CB" w:rsidP="00D15349">
            <w:pPr>
              <w:pStyle w:val="TableTextIndent1"/>
            </w:pPr>
            <w:r w:rsidRPr="00783571">
              <w:t>Other: 0.462</w:t>
            </w:r>
          </w:p>
          <w:p w14:paraId="5CE7EA4B" w14:textId="77777777" w:rsidR="00F821CB" w:rsidRPr="00783571" w:rsidRDefault="00F821CB" w:rsidP="004A1ECD">
            <w:pPr>
              <w:pStyle w:val="TableText"/>
            </w:pPr>
            <w:r w:rsidRPr="00783571">
              <w:t>Years: 2010+</w:t>
            </w:r>
          </w:p>
          <w:p w14:paraId="47638388" w14:textId="77777777" w:rsidR="00F821CB" w:rsidRPr="00783571" w:rsidRDefault="00F821CB" w:rsidP="00D15349">
            <w:pPr>
              <w:pStyle w:val="TableTextIndent1"/>
            </w:pPr>
            <w:r w:rsidRPr="00783571">
              <w:t>Black:0.253</w:t>
            </w:r>
          </w:p>
          <w:p w14:paraId="4FB9E25B" w14:textId="77777777" w:rsidR="00F821CB" w:rsidRPr="00783571" w:rsidRDefault="00F821CB" w:rsidP="00D15349">
            <w:pPr>
              <w:pStyle w:val="TableTextIndent1"/>
            </w:pPr>
            <w:r w:rsidRPr="00783571">
              <w:t>Hispanic/Latino: 0.200</w:t>
            </w:r>
          </w:p>
          <w:p w14:paraId="292D90C1" w14:textId="77777777" w:rsidR="00F821CB" w:rsidRPr="00783571" w:rsidRDefault="00F821CB" w:rsidP="00D15349">
            <w:pPr>
              <w:pStyle w:val="TableTextIndent1"/>
            </w:pPr>
            <w:r w:rsidRPr="00783571">
              <w:t>Other: 0.252</w:t>
            </w:r>
          </w:p>
        </w:tc>
        <w:tc>
          <w:tcPr>
            <w:tcW w:w="2707" w:type="dxa"/>
          </w:tcPr>
          <w:p w14:paraId="541711D5" w14:textId="77777777" w:rsidR="00F821CB" w:rsidRPr="00783571" w:rsidRDefault="00F821CB" w:rsidP="004A1ECD">
            <w:pPr>
              <w:pStyle w:val="TableText"/>
            </w:pPr>
            <w:r w:rsidRPr="00783571">
              <w:t>Calibration</w:t>
            </w:r>
          </w:p>
        </w:tc>
      </w:tr>
      <w:tr w:rsidR="00F821CB" w:rsidRPr="00783571" w14:paraId="57ED0204" w14:textId="77777777" w:rsidTr="00D15349">
        <w:tc>
          <w:tcPr>
            <w:tcW w:w="3125" w:type="dxa"/>
            <w:tcBorders>
              <w:bottom w:val="nil"/>
            </w:tcBorders>
          </w:tcPr>
          <w:p w14:paraId="5B152D77" w14:textId="77777777" w:rsidR="00F821CB" w:rsidRPr="00783571" w:rsidRDefault="00F821CB" w:rsidP="004A1ECD">
            <w:pPr>
              <w:pStyle w:val="TableText"/>
              <w:rPr>
                <w:vertAlign w:val="superscript"/>
              </w:rPr>
            </w:pPr>
            <w:r w:rsidRPr="00783571">
              <w:t>Percentage of people who have any AI in their male-female partnerships, 2010+</w:t>
            </w:r>
            <w:r w:rsidRPr="00783571">
              <w:rPr>
                <w:vertAlign w:val="superscript"/>
              </w:rPr>
              <w:t>a</w:t>
            </w:r>
          </w:p>
        </w:tc>
        <w:tc>
          <w:tcPr>
            <w:tcW w:w="3542" w:type="dxa"/>
            <w:tcBorders>
              <w:bottom w:val="nil"/>
            </w:tcBorders>
          </w:tcPr>
          <w:p w14:paraId="567E0E36" w14:textId="77777777" w:rsidR="00F821CB" w:rsidRPr="00783571" w:rsidRDefault="00F821CB" w:rsidP="004A1ECD">
            <w:pPr>
              <w:pStyle w:val="TableText"/>
            </w:pPr>
            <w:r w:rsidRPr="00783571">
              <w:t>Male</w:t>
            </w:r>
          </w:p>
          <w:p w14:paraId="3CF4219B" w14:textId="77777777" w:rsidR="00F821CB" w:rsidRPr="00783571" w:rsidRDefault="00F821CB" w:rsidP="004A1ECD">
            <w:pPr>
              <w:pStyle w:val="TableText"/>
            </w:pPr>
            <w:r w:rsidRPr="00783571">
              <w:t>Age Group:</w:t>
            </w:r>
          </w:p>
          <w:p w14:paraId="7CBA180A" w14:textId="77777777" w:rsidR="00F821CB" w:rsidRPr="00783571" w:rsidRDefault="00F821CB" w:rsidP="00D15349">
            <w:pPr>
              <w:pStyle w:val="TableTextIndent1"/>
            </w:pPr>
            <w:r w:rsidRPr="00783571">
              <w:t>13-17: 3.0/5.3/2.5</w:t>
            </w:r>
          </w:p>
          <w:p w14:paraId="0A392495" w14:textId="77777777" w:rsidR="00F821CB" w:rsidRPr="00783571" w:rsidRDefault="00F821CB" w:rsidP="00D15349">
            <w:pPr>
              <w:pStyle w:val="TableTextIndent1"/>
            </w:pPr>
            <w:r w:rsidRPr="00783571">
              <w:t>18-24: 6.5/11.6/5.4</w:t>
            </w:r>
          </w:p>
          <w:p w14:paraId="4D3D1FCD" w14:textId="77777777" w:rsidR="00F821CB" w:rsidRPr="00783571" w:rsidRDefault="00F821CB" w:rsidP="00D15349">
            <w:pPr>
              <w:pStyle w:val="TableTextIndent1"/>
            </w:pPr>
            <w:r w:rsidRPr="00783571">
              <w:t>25-34: 23.3/28.6/25.3</w:t>
            </w:r>
          </w:p>
          <w:p w14:paraId="3CF9D3BD" w14:textId="77777777" w:rsidR="00F821CB" w:rsidRPr="00783571" w:rsidRDefault="00F821CB" w:rsidP="00D15349">
            <w:pPr>
              <w:pStyle w:val="TableTextIndent1"/>
            </w:pPr>
            <w:r w:rsidRPr="00783571">
              <w:t>35-44: 15.8/27.0/22.8</w:t>
            </w:r>
          </w:p>
          <w:p w14:paraId="573CD273" w14:textId="77777777" w:rsidR="00F821CB" w:rsidRPr="00783571" w:rsidRDefault="00F821CB" w:rsidP="00D15349">
            <w:pPr>
              <w:pStyle w:val="TableTextIndent1"/>
            </w:pPr>
            <w:r w:rsidRPr="00783571">
              <w:t>45-64: 10.2/18.2/12.6</w:t>
            </w:r>
          </w:p>
          <w:p w14:paraId="016251E9" w14:textId="77777777" w:rsidR="00F821CB" w:rsidRPr="00783571" w:rsidRDefault="00F821CB" w:rsidP="004A1ECD">
            <w:pPr>
              <w:pStyle w:val="TableText"/>
            </w:pPr>
            <w:r w:rsidRPr="00783571">
              <w:t>Female</w:t>
            </w:r>
          </w:p>
          <w:p w14:paraId="33ECFA43" w14:textId="77777777" w:rsidR="00F821CB" w:rsidRPr="00783571" w:rsidRDefault="00F821CB" w:rsidP="004A1ECD">
            <w:pPr>
              <w:pStyle w:val="TableText"/>
            </w:pPr>
            <w:r w:rsidRPr="00783571">
              <w:t>Age Group:</w:t>
            </w:r>
          </w:p>
          <w:p w14:paraId="2549B309" w14:textId="77777777" w:rsidR="00F821CB" w:rsidRPr="00783571" w:rsidRDefault="00F821CB" w:rsidP="00D15349">
            <w:pPr>
              <w:pStyle w:val="TableTextIndent1"/>
            </w:pPr>
            <w:r w:rsidRPr="00783571">
              <w:t>13-17: 2.7/5.6/3.7</w:t>
            </w:r>
          </w:p>
          <w:p w14:paraId="17662552" w14:textId="77777777" w:rsidR="00F821CB" w:rsidRPr="00783571" w:rsidRDefault="00F821CB" w:rsidP="00D15349">
            <w:pPr>
              <w:pStyle w:val="TableTextIndent1"/>
            </w:pPr>
            <w:r w:rsidRPr="00783571">
              <w:t>18-24: 14.3/29.5/20.1</w:t>
            </w:r>
          </w:p>
          <w:p w14:paraId="44B269BB" w14:textId="77777777" w:rsidR="00F821CB" w:rsidRPr="00783571" w:rsidRDefault="00F821CB" w:rsidP="00D15349">
            <w:pPr>
              <w:pStyle w:val="TableTextIndent1"/>
            </w:pPr>
            <w:r w:rsidRPr="00783571">
              <w:t>25-34: 14.4/28.8/24.1</w:t>
            </w:r>
          </w:p>
          <w:p w14:paraId="0B8F1034" w14:textId="77777777" w:rsidR="00F821CB" w:rsidRPr="00783571" w:rsidRDefault="00F821CB" w:rsidP="00D15349">
            <w:pPr>
              <w:pStyle w:val="TableTextIndent1"/>
            </w:pPr>
            <w:r w:rsidRPr="00783571">
              <w:t>35-44: 12.2/21.0/18.2</w:t>
            </w:r>
          </w:p>
          <w:p w14:paraId="1E501EBA" w14:textId="5FD18B6D" w:rsidR="00F821CB" w:rsidRPr="00783571" w:rsidRDefault="00F821CB" w:rsidP="00D15349">
            <w:pPr>
              <w:pStyle w:val="TableTextIndent1"/>
            </w:pPr>
            <w:r w:rsidRPr="00783571">
              <w:t>45-64: 9.6/12.0/7.0</w:t>
            </w:r>
          </w:p>
        </w:tc>
        <w:tc>
          <w:tcPr>
            <w:tcW w:w="2707" w:type="dxa"/>
            <w:tcBorders>
              <w:bottom w:val="nil"/>
            </w:tcBorders>
          </w:tcPr>
          <w:p w14:paraId="02B79573" w14:textId="76C4BC0A" w:rsidR="00F821CB" w:rsidRPr="00783571" w:rsidRDefault="00F821CB" w:rsidP="004A1ECD">
            <w:pPr>
              <w:pStyle w:val="TableText"/>
            </w:pPr>
            <w:r w:rsidRPr="00783571">
              <w:t>Calculated</w:t>
            </w:r>
            <w:r w:rsidR="00A76334" w:rsidRPr="00783571">
              <w:t>; Herbenick et al. (2010); Reece et al. (2010</w:t>
            </w:r>
            <w:r w:rsidR="0028007E" w:rsidRPr="00783571">
              <w:t>a</w:t>
            </w:r>
            <w:r w:rsidR="00A76334" w:rsidRPr="00783571">
              <w:t>); Dodge et al. (2010); Finlayson et al. (2008)</w:t>
            </w:r>
          </w:p>
        </w:tc>
      </w:tr>
      <w:tr w:rsidR="00F821CB" w:rsidRPr="00783571" w14:paraId="499175CF" w14:textId="77777777" w:rsidTr="00D15349">
        <w:tc>
          <w:tcPr>
            <w:tcW w:w="3125" w:type="dxa"/>
            <w:tcBorders>
              <w:top w:val="nil"/>
              <w:bottom w:val="single" w:sz="6" w:space="0" w:color="auto"/>
            </w:tcBorders>
          </w:tcPr>
          <w:p w14:paraId="3A7337DC" w14:textId="77777777" w:rsidR="00F821CB" w:rsidRPr="00783571" w:rsidRDefault="00F821CB" w:rsidP="00430AFB">
            <w:pPr>
              <w:pStyle w:val="TableText"/>
            </w:pPr>
            <w:r w:rsidRPr="00783571">
              <w:t>Annual rate of initiating PrEP per eligible person</w:t>
            </w:r>
          </w:p>
        </w:tc>
        <w:tc>
          <w:tcPr>
            <w:tcW w:w="3542" w:type="dxa"/>
            <w:tcBorders>
              <w:top w:val="nil"/>
              <w:bottom w:val="single" w:sz="6" w:space="0" w:color="auto"/>
            </w:tcBorders>
          </w:tcPr>
          <w:p w14:paraId="7132CCAF" w14:textId="77777777" w:rsidR="00F821CB" w:rsidRPr="00783571" w:rsidRDefault="00F821CB" w:rsidP="00430AFB">
            <w:pPr>
              <w:pStyle w:val="TableText"/>
            </w:pPr>
            <w:r w:rsidRPr="00783571">
              <w:t>Current continuum of care:</w:t>
            </w:r>
          </w:p>
          <w:p w14:paraId="44E346A4" w14:textId="77777777" w:rsidR="00F821CB" w:rsidRPr="00783571" w:rsidRDefault="00F821CB" w:rsidP="00D15349">
            <w:pPr>
              <w:pStyle w:val="TableTextIndent1"/>
            </w:pPr>
            <w:r w:rsidRPr="00783571">
              <w:t>HET:0.1085</w:t>
            </w:r>
          </w:p>
          <w:p w14:paraId="5E19DF29" w14:textId="77777777" w:rsidR="00F821CB" w:rsidRPr="00783571" w:rsidRDefault="00F821CB" w:rsidP="00D15349">
            <w:pPr>
              <w:pStyle w:val="TableTextIndent1"/>
            </w:pPr>
            <w:r w:rsidRPr="00783571">
              <w:t>MSM: 0.5264</w:t>
            </w:r>
          </w:p>
          <w:p w14:paraId="21932314" w14:textId="77777777" w:rsidR="00F821CB" w:rsidRPr="00783571" w:rsidRDefault="00F821CB" w:rsidP="00D15349">
            <w:pPr>
              <w:pStyle w:val="TableTextIndent1"/>
            </w:pPr>
            <w:r w:rsidRPr="00783571">
              <w:t>PWID:0.1085</w:t>
            </w:r>
          </w:p>
          <w:p w14:paraId="6232C6D4" w14:textId="77777777" w:rsidR="00F821CB" w:rsidRPr="00783571" w:rsidRDefault="00F821CB" w:rsidP="00430AFB">
            <w:pPr>
              <w:pStyle w:val="TableText"/>
            </w:pPr>
            <w:r w:rsidRPr="00783571">
              <w:t>National goals achieved:</w:t>
            </w:r>
          </w:p>
          <w:p w14:paraId="51028E81" w14:textId="77777777" w:rsidR="00F821CB" w:rsidRPr="00783571" w:rsidRDefault="00F821CB" w:rsidP="00D15349">
            <w:pPr>
              <w:pStyle w:val="TableTextIndent1"/>
            </w:pPr>
            <w:r w:rsidRPr="00783571">
              <w:t>HET: 0.1085</w:t>
            </w:r>
          </w:p>
          <w:p w14:paraId="6A21BC62" w14:textId="77777777" w:rsidR="00F821CB" w:rsidRPr="00783571" w:rsidRDefault="00F821CB" w:rsidP="00D15349">
            <w:pPr>
              <w:pStyle w:val="TableTextIndent1"/>
            </w:pPr>
            <w:r w:rsidRPr="00783571">
              <w:t>MSM: 0.5267</w:t>
            </w:r>
          </w:p>
          <w:p w14:paraId="0E54F857" w14:textId="2825DB65" w:rsidR="00F821CB" w:rsidRPr="00783571" w:rsidRDefault="00D15349" w:rsidP="00D15349">
            <w:pPr>
              <w:pStyle w:val="TableTextIndent1"/>
            </w:pPr>
            <w:r w:rsidRPr="00783571">
              <w:t>PWID: 01085</w:t>
            </w:r>
          </w:p>
        </w:tc>
        <w:tc>
          <w:tcPr>
            <w:tcW w:w="2707" w:type="dxa"/>
            <w:tcBorders>
              <w:top w:val="nil"/>
              <w:bottom w:val="single" w:sz="6" w:space="0" w:color="auto"/>
            </w:tcBorders>
          </w:tcPr>
          <w:p w14:paraId="6CC7EC9B" w14:textId="77777777" w:rsidR="00F821CB" w:rsidRPr="00783571" w:rsidRDefault="00F821CB" w:rsidP="00430AFB">
            <w:pPr>
              <w:pStyle w:val="TableText"/>
            </w:pPr>
            <w:r w:rsidRPr="00783571">
              <w:t>Calculated to give a coverage of</w:t>
            </w:r>
          </w:p>
          <w:p w14:paraId="4CCCEFB1" w14:textId="77777777" w:rsidR="00F821CB" w:rsidRPr="00783571" w:rsidRDefault="00F821CB" w:rsidP="00430AFB">
            <w:pPr>
              <w:pStyle w:val="TableText"/>
            </w:pPr>
            <w:r w:rsidRPr="00783571">
              <w:t>HET: 10%</w:t>
            </w:r>
          </w:p>
          <w:p w14:paraId="6D143D07" w14:textId="77777777" w:rsidR="00F821CB" w:rsidRPr="00783571" w:rsidRDefault="00F821CB" w:rsidP="00430AFB">
            <w:pPr>
              <w:pStyle w:val="TableText"/>
            </w:pPr>
            <w:r w:rsidRPr="00783571">
              <w:t>MSM: 40%</w:t>
            </w:r>
          </w:p>
          <w:p w14:paraId="3C762CAE" w14:textId="77777777" w:rsidR="00F821CB" w:rsidRPr="00783571" w:rsidRDefault="00F821CB" w:rsidP="00430AFB">
            <w:pPr>
              <w:pStyle w:val="TableText"/>
            </w:pPr>
            <w:r w:rsidRPr="00783571">
              <w:t>PWID: 10%</w:t>
            </w:r>
          </w:p>
          <w:p w14:paraId="1C9CE1DC" w14:textId="77777777" w:rsidR="00F821CB" w:rsidRPr="00783571" w:rsidRDefault="00F821CB" w:rsidP="00430AFB">
            <w:pPr>
              <w:pStyle w:val="TableText"/>
            </w:pPr>
            <w:r w:rsidRPr="00783571">
              <w:t>Coverage levels assumed based on expert opinion.</w:t>
            </w:r>
            <w:r w:rsidRPr="00783571">
              <w:rPr>
                <w:vertAlign w:val="superscript"/>
              </w:rPr>
              <w:t>e</w:t>
            </w:r>
          </w:p>
        </w:tc>
      </w:tr>
    </w:tbl>
    <w:p w14:paraId="40390843" w14:textId="77777777" w:rsidR="00D15349" w:rsidRPr="00783571" w:rsidRDefault="00D15349" w:rsidP="00D15349">
      <w:pPr>
        <w:pStyle w:val="Tablecont"/>
        <w:ind w:right="0"/>
      </w:pPr>
      <w:r w:rsidRPr="00783571">
        <w:t>(continued)</w:t>
      </w:r>
    </w:p>
    <w:p w14:paraId="66FECE33" w14:textId="77777777" w:rsidR="00D15349" w:rsidRPr="00783571" w:rsidRDefault="00D15349" w:rsidP="00D15349">
      <w:pPr>
        <w:pStyle w:val="TableTitlecont"/>
      </w:pPr>
      <w:r w:rsidRPr="00783571">
        <w:t>Table 12.2.</w:t>
      </w:r>
      <w:r w:rsidRPr="00783571">
        <w:tab/>
        <w:t>Values and Sources of Key Model Parameters (continued)</w:t>
      </w:r>
    </w:p>
    <w:tbl>
      <w:tblPr>
        <w:tblStyle w:val="TableFormat4"/>
        <w:tblW w:w="9374" w:type="dxa"/>
        <w:tblInd w:w="0" w:type="dxa"/>
        <w:tblLayout w:type="fixed"/>
        <w:tblLook w:val="04A0" w:firstRow="1" w:lastRow="0" w:firstColumn="1" w:lastColumn="0" w:noHBand="0" w:noVBand="1"/>
      </w:tblPr>
      <w:tblGrid>
        <w:gridCol w:w="3125"/>
        <w:gridCol w:w="3542"/>
        <w:gridCol w:w="2707"/>
      </w:tblGrid>
      <w:tr w:rsidR="00D15349" w:rsidRPr="00783571" w14:paraId="5A363937" w14:textId="77777777" w:rsidTr="003E37E1">
        <w:trPr>
          <w:cnfStyle w:val="100000000000" w:firstRow="1" w:lastRow="0" w:firstColumn="0" w:lastColumn="0" w:oddVBand="0" w:evenVBand="0" w:oddHBand="0" w:evenHBand="0" w:firstRowFirstColumn="0" w:firstRowLastColumn="0" w:lastRowFirstColumn="0" w:lastRowLastColumn="0"/>
          <w:tblHeader/>
        </w:trPr>
        <w:tc>
          <w:tcPr>
            <w:tcW w:w="3125" w:type="dxa"/>
            <w:vAlign w:val="bottom"/>
          </w:tcPr>
          <w:p w14:paraId="58396EE4" w14:textId="77777777" w:rsidR="00D15349" w:rsidRPr="00783571" w:rsidRDefault="00D15349" w:rsidP="003E37E1">
            <w:pPr>
              <w:pStyle w:val="TableHeaders"/>
            </w:pPr>
            <w:r w:rsidRPr="00783571">
              <w:t>Input</w:t>
            </w:r>
          </w:p>
        </w:tc>
        <w:tc>
          <w:tcPr>
            <w:tcW w:w="3542" w:type="dxa"/>
            <w:vAlign w:val="bottom"/>
          </w:tcPr>
          <w:p w14:paraId="2E5FFE0A" w14:textId="77777777" w:rsidR="00D15349" w:rsidRPr="00783571" w:rsidRDefault="00D15349" w:rsidP="003E37E1">
            <w:pPr>
              <w:pStyle w:val="TableHeaders"/>
            </w:pPr>
            <w:r w:rsidRPr="00783571">
              <w:t>Value</w:t>
            </w:r>
          </w:p>
        </w:tc>
        <w:tc>
          <w:tcPr>
            <w:tcW w:w="2707" w:type="dxa"/>
            <w:vAlign w:val="bottom"/>
          </w:tcPr>
          <w:p w14:paraId="33A19DF9" w14:textId="77777777" w:rsidR="00D15349" w:rsidRPr="00783571" w:rsidRDefault="00D15349" w:rsidP="003E37E1">
            <w:pPr>
              <w:pStyle w:val="TableHeaders"/>
            </w:pPr>
            <w:r w:rsidRPr="00783571">
              <w:t>Source</w:t>
            </w:r>
          </w:p>
        </w:tc>
      </w:tr>
      <w:tr w:rsidR="00F821CB" w:rsidRPr="00783571" w14:paraId="560FFE30" w14:textId="77777777" w:rsidTr="00D15349">
        <w:tc>
          <w:tcPr>
            <w:tcW w:w="3125" w:type="dxa"/>
          </w:tcPr>
          <w:p w14:paraId="6C616B93" w14:textId="77777777" w:rsidR="00F821CB" w:rsidRPr="00783571" w:rsidRDefault="00F821CB" w:rsidP="00430AFB">
            <w:pPr>
              <w:pStyle w:val="TableText"/>
            </w:pPr>
            <w:r w:rsidRPr="00783571">
              <w:t>PrEP Efficacy</w:t>
            </w:r>
          </w:p>
        </w:tc>
        <w:tc>
          <w:tcPr>
            <w:tcW w:w="3542" w:type="dxa"/>
          </w:tcPr>
          <w:p w14:paraId="7068DD63" w14:textId="77777777" w:rsidR="00F821CB" w:rsidRPr="00783571" w:rsidRDefault="00F821CB" w:rsidP="00430AFB">
            <w:pPr>
              <w:pStyle w:val="TableText"/>
            </w:pPr>
            <w:r w:rsidRPr="00783571">
              <w:t>HET: 75%</w:t>
            </w:r>
          </w:p>
          <w:p w14:paraId="020209E4" w14:textId="77777777" w:rsidR="00F821CB" w:rsidRPr="00783571" w:rsidRDefault="00F821CB" w:rsidP="00430AFB">
            <w:pPr>
              <w:pStyle w:val="TableText"/>
            </w:pPr>
            <w:r w:rsidRPr="00783571">
              <w:t>MSM: 73%</w:t>
            </w:r>
          </w:p>
          <w:p w14:paraId="23422B19" w14:textId="77777777" w:rsidR="00F821CB" w:rsidRPr="00783571" w:rsidRDefault="00F821CB" w:rsidP="00430AFB">
            <w:pPr>
              <w:pStyle w:val="TableText"/>
            </w:pPr>
            <w:r w:rsidRPr="00783571">
              <w:t>PWID: 49%</w:t>
            </w:r>
          </w:p>
        </w:tc>
        <w:tc>
          <w:tcPr>
            <w:tcW w:w="2707" w:type="dxa"/>
          </w:tcPr>
          <w:p w14:paraId="3C7C2B90" w14:textId="376B75B9" w:rsidR="00F821CB" w:rsidRPr="00783571" w:rsidRDefault="00A76334" w:rsidP="00430AFB">
            <w:pPr>
              <w:pStyle w:val="TableText"/>
            </w:pPr>
            <w:r w:rsidRPr="00783571">
              <w:t>Baeten et al. (2012)</w:t>
            </w:r>
          </w:p>
          <w:p w14:paraId="029FF6C1" w14:textId="30901E76" w:rsidR="00F821CB" w:rsidRPr="00783571" w:rsidRDefault="00A76334" w:rsidP="00430AFB">
            <w:pPr>
              <w:pStyle w:val="TableText"/>
            </w:pPr>
            <w:r w:rsidRPr="00783571">
              <w:t>Grant et al. (2010)</w:t>
            </w:r>
          </w:p>
          <w:p w14:paraId="4DC9E982" w14:textId="23ED700F" w:rsidR="00F821CB" w:rsidRPr="00783571" w:rsidRDefault="00A76334" w:rsidP="00430AFB">
            <w:pPr>
              <w:pStyle w:val="TableText"/>
            </w:pPr>
            <w:r w:rsidRPr="00783571">
              <w:t>Choopanya et al. (2013)</w:t>
            </w:r>
          </w:p>
        </w:tc>
      </w:tr>
      <w:tr w:rsidR="00F821CB" w:rsidRPr="00783571" w14:paraId="14AEC120" w14:textId="77777777" w:rsidTr="00D15349">
        <w:tc>
          <w:tcPr>
            <w:tcW w:w="3125" w:type="dxa"/>
          </w:tcPr>
          <w:p w14:paraId="3E975FBD" w14:textId="77777777" w:rsidR="00F821CB" w:rsidRPr="00783571" w:rsidRDefault="00F821CB" w:rsidP="00430AFB">
            <w:pPr>
              <w:pStyle w:val="TableText"/>
            </w:pPr>
            <w:r w:rsidRPr="00783571">
              <w:t>Annual probability of dropping off of PrEP, if susceptible and on-PrEP</w:t>
            </w:r>
          </w:p>
        </w:tc>
        <w:tc>
          <w:tcPr>
            <w:tcW w:w="3542" w:type="dxa"/>
          </w:tcPr>
          <w:p w14:paraId="5040A981" w14:textId="77777777" w:rsidR="00F821CB" w:rsidRPr="00783571" w:rsidRDefault="00F821CB" w:rsidP="00430AFB">
            <w:pPr>
              <w:pStyle w:val="TableText"/>
            </w:pPr>
            <w:r w:rsidRPr="00783571">
              <w:t>0%</w:t>
            </w:r>
          </w:p>
        </w:tc>
        <w:tc>
          <w:tcPr>
            <w:tcW w:w="2707" w:type="dxa"/>
          </w:tcPr>
          <w:p w14:paraId="5BB39D84" w14:textId="77777777" w:rsidR="00F821CB" w:rsidRPr="00783571" w:rsidRDefault="00F821CB" w:rsidP="00430AFB">
            <w:pPr>
              <w:pStyle w:val="TableText"/>
            </w:pPr>
            <w:r w:rsidRPr="00783571">
              <w:t xml:space="preserve">Assumption </w:t>
            </w:r>
          </w:p>
        </w:tc>
      </w:tr>
    </w:tbl>
    <w:p w14:paraId="0F3398E2" w14:textId="52540112" w:rsidR="00F821CB" w:rsidRPr="00783571" w:rsidRDefault="00912097" w:rsidP="00D15349">
      <w:pPr>
        <w:pStyle w:val="Source2"/>
      </w:pPr>
      <w:r w:rsidRPr="00783571">
        <w:t>AI = anal intercourse; ART = antiretroviral therapy; HET = heterosexual; MSM = men who have sex with men; PrEP = pre-exposure prophylaxis; PWID = people who inject drugs; VLS = viral load suppressed.</w:t>
      </w:r>
    </w:p>
    <w:p w14:paraId="497CC8AE" w14:textId="1002CFCA" w:rsidR="00F821CB" w:rsidRPr="00783571" w:rsidRDefault="00F821CB" w:rsidP="00D15349">
      <w:pPr>
        <w:pStyle w:val="Source3"/>
      </w:pPr>
      <w:r w:rsidRPr="00783571">
        <w:rPr>
          <w:vertAlign w:val="superscript"/>
        </w:rPr>
        <w:t xml:space="preserve">a </w:t>
      </w:r>
      <w:r w:rsidRPr="00783571">
        <w:t>The reported values correspond to B</w:t>
      </w:r>
      <w:r w:rsidR="00036684" w:rsidRPr="00783571">
        <w:t>l</w:t>
      </w:r>
      <w:r w:rsidRPr="00783571">
        <w:t>acks, Hispanic/Latinos, and Whites/Other, respectively</w:t>
      </w:r>
    </w:p>
    <w:p w14:paraId="47A8ADB6" w14:textId="77777777" w:rsidR="0016571A" w:rsidRPr="00783571" w:rsidRDefault="00F821CB" w:rsidP="00D15349">
      <w:pPr>
        <w:pStyle w:val="Source3"/>
      </w:pPr>
      <w:r w:rsidRPr="00783571">
        <w:rPr>
          <w:vertAlign w:val="superscript"/>
        </w:rPr>
        <w:t>b</w:t>
      </w:r>
      <w:r w:rsidRPr="00783571">
        <w:t xml:space="preserve"> CDC unpublished data generated from National HIV Behavioral Surveillance reported the total number of annual partners among infected and uninfected heterosexuals.</w:t>
      </w:r>
      <w:r w:rsidR="00CE4221" w:rsidRPr="00783571">
        <w:t xml:space="preserve"> </w:t>
      </w:r>
      <w:r w:rsidRPr="00783571">
        <w:t>We defined high-risk and low-risk heterosexuals depending on the number of partnerships</w:t>
      </w:r>
      <w:r w:rsidRPr="00783571">
        <w:rPr>
          <w:color w:val="1F497D"/>
        </w:rPr>
        <w:t xml:space="preserve"> </w:t>
      </w:r>
      <w:r w:rsidRPr="00783571">
        <w:t>and other factors.</w:t>
      </w:r>
      <w:r w:rsidR="00CE4221" w:rsidRPr="00783571">
        <w:t xml:space="preserve"> </w:t>
      </w:r>
      <w:r w:rsidRPr="00783571">
        <w:t xml:space="preserve">Leichliter and colleagues </w:t>
      </w:r>
      <w:r w:rsidR="00A76334" w:rsidRPr="00783571">
        <w:t>(2010</w:t>
      </w:r>
      <w:r w:rsidRPr="00783571">
        <w:t>) reported the annual numbers of partners by race and sex for high-risk heterosexuals.</w:t>
      </w:r>
      <w:r w:rsidR="00CE4221" w:rsidRPr="00783571">
        <w:t xml:space="preserve"> </w:t>
      </w:r>
      <w:r w:rsidRPr="00783571">
        <w:t>We applied their distributions of partnerships by race and sex to our number of total partnerships among low- and high-risk heterosexuals.</w:t>
      </w:r>
    </w:p>
    <w:p w14:paraId="47C01F64" w14:textId="19EBBC73" w:rsidR="00F821CB" w:rsidRPr="00783571" w:rsidRDefault="00F821CB" w:rsidP="00D15349">
      <w:pPr>
        <w:pStyle w:val="Source3"/>
      </w:pPr>
      <w:r w:rsidRPr="00783571">
        <w:rPr>
          <w:vertAlign w:val="superscript"/>
        </w:rPr>
        <w:t xml:space="preserve">c </w:t>
      </w:r>
      <w:r w:rsidRPr="00783571">
        <w:t>Estimated so that HIV prevalence in low-risk and high-risk HETs was stable over time.</w:t>
      </w:r>
      <w:r w:rsidR="00CE4221" w:rsidRPr="00783571">
        <w:t xml:space="preserve"> </w:t>
      </w:r>
      <w:r w:rsidRPr="00783571">
        <w:t xml:space="preserve">See </w:t>
      </w:r>
      <w:r w:rsidR="0061048F" w:rsidRPr="00783571">
        <w:t>Table 6.9</w:t>
      </w:r>
      <w:r w:rsidRPr="00783571">
        <w:t xml:space="preserve"> for further details.</w:t>
      </w:r>
    </w:p>
    <w:p w14:paraId="3081090F" w14:textId="20D0125C" w:rsidR="00F821CB" w:rsidRPr="00783571" w:rsidRDefault="00F821CB" w:rsidP="00D15349">
      <w:pPr>
        <w:pStyle w:val="Source3"/>
      </w:pPr>
      <w:r w:rsidRPr="00783571">
        <w:rPr>
          <w:vertAlign w:val="superscript"/>
        </w:rPr>
        <w:t>d</w:t>
      </w:r>
      <w:r w:rsidRPr="00783571">
        <w:t xml:space="preserve"> Reece and colleagues </w:t>
      </w:r>
      <w:r w:rsidR="0028007E" w:rsidRPr="00783571">
        <w:t>(2010b</w:t>
      </w:r>
      <w:r w:rsidRPr="00783571">
        <w:t>) reported the percentage of anal sex acts protected with condoms for all males and for MSM, and the sample size for all males and MSM.</w:t>
      </w:r>
      <w:r w:rsidR="00CE4221" w:rsidRPr="00783571">
        <w:t xml:space="preserve"> </w:t>
      </w:r>
      <w:r w:rsidRPr="00783571">
        <w:t>Based on that, we calculated the proportions of the sample that were MSM or heterosexual males, and the proportion of sex acts protected with condoms for heterosexual males.</w:t>
      </w:r>
      <w:r w:rsidR="00CE4221" w:rsidRPr="00783571">
        <w:t xml:space="preserve"> </w:t>
      </w:r>
      <w:r w:rsidRPr="00783571">
        <w:t>We used the following equation: Percentage of anal sexual contacts protected with condoms for males with female partners = [(Percentage of anal sex acts protected with a condom for all adult males)-((Percentage of sample that was MSM)* (Percentage of anal sex acts protected with a condom for MSM))]/[Percentage of sample that was heterosexual male].</w:t>
      </w:r>
    </w:p>
    <w:p w14:paraId="61455419" w14:textId="77777777" w:rsidR="00F821CB" w:rsidRPr="00783571" w:rsidRDefault="00F821CB" w:rsidP="00D15349">
      <w:pPr>
        <w:pStyle w:val="Source4"/>
      </w:pPr>
      <w:r w:rsidRPr="00783571">
        <w:rPr>
          <w:rFonts w:cs="Arial"/>
          <w:vertAlign w:val="superscript"/>
        </w:rPr>
        <w:t xml:space="preserve">e </w:t>
      </w:r>
      <w:r w:rsidRPr="00783571">
        <w:t>The rates are for the case when efficacy of PrEP was assumed to be at base case. Annual rates of initiating PrEP per eligible person were adjusted to maintain these coverage levels when efficacy was varied</w:t>
      </w:r>
      <w:r w:rsidRPr="00783571">
        <w:rPr>
          <w:rFonts w:cs="Arial"/>
        </w:rPr>
        <w:t>.</w:t>
      </w:r>
    </w:p>
    <w:p w14:paraId="13E260BC" w14:textId="14663FF7" w:rsidR="00A60B0A" w:rsidRPr="00783571" w:rsidRDefault="00E72922" w:rsidP="00A60B0A">
      <w:pPr>
        <w:pStyle w:val="Heading2"/>
      </w:pPr>
      <w:bookmarkStart w:id="142" w:name="_Toc510104495"/>
      <w:r w:rsidRPr="00783571">
        <w:t>One-W</w:t>
      </w:r>
      <w:r w:rsidR="00A60B0A" w:rsidRPr="00783571">
        <w:t xml:space="preserve">ay </w:t>
      </w:r>
      <w:r w:rsidR="001B428A" w:rsidRPr="00783571">
        <w:t>S</w:t>
      </w:r>
      <w:r w:rsidR="00A60B0A" w:rsidRPr="00783571">
        <w:t xml:space="preserve">ensitivity </w:t>
      </w:r>
      <w:r w:rsidR="001B428A" w:rsidRPr="00783571">
        <w:t>A</w:t>
      </w:r>
      <w:r w:rsidR="00A60B0A" w:rsidRPr="00783571">
        <w:t>nalysis</w:t>
      </w:r>
      <w:bookmarkEnd w:id="142"/>
    </w:p>
    <w:p w14:paraId="4BEC5327" w14:textId="2042BB51" w:rsidR="0016571A" w:rsidRPr="00783571" w:rsidRDefault="00DB497C" w:rsidP="00351A94">
      <w:pPr>
        <w:pStyle w:val="BodyText"/>
      </w:pPr>
      <w:r w:rsidRPr="00783571">
        <w:t>W</w:t>
      </w:r>
      <w:r w:rsidR="000A562B" w:rsidRPr="00783571">
        <w:t xml:space="preserve">e selected the </w:t>
      </w:r>
      <w:r w:rsidR="001B428A" w:rsidRPr="00783571">
        <w:t xml:space="preserve">20 </w:t>
      </w:r>
      <w:r w:rsidR="000A562B" w:rsidRPr="00783571">
        <w:t xml:space="preserve">inputs with the largest mean absolute elementary effects </w:t>
      </w:r>
      <w:r w:rsidR="00351A94" w:rsidRPr="00783571">
        <w:t xml:space="preserve">to vary </w:t>
      </w:r>
      <w:r w:rsidR="000A562B" w:rsidRPr="00783571">
        <w:t>in the one-way sensitivity analysis</w:t>
      </w:r>
      <w:r w:rsidR="00351A94" w:rsidRPr="00783571">
        <w:t xml:space="preserve">; those inputs are marked in </w:t>
      </w:r>
      <w:r w:rsidR="00814158" w:rsidRPr="00783571">
        <w:t>Table </w:t>
      </w:r>
      <w:r w:rsidR="00910BD7" w:rsidRPr="00783571">
        <w:t>12.1</w:t>
      </w:r>
      <w:r w:rsidR="000A562B" w:rsidRPr="00783571">
        <w:t xml:space="preserve">. </w:t>
      </w:r>
      <w:r w:rsidR="00351A94" w:rsidRPr="00783571">
        <w:t>Each input’s value was varied in the model by ±20%</w:t>
      </w:r>
      <w:r w:rsidR="00912097" w:rsidRPr="00783571">
        <w:t>,</w:t>
      </w:r>
      <w:r w:rsidR="00351A94" w:rsidRPr="00783571">
        <w:t xml:space="preserve"> and </w:t>
      </w:r>
      <w:r w:rsidR="001500A2" w:rsidRPr="00783571">
        <w:t xml:space="preserve">the </w:t>
      </w:r>
      <w:r w:rsidR="008F6851" w:rsidRPr="00783571">
        <w:t xml:space="preserve">total </w:t>
      </w:r>
      <w:r w:rsidR="00AB1E10" w:rsidRPr="00783571">
        <w:t>U.S. HIV incidence</w:t>
      </w:r>
      <w:r w:rsidR="008F6851" w:rsidRPr="00783571">
        <w:t xml:space="preserve"> in 2020 </w:t>
      </w:r>
      <w:r w:rsidRPr="00783571">
        <w:t xml:space="preserve">for the scenario when national goals were achieved and PrEP was delivered </w:t>
      </w:r>
      <w:r w:rsidR="008F6851" w:rsidRPr="00783571">
        <w:t>were</w:t>
      </w:r>
      <w:r w:rsidR="00351A94" w:rsidRPr="00783571">
        <w:t xml:space="preserve"> recorded.</w:t>
      </w:r>
    </w:p>
    <w:p w14:paraId="5A63C01A" w14:textId="2D1CFB95" w:rsidR="00901AE9" w:rsidRPr="00783571" w:rsidRDefault="00DB497C" w:rsidP="00351A94">
      <w:pPr>
        <w:pStyle w:val="BodyText"/>
      </w:pPr>
      <w:r w:rsidRPr="00783571">
        <w:t>We present the sensitivity analysis outcomes in the form of a tornado diagram (Figure</w:t>
      </w:r>
      <w:r w:rsidR="00912097" w:rsidRPr="00783571">
        <w:t> </w:t>
      </w:r>
      <w:r w:rsidR="00DA350E" w:rsidRPr="00783571">
        <w:t>12.2</w:t>
      </w:r>
      <w:r w:rsidRPr="00783571">
        <w:t>), showing the parameters that had the greatest impact on the number of HIV infections in 2020 at the top and those that had the least impact at the bottom</w:t>
      </w:r>
      <w:r w:rsidR="00901AE9" w:rsidRPr="00783571">
        <w:t>.</w:t>
      </w:r>
    </w:p>
    <w:p w14:paraId="7A2B2A72" w14:textId="7D116EEB" w:rsidR="005133F9" w:rsidRPr="00783571" w:rsidRDefault="00D15349" w:rsidP="00D15349">
      <w:pPr>
        <w:pStyle w:val="FigureTitle"/>
      </w:pPr>
      <w:bookmarkStart w:id="143" w:name="_Toc498078975"/>
      <w:r w:rsidRPr="00783571">
        <w:t>Figure 12.2.</w:t>
      </w:r>
      <w:r w:rsidRPr="00783571">
        <w:tab/>
      </w:r>
      <w:r w:rsidR="005133F9" w:rsidRPr="00783571">
        <w:t>One-</w:t>
      </w:r>
      <w:r w:rsidR="00240E89" w:rsidRPr="00783571">
        <w:t>Way Sensitivity Analysis Results</w:t>
      </w:r>
      <w:r w:rsidR="005133F9" w:rsidRPr="00783571">
        <w:t xml:space="preserve">: </w:t>
      </w:r>
      <w:r w:rsidR="00240E89" w:rsidRPr="00783571">
        <w:t>I</w:t>
      </w:r>
      <w:r w:rsidR="005133F9" w:rsidRPr="00783571">
        <w:t xml:space="preserve">mpact of ±20% </w:t>
      </w:r>
      <w:r w:rsidR="00240E89" w:rsidRPr="00783571">
        <w:t>Relative Change</w:t>
      </w:r>
      <w:r w:rsidR="005133F9" w:rsidRPr="00783571">
        <w:t xml:space="preserve"> in </w:t>
      </w:r>
      <w:r w:rsidR="00240E89" w:rsidRPr="00783571">
        <w:t xml:space="preserve">Input Parameter Values </w:t>
      </w:r>
      <w:r w:rsidR="005133F9" w:rsidRPr="00783571">
        <w:t xml:space="preserve">on the </w:t>
      </w:r>
      <w:r w:rsidR="00240E89" w:rsidRPr="00783571">
        <w:t>T</w:t>
      </w:r>
      <w:r w:rsidR="005133F9" w:rsidRPr="00783571">
        <w:t>otal U</w:t>
      </w:r>
      <w:r w:rsidR="00240E89" w:rsidRPr="00783571">
        <w:t>.</w:t>
      </w:r>
      <w:r w:rsidR="005133F9" w:rsidRPr="00783571">
        <w:t xml:space="preserve">S. HIV </w:t>
      </w:r>
      <w:r w:rsidR="00240E89" w:rsidRPr="00783571">
        <w:t>I</w:t>
      </w:r>
      <w:r w:rsidR="005133F9" w:rsidRPr="00783571">
        <w:t>ncidence in 2020</w:t>
      </w:r>
      <w:bookmarkEnd w:id="143"/>
    </w:p>
    <w:p w14:paraId="3A0C73EB" w14:textId="77777777" w:rsidR="0016571A" w:rsidRPr="00783571" w:rsidRDefault="00DA350E" w:rsidP="00D15349">
      <w:pPr>
        <w:pStyle w:val="figurewbox"/>
      </w:pPr>
      <w:r w:rsidRPr="00783571">
        <w:rPr>
          <w:noProof/>
        </w:rPr>
        <w:drawing>
          <wp:inline distT="0" distB="0" distL="0" distR="0" wp14:anchorId="48DE5A0D" wp14:editId="075B7A7A">
            <wp:extent cx="5669280" cy="2589941"/>
            <wp:effectExtent l="0" t="0" r="762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3"/>
                    <a:stretch>
                      <a:fillRect/>
                    </a:stretch>
                  </pic:blipFill>
                  <pic:spPr>
                    <a:xfrm>
                      <a:off x="0" y="0"/>
                      <a:ext cx="5669280" cy="2589941"/>
                    </a:xfrm>
                    <a:prstGeom prst="rect">
                      <a:avLst/>
                    </a:prstGeom>
                  </pic:spPr>
                </pic:pic>
              </a:graphicData>
            </a:graphic>
          </wp:inline>
        </w:drawing>
      </w:r>
    </w:p>
    <w:p w14:paraId="7F3C9797" w14:textId="767EAE82" w:rsidR="008C6A34" w:rsidRPr="00783571" w:rsidRDefault="008C6A34" w:rsidP="00D15349">
      <w:pPr>
        <w:pStyle w:val="Source1"/>
        <w:rPr>
          <w:rFonts w:cs="Helvetica"/>
          <w:color w:val="333333"/>
          <w:sz w:val="28"/>
          <w:szCs w:val="28"/>
        </w:rPr>
      </w:pPr>
      <w:r w:rsidRPr="00783571">
        <w:t>ART = antiretroviral therapy; HET = heterosexual; MSM = men who have sex with men; PWID = people who inject drugs; VLS = viral load suppressed</w:t>
      </w:r>
      <w:r w:rsidR="00240E89" w:rsidRPr="00783571">
        <w:t>.</w:t>
      </w:r>
    </w:p>
    <w:p w14:paraId="354B2E33" w14:textId="6EB56E7A" w:rsidR="00BC2F21" w:rsidRPr="00783571" w:rsidRDefault="00BC2F21" w:rsidP="00BC2F21">
      <w:pPr>
        <w:pStyle w:val="Heading2"/>
      </w:pPr>
      <w:bookmarkStart w:id="144" w:name="_Toc493755223"/>
      <w:bookmarkStart w:id="145" w:name="_Toc493755224"/>
      <w:bookmarkStart w:id="146" w:name="_Toc493755225"/>
      <w:bookmarkStart w:id="147" w:name="_Toc493755226"/>
      <w:bookmarkStart w:id="148" w:name="_Toc493755227"/>
      <w:bookmarkStart w:id="149" w:name="_Toc493755229"/>
      <w:bookmarkStart w:id="150" w:name="_Toc510104496"/>
      <w:bookmarkEnd w:id="144"/>
      <w:bookmarkEnd w:id="145"/>
      <w:bookmarkEnd w:id="146"/>
      <w:bookmarkEnd w:id="147"/>
      <w:bookmarkEnd w:id="148"/>
      <w:bookmarkEnd w:id="149"/>
      <w:r w:rsidRPr="00783571">
        <w:t xml:space="preserve">Uncertainty </w:t>
      </w:r>
      <w:r w:rsidR="001B428A" w:rsidRPr="00783571">
        <w:t>A</w:t>
      </w:r>
      <w:r w:rsidRPr="00783571">
        <w:t>nalysis</w:t>
      </w:r>
      <w:bookmarkEnd w:id="150"/>
    </w:p>
    <w:p w14:paraId="4661518B" w14:textId="509D0081" w:rsidR="00901AE9" w:rsidRPr="00783571" w:rsidRDefault="00901AE9">
      <w:pPr>
        <w:pStyle w:val="BodyText"/>
      </w:pPr>
      <w:r w:rsidRPr="00783571">
        <w:t>Uncertainty analysis is used to evaluate a model outcome’s variability that is due to the uncertainty of model input values that are estimated. Unlike a one-way sensitivity analysis, which estimates the effect of the changes in the value of an individual input on the model outcome, uncertainty analysis considers the variability of the model outcome based on the collective uncertainty of the estimated input values.</w:t>
      </w:r>
    </w:p>
    <w:p w14:paraId="2C65C7D4" w14:textId="39B279EF" w:rsidR="0016571A" w:rsidRPr="00783571" w:rsidRDefault="00D67D24">
      <w:pPr>
        <w:pStyle w:val="BodyText"/>
      </w:pPr>
      <w:r w:rsidRPr="00783571">
        <w:t xml:space="preserve">To consider the uncertainty of the </w:t>
      </w:r>
      <w:r w:rsidR="00D12329" w:rsidRPr="00783571">
        <w:t>cumulative incidence estimates between 2016 and 2020</w:t>
      </w:r>
      <w:r w:rsidRPr="00783571">
        <w:t xml:space="preserve"> due to the selected values of the calibrated parameters, we ran the model using 10 additional sets of values for those inputs that resulted in model outcomes that approximated the targeted surveillance measures. The same process and selection criteria were applied as for the set used in the </w:t>
      </w:r>
      <w:r w:rsidR="00C96D72" w:rsidRPr="00783571">
        <w:t>base case</w:t>
      </w:r>
      <w:r w:rsidRPr="00783571">
        <w:t xml:space="preserve"> analysis, as outlined in Sections 11.1.3 and 11.1.4. </w:t>
      </w:r>
      <w:r w:rsidR="006E2CD0" w:rsidRPr="00783571">
        <w:t xml:space="preserve">We then observed the range of the cumulative incidence estimates between 2016 and 2020 for the scenario when national goals have been achieved and PrEP has been delivered for all transmission groups across all calibrated runs to assess the robustness of our findings </w:t>
      </w:r>
      <w:r w:rsidR="00F14FF0" w:rsidRPr="00783571">
        <w:t>(</w:t>
      </w:r>
      <w:r w:rsidR="00814158" w:rsidRPr="00783571">
        <w:t>Table </w:t>
      </w:r>
      <w:r w:rsidR="00CC1DD7" w:rsidRPr="00783571">
        <w:t>12.</w:t>
      </w:r>
      <w:r w:rsidR="0065190D" w:rsidRPr="00783571">
        <w:t>3</w:t>
      </w:r>
      <w:r w:rsidR="00F14FF0" w:rsidRPr="00783571">
        <w:t>)</w:t>
      </w:r>
      <w:r w:rsidR="000A562B" w:rsidRPr="00783571">
        <w:t>.</w:t>
      </w:r>
    </w:p>
    <w:p w14:paraId="12AB483C" w14:textId="5189A726" w:rsidR="0016571A" w:rsidRPr="00783571" w:rsidRDefault="00D12329">
      <w:pPr>
        <w:pStyle w:val="BodyText"/>
      </w:pPr>
      <w:r w:rsidRPr="00783571">
        <w:t xml:space="preserve">We found that total cumulative </w:t>
      </w:r>
      <w:r w:rsidR="00AB1E10" w:rsidRPr="00783571">
        <w:t xml:space="preserve">U.S. HIV incidence </w:t>
      </w:r>
      <w:r w:rsidRPr="00783571">
        <w:t>from 2016</w:t>
      </w:r>
      <w:r w:rsidR="00240E89" w:rsidRPr="00783571">
        <w:t xml:space="preserve"> to </w:t>
      </w:r>
      <w:r w:rsidRPr="00783571">
        <w:t>2020</w:t>
      </w:r>
      <w:r w:rsidR="00A475F7" w:rsidRPr="00783571">
        <w:t xml:space="preserve"> stayed within 25% of the base</w:t>
      </w:r>
      <w:r w:rsidR="00240E89" w:rsidRPr="00783571">
        <w:t xml:space="preserve"> </w:t>
      </w:r>
      <w:r w:rsidR="00A475F7" w:rsidRPr="00783571">
        <w:t>case outcome, while the cumulative incidence for MSM, HET, and PWID stayed within 20%, 26%, and 50% of the base case outcome, respectively. These outcomes demonstrate the robustness of the findings.</w:t>
      </w:r>
    </w:p>
    <w:p w14:paraId="152C88B9" w14:textId="5EB5F864" w:rsidR="008B4F8A" w:rsidRPr="00783571" w:rsidRDefault="008B4F8A" w:rsidP="008B4F8A">
      <w:pPr>
        <w:pStyle w:val="TableTitle"/>
      </w:pPr>
      <w:bookmarkStart w:id="151" w:name="_Toc510104053"/>
      <w:r w:rsidRPr="00783571">
        <w:t xml:space="preserve">Table </w:t>
      </w:r>
      <w:r w:rsidR="00CC1DD7" w:rsidRPr="00783571">
        <w:t>12.</w:t>
      </w:r>
      <w:r w:rsidR="0065190D" w:rsidRPr="00783571">
        <w:t>3</w:t>
      </w:r>
      <w:r w:rsidRPr="00783571">
        <w:tab/>
        <w:t xml:space="preserve">Uncertainty </w:t>
      </w:r>
      <w:r w:rsidR="00476CBC" w:rsidRPr="00783571">
        <w:t>A</w:t>
      </w:r>
      <w:r w:rsidRPr="00783571">
        <w:t xml:space="preserve">nalysis </w:t>
      </w:r>
      <w:r w:rsidR="00476CBC" w:rsidRPr="00783571">
        <w:t>R</w:t>
      </w:r>
      <w:r w:rsidRPr="00783571">
        <w:t>esults</w:t>
      </w:r>
      <w:r w:rsidR="0065190D" w:rsidRPr="00783571">
        <w:t xml:space="preserve"> for </w:t>
      </w:r>
      <w:r w:rsidR="00D12329" w:rsidRPr="00783571">
        <w:t>Cumulative U.S. HIV Incidence from 2016 to 2020</w:t>
      </w:r>
      <w:bookmarkEnd w:id="151"/>
    </w:p>
    <w:tbl>
      <w:tblPr>
        <w:tblStyle w:val="TableFormat4"/>
        <w:tblW w:w="5000" w:type="pct"/>
        <w:tblInd w:w="0" w:type="dxa"/>
        <w:tblLayout w:type="fixed"/>
        <w:tblLook w:val="0620" w:firstRow="1" w:lastRow="0" w:firstColumn="0" w:lastColumn="0" w:noHBand="1" w:noVBand="1"/>
      </w:tblPr>
      <w:tblGrid>
        <w:gridCol w:w="4039"/>
        <w:gridCol w:w="1980"/>
        <w:gridCol w:w="1710"/>
        <w:gridCol w:w="1631"/>
      </w:tblGrid>
      <w:tr w:rsidR="000A562B" w:rsidRPr="00783571" w14:paraId="436FDEDB" w14:textId="77777777" w:rsidTr="004F70FA">
        <w:trPr>
          <w:cnfStyle w:val="100000000000" w:firstRow="1" w:lastRow="0" w:firstColumn="0" w:lastColumn="0" w:oddVBand="0" w:evenVBand="0" w:oddHBand="0" w:evenHBand="0" w:firstRowFirstColumn="0" w:firstRowLastColumn="0" w:lastRowFirstColumn="0" w:lastRowLastColumn="0"/>
          <w:tblHeader/>
        </w:trPr>
        <w:tc>
          <w:tcPr>
            <w:tcW w:w="4039" w:type="dxa"/>
            <w:noWrap/>
            <w:hideMark/>
          </w:tcPr>
          <w:p w14:paraId="3A7DA9C5" w14:textId="36109870" w:rsidR="000A562B" w:rsidRPr="00783571" w:rsidRDefault="001100CB" w:rsidP="006D322B">
            <w:pPr>
              <w:pStyle w:val="TableHeaders"/>
            </w:pPr>
            <w:r w:rsidRPr="00783571">
              <w:t>Population</w:t>
            </w:r>
          </w:p>
        </w:tc>
        <w:tc>
          <w:tcPr>
            <w:tcW w:w="1980" w:type="dxa"/>
            <w:noWrap/>
            <w:hideMark/>
          </w:tcPr>
          <w:p w14:paraId="01E6B4F9" w14:textId="1D4986B3" w:rsidR="000A562B" w:rsidRPr="00783571" w:rsidRDefault="000A562B" w:rsidP="00074E8A">
            <w:pPr>
              <w:pStyle w:val="TableHeaders"/>
            </w:pPr>
            <w:r w:rsidRPr="00783571">
              <w:t xml:space="preserve">Base </w:t>
            </w:r>
            <w:r w:rsidR="006D322B" w:rsidRPr="00783571">
              <w:t>Case</w:t>
            </w:r>
          </w:p>
        </w:tc>
        <w:tc>
          <w:tcPr>
            <w:tcW w:w="1710" w:type="dxa"/>
            <w:noWrap/>
            <w:hideMark/>
          </w:tcPr>
          <w:p w14:paraId="0AB97619" w14:textId="77777777" w:rsidR="000A562B" w:rsidRPr="00783571" w:rsidRDefault="000A562B" w:rsidP="00074E8A">
            <w:pPr>
              <w:pStyle w:val="TableHeaders"/>
            </w:pPr>
            <w:r w:rsidRPr="00783571">
              <w:t>Minimum</w:t>
            </w:r>
          </w:p>
        </w:tc>
        <w:tc>
          <w:tcPr>
            <w:tcW w:w="1631" w:type="dxa"/>
            <w:noWrap/>
            <w:hideMark/>
          </w:tcPr>
          <w:p w14:paraId="07F4550F" w14:textId="77777777" w:rsidR="000A562B" w:rsidRPr="00783571" w:rsidRDefault="000A562B" w:rsidP="00074E8A">
            <w:pPr>
              <w:pStyle w:val="TableHeaders"/>
            </w:pPr>
            <w:r w:rsidRPr="00783571">
              <w:t>Maximum</w:t>
            </w:r>
          </w:p>
        </w:tc>
      </w:tr>
      <w:tr w:rsidR="00074E8A" w:rsidRPr="00783571" w14:paraId="154CFD4A" w14:textId="77777777" w:rsidTr="00D12329">
        <w:tc>
          <w:tcPr>
            <w:tcW w:w="4039" w:type="dxa"/>
            <w:tcBorders>
              <w:top w:val="single" w:sz="4" w:space="0" w:color="808080" w:themeColor="background1" w:themeShade="80"/>
              <w:bottom w:val="single" w:sz="4" w:space="0" w:color="808080" w:themeColor="background1" w:themeShade="80"/>
            </w:tcBorders>
            <w:noWrap/>
            <w:hideMark/>
          </w:tcPr>
          <w:p w14:paraId="35C54DE8" w14:textId="532AFE9B" w:rsidR="00074E8A" w:rsidRPr="00783571" w:rsidRDefault="00D12329" w:rsidP="00240E89">
            <w:pPr>
              <w:pStyle w:val="TableTextIndent1"/>
              <w:spacing w:before="40"/>
              <w:ind w:left="0"/>
              <w:rPr>
                <w:rFonts w:eastAsiaTheme="minorHAnsi"/>
              </w:rPr>
            </w:pPr>
            <w:r w:rsidRPr="00783571">
              <w:t>MSM</w:t>
            </w:r>
          </w:p>
        </w:tc>
        <w:tc>
          <w:tcPr>
            <w:tcW w:w="1980" w:type="dxa"/>
            <w:tcBorders>
              <w:top w:val="single" w:sz="4" w:space="0" w:color="808080" w:themeColor="background1" w:themeShade="80"/>
              <w:bottom w:val="single" w:sz="4" w:space="0" w:color="808080" w:themeColor="background1" w:themeShade="80"/>
            </w:tcBorders>
            <w:noWrap/>
          </w:tcPr>
          <w:p w14:paraId="6D4A81C3" w14:textId="15484E87" w:rsidR="00074E8A" w:rsidRPr="00783571" w:rsidRDefault="00D12329" w:rsidP="00074E8A">
            <w:pPr>
              <w:pStyle w:val="TableText"/>
              <w:tabs>
                <w:tab w:val="decimal" w:pos="920"/>
              </w:tabs>
              <w:spacing w:before="40"/>
              <w:jc w:val="right"/>
            </w:pPr>
            <w:r w:rsidRPr="00783571">
              <w:t>49,444</w:t>
            </w:r>
          </w:p>
        </w:tc>
        <w:tc>
          <w:tcPr>
            <w:tcW w:w="1710" w:type="dxa"/>
            <w:tcBorders>
              <w:top w:val="single" w:sz="4" w:space="0" w:color="808080" w:themeColor="background1" w:themeShade="80"/>
              <w:bottom w:val="single" w:sz="4" w:space="0" w:color="808080" w:themeColor="background1" w:themeShade="80"/>
            </w:tcBorders>
            <w:noWrap/>
          </w:tcPr>
          <w:p w14:paraId="5E6116CA" w14:textId="4B33222E" w:rsidR="00074E8A" w:rsidRPr="00783571" w:rsidRDefault="00D12329" w:rsidP="00074E8A">
            <w:pPr>
              <w:pStyle w:val="TableText"/>
              <w:tabs>
                <w:tab w:val="decimal" w:pos="920"/>
              </w:tabs>
              <w:spacing w:before="40"/>
              <w:jc w:val="right"/>
            </w:pPr>
            <w:r w:rsidRPr="00783571">
              <w:t>40,039</w:t>
            </w:r>
          </w:p>
        </w:tc>
        <w:tc>
          <w:tcPr>
            <w:tcW w:w="1631" w:type="dxa"/>
            <w:tcBorders>
              <w:top w:val="single" w:sz="4" w:space="0" w:color="808080" w:themeColor="background1" w:themeShade="80"/>
              <w:bottom w:val="single" w:sz="4" w:space="0" w:color="808080" w:themeColor="background1" w:themeShade="80"/>
            </w:tcBorders>
            <w:noWrap/>
          </w:tcPr>
          <w:p w14:paraId="4DB43473" w14:textId="19644BCC" w:rsidR="00074E8A" w:rsidRPr="00783571" w:rsidRDefault="00D12329" w:rsidP="00074E8A">
            <w:pPr>
              <w:pStyle w:val="TableText"/>
              <w:tabs>
                <w:tab w:val="decimal" w:pos="920"/>
              </w:tabs>
              <w:spacing w:before="40"/>
              <w:jc w:val="right"/>
            </w:pPr>
            <w:r w:rsidRPr="00783571">
              <w:t>57,426</w:t>
            </w:r>
          </w:p>
        </w:tc>
      </w:tr>
      <w:tr w:rsidR="00074E8A" w:rsidRPr="00783571" w14:paraId="3FE5E2B2" w14:textId="77777777" w:rsidTr="00D12329">
        <w:tc>
          <w:tcPr>
            <w:tcW w:w="4039" w:type="dxa"/>
            <w:tcBorders>
              <w:top w:val="single" w:sz="4" w:space="0" w:color="808080" w:themeColor="background1" w:themeShade="80"/>
              <w:bottom w:val="single" w:sz="4" w:space="0" w:color="808080" w:themeColor="background1" w:themeShade="80"/>
            </w:tcBorders>
            <w:noWrap/>
            <w:hideMark/>
          </w:tcPr>
          <w:p w14:paraId="459DCDBC" w14:textId="3BFC73B5" w:rsidR="00074E8A" w:rsidRPr="00783571" w:rsidRDefault="00D12329" w:rsidP="00240E89">
            <w:pPr>
              <w:pStyle w:val="TableTextIndent1"/>
              <w:spacing w:before="40"/>
              <w:ind w:left="0"/>
              <w:rPr>
                <w:rFonts w:eastAsiaTheme="minorHAnsi"/>
              </w:rPr>
            </w:pPr>
            <w:r w:rsidRPr="00783571">
              <w:t>HET</w:t>
            </w:r>
          </w:p>
        </w:tc>
        <w:tc>
          <w:tcPr>
            <w:tcW w:w="1980" w:type="dxa"/>
            <w:tcBorders>
              <w:top w:val="single" w:sz="4" w:space="0" w:color="808080" w:themeColor="background1" w:themeShade="80"/>
              <w:bottom w:val="single" w:sz="4" w:space="0" w:color="808080" w:themeColor="background1" w:themeShade="80"/>
            </w:tcBorders>
            <w:noWrap/>
          </w:tcPr>
          <w:p w14:paraId="51EA7492" w14:textId="6D6EB14D" w:rsidR="00074E8A" w:rsidRPr="00783571" w:rsidRDefault="00D12329" w:rsidP="00074E8A">
            <w:pPr>
              <w:pStyle w:val="TableText"/>
              <w:tabs>
                <w:tab w:val="decimal" w:pos="920"/>
              </w:tabs>
              <w:spacing w:before="40"/>
              <w:jc w:val="right"/>
            </w:pPr>
            <w:r w:rsidRPr="00783571">
              <w:t>26,599</w:t>
            </w:r>
          </w:p>
        </w:tc>
        <w:tc>
          <w:tcPr>
            <w:tcW w:w="1710" w:type="dxa"/>
            <w:tcBorders>
              <w:top w:val="single" w:sz="4" w:space="0" w:color="808080" w:themeColor="background1" w:themeShade="80"/>
              <w:bottom w:val="single" w:sz="4" w:space="0" w:color="808080" w:themeColor="background1" w:themeShade="80"/>
            </w:tcBorders>
            <w:noWrap/>
          </w:tcPr>
          <w:p w14:paraId="2A86E5A0" w14:textId="2994C3CE" w:rsidR="00074E8A" w:rsidRPr="00783571" w:rsidRDefault="00D12329" w:rsidP="00074E8A">
            <w:pPr>
              <w:pStyle w:val="TableText"/>
              <w:tabs>
                <w:tab w:val="decimal" w:pos="920"/>
              </w:tabs>
              <w:spacing w:before="40"/>
              <w:jc w:val="right"/>
            </w:pPr>
            <w:r w:rsidRPr="00783571">
              <w:t>19,743</w:t>
            </w:r>
          </w:p>
        </w:tc>
        <w:tc>
          <w:tcPr>
            <w:tcW w:w="1631" w:type="dxa"/>
            <w:tcBorders>
              <w:top w:val="single" w:sz="4" w:space="0" w:color="808080" w:themeColor="background1" w:themeShade="80"/>
              <w:bottom w:val="single" w:sz="4" w:space="0" w:color="808080" w:themeColor="background1" w:themeShade="80"/>
            </w:tcBorders>
            <w:noWrap/>
          </w:tcPr>
          <w:p w14:paraId="1423E3C6" w14:textId="5C435330" w:rsidR="00074E8A" w:rsidRPr="00783571" w:rsidRDefault="00D12329" w:rsidP="00074E8A">
            <w:pPr>
              <w:pStyle w:val="TableText"/>
              <w:tabs>
                <w:tab w:val="decimal" w:pos="920"/>
              </w:tabs>
              <w:spacing w:before="40"/>
              <w:jc w:val="right"/>
            </w:pPr>
            <w:r w:rsidRPr="00783571">
              <w:t>30,636</w:t>
            </w:r>
          </w:p>
        </w:tc>
      </w:tr>
      <w:tr w:rsidR="00074E8A" w:rsidRPr="00783571" w14:paraId="411119D5" w14:textId="60521C1F" w:rsidTr="00D12329">
        <w:tc>
          <w:tcPr>
            <w:tcW w:w="4039" w:type="dxa"/>
            <w:tcBorders>
              <w:top w:val="single" w:sz="4" w:space="0" w:color="808080" w:themeColor="background1" w:themeShade="80"/>
              <w:bottom w:val="single" w:sz="4" w:space="0" w:color="808080" w:themeColor="background1" w:themeShade="80"/>
            </w:tcBorders>
            <w:noWrap/>
            <w:hideMark/>
          </w:tcPr>
          <w:p w14:paraId="7136903E" w14:textId="4995E3FB" w:rsidR="00074E8A" w:rsidRPr="00783571" w:rsidRDefault="00D12329" w:rsidP="00240E89">
            <w:pPr>
              <w:pStyle w:val="TableTextIndent1"/>
              <w:spacing w:before="40"/>
              <w:ind w:left="0"/>
              <w:rPr>
                <w:rFonts w:eastAsiaTheme="minorHAnsi"/>
              </w:rPr>
            </w:pPr>
            <w:r w:rsidRPr="00783571">
              <w:t>PWID</w:t>
            </w:r>
          </w:p>
        </w:tc>
        <w:tc>
          <w:tcPr>
            <w:tcW w:w="1980" w:type="dxa"/>
            <w:tcBorders>
              <w:top w:val="single" w:sz="4" w:space="0" w:color="808080" w:themeColor="background1" w:themeShade="80"/>
              <w:bottom w:val="single" w:sz="4" w:space="0" w:color="808080" w:themeColor="background1" w:themeShade="80"/>
            </w:tcBorders>
            <w:noWrap/>
          </w:tcPr>
          <w:p w14:paraId="55488299" w14:textId="1A45298F" w:rsidR="00074E8A" w:rsidRPr="00783571" w:rsidRDefault="00D12329" w:rsidP="00074E8A">
            <w:pPr>
              <w:pStyle w:val="TableText"/>
              <w:tabs>
                <w:tab w:val="decimal" w:pos="920"/>
              </w:tabs>
              <w:spacing w:before="40"/>
              <w:jc w:val="right"/>
            </w:pPr>
            <w:r w:rsidRPr="00783571">
              <w:t>12,434</w:t>
            </w:r>
          </w:p>
        </w:tc>
        <w:tc>
          <w:tcPr>
            <w:tcW w:w="1710" w:type="dxa"/>
            <w:tcBorders>
              <w:top w:val="single" w:sz="4" w:space="0" w:color="808080" w:themeColor="background1" w:themeShade="80"/>
              <w:bottom w:val="single" w:sz="4" w:space="0" w:color="808080" w:themeColor="background1" w:themeShade="80"/>
            </w:tcBorders>
            <w:noWrap/>
          </w:tcPr>
          <w:p w14:paraId="59C70CF5" w14:textId="496ABD0C" w:rsidR="00074E8A" w:rsidRPr="00783571" w:rsidRDefault="00D12329" w:rsidP="00074E8A">
            <w:pPr>
              <w:pStyle w:val="TableText"/>
              <w:tabs>
                <w:tab w:val="decimal" w:pos="920"/>
              </w:tabs>
              <w:spacing w:before="40"/>
              <w:jc w:val="right"/>
            </w:pPr>
            <w:r w:rsidRPr="00783571">
              <w:t>6,315</w:t>
            </w:r>
          </w:p>
        </w:tc>
        <w:tc>
          <w:tcPr>
            <w:tcW w:w="1631" w:type="dxa"/>
            <w:tcBorders>
              <w:top w:val="single" w:sz="4" w:space="0" w:color="808080" w:themeColor="background1" w:themeShade="80"/>
              <w:bottom w:val="single" w:sz="4" w:space="0" w:color="808080" w:themeColor="background1" w:themeShade="80"/>
            </w:tcBorders>
            <w:noWrap/>
          </w:tcPr>
          <w:p w14:paraId="444909FD" w14:textId="569B37A2" w:rsidR="00074E8A" w:rsidRPr="00783571" w:rsidRDefault="00D12329" w:rsidP="00074E8A">
            <w:pPr>
              <w:pStyle w:val="TableText"/>
              <w:tabs>
                <w:tab w:val="decimal" w:pos="920"/>
              </w:tabs>
              <w:spacing w:before="40"/>
              <w:jc w:val="right"/>
            </w:pPr>
            <w:r w:rsidRPr="00783571">
              <w:t>15,096</w:t>
            </w:r>
          </w:p>
        </w:tc>
      </w:tr>
      <w:tr w:rsidR="00074E8A" w:rsidRPr="00783571" w14:paraId="792A0FA7" w14:textId="77777777" w:rsidTr="004F70FA">
        <w:tc>
          <w:tcPr>
            <w:tcW w:w="4039" w:type="dxa"/>
            <w:tcBorders>
              <w:top w:val="single" w:sz="4" w:space="0" w:color="808080" w:themeColor="background1" w:themeShade="80"/>
              <w:bottom w:val="single" w:sz="12" w:space="0" w:color="auto"/>
            </w:tcBorders>
            <w:noWrap/>
          </w:tcPr>
          <w:p w14:paraId="5D2983E6" w14:textId="01BA84F3" w:rsidR="00074E8A" w:rsidRPr="00783571" w:rsidRDefault="00D12329" w:rsidP="001100CB">
            <w:pPr>
              <w:pStyle w:val="TableTextIndent1"/>
              <w:spacing w:before="40"/>
              <w:ind w:left="0"/>
            </w:pPr>
            <w:r w:rsidRPr="00783571">
              <w:t>Total</w:t>
            </w:r>
            <w:r w:rsidR="001100CB" w:rsidRPr="00783571">
              <w:t xml:space="preserve"> U.S. population</w:t>
            </w:r>
          </w:p>
        </w:tc>
        <w:tc>
          <w:tcPr>
            <w:tcW w:w="1980" w:type="dxa"/>
            <w:tcBorders>
              <w:top w:val="single" w:sz="4" w:space="0" w:color="808080" w:themeColor="background1" w:themeShade="80"/>
              <w:bottom w:val="single" w:sz="12" w:space="0" w:color="auto"/>
            </w:tcBorders>
            <w:noWrap/>
          </w:tcPr>
          <w:p w14:paraId="1CB5FAE7" w14:textId="011C31D8" w:rsidR="00074E8A" w:rsidRPr="00783571" w:rsidRDefault="00D12329" w:rsidP="00240E89">
            <w:pPr>
              <w:pStyle w:val="TableText"/>
              <w:spacing w:before="40"/>
              <w:jc w:val="right"/>
            </w:pPr>
            <w:r w:rsidRPr="00783571">
              <w:t>88,476</w:t>
            </w:r>
          </w:p>
        </w:tc>
        <w:tc>
          <w:tcPr>
            <w:tcW w:w="1710" w:type="dxa"/>
            <w:tcBorders>
              <w:top w:val="single" w:sz="4" w:space="0" w:color="808080" w:themeColor="background1" w:themeShade="80"/>
              <w:bottom w:val="single" w:sz="12" w:space="0" w:color="auto"/>
            </w:tcBorders>
            <w:noWrap/>
          </w:tcPr>
          <w:p w14:paraId="0C673C6C" w14:textId="4BC71165" w:rsidR="00074E8A" w:rsidRPr="00783571" w:rsidRDefault="00D12329" w:rsidP="00240E89">
            <w:pPr>
              <w:pStyle w:val="TableText"/>
              <w:spacing w:before="40"/>
              <w:jc w:val="right"/>
            </w:pPr>
            <w:r w:rsidRPr="00783571">
              <w:t>67,941</w:t>
            </w:r>
          </w:p>
        </w:tc>
        <w:tc>
          <w:tcPr>
            <w:tcW w:w="1631" w:type="dxa"/>
            <w:tcBorders>
              <w:top w:val="single" w:sz="4" w:space="0" w:color="808080" w:themeColor="background1" w:themeShade="80"/>
              <w:bottom w:val="single" w:sz="12" w:space="0" w:color="auto"/>
            </w:tcBorders>
            <w:noWrap/>
          </w:tcPr>
          <w:p w14:paraId="6F85C02A" w14:textId="4BC60EAA" w:rsidR="00074E8A" w:rsidRPr="00783571" w:rsidRDefault="00D12329" w:rsidP="00240E89">
            <w:pPr>
              <w:pStyle w:val="TableText"/>
              <w:spacing w:before="40"/>
              <w:jc w:val="right"/>
            </w:pPr>
            <w:r w:rsidRPr="00783571">
              <w:t>98,437</w:t>
            </w:r>
          </w:p>
        </w:tc>
      </w:tr>
    </w:tbl>
    <w:p w14:paraId="14754CBB" w14:textId="2F9A8A0A" w:rsidR="008A678D" w:rsidRPr="00783571" w:rsidRDefault="001803DB" w:rsidP="006D322B">
      <w:pPr>
        <w:pStyle w:val="Source1"/>
      </w:pPr>
      <w:r w:rsidRPr="00783571">
        <w:t xml:space="preserve">HET = heterosexual; </w:t>
      </w:r>
      <w:r w:rsidR="001100CB" w:rsidRPr="00783571">
        <w:t>MSM = men who have sex with men; PWID = persons who inject drugs</w:t>
      </w:r>
      <w:r w:rsidRPr="00783571">
        <w:t>.</w:t>
      </w:r>
    </w:p>
    <w:p w14:paraId="7187AADB" w14:textId="39AC5518" w:rsidR="008A678D" w:rsidRPr="00783571" w:rsidRDefault="008A678D">
      <w:pPr>
        <w:rPr>
          <w:sz w:val="18"/>
        </w:rPr>
      </w:pPr>
    </w:p>
    <w:p w14:paraId="0C4EB0D6" w14:textId="3CD70261" w:rsidR="00A37538" w:rsidRPr="00783571" w:rsidRDefault="00A37538" w:rsidP="001803DB">
      <w:pPr>
        <w:pStyle w:val="BodyText"/>
        <w:sectPr w:rsidR="00A37538" w:rsidRPr="00783571" w:rsidSect="008A678D">
          <w:headerReference w:type="default" r:id="rId154"/>
          <w:type w:val="oddPage"/>
          <w:pgSz w:w="12240" w:h="15840" w:code="1"/>
          <w:pgMar w:top="1440" w:right="1440" w:bottom="1440" w:left="1440" w:header="720" w:footer="720" w:gutter="0"/>
          <w:pgNumType w:start="1" w:chapStyle="1"/>
          <w:cols w:space="720"/>
          <w:titlePg/>
          <w:docGrid w:linePitch="360"/>
        </w:sectPr>
      </w:pPr>
    </w:p>
    <w:bookmarkEnd w:id="92"/>
    <w:p w14:paraId="0E5CF33D" w14:textId="77777777" w:rsidR="000F420A" w:rsidRPr="00783571" w:rsidRDefault="0087433D" w:rsidP="00400910">
      <w:pPr>
        <w:pStyle w:val="ESHeading1"/>
      </w:pPr>
      <w:r w:rsidRPr="00783571">
        <w:t>References</w:t>
      </w:r>
    </w:p>
    <w:p w14:paraId="1EEC1652" w14:textId="76333585" w:rsidR="009A5CF3" w:rsidRPr="00783571" w:rsidRDefault="009A5CF3" w:rsidP="00FB4FDA">
      <w:pPr>
        <w:pStyle w:val="biblio"/>
      </w:pPr>
      <w:r w:rsidRPr="00783571">
        <w:t xml:space="preserve">Althoff KN, Justice AC, Gange SJ, </w:t>
      </w:r>
      <w:r w:rsidR="00E628A1" w:rsidRPr="00783571">
        <w:t>et al</w:t>
      </w:r>
      <w:r w:rsidRPr="00783571">
        <w:t xml:space="preserve">. Virologic and immunologic response to HAART, by age and regimen class. </w:t>
      </w:r>
      <w:r w:rsidRPr="00783571">
        <w:rPr>
          <w:i/>
          <w:iCs/>
        </w:rPr>
        <w:t>AIDS</w:t>
      </w:r>
      <w:r w:rsidRPr="00783571">
        <w:t>. 2010 Oct 23;24(16):2469</w:t>
      </w:r>
      <w:r w:rsidR="00740DFC" w:rsidRPr="00783571">
        <w:t>–7</w:t>
      </w:r>
      <w:r w:rsidRPr="00783571">
        <w:t xml:space="preserve">9. Erratum in: </w:t>
      </w:r>
      <w:r w:rsidRPr="00783571">
        <w:rPr>
          <w:i/>
          <w:iCs/>
        </w:rPr>
        <w:t>AIDS</w:t>
      </w:r>
      <w:r w:rsidRPr="00783571">
        <w:t>.</w:t>
      </w:r>
      <w:r w:rsidR="004751B3" w:rsidRPr="00783571">
        <w:t xml:space="preserve"> </w:t>
      </w:r>
      <w:r w:rsidRPr="00783571">
        <w:t>2011 Jan 28;25(3):397.</w:t>
      </w:r>
    </w:p>
    <w:p w14:paraId="6221133D" w14:textId="44C1CD59" w:rsidR="00FB4FDA" w:rsidRPr="00783571" w:rsidRDefault="00FB4FDA" w:rsidP="004751B3">
      <w:pPr>
        <w:pStyle w:val="biblio"/>
      </w:pPr>
      <w:r w:rsidRPr="00783571">
        <w:t xml:space="preserve">Antiretroviral Therapy Cohort Collaboration. Importance of baseline prognostic factors with increasing time since initiation of highly active antiretroviral therapy: collaborative analysis of cohorts of HIV-1- infected patients. </w:t>
      </w:r>
      <w:r w:rsidRPr="00783571">
        <w:rPr>
          <w:i/>
        </w:rPr>
        <w:t>J Acquir Immune Defic Syndr</w:t>
      </w:r>
      <w:r w:rsidRPr="00783571">
        <w:t>. 2007;46:607</w:t>
      </w:r>
      <w:r w:rsidR="00740DFC" w:rsidRPr="00783571">
        <w:t>–1</w:t>
      </w:r>
      <w:r w:rsidRPr="00783571">
        <w:t>5.</w:t>
      </w:r>
    </w:p>
    <w:p w14:paraId="29EC07FE" w14:textId="77777777" w:rsidR="00FB4FDA" w:rsidRPr="00783571" w:rsidRDefault="00FB4FDA" w:rsidP="00FB4FDA">
      <w:pPr>
        <w:pStyle w:val="biblio"/>
      </w:pPr>
      <w:r w:rsidRPr="00783571">
        <w:t xml:space="preserve">Arias E. United States life tables, 2008. </w:t>
      </w:r>
      <w:r w:rsidRPr="00783571">
        <w:rPr>
          <w:i/>
        </w:rPr>
        <w:t>National Vital Statistics Reports</w:t>
      </w:r>
      <w:r w:rsidR="00D50000" w:rsidRPr="00783571">
        <w:t>. 2012;</w:t>
      </w:r>
      <w:r w:rsidRPr="00783571">
        <w:t>61(3). Hyattsville, MD: National Center for Health Statistics.</w:t>
      </w:r>
    </w:p>
    <w:p w14:paraId="660982E2" w14:textId="1E926B09" w:rsidR="00CC7EE6" w:rsidRPr="00783571" w:rsidRDefault="00CC7EE6" w:rsidP="00FB4FDA">
      <w:pPr>
        <w:pStyle w:val="biblio"/>
      </w:pPr>
      <w:r w:rsidRPr="00783571">
        <w:t xml:space="preserve">Baeten JM, Donnell D, Ndase P, et al. Antiretroviral prophylaxis for HIV prevention in heterosexual men and women. </w:t>
      </w:r>
      <w:r w:rsidRPr="00783571">
        <w:rPr>
          <w:i/>
          <w:iCs/>
        </w:rPr>
        <w:t>N Engl J Med</w:t>
      </w:r>
      <w:r w:rsidRPr="00783571">
        <w:t>. 2012;367(5):399</w:t>
      </w:r>
      <w:r w:rsidR="00740DFC" w:rsidRPr="00783571">
        <w:t>–4</w:t>
      </w:r>
      <w:r w:rsidRPr="00783571">
        <w:t>10.</w:t>
      </w:r>
    </w:p>
    <w:p w14:paraId="507D67ED" w14:textId="423A1E35" w:rsidR="00E3131B" w:rsidRPr="00783571" w:rsidRDefault="00E3131B" w:rsidP="004751B3">
      <w:pPr>
        <w:pStyle w:val="biblio"/>
      </w:pPr>
      <w:r w:rsidRPr="00783571">
        <w:t xml:space="preserve">Barnett PG, </w:t>
      </w:r>
      <w:r w:rsidR="006577DA" w:rsidRPr="00783571">
        <w:t xml:space="preserve">Sorensen JL, Wong W, </w:t>
      </w:r>
      <w:r w:rsidRPr="00783571">
        <w:t xml:space="preserve">et al. Effect of incentives for medication adherence on health care use and costs in methadone patients with HIV. </w:t>
      </w:r>
      <w:r w:rsidRPr="00783571">
        <w:rPr>
          <w:i/>
          <w:iCs/>
        </w:rPr>
        <w:t xml:space="preserve">Drug </w:t>
      </w:r>
      <w:r w:rsidR="004751B3" w:rsidRPr="00783571">
        <w:rPr>
          <w:i/>
          <w:iCs/>
        </w:rPr>
        <w:t>Alcohol D</w:t>
      </w:r>
      <w:r w:rsidRPr="00783571">
        <w:rPr>
          <w:i/>
          <w:iCs/>
        </w:rPr>
        <w:t>epend</w:t>
      </w:r>
      <w:r w:rsidR="004751B3" w:rsidRPr="00783571">
        <w:t>.</w:t>
      </w:r>
      <w:r w:rsidRPr="00783571">
        <w:t xml:space="preserve"> 2009</w:t>
      </w:r>
      <w:r w:rsidR="004751B3" w:rsidRPr="00783571">
        <w:t>;</w:t>
      </w:r>
      <w:r w:rsidRPr="00783571">
        <w:t>100(1):115</w:t>
      </w:r>
      <w:r w:rsidR="00740DFC" w:rsidRPr="00783571">
        <w:t>–2</w:t>
      </w:r>
      <w:r w:rsidRPr="00783571">
        <w:t>1.</w:t>
      </w:r>
    </w:p>
    <w:p w14:paraId="5EFB6646" w14:textId="4AA5A51B" w:rsidR="00FB4FDA" w:rsidRPr="00783571" w:rsidRDefault="00FB4FDA" w:rsidP="004751B3">
      <w:pPr>
        <w:pStyle w:val="biblio"/>
      </w:pPr>
      <w:r w:rsidRPr="00783571">
        <w:t xml:space="preserve">Blower SM, Dowlatabadi H. Sensitivity and uncertainty analysis of complex models of disease transmission: an HIV model, as an example. </w:t>
      </w:r>
      <w:r w:rsidRPr="00783571">
        <w:rPr>
          <w:i/>
        </w:rPr>
        <w:t>Int Stat Rev</w:t>
      </w:r>
      <w:r w:rsidR="00D50000" w:rsidRPr="00783571">
        <w:t xml:space="preserve">. </w:t>
      </w:r>
      <w:r w:rsidRPr="00783571">
        <w:t>1994;62:229</w:t>
      </w:r>
      <w:r w:rsidR="004751B3" w:rsidRPr="00783571">
        <w:t>-</w:t>
      </w:r>
      <w:r w:rsidRPr="00783571">
        <w:t>43.</w:t>
      </w:r>
    </w:p>
    <w:p w14:paraId="35E7034B" w14:textId="72912235" w:rsidR="00BE15F5" w:rsidRPr="00783571" w:rsidRDefault="00BE15F5" w:rsidP="004751B3">
      <w:pPr>
        <w:pStyle w:val="biblio"/>
      </w:pPr>
      <w:r w:rsidRPr="00783571">
        <w:t xml:space="preserve">Boily MC, Pickles M, Lowndes CM, </w:t>
      </w:r>
      <w:r w:rsidR="004751B3" w:rsidRPr="00783571">
        <w:t>et al</w:t>
      </w:r>
      <w:r w:rsidRPr="00783571">
        <w:t xml:space="preserve">. Positive impact of a large-scale HIV prevention programme among female sex workers and clients in South India. </w:t>
      </w:r>
      <w:r w:rsidRPr="00783571">
        <w:rPr>
          <w:i/>
          <w:iCs/>
        </w:rPr>
        <w:t>AIDS</w:t>
      </w:r>
      <w:r w:rsidRPr="00783571">
        <w:t>. 2013 Jun 1;27(9):1449</w:t>
      </w:r>
      <w:r w:rsidR="00740DFC" w:rsidRPr="00783571">
        <w:t>–6</w:t>
      </w:r>
      <w:r w:rsidRPr="00783571">
        <w:t>0.</w:t>
      </w:r>
    </w:p>
    <w:p w14:paraId="7A762517" w14:textId="77777777" w:rsidR="00314E78" w:rsidRPr="00783571" w:rsidRDefault="00FB4FDA" w:rsidP="00314E78">
      <w:pPr>
        <w:pStyle w:val="biblio"/>
      </w:pPr>
      <w:r w:rsidRPr="00783571">
        <w:t xml:space="preserve">Buchacz K, Armon C, Palella FJ, et al. CD4 cell counts at HIV diagnosis among HIV outpatient study participants, 2000–2009. </w:t>
      </w:r>
      <w:r w:rsidRPr="00783571">
        <w:rPr>
          <w:i/>
        </w:rPr>
        <w:t>AIDS Res Treat</w:t>
      </w:r>
      <w:r w:rsidR="00314E78" w:rsidRPr="00783571">
        <w:t>. 2012:869–41.</w:t>
      </w:r>
    </w:p>
    <w:p w14:paraId="083D05ED" w14:textId="64CF3EB9" w:rsidR="001F5372" w:rsidRPr="00783571" w:rsidRDefault="007D4FD4" w:rsidP="00C80F5B">
      <w:pPr>
        <w:pStyle w:val="biblio"/>
      </w:pPr>
      <w:r w:rsidRPr="00783571">
        <w:t>Bureau of Labor Statistics Consumer Price Index</w:t>
      </w:r>
      <w:r w:rsidR="00C80F5B" w:rsidRPr="00783571">
        <w:t>—</w:t>
      </w:r>
      <w:r w:rsidRPr="00783571">
        <w:t xml:space="preserve">All Urban Consumers. Series ID: CUSR0000SAM, U.S. city average, Medical care, 1982-84=100, January. </w:t>
      </w:r>
      <w:hyperlink r:id="rId155" w:history="1">
        <w:r w:rsidR="00E628A1" w:rsidRPr="00783571">
          <w:rPr>
            <w:rStyle w:val="Hyperlink"/>
          </w:rPr>
          <w:t>http://data.bls.gov/cgi-bin/surveymost</w:t>
        </w:r>
      </w:hyperlink>
      <w:r w:rsidR="00C80F5B" w:rsidRPr="00783571">
        <w:t xml:space="preserve">. </w:t>
      </w:r>
      <w:r w:rsidR="004B723F" w:rsidRPr="00783571">
        <w:t xml:space="preserve">Updated October </w:t>
      </w:r>
      <w:r w:rsidRPr="00783571">
        <w:t>201</w:t>
      </w:r>
      <w:r w:rsidR="004B723F" w:rsidRPr="00783571">
        <w:t>5</w:t>
      </w:r>
      <w:r w:rsidRPr="00783571">
        <w:t>.</w:t>
      </w:r>
    </w:p>
    <w:p w14:paraId="2179E32F" w14:textId="25991D9D" w:rsidR="0059652B" w:rsidRPr="00783571" w:rsidRDefault="0059652B" w:rsidP="0059652B">
      <w:pPr>
        <w:pStyle w:val="biblio"/>
      </w:pPr>
      <w:r w:rsidRPr="00783571">
        <w:t xml:space="preserve">Chavez P, Wesolowski L, Patel P, </w:t>
      </w:r>
      <w:r w:rsidR="000914E3" w:rsidRPr="00783571">
        <w:t>et al</w:t>
      </w:r>
      <w:r w:rsidRPr="00783571">
        <w:t xml:space="preserve">. Evaluation of the performance of the Abbott ARCHITECT HIV Ag/Ab combo assay. </w:t>
      </w:r>
      <w:r w:rsidRPr="00783571">
        <w:rPr>
          <w:i/>
          <w:iCs/>
        </w:rPr>
        <w:t>J Clin Virol</w:t>
      </w:r>
      <w:r w:rsidR="004751B3" w:rsidRPr="00783571">
        <w:rPr>
          <w:i/>
          <w:iCs/>
        </w:rPr>
        <w:t>.</w:t>
      </w:r>
      <w:r w:rsidRPr="00783571">
        <w:t xml:space="preserve"> 2011;52(Suppl. 1, December):S51–5.</w:t>
      </w:r>
    </w:p>
    <w:p w14:paraId="37181299" w14:textId="373C3F38" w:rsidR="00CC7EE6" w:rsidRPr="00783571" w:rsidRDefault="00CC7EE6" w:rsidP="00D02F6F">
      <w:pPr>
        <w:pStyle w:val="biblio"/>
      </w:pPr>
      <w:r w:rsidRPr="00783571">
        <w:t xml:space="preserve">Choopanya K, Martin M, Suntharasamai P, et al. Antiretroviral prophylaxis for HIV infection among people who inject drugs in Bangkok, Thailand (the Bangkok Tenofovir Study): a randomised, double-blind, placebo-controlled phase 3 trial. </w:t>
      </w:r>
      <w:r w:rsidRPr="00783571">
        <w:rPr>
          <w:i/>
          <w:iCs/>
        </w:rPr>
        <w:t>Lancet</w:t>
      </w:r>
      <w:r w:rsidRPr="00783571">
        <w:t>. 2013;381(9883):2083</w:t>
      </w:r>
      <w:r w:rsidR="00740DFC" w:rsidRPr="00783571">
        <w:t>–9</w:t>
      </w:r>
      <w:r w:rsidRPr="00783571">
        <w:t>0. doi: 10.1016/S0140-6736(13)61127</w:t>
      </w:r>
      <w:r w:rsidR="00740DFC" w:rsidRPr="00783571">
        <w:t>–7</w:t>
      </w:r>
      <w:r w:rsidRPr="00783571">
        <w:t>.</w:t>
      </w:r>
    </w:p>
    <w:p w14:paraId="3C55FF88" w14:textId="3C9094B7" w:rsidR="005B7731" w:rsidRPr="00783571" w:rsidRDefault="005B7731" w:rsidP="00D02F6F">
      <w:pPr>
        <w:pStyle w:val="biblio"/>
      </w:pPr>
      <w:r w:rsidRPr="00783571">
        <w:t xml:space="preserve">Centers for Disease Control and Prevention. Behavioral and Clinical Characteristics of Persons Receiving Medical Care for HIV Infection—Medical Monitoring Project, United States, 2013 Cycle (June 2013–May 2014). HIV Surveillance Special Report 16. </w:t>
      </w:r>
      <w:hyperlink r:id="rId156" w:anchor="panel2" w:history="1">
        <w:r w:rsidR="00D15349" w:rsidRPr="00783571">
          <w:rPr>
            <w:rStyle w:val="Hyperlink"/>
          </w:rPr>
          <w:t>http://www.cdc.gov/hiv/library/reports/surveillance/#panel2</w:t>
        </w:r>
      </w:hyperlink>
      <w:r w:rsidRPr="00783571">
        <w:t>. Published January 2016. Accessed 26 May 2016</w:t>
      </w:r>
    </w:p>
    <w:p w14:paraId="5C0D576B" w14:textId="7E11D1E5" w:rsidR="009F2C5F" w:rsidRPr="00783571" w:rsidRDefault="009F2C5F" w:rsidP="007C57AF">
      <w:pPr>
        <w:pStyle w:val="biblio"/>
      </w:pPr>
      <w:r w:rsidRPr="00783571">
        <w:t>Centers for Disease Control and Prevention (</w:t>
      </w:r>
      <w:r w:rsidR="007C57AF" w:rsidRPr="00783571">
        <w:t>CDC</w:t>
      </w:r>
      <w:r w:rsidRPr="00783571">
        <w:t xml:space="preserve">). Monitoring selected national HIV prevention and care objectives by using HIV surveillance data—United States and 6 dependent areas—2013. </w:t>
      </w:r>
      <w:r w:rsidRPr="00783571">
        <w:rPr>
          <w:i/>
        </w:rPr>
        <w:t>HIV Surveillance Supplemental Report</w:t>
      </w:r>
      <w:r w:rsidR="000914E3" w:rsidRPr="00783571">
        <w:rPr>
          <w:i/>
        </w:rPr>
        <w:t>,</w:t>
      </w:r>
      <w:r w:rsidRPr="00783571">
        <w:rPr>
          <w:i/>
        </w:rPr>
        <w:t xml:space="preserve"> 2015</w:t>
      </w:r>
      <w:r w:rsidR="000914E3" w:rsidRPr="00783571">
        <w:t>. 2015;</w:t>
      </w:r>
      <w:r w:rsidRPr="00783571">
        <w:t>20(No.</w:t>
      </w:r>
      <w:r w:rsidR="000914E3" w:rsidRPr="00783571">
        <w:t> </w:t>
      </w:r>
      <w:r w:rsidRPr="00783571">
        <w:t xml:space="preserve">2). </w:t>
      </w:r>
      <w:r w:rsidR="007C57AF" w:rsidRPr="00783571">
        <w:t xml:space="preserve">Available at: </w:t>
      </w:r>
      <w:hyperlink r:id="rId157" w:history="1">
        <w:r w:rsidR="007C57AF" w:rsidRPr="00783571">
          <w:rPr>
            <w:rStyle w:val="Hyperlink"/>
          </w:rPr>
          <w:t>http://www.cdc.gov/hiv/library/reports/surveillance/</w:t>
        </w:r>
      </w:hyperlink>
      <w:r w:rsidRPr="00783571">
        <w:t>. Accessed August</w:t>
      </w:r>
      <w:r w:rsidR="007C57AF" w:rsidRPr="00783571">
        <w:t xml:space="preserve"> 28,</w:t>
      </w:r>
      <w:r w:rsidRPr="00783571">
        <w:t xml:space="preserve"> 2015.</w:t>
      </w:r>
    </w:p>
    <w:p w14:paraId="06DF7971" w14:textId="08DFCE2A" w:rsidR="00314E78" w:rsidRPr="00783571" w:rsidRDefault="00172A1C" w:rsidP="007C57AF">
      <w:pPr>
        <w:pStyle w:val="biblio"/>
      </w:pPr>
      <w:r w:rsidRPr="00783571">
        <w:t>Centers for Disease Control and Prevention</w:t>
      </w:r>
      <w:r w:rsidR="007C57AF" w:rsidRPr="00783571">
        <w:t>.</w:t>
      </w:r>
      <w:r w:rsidRPr="00783571">
        <w:t xml:space="preserve"> </w:t>
      </w:r>
      <w:r w:rsidRPr="00783571">
        <w:rPr>
          <w:i/>
        </w:rPr>
        <w:t>HIV Surveillance Report, 2013</w:t>
      </w:r>
      <w:r w:rsidRPr="00783571">
        <w:t xml:space="preserve">. </w:t>
      </w:r>
      <w:r w:rsidR="00ED7188" w:rsidRPr="00783571">
        <w:t xml:space="preserve">2014;25. </w:t>
      </w:r>
      <w:r w:rsidR="00E628A1" w:rsidRPr="00783571">
        <w:t xml:space="preserve">Available at: </w:t>
      </w:r>
      <w:hyperlink r:id="rId158" w:history="1">
        <w:r w:rsidR="00E628A1" w:rsidRPr="00783571">
          <w:rPr>
            <w:rStyle w:val="Hyperlink"/>
          </w:rPr>
          <w:t>http://www.cdc.gov/hiv/library/reports/surveillance/</w:t>
        </w:r>
      </w:hyperlink>
      <w:r w:rsidRPr="00783571">
        <w:t xml:space="preserve">. Published February 2015. Accessed </w:t>
      </w:r>
      <w:r w:rsidR="00ED7188" w:rsidRPr="00783571">
        <w:t xml:space="preserve">February </w:t>
      </w:r>
      <w:r w:rsidRPr="00783571">
        <w:t>16</w:t>
      </w:r>
      <w:r w:rsidR="00ED7188" w:rsidRPr="00783571">
        <w:t xml:space="preserve">, </w:t>
      </w:r>
      <w:r w:rsidRPr="00783571">
        <w:t>2016.</w:t>
      </w:r>
    </w:p>
    <w:p w14:paraId="063A0B02" w14:textId="68DE0CF3" w:rsidR="00FB4FDA" w:rsidRPr="00783571" w:rsidRDefault="00FB4FDA" w:rsidP="004751B3">
      <w:pPr>
        <w:pStyle w:val="biblio"/>
      </w:pPr>
      <w:r w:rsidRPr="00783571">
        <w:t xml:space="preserve">Centers for Disease Control and Prevention. Monitoring selected national HIV prevention and care objectives by using HIV surveillance data—United States and 6 U.S. dependent areas—2010. </w:t>
      </w:r>
      <w:r w:rsidRPr="00783571">
        <w:rPr>
          <w:i/>
        </w:rPr>
        <w:t>HIV Surveillance Supplemental Report</w:t>
      </w:r>
      <w:r w:rsidR="00D50000" w:rsidRPr="00783571">
        <w:t>.</w:t>
      </w:r>
      <w:r w:rsidRPr="00783571">
        <w:t xml:space="preserve"> 2013</w:t>
      </w:r>
      <w:r w:rsidR="00ED7188" w:rsidRPr="00783571">
        <w:t>a</w:t>
      </w:r>
      <w:r w:rsidRPr="00783571">
        <w:t xml:space="preserve">;18(2, part B). </w:t>
      </w:r>
      <w:r w:rsidR="00E628A1" w:rsidRPr="00783571">
        <w:t xml:space="preserve">Available at: </w:t>
      </w:r>
      <w:hyperlink r:id="rId159" w:anchor="supplemental" w:history="1">
        <w:r w:rsidR="00ED7188" w:rsidRPr="00783571">
          <w:rPr>
            <w:rStyle w:val="Hyperlink"/>
          </w:rPr>
          <w:t>http://www.cdc.gov/hiv/topics/surveillance/resources/reports/#supplemental</w:t>
        </w:r>
      </w:hyperlink>
      <w:r w:rsidRPr="00783571">
        <w:t>. Published January 2013.</w:t>
      </w:r>
    </w:p>
    <w:p w14:paraId="32DA3688" w14:textId="7E09C5BE" w:rsidR="00CE0D1D" w:rsidRPr="00783571" w:rsidRDefault="00CE0D1D" w:rsidP="004751B3">
      <w:pPr>
        <w:pStyle w:val="biblio"/>
      </w:pPr>
      <w:r w:rsidRPr="00783571">
        <w:t>Centers for Disease Control and Prevention</w:t>
      </w:r>
      <w:r w:rsidR="008E4A7C" w:rsidRPr="00783571">
        <w:t>.</w:t>
      </w:r>
      <w:r w:rsidRPr="00783571">
        <w:t xml:space="preserve"> Program </w:t>
      </w:r>
      <w:r w:rsidR="00ED7188" w:rsidRPr="00783571">
        <w:t xml:space="preserve">evaluation branch update—assessment </w:t>
      </w:r>
      <w:r w:rsidRPr="00783571">
        <w:t xml:space="preserve">of 2010 CDC-funded </w:t>
      </w:r>
      <w:r w:rsidR="00ED7188" w:rsidRPr="00783571">
        <w:t xml:space="preserve">health department </w:t>
      </w:r>
      <w:r w:rsidRPr="00783571">
        <w:t xml:space="preserve">HIV </w:t>
      </w:r>
      <w:r w:rsidR="00ED7188" w:rsidRPr="00783571">
        <w:t>testing spending and outcomes</w:t>
      </w:r>
      <w:r w:rsidRPr="00783571">
        <w:t>. Feb</w:t>
      </w:r>
      <w:r w:rsidR="00ED7188" w:rsidRPr="00783571">
        <w:t>ruary</w:t>
      </w:r>
      <w:r w:rsidRPr="00783571">
        <w:t xml:space="preserve"> 2013</w:t>
      </w:r>
      <w:r w:rsidR="00ED7188" w:rsidRPr="00783571">
        <w:t>b</w:t>
      </w:r>
      <w:r w:rsidRPr="00783571">
        <w:t xml:space="preserve">. </w:t>
      </w:r>
      <w:r w:rsidR="00E628A1" w:rsidRPr="00783571">
        <w:t xml:space="preserve">Available at: </w:t>
      </w:r>
      <w:hyperlink r:id="rId160" w:history="1">
        <w:r w:rsidR="00ED7188" w:rsidRPr="00783571">
          <w:rPr>
            <w:rStyle w:val="Hyperlink"/>
          </w:rPr>
          <w:t>http://www.cdc.gov/hiv/pdf/evaluation_</w:t>
        </w:r>
        <w:r w:rsidR="00ED7188" w:rsidRPr="00783571">
          <w:rPr>
            <w:rStyle w:val="Hyperlink"/>
          </w:rPr>
          <w:br/>
          <w:t>HIVTesting_BudgetAllocation.pdf</w:t>
        </w:r>
      </w:hyperlink>
      <w:r w:rsidRPr="00783571">
        <w:t xml:space="preserve">. Accessed </w:t>
      </w:r>
      <w:r w:rsidR="00ED7188" w:rsidRPr="00783571">
        <w:t>June 1</w:t>
      </w:r>
      <w:r w:rsidRPr="00783571">
        <w:t>8</w:t>
      </w:r>
      <w:r w:rsidR="00ED7188" w:rsidRPr="00783571">
        <w:t xml:space="preserve">, </w:t>
      </w:r>
      <w:r w:rsidRPr="00783571">
        <w:t>2014.</w:t>
      </w:r>
    </w:p>
    <w:p w14:paraId="7BC50498" w14:textId="02830215" w:rsidR="00FB4FDA" w:rsidRPr="00783571" w:rsidRDefault="00FB4FDA" w:rsidP="004751B3">
      <w:pPr>
        <w:pStyle w:val="biblio"/>
      </w:pPr>
      <w:r w:rsidRPr="00783571">
        <w:t xml:space="preserve">Centers for Disease Control and Prevention. Estimated HIV incidence in the United States, 2007–2010. </w:t>
      </w:r>
      <w:r w:rsidRPr="00783571">
        <w:rPr>
          <w:i/>
        </w:rPr>
        <w:t>HIV Surveillance Supplemental Report</w:t>
      </w:r>
      <w:r w:rsidR="00D50000" w:rsidRPr="00783571">
        <w:t>.</w:t>
      </w:r>
      <w:r w:rsidRPr="00783571">
        <w:t xml:space="preserve"> 2012</w:t>
      </w:r>
      <w:r w:rsidR="00ED7188" w:rsidRPr="00783571">
        <w:t>a</w:t>
      </w:r>
      <w:r w:rsidRPr="00783571">
        <w:t xml:space="preserve">;17(4). </w:t>
      </w:r>
      <w:r w:rsidR="00E628A1" w:rsidRPr="00783571">
        <w:t xml:space="preserve">Available at: </w:t>
      </w:r>
      <w:hyperlink r:id="rId161" w:anchor="supplemental" w:history="1">
        <w:r w:rsidR="00D50000" w:rsidRPr="00783571">
          <w:rPr>
            <w:rStyle w:val="Hyperlink"/>
          </w:rPr>
          <w:t>http://www.cdc.gov/hiv/topics/surveillance/resources/reports/#supplemental</w:t>
        </w:r>
      </w:hyperlink>
      <w:r w:rsidRPr="00783571">
        <w:t xml:space="preserve">. Published December 2012. Accessed May </w:t>
      </w:r>
      <w:r w:rsidR="004751B3" w:rsidRPr="00783571">
        <w:t xml:space="preserve">2, </w:t>
      </w:r>
      <w:r w:rsidRPr="00783571">
        <w:t>2013.</w:t>
      </w:r>
    </w:p>
    <w:p w14:paraId="504E3640" w14:textId="066B7341" w:rsidR="0013027E" w:rsidRPr="00783571" w:rsidRDefault="0013027E" w:rsidP="004751B3">
      <w:pPr>
        <w:pStyle w:val="biblio"/>
      </w:pPr>
      <w:r w:rsidRPr="00783571">
        <w:t xml:space="preserve">Centers for Disease Control and Prevention. Monitoring selected national HIV prevention and care objectives by using HIV surveillance data—United States and 6 U.S. dependent areas—2010. </w:t>
      </w:r>
      <w:r w:rsidRPr="00783571">
        <w:rPr>
          <w:i/>
        </w:rPr>
        <w:t>HIV Surveillance Supplemental Report</w:t>
      </w:r>
      <w:r w:rsidR="00ED7188" w:rsidRPr="00783571">
        <w:t xml:space="preserve">. </w:t>
      </w:r>
      <w:r w:rsidRPr="00783571">
        <w:t>2012</w:t>
      </w:r>
      <w:r w:rsidR="00ED7188" w:rsidRPr="00783571">
        <w:t>b</w:t>
      </w:r>
      <w:r w:rsidRPr="00783571">
        <w:t xml:space="preserve">;17(No. 3, part A). </w:t>
      </w:r>
      <w:r w:rsidR="00E628A1" w:rsidRPr="00783571">
        <w:t xml:space="preserve">Available at: </w:t>
      </w:r>
      <w:hyperlink r:id="rId162" w:history="1">
        <w:r w:rsidRPr="00783571">
          <w:rPr>
            <w:rStyle w:val="Hyperlink"/>
          </w:rPr>
          <w:t>http://www.cdc.gov/hiv/topics/surveillance/resources/reports/</w:t>
        </w:r>
      </w:hyperlink>
      <w:r w:rsidRPr="00783571">
        <w:t>. Published June 2012. Accessed January 31, 2013.</w:t>
      </w:r>
    </w:p>
    <w:p w14:paraId="638418FA" w14:textId="2586F080" w:rsidR="006E2C52" w:rsidRPr="00783571" w:rsidRDefault="006E2C52" w:rsidP="004751B3">
      <w:pPr>
        <w:pStyle w:val="biblio"/>
      </w:pPr>
      <w:r w:rsidRPr="00783571">
        <w:t xml:space="preserve">Centers for Disease Control and Prevention. </w:t>
      </w:r>
      <w:r w:rsidRPr="00783571">
        <w:rPr>
          <w:i/>
        </w:rPr>
        <w:t>HIV/AIDS Surveillance Report</w:t>
      </w:r>
      <w:r w:rsidR="00ED7188" w:rsidRPr="00783571">
        <w:rPr>
          <w:i/>
        </w:rPr>
        <w:t>,</w:t>
      </w:r>
      <w:r w:rsidR="00EC2341" w:rsidRPr="00783571">
        <w:rPr>
          <w:i/>
        </w:rPr>
        <w:t xml:space="preserve"> </w:t>
      </w:r>
      <w:r w:rsidRPr="00783571">
        <w:rPr>
          <w:i/>
        </w:rPr>
        <w:t>2007</w:t>
      </w:r>
      <w:r w:rsidRPr="00783571">
        <w:t xml:space="preserve">. </w:t>
      </w:r>
      <w:r w:rsidR="004751B3" w:rsidRPr="00783571">
        <w:t>2009</w:t>
      </w:r>
      <w:r w:rsidR="00ED7188" w:rsidRPr="00783571">
        <w:t>;(19)</w:t>
      </w:r>
      <w:r w:rsidR="004751B3" w:rsidRPr="00783571">
        <w:t>:</w:t>
      </w:r>
      <w:r w:rsidRPr="00783571">
        <w:t>1</w:t>
      </w:r>
      <w:r w:rsidR="00740DFC" w:rsidRPr="00783571">
        <w:t>–6</w:t>
      </w:r>
      <w:r w:rsidRPr="00783571">
        <w:t xml:space="preserve">3. </w:t>
      </w:r>
      <w:r w:rsidR="00E628A1" w:rsidRPr="00783571">
        <w:t xml:space="preserve">Available at: </w:t>
      </w:r>
      <w:hyperlink r:id="rId163" w:history="1">
        <w:r w:rsidR="00ED7188" w:rsidRPr="00783571">
          <w:rPr>
            <w:rStyle w:val="Hyperlink"/>
          </w:rPr>
          <w:t>http://www.cdc.gov/hiv/topics/surveillance/resources/reports/</w:t>
        </w:r>
      </w:hyperlink>
      <w:r w:rsidRPr="00783571">
        <w:t>.</w:t>
      </w:r>
    </w:p>
    <w:p w14:paraId="3C84E088" w14:textId="6D986AD5" w:rsidR="004751B3" w:rsidRPr="00783571" w:rsidRDefault="00FB4FDA" w:rsidP="00FB4FDA">
      <w:pPr>
        <w:pStyle w:val="biblio"/>
      </w:pPr>
      <w:r w:rsidRPr="00783571">
        <w:t>Centers for Disease Control and Prevention</w:t>
      </w:r>
      <w:r w:rsidR="004751B3" w:rsidRPr="00783571">
        <w:t>.</w:t>
      </w:r>
      <w:r w:rsidRPr="00783571">
        <w:t xml:space="preserve"> Persons tested for HIV—United States, 2006. </w:t>
      </w:r>
      <w:r w:rsidRPr="00783571">
        <w:rPr>
          <w:i/>
        </w:rPr>
        <w:t>MMWR Morb Mortal Wkly Rep</w:t>
      </w:r>
      <w:r w:rsidR="00D50000" w:rsidRPr="00783571">
        <w:t>.</w:t>
      </w:r>
      <w:r w:rsidRPr="00783571">
        <w:t xml:space="preserve"> </w:t>
      </w:r>
      <w:r w:rsidR="00ED7188" w:rsidRPr="00783571">
        <w:t>2008;</w:t>
      </w:r>
      <w:r w:rsidRPr="00783571">
        <w:t>57:845</w:t>
      </w:r>
      <w:r w:rsidR="00740DFC" w:rsidRPr="00783571">
        <w:t>–</w:t>
      </w:r>
      <w:r w:rsidRPr="00783571">
        <w:t>49.</w:t>
      </w:r>
    </w:p>
    <w:p w14:paraId="5DBF25F4" w14:textId="50AA11EE" w:rsidR="00FB4FDA" w:rsidRPr="00783571" w:rsidRDefault="00FB4FDA" w:rsidP="004751B3">
      <w:pPr>
        <w:pStyle w:val="biblio"/>
      </w:pPr>
      <w:r w:rsidRPr="00783571">
        <w:t>Chandra A, Billioux</w:t>
      </w:r>
      <w:r w:rsidR="004751B3" w:rsidRPr="00783571">
        <w:t xml:space="preserve"> VG</w:t>
      </w:r>
      <w:r w:rsidRPr="00783571">
        <w:t xml:space="preserve">, </w:t>
      </w:r>
      <w:r w:rsidR="006577DA" w:rsidRPr="00783571">
        <w:t xml:space="preserve">Copen CE, </w:t>
      </w:r>
      <w:r w:rsidRPr="00783571">
        <w:t xml:space="preserve">et al. HIV risk-related behaviors in the United States household population aged 15–44 years: data from the National Survey of Family Growth, 2002 and 2006–2010. </w:t>
      </w:r>
      <w:r w:rsidRPr="00783571">
        <w:rPr>
          <w:i/>
        </w:rPr>
        <w:t>Natl Health Stat Report</w:t>
      </w:r>
      <w:r w:rsidR="00ED7188" w:rsidRPr="00783571">
        <w:rPr>
          <w:i/>
        </w:rPr>
        <w:t xml:space="preserve">. </w:t>
      </w:r>
      <w:r w:rsidR="00ED7188" w:rsidRPr="00783571">
        <w:t>2012</w:t>
      </w:r>
      <w:r w:rsidRPr="00783571">
        <w:t>;46:1</w:t>
      </w:r>
      <w:r w:rsidR="00740DFC" w:rsidRPr="00783571">
        <w:t>–1</w:t>
      </w:r>
      <w:r w:rsidRPr="00783571">
        <w:t>9.</w:t>
      </w:r>
    </w:p>
    <w:p w14:paraId="277EBF2A" w14:textId="224761ED" w:rsidR="0028007E" w:rsidRPr="00783571" w:rsidRDefault="0028007E" w:rsidP="004751B3">
      <w:pPr>
        <w:pStyle w:val="biblio"/>
      </w:pPr>
      <w:r w:rsidRPr="00783571">
        <w:t>Choopanya K, Martin M, Suntharasamai P, Sangkum U, Mock PA, Leethochawalit M, Chiamwongpaet S, Kitisin P, Natrujirote P, Kittimunkong S, Chuachoowong R. Antiretroviral prophylaxis for HIV infection in injecting drug users in Bangkok, Thailand (the Bangkok Tenofovir Study): a randomised, double-blind, placebo-controlled phase 3 trial. The Lancet. 2013 Jun 21;381(9883):2083-90.</w:t>
      </w:r>
    </w:p>
    <w:p w14:paraId="2AD9D9D1" w14:textId="2CA52789" w:rsidR="00FB4FDA" w:rsidRPr="00783571" w:rsidRDefault="00FB4FDA" w:rsidP="004751B3">
      <w:pPr>
        <w:pStyle w:val="biblio"/>
      </w:pPr>
      <w:r w:rsidRPr="00783571">
        <w:t xml:space="preserve">Chou R, Selph S, Dana T, </w:t>
      </w:r>
      <w:r w:rsidR="004751B3" w:rsidRPr="00783571">
        <w:t>et al</w:t>
      </w:r>
      <w:r w:rsidRPr="00783571">
        <w:t xml:space="preserve">. </w:t>
      </w:r>
      <w:r w:rsidRPr="00783571">
        <w:rPr>
          <w:i/>
        </w:rPr>
        <w:t>Screening for HIV: Systematic Review to Update the U.S. Preventive Services Task Force Recommendation</w:t>
      </w:r>
      <w:r w:rsidRPr="00783571">
        <w:t>. Evidence Synthesis No. 95. AHRQ Publication No. 12-05173-EF-1. Rockville, MD: Agency for Healthcare Research and Quality; November 2012.</w:t>
      </w:r>
    </w:p>
    <w:p w14:paraId="0285EE30" w14:textId="01149760" w:rsidR="00FB4FDA" w:rsidRPr="00783571" w:rsidRDefault="00FB4FDA" w:rsidP="004751B3">
      <w:pPr>
        <w:pStyle w:val="biblio"/>
      </w:pPr>
      <w:r w:rsidRPr="00783571">
        <w:t xml:space="preserve">Cohen MS, Chen YQ, McCauley M, et al. Prevention of HIV-1 infection with early antiretroviral therapy. </w:t>
      </w:r>
      <w:r w:rsidRPr="00783571">
        <w:rPr>
          <w:i/>
        </w:rPr>
        <w:t>N Engl J Med</w:t>
      </w:r>
      <w:r w:rsidRPr="00783571">
        <w:t>. 2011;365:493</w:t>
      </w:r>
      <w:r w:rsidR="00740DFC" w:rsidRPr="00783571">
        <w:t>–5</w:t>
      </w:r>
      <w:r w:rsidRPr="00783571">
        <w:t>05.</w:t>
      </w:r>
    </w:p>
    <w:p w14:paraId="0DFFE19F" w14:textId="7239D2E9" w:rsidR="0028007E" w:rsidRPr="00783571" w:rsidRDefault="0028007E" w:rsidP="004751B3">
      <w:pPr>
        <w:pStyle w:val="biblio"/>
      </w:pPr>
      <w:r w:rsidRPr="00783571">
        <w:t>Crepaz N, Marks G, Liau A, Mullins MM, Aupont LW, Marshall KJ, Jacobs ED, Wolitski RJ, HIV/AIDS Prevention Research Synthesis (PRS) Team. Prevalence of unprotected anal intercourse among HIV-diagnosed MSM in the United States: a meta-analysis. Aids. 2009 Aug 24;23(13):1617-29.</w:t>
      </w:r>
    </w:p>
    <w:p w14:paraId="670F50F2" w14:textId="0614EDC7" w:rsidR="00FB4FDA" w:rsidRPr="00783571" w:rsidRDefault="00FB4FDA" w:rsidP="004751B3">
      <w:pPr>
        <w:pStyle w:val="biblio"/>
      </w:pPr>
      <w:r w:rsidRPr="00783571">
        <w:t xml:space="preserve">Collaborative Group on AIDS Incubation and HIV Survival (CGAIHS). Time from HIV-1 seroconversion to AIDS and death before widespread use of highly-active antiretroviral therapy: a collaborative re-analysis. </w:t>
      </w:r>
      <w:r w:rsidRPr="00783571">
        <w:rPr>
          <w:i/>
        </w:rPr>
        <w:t>Lancet</w:t>
      </w:r>
      <w:r w:rsidRPr="00783571">
        <w:t>. 2000;355:1131</w:t>
      </w:r>
      <w:r w:rsidR="00740DFC" w:rsidRPr="00783571">
        <w:t>–7</w:t>
      </w:r>
      <w:r w:rsidRPr="00783571">
        <w:t>.</w:t>
      </w:r>
    </w:p>
    <w:p w14:paraId="51A145E2" w14:textId="0CAE316F" w:rsidR="009A5CF3" w:rsidRPr="00783571" w:rsidRDefault="009A5CF3" w:rsidP="00FB4FDA">
      <w:pPr>
        <w:pStyle w:val="biblio"/>
      </w:pPr>
      <w:r w:rsidRPr="00783571">
        <w:t xml:space="preserve">Cooper H, Friedman SR, Tempalski B, </w:t>
      </w:r>
      <w:r w:rsidR="000914E3" w:rsidRPr="00783571">
        <w:t>et al</w:t>
      </w:r>
      <w:r w:rsidRPr="00783571">
        <w:t xml:space="preserve">. Racial/ethnic disparities in injection drug use in large US metropolitan areas. </w:t>
      </w:r>
      <w:r w:rsidRPr="00783571">
        <w:rPr>
          <w:i/>
          <w:iCs/>
        </w:rPr>
        <w:t>Ann Epidemiol</w:t>
      </w:r>
      <w:r w:rsidRPr="00783571">
        <w:t>. 2005 May;15(5):326</w:t>
      </w:r>
      <w:r w:rsidR="00740DFC" w:rsidRPr="00783571">
        <w:t>–3</w:t>
      </w:r>
      <w:r w:rsidRPr="00783571">
        <w:t>4.</w:t>
      </w:r>
    </w:p>
    <w:p w14:paraId="3302C425" w14:textId="77777777" w:rsidR="00FB4FDA" w:rsidRPr="00783571" w:rsidRDefault="00FB4FDA" w:rsidP="00FB4FDA">
      <w:pPr>
        <w:pStyle w:val="biblio"/>
      </w:pPr>
      <w:r w:rsidRPr="00783571">
        <w:t xml:space="preserve">Crepaz N, Marks G, Liau A, et al. Prevalence of unprotected anal intercourse among HIV-diagnosed MSM in the United States: a meta-analysis. </w:t>
      </w:r>
      <w:r w:rsidRPr="00783571">
        <w:rPr>
          <w:i/>
        </w:rPr>
        <w:t>AIDS</w:t>
      </w:r>
      <w:r w:rsidRPr="00783571">
        <w:t>. 2009;23:1617–29.</w:t>
      </w:r>
    </w:p>
    <w:p w14:paraId="09B6A180" w14:textId="75AFDA1E" w:rsidR="00BE4CD6" w:rsidRPr="00783571" w:rsidRDefault="00BE4CD6" w:rsidP="004751B3">
      <w:pPr>
        <w:pStyle w:val="biblio"/>
      </w:pPr>
      <w:r w:rsidRPr="00783571">
        <w:t xml:space="preserve">Desai K, Sansom SL, Ackers ML, </w:t>
      </w:r>
      <w:r w:rsidR="004751B3" w:rsidRPr="00783571">
        <w:t>et al</w:t>
      </w:r>
      <w:r w:rsidRPr="00783571">
        <w:t xml:space="preserve">. Modeling the impact of HIV chemoprophylaxis strategies among men who have sex with men in the United States: HIV infections prevented and cost-effectiveness. </w:t>
      </w:r>
      <w:r w:rsidRPr="00783571">
        <w:rPr>
          <w:i/>
          <w:iCs/>
        </w:rPr>
        <w:t>AIDS</w:t>
      </w:r>
      <w:r w:rsidR="004751B3" w:rsidRPr="00783571">
        <w:t>.</w:t>
      </w:r>
      <w:r w:rsidRPr="00783571">
        <w:t xml:space="preserve"> </w:t>
      </w:r>
      <w:r w:rsidR="004751B3" w:rsidRPr="00783571">
        <w:t>2008;</w:t>
      </w:r>
      <w:r w:rsidRPr="00783571">
        <w:t>22</w:t>
      </w:r>
      <w:r w:rsidR="004751B3" w:rsidRPr="00783571">
        <w:t>:</w:t>
      </w:r>
      <w:r w:rsidRPr="00783571">
        <w:t>1829</w:t>
      </w:r>
      <w:r w:rsidR="004751B3" w:rsidRPr="00783571">
        <w:t>-</w:t>
      </w:r>
      <w:r w:rsidRPr="00783571">
        <w:t>39.</w:t>
      </w:r>
    </w:p>
    <w:p w14:paraId="0C2B9F81" w14:textId="3E5E6D10" w:rsidR="00FB4FDA" w:rsidRPr="00783571" w:rsidRDefault="00FB4FDA" w:rsidP="00FB4FDA">
      <w:pPr>
        <w:pStyle w:val="biblio"/>
      </w:pPr>
      <w:r w:rsidRPr="00783571">
        <w:t xml:space="preserve">DHHS Panel on Antiretroviral Guidelines for Adults and Adolescents. </w:t>
      </w:r>
      <w:r w:rsidRPr="00783571">
        <w:rPr>
          <w:i/>
        </w:rPr>
        <w:t>Guidelines for the use of antiretroviral agents in HIV-1-infected adults and adolescents; 2007</w:t>
      </w:r>
      <w:r w:rsidRPr="00783571">
        <w:t xml:space="preserve">. Available at: </w:t>
      </w:r>
      <w:hyperlink r:id="rId164" w:history="1">
        <w:r w:rsidR="00D50000" w:rsidRPr="00783571">
          <w:rPr>
            <w:rStyle w:val="Hyperlink"/>
          </w:rPr>
          <w:t>http://aidsinfo.nih.gov/contentfiles/AdultandAdolescentGL000721.pdf</w:t>
        </w:r>
      </w:hyperlink>
      <w:r w:rsidRPr="00783571">
        <w:t>. Accessed May 16, 2014.</w:t>
      </w:r>
    </w:p>
    <w:p w14:paraId="0092C619" w14:textId="004EF5A1" w:rsidR="00FB4FDA" w:rsidRPr="00783571" w:rsidRDefault="00FB4FDA" w:rsidP="004751B3">
      <w:pPr>
        <w:pStyle w:val="biblio"/>
      </w:pPr>
      <w:r w:rsidRPr="00783571">
        <w:t xml:space="preserve">Dodge B, Reece M, Herbenick D, et al. Sexual health among U.S. black and Hispanic men and women: a nationally representative study. </w:t>
      </w:r>
      <w:r w:rsidRPr="00783571">
        <w:rPr>
          <w:i/>
        </w:rPr>
        <w:t>J Sex Med</w:t>
      </w:r>
      <w:r w:rsidR="004751B3" w:rsidRPr="00783571">
        <w:rPr>
          <w:i/>
        </w:rPr>
        <w:t>.</w:t>
      </w:r>
      <w:r w:rsidRPr="00783571">
        <w:t xml:space="preserve"> </w:t>
      </w:r>
      <w:r w:rsidR="004751B3" w:rsidRPr="00783571">
        <w:t>2010;</w:t>
      </w:r>
      <w:r w:rsidRPr="00783571">
        <w:t>7(suppl 5):330–45.</w:t>
      </w:r>
    </w:p>
    <w:p w14:paraId="19C66355" w14:textId="58F8F702" w:rsidR="00FB4FDA" w:rsidRPr="00783571" w:rsidRDefault="00FB4FDA" w:rsidP="00ED16FA">
      <w:pPr>
        <w:pStyle w:val="biblio"/>
      </w:pPr>
      <w:r w:rsidRPr="00783571">
        <w:t xml:space="preserve">Dorrucci M, Rezza G, Porter K, et al. Temporal trends in postseroconversion CD4 cell count and HIV load: the Concerted Action on Seroconversion to AIDS and Death in Europe Collaboration, 1985–2002. </w:t>
      </w:r>
      <w:r w:rsidRPr="00783571">
        <w:rPr>
          <w:i/>
        </w:rPr>
        <w:t>J Infect Dis</w:t>
      </w:r>
      <w:r w:rsidRPr="00783571">
        <w:t>. 2007;195:525</w:t>
      </w:r>
      <w:r w:rsidR="00740DFC" w:rsidRPr="00783571">
        <w:t>–3</w:t>
      </w:r>
      <w:r w:rsidRPr="00783571">
        <w:t>4.</w:t>
      </w:r>
    </w:p>
    <w:p w14:paraId="6ADD7AD6" w14:textId="7031C082" w:rsidR="00FB4FDA" w:rsidRPr="00783571" w:rsidRDefault="00FB4FDA" w:rsidP="00ED16FA">
      <w:pPr>
        <w:pStyle w:val="biblio"/>
      </w:pPr>
      <w:r w:rsidRPr="00783571">
        <w:t>Dunn D, Woodburn P, Duong T, et al. Current CD4 cell count and the short-term risk of AIDS and death before the availability of effective antiretroviral therapy in HIV</w:t>
      </w:r>
      <w:r w:rsidR="003B52FC" w:rsidRPr="00783571">
        <w:t xml:space="preserve"> </w:t>
      </w:r>
      <w:r w:rsidRPr="00783571">
        <w:t xml:space="preserve">infected children and adults. </w:t>
      </w:r>
      <w:r w:rsidRPr="00783571">
        <w:rPr>
          <w:i/>
        </w:rPr>
        <w:t>J Infect Dis</w:t>
      </w:r>
      <w:r w:rsidRPr="00783571">
        <w:t>. 2008; 197:398</w:t>
      </w:r>
      <w:r w:rsidR="00740DFC" w:rsidRPr="00783571">
        <w:t>–4</w:t>
      </w:r>
      <w:r w:rsidRPr="00783571">
        <w:t>04.</w:t>
      </w:r>
    </w:p>
    <w:p w14:paraId="4DBE499B" w14:textId="11AB30BD" w:rsidR="00FB4FDA" w:rsidRPr="00783571" w:rsidRDefault="00FB4FDA" w:rsidP="00FB4FDA">
      <w:pPr>
        <w:pStyle w:val="biblio"/>
      </w:pPr>
      <w:r w:rsidRPr="00783571">
        <w:t xml:space="preserve">Farnham PG, Hutchinson AB, Sansom SL, </w:t>
      </w:r>
      <w:r w:rsidR="000914E3" w:rsidRPr="00783571">
        <w:t>et al</w:t>
      </w:r>
      <w:r w:rsidRPr="00783571">
        <w:t xml:space="preserve">. Comparing the costs of HIV screening strategies and technologies in health-care settings. </w:t>
      </w:r>
      <w:r w:rsidRPr="00783571">
        <w:rPr>
          <w:i/>
        </w:rPr>
        <w:t>Public Health Rep</w:t>
      </w:r>
      <w:r w:rsidR="00ED16FA" w:rsidRPr="00783571">
        <w:t>. 2008 Nov-Dec;123(</w:t>
      </w:r>
      <w:r w:rsidRPr="00783571">
        <w:t>Suppl 3</w:t>
      </w:r>
      <w:r w:rsidR="00ED16FA" w:rsidRPr="00783571">
        <w:t>)</w:t>
      </w:r>
      <w:r w:rsidRPr="00783571">
        <w:t>:51</w:t>
      </w:r>
      <w:r w:rsidR="00740DFC" w:rsidRPr="00783571">
        <w:t>–6</w:t>
      </w:r>
      <w:r w:rsidRPr="00783571">
        <w:t>2.</w:t>
      </w:r>
    </w:p>
    <w:p w14:paraId="181AAA16" w14:textId="72823D3C" w:rsidR="00FB4FDA" w:rsidRPr="00783571" w:rsidRDefault="00FB4FDA" w:rsidP="00FB4FDA">
      <w:pPr>
        <w:pStyle w:val="biblio"/>
      </w:pPr>
      <w:r w:rsidRPr="00783571">
        <w:t xml:space="preserve">Fiebig EW, Wright DJ, Rawal BD, et al. Dynamics of HIV viremia and antibody seroconversion in plasma donors: implications for diagnosis and staging of primary HIV infection. </w:t>
      </w:r>
      <w:r w:rsidRPr="00783571">
        <w:rPr>
          <w:i/>
        </w:rPr>
        <w:t>AIDS</w:t>
      </w:r>
      <w:r w:rsidR="00ED16FA" w:rsidRPr="00783571">
        <w:t>. 2003 Sep 5;17(13):1871</w:t>
      </w:r>
      <w:r w:rsidR="00740DFC" w:rsidRPr="00783571">
        <w:t>–9</w:t>
      </w:r>
      <w:r w:rsidRPr="00783571">
        <w:t>.</w:t>
      </w:r>
    </w:p>
    <w:p w14:paraId="51FBBB40" w14:textId="77777777" w:rsidR="00FB4FDA" w:rsidRPr="00783571" w:rsidRDefault="00FB4FDA" w:rsidP="00FB4FDA">
      <w:pPr>
        <w:pStyle w:val="biblio"/>
      </w:pPr>
      <w:r w:rsidRPr="00783571">
        <w:t xml:space="preserve">Finlayson T, Le B, Smith A, et al. HIV risk, prevention, and testing behaviors among men who have sex with men—National HIV Behavioral Surveillance System, 21 U.S. cities, United States, 2008. </w:t>
      </w:r>
      <w:r w:rsidRPr="00783571">
        <w:rPr>
          <w:i/>
        </w:rPr>
        <w:t>MMWR</w:t>
      </w:r>
      <w:r w:rsidRPr="00783571">
        <w:t>. 2011;60(No. SS–14).</w:t>
      </w:r>
    </w:p>
    <w:p w14:paraId="414B5500" w14:textId="6F798C16" w:rsidR="00FB4FDA" w:rsidRPr="00783571" w:rsidRDefault="00FB4FDA" w:rsidP="00FB4FDA">
      <w:pPr>
        <w:pStyle w:val="biblio"/>
      </w:pPr>
      <w:r w:rsidRPr="00783571">
        <w:t xml:space="preserve">Fleishman, JA, Yehia BR, Moore RD, </w:t>
      </w:r>
      <w:r w:rsidR="000914E3" w:rsidRPr="00783571">
        <w:t>et al</w:t>
      </w:r>
      <w:r w:rsidRPr="00783571">
        <w:t xml:space="preserve">. Disparities in receipt of antiretroviral therapy among HIV-infected adults (2002–2008). </w:t>
      </w:r>
      <w:r w:rsidRPr="00783571">
        <w:rPr>
          <w:i/>
        </w:rPr>
        <w:t>Medical Care</w:t>
      </w:r>
      <w:r w:rsidR="00ED16FA" w:rsidRPr="00783571">
        <w:t>. 2012;50:419</w:t>
      </w:r>
      <w:r w:rsidR="00740DFC" w:rsidRPr="00783571">
        <w:t>–2</w:t>
      </w:r>
      <w:r w:rsidRPr="00783571">
        <w:t>7.</w:t>
      </w:r>
    </w:p>
    <w:p w14:paraId="0208B72C" w14:textId="1720D53E" w:rsidR="00FB4FDA" w:rsidRPr="00783571" w:rsidRDefault="00FB4FDA" w:rsidP="00FB4FDA">
      <w:pPr>
        <w:pStyle w:val="biblio"/>
      </w:pPr>
      <w:r w:rsidRPr="00783571">
        <w:t xml:space="preserve">Fortenberry JD, Schick V, Herbenick D, et al. Sexual behaviors and condom use at last vaginal intercourse: a national sample of adolescents ages 14 to 17 years. </w:t>
      </w:r>
      <w:r w:rsidRPr="00783571">
        <w:rPr>
          <w:i/>
        </w:rPr>
        <w:t>J Sex Med</w:t>
      </w:r>
      <w:r w:rsidR="00ED16FA" w:rsidRPr="00783571">
        <w:t>. 2010;7:305</w:t>
      </w:r>
      <w:r w:rsidR="00740DFC" w:rsidRPr="00783571">
        <w:t>–1</w:t>
      </w:r>
      <w:r w:rsidRPr="00783571">
        <w:t>4.</w:t>
      </w:r>
    </w:p>
    <w:p w14:paraId="64C992CD" w14:textId="3D15E2BB" w:rsidR="00E3131B" w:rsidRPr="00783571" w:rsidRDefault="00E3131B" w:rsidP="00ED16FA">
      <w:pPr>
        <w:pStyle w:val="biblio"/>
      </w:pPr>
      <w:r w:rsidRPr="00783571">
        <w:t xml:space="preserve">Freedberg KA, </w:t>
      </w:r>
      <w:r w:rsidR="00052E04" w:rsidRPr="00783571">
        <w:t xml:space="preserve">Hirschhorn LR, Schackman BR, </w:t>
      </w:r>
      <w:r w:rsidRPr="00783571">
        <w:t xml:space="preserve">et al. Cost-effectiveness of an intervention to improve adherence to antiretroviral therapy in HIV-infected patients. </w:t>
      </w:r>
      <w:r w:rsidRPr="00783571">
        <w:rPr>
          <w:i/>
          <w:iCs/>
        </w:rPr>
        <w:t>JAIDS</w:t>
      </w:r>
      <w:r w:rsidR="00ED16FA" w:rsidRPr="00783571">
        <w:t>.</w:t>
      </w:r>
      <w:r w:rsidRPr="00783571">
        <w:t xml:space="preserve"> 2006</w:t>
      </w:r>
      <w:r w:rsidR="00ED16FA" w:rsidRPr="00783571">
        <w:t>;</w:t>
      </w:r>
      <w:r w:rsidRPr="00783571">
        <w:t>43:S113</w:t>
      </w:r>
      <w:r w:rsidR="00740DFC" w:rsidRPr="00783571">
        <w:t>–8</w:t>
      </w:r>
      <w:r w:rsidRPr="00783571">
        <w:t>.</w:t>
      </w:r>
    </w:p>
    <w:p w14:paraId="2367C21E" w14:textId="2500287F" w:rsidR="00FB4FDA" w:rsidRPr="00783571" w:rsidRDefault="00FB4FDA" w:rsidP="00FB4FDA">
      <w:pPr>
        <w:pStyle w:val="biblio"/>
      </w:pPr>
      <w:r w:rsidRPr="00783571">
        <w:t xml:space="preserve">Freeman AE, Sattin RW, Miller KM, </w:t>
      </w:r>
      <w:r w:rsidR="000914E3" w:rsidRPr="00783571">
        <w:t>et al</w:t>
      </w:r>
      <w:r w:rsidRPr="00783571">
        <w:t xml:space="preserve">. Acceptance of rapid HIV screening in a southeastern emergency department. </w:t>
      </w:r>
      <w:r w:rsidRPr="00783571">
        <w:rPr>
          <w:i/>
        </w:rPr>
        <w:t>Acad Emerg Med</w:t>
      </w:r>
      <w:r w:rsidRPr="00783571">
        <w:t>. 2009 Nov;16(11):1156</w:t>
      </w:r>
      <w:r w:rsidR="00740DFC" w:rsidRPr="00783571">
        <w:t>–6</w:t>
      </w:r>
      <w:r w:rsidRPr="00783571">
        <w:t>4.</w:t>
      </w:r>
    </w:p>
    <w:p w14:paraId="5E8EB60A" w14:textId="777E8CC5" w:rsidR="00FB4FDA" w:rsidRPr="00783571" w:rsidRDefault="00FB4FDA" w:rsidP="00ED16FA">
      <w:pPr>
        <w:pStyle w:val="biblio"/>
      </w:pPr>
      <w:r w:rsidRPr="00783571">
        <w:t xml:space="preserve">Gardner EM, McLees MP, Steiner JF, et al. The spectrum of engagement in HIV care and its relevance to test-and-treat strategies for prevention of HIV infection. </w:t>
      </w:r>
      <w:r w:rsidRPr="00783571">
        <w:rPr>
          <w:i/>
        </w:rPr>
        <w:t>Clin Infect Dis</w:t>
      </w:r>
      <w:r w:rsidRPr="00783571">
        <w:t>. 2011;52:793</w:t>
      </w:r>
      <w:r w:rsidR="00740DFC" w:rsidRPr="00783571">
        <w:t>–8</w:t>
      </w:r>
      <w:r w:rsidRPr="00783571">
        <w:t>00.</w:t>
      </w:r>
    </w:p>
    <w:p w14:paraId="23EA96DE" w14:textId="121E5766" w:rsidR="00FB4FDA" w:rsidRPr="00783571" w:rsidRDefault="00FB4FDA" w:rsidP="007C57AF">
      <w:pPr>
        <w:pStyle w:val="biblio"/>
      </w:pPr>
      <w:r w:rsidRPr="00783571">
        <w:t xml:space="preserve">Gebo KA, Fleishman JA, Conviser R, et al. Contemporary costs of HIV healthcare in the HAART era. </w:t>
      </w:r>
      <w:r w:rsidRPr="00783571">
        <w:rPr>
          <w:i/>
        </w:rPr>
        <w:t>AIDS</w:t>
      </w:r>
      <w:r w:rsidR="00ED16FA" w:rsidRPr="00783571">
        <w:rPr>
          <w:i/>
        </w:rPr>
        <w:t>.</w:t>
      </w:r>
      <w:r w:rsidRPr="00783571">
        <w:t xml:space="preserve"> </w:t>
      </w:r>
      <w:r w:rsidR="007C57AF" w:rsidRPr="00783571">
        <w:t>2010;</w:t>
      </w:r>
      <w:r w:rsidRPr="00783571">
        <w:t>24:2705</w:t>
      </w:r>
      <w:r w:rsidR="00740DFC" w:rsidRPr="00783571">
        <w:t>–1</w:t>
      </w:r>
      <w:r w:rsidRPr="00783571">
        <w:t>5.</w:t>
      </w:r>
    </w:p>
    <w:p w14:paraId="79AA9870" w14:textId="47652431" w:rsidR="00FB4FDA" w:rsidRPr="00783571" w:rsidRDefault="00FB4FDA" w:rsidP="00ED16FA">
      <w:pPr>
        <w:pStyle w:val="biblio"/>
      </w:pPr>
      <w:r w:rsidRPr="00783571">
        <w:t xml:space="preserve">Glick SN, Morris M, Foxman B, et al. A comparison of sexual behavior patterns among men who have sex with men and heterosexual men and women. </w:t>
      </w:r>
      <w:r w:rsidRPr="00783571">
        <w:rPr>
          <w:i/>
        </w:rPr>
        <w:t>J Acquir Immune Defic Syndr</w:t>
      </w:r>
      <w:r w:rsidRPr="00783571">
        <w:t>. 2012;60:83</w:t>
      </w:r>
      <w:r w:rsidR="00740DFC" w:rsidRPr="00783571">
        <w:t>–9</w:t>
      </w:r>
      <w:r w:rsidRPr="00783571">
        <w:t>0.</w:t>
      </w:r>
    </w:p>
    <w:p w14:paraId="42DB1217" w14:textId="0A10BD4F" w:rsidR="00F05222" w:rsidRPr="00783571" w:rsidRDefault="00F05222" w:rsidP="00F05222">
      <w:pPr>
        <w:pStyle w:val="biblio"/>
      </w:pPr>
      <w:r w:rsidRPr="00783571">
        <w:t>Gold MR, Siegel JE, Russell LB, et al., eds. Cost-</w:t>
      </w:r>
      <w:r w:rsidR="004751B3" w:rsidRPr="00783571">
        <w:t>effectiveness in health and medicine</w:t>
      </w:r>
      <w:r w:rsidRPr="00783571">
        <w:t>. New York</w:t>
      </w:r>
      <w:r w:rsidR="00ED16FA" w:rsidRPr="00783571">
        <w:t>, NY</w:t>
      </w:r>
      <w:r w:rsidRPr="00783571">
        <w:t>: Oxford University Press; 1996.</w:t>
      </w:r>
    </w:p>
    <w:p w14:paraId="613186E9" w14:textId="0978F6D4" w:rsidR="00CC7EE6" w:rsidRPr="00783571" w:rsidRDefault="00CC7EE6" w:rsidP="00ED16FA">
      <w:pPr>
        <w:pStyle w:val="biblio"/>
      </w:pPr>
      <w:r w:rsidRPr="00783571">
        <w:t xml:space="preserve">Grant RM, Lama JR, Anderson PL, et al. Preexposure chemoprophylaxis for HIV prevention in men who have sex with men. </w:t>
      </w:r>
      <w:r w:rsidRPr="00783571">
        <w:rPr>
          <w:i/>
          <w:iCs/>
        </w:rPr>
        <w:t>N Engl J Med</w:t>
      </w:r>
      <w:r w:rsidRPr="00783571">
        <w:t>. 2010;363(27):2587</w:t>
      </w:r>
      <w:r w:rsidR="00740DFC" w:rsidRPr="00783571">
        <w:t>–9</w:t>
      </w:r>
      <w:r w:rsidRPr="00783571">
        <w:t>9. doi: 10.1056/NEJMoa1011205.</w:t>
      </w:r>
    </w:p>
    <w:p w14:paraId="20A70011" w14:textId="79BCDACB" w:rsidR="00FB4FDA" w:rsidRPr="00783571" w:rsidRDefault="00FB4FDA" w:rsidP="00ED16FA">
      <w:pPr>
        <w:pStyle w:val="biblio"/>
      </w:pPr>
      <w:r w:rsidRPr="00783571">
        <w:t xml:space="preserve">Grigoryan A, Shouse R, Durant T, et al. HIV infection among injection-drug users—34 states, 2004–2007. </w:t>
      </w:r>
      <w:r w:rsidRPr="00783571">
        <w:rPr>
          <w:i/>
        </w:rPr>
        <w:t>JAMA</w:t>
      </w:r>
      <w:r w:rsidRPr="00783571">
        <w:t>. 2010;303:126</w:t>
      </w:r>
      <w:r w:rsidR="00740DFC" w:rsidRPr="00783571">
        <w:t>–8</w:t>
      </w:r>
      <w:r w:rsidRPr="00783571">
        <w:t xml:space="preserve">. Reprinted from: </w:t>
      </w:r>
      <w:r w:rsidRPr="00783571">
        <w:rPr>
          <w:i/>
        </w:rPr>
        <w:t>MMWR Morb Mortal Wkly Rep</w:t>
      </w:r>
      <w:r w:rsidRPr="00783571">
        <w:t>. 2009;58:1291–5.</w:t>
      </w:r>
    </w:p>
    <w:p w14:paraId="41BA5DEC" w14:textId="674AAD89" w:rsidR="00FB4FDA" w:rsidRPr="00783571" w:rsidRDefault="00FB4FDA" w:rsidP="00ED16FA">
      <w:pPr>
        <w:pStyle w:val="biblio"/>
      </w:pPr>
      <w:r w:rsidRPr="00783571">
        <w:t xml:space="preserve">Hall HI, Frazier EL, Rhodes P, et al. </w:t>
      </w:r>
      <w:r w:rsidRPr="00783571">
        <w:rPr>
          <w:i/>
        </w:rPr>
        <w:t>Continuum of HIV care: differences in care and treatment by sex and race/ethnicity in the United States</w:t>
      </w:r>
      <w:r w:rsidRPr="00783571">
        <w:t>. Abstract presented at the 19th International AIDS Conference</w:t>
      </w:r>
      <w:r w:rsidR="00ED16FA" w:rsidRPr="00783571">
        <w:t>;</w:t>
      </w:r>
      <w:r w:rsidRPr="00783571">
        <w:t xml:space="preserve"> 2012.</w:t>
      </w:r>
    </w:p>
    <w:p w14:paraId="25B20718" w14:textId="310B8D91" w:rsidR="00FB4FDA" w:rsidRPr="00783571" w:rsidRDefault="00FB4FDA" w:rsidP="00ED16FA">
      <w:pPr>
        <w:pStyle w:val="biblio"/>
      </w:pPr>
      <w:r w:rsidRPr="00783571">
        <w:t xml:space="preserve">Hall HI, Frazier EL, Rhodes P, et al. Differences in human immunodeficiency virus care and treatment among subpopulations in the United States. </w:t>
      </w:r>
      <w:r w:rsidRPr="00783571">
        <w:rPr>
          <w:i/>
        </w:rPr>
        <w:t>JAMA Intern Med</w:t>
      </w:r>
      <w:r w:rsidRPr="00783571">
        <w:t>. 2013;173(14):1337</w:t>
      </w:r>
      <w:r w:rsidR="00740DFC" w:rsidRPr="00783571">
        <w:t>–4</w:t>
      </w:r>
      <w:r w:rsidRPr="00783571">
        <w:t>4.</w:t>
      </w:r>
    </w:p>
    <w:p w14:paraId="30D4668B" w14:textId="1B4CBDAB" w:rsidR="003D7614" w:rsidRPr="00783571" w:rsidRDefault="003D7614" w:rsidP="00ED16FA">
      <w:pPr>
        <w:pStyle w:val="biblio"/>
      </w:pPr>
      <w:r w:rsidRPr="00783571">
        <w:t xml:space="preserve">The Henry J. Kaiser Family Foundation. U.S. Federal Funding for HIV/AIDS: The President’s FY 2016 Budget Request. </w:t>
      </w:r>
      <w:hyperlink r:id="rId165" w:history="1">
        <w:r w:rsidR="00D15349" w:rsidRPr="00783571">
          <w:rPr>
            <w:rStyle w:val="Hyperlink"/>
          </w:rPr>
          <w:t>http://kff.org/global-health-policy/fact-sheet/u-s-federal-funding-for-hivaids-the-presidents-fy-2016-budget-request/</w:t>
        </w:r>
      </w:hyperlink>
      <w:r w:rsidRPr="00783571">
        <w:t>, Apr 13, 2015. Accessed January 12, 2016.</w:t>
      </w:r>
    </w:p>
    <w:p w14:paraId="39C6EDD3" w14:textId="5B04D913" w:rsidR="00FB4FDA" w:rsidRPr="00783571" w:rsidRDefault="00FB4FDA" w:rsidP="00FB4FDA">
      <w:pPr>
        <w:pStyle w:val="biblio"/>
      </w:pPr>
      <w:r w:rsidRPr="00783571">
        <w:t xml:space="preserve">Herbenick D, Reece M, Schick V, et al. Sexual behaviors, relationships, and perceived health status among adult women in the United States: results from a national probability sample. </w:t>
      </w:r>
      <w:r w:rsidRPr="00783571">
        <w:rPr>
          <w:i/>
        </w:rPr>
        <w:t>J Sex Med</w:t>
      </w:r>
      <w:r w:rsidR="00ED16FA" w:rsidRPr="00783571">
        <w:t>. 2010;7:277</w:t>
      </w:r>
      <w:r w:rsidR="00740DFC" w:rsidRPr="00783571">
        <w:t>–9</w:t>
      </w:r>
      <w:r w:rsidRPr="00783571">
        <w:t>0.</w:t>
      </w:r>
    </w:p>
    <w:p w14:paraId="067B7BA1" w14:textId="485E7BB8" w:rsidR="00245779" w:rsidRPr="00783571" w:rsidRDefault="00245779" w:rsidP="00FB4FDA">
      <w:pPr>
        <w:pStyle w:val="biblio"/>
      </w:pPr>
      <w:r w:rsidRPr="00783571">
        <w:t>Herman JD, Kollat JB, Reed PM, Wagener T. Technical Note: Method of Morris effectively reduces the computational demands of global sensitivity analysis for distributed watershed models</w:t>
      </w:r>
      <w:r w:rsidRPr="00783571">
        <w:rPr>
          <w:i/>
        </w:rPr>
        <w:t>. Hydrol Earth Syst Sci</w:t>
      </w:r>
      <w:r w:rsidR="0016571A" w:rsidRPr="00783571">
        <w:rPr>
          <w:i/>
        </w:rPr>
        <w:t>.</w:t>
      </w:r>
      <w:r w:rsidRPr="00783571">
        <w:t xml:space="preserve"> </w:t>
      </w:r>
      <w:r w:rsidR="00476CBC" w:rsidRPr="00783571">
        <w:t>2013;</w:t>
      </w:r>
      <w:r w:rsidRPr="00783571">
        <w:t>17</w:t>
      </w:r>
      <w:r w:rsidR="00476CBC" w:rsidRPr="00783571">
        <w:t>:</w:t>
      </w:r>
      <w:r w:rsidRPr="00783571">
        <w:t>2893–903.</w:t>
      </w:r>
    </w:p>
    <w:p w14:paraId="772EF447" w14:textId="382C6B90" w:rsidR="004751B3" w:rsidRPr="00783571" w:rsidRDefault="00FB4FDA" w:rsidP="00ED16FA">
      <w:pPr>
        <w:pStyle w:val="biblio"/>
      </w:pPr>
      <w:r w:rsidRPr="00783571">
        <w:t xml:space="preserve">Hollingsworth TD, Anderson RM, Fraser C. HIV-1 transmission by stage of infection. </w:t>
      </w:r>
      <w:r w:rsidRPr="00783571">
        <w:rPr>
          <w:i/>
        </w:rPr>
        <w:t>J Infect Dis</w:t>
      </w:r>
      <w:r w:rsidRPr="00783571">
        <w:t>. 2008;198:687</w:t>
      </w:r>
      <w:r w:rsidR="00740DFC" w:rsidRPr="00783571">
        <w:t>–9</w:t>
      </w:r>
      <w:r w:rsidRPr="00783571">
        <w:t>3.</w:t>
      </w:r>
    </w:p>
    <w:p w14:paraId="65BC4980" w14:textId="52B0EB32" w:rsidR="00511F54" w:rsidRPr="00783571" w:rsidRDefault="00B53EB1" w:rsidP="004751B3">
      <w:pPr>
        <w:pStyle w:val="biblio"/>
      </w:pPr>
      <w:r w:rsidRPr="00783571">
        <w:t xml:space="preserve">Huang YA, Hutchinson AB, Hollis ND, </w:t>
      </w:r>
      <w:r w:rsidR="000914E3" w:rsidRPr="00783571">
        <w:t>et al</w:t>
      </w:r>
      <w:r w:rsidRPr="00783571">
        <w:t xml:space="preserve">. Notification </w:t>
      </w:r>
      <w:r w:rsidR="004751B3" w:rsidRPr="00783571">
        <w:t xml:space="preserve">following new positive </w:t>
      </w:r>
      <w:r w:rsidRPr="00783571">
        <w:t xml:space="preserve">HIV </w:t>
      </w:r>
      <w:r w:rsidR="004751B3" w:rsidRPr="00783571">
        <w:t>test results</w:t>
      </w:r>
      <w:r w:rsidRPr="00783571">
        <w:t xml:space="preserve">. </w:t>
      </w:r>
      <w:r w:rsidRPr="00783571">
        <w:rPr>
          <w:i/>
        </w:rPr>
        <w:t xml:space="preserve">Int J </w:t>
      </w:r>
      <w:r w:rsidR="00FB6E34" w:rsidRPr="00783571">
        <w:rPr>
          <w:i/>
        </w:rPr>
        <w:t>STD &amp;</w:t>
      </w:r>
      <w:r w:rsidRPr="00783571">
        <w:rPr>
          <w:i/>
        </w:rPr>
        <w:t xml:space="preserve"> AIDS</w:t>
      </w:r>
      <w:r w:rsidRPr="00783571">
        <w:t>.</w:t>
      </w:r>
      <w:r w:rsidR="00FB6E34" w:rsidRPr="00783571">
        <w:t xml:space="preserve"> </w:t>
      </w:r>
      <w:r w:rsidR="00511F54" w:rsidRPr="00783571">
        <w:t>2016;27(10):868-872. DOI: 10.1177/0956462415598090</w:t>
      </w:r>
    </w:p>
    <w:p w14:paraId="1F32581D" w14:textId="281912EA" w:rsidR="00FB4FDA" w:rsidRPr="00783571" w:rsidRDefault="00FB4FDA" w:rsidP="00FB4FDA">
      <w:pPr>
        <w:pStyle w:val="biblio"/>
      </w:pPr>
      <w:r w:rsidRPr="00783571">
        <w:t xml:space="preserve">Hutchinson AB, Ethridge SF, Wesolowski LG, et al. Costs and outcomes of laboratory diagnostic algorithms for the detection of HIV. </w:t>
      </w:r>
      <w:r w:rsidRPr="00783571">
        <w:rPr>
          <w:i/>
        </w:rPr>
        <w:t>J Clin Virol</w:t>
      </w:r>
      <w:r w:rsidRPr="00783571">
        <w:t>. 2013 Dec; 58 Suppl 1:e2–7.</w:t>
      </w:r>
    </w:p>
    <w:p w14:paraId="696B1CCF" w14:textId="683BC649" w:rsidR="00FB4FDA" w:rsidRPr="00783571" w:rsidRDefault="00FB4FDA" w:rsidP="00FB4FDA">
      <w:pPr>
        <w:pStyle w:val="biblio"/>
      </w:pPr>
      <w:r w:rsidRPr="00783571">
        <w:t xml:space="preserve">Hutchinson AB, Farnham PG, Lyss SB, </w:t>
      </w:r>
      <w:r w:rsidR="00511F54" w:rsidRPr="00783571">
        <w:t>et al</w:t>
      </w:r>
      <w:r w:rsidRPr="00783571">
        <w:t xml:space="preserve">. Emergency department HIV screening with rapid tests: a cost comparison of alternative models. </w:t>
      </w:r>
      <w:r w:rsidRPr="00783571">
        <w:rPr>
          <w:i/>
        </w:rPr>
        <w:t>AIDS Educ Prev</w:t>
      </w:r>
      <w:r w:rsidRPr="00783571">
        <w:t>. 2011 Jun;23(3 Suppl):58</w:t>
      </w:r>
      <w:r w:rsidR="00740DFC" w:rsidRPr="00783571">
        <w:t>–6</w:t>
      </w:r>
      <w:r w:rsidRPr="00783571">
        <w:t>9</w:t>
      </w:r>
    </w:p>
    <w:p w14:paraId="4D3D2DF4" w14:textId="77777777" w:rsidR="00FB4FDA" w:rsidRPr="00783571" w:rsidRDefault="00FB4FDA" w:rsidP="00FB4FDA">
      <w:pPr>
        <w:pStyle w:val="biblio"/>
      </w:pPr>
      <w:r w:rsidRPr="00783571">
        <w:t xml:space="preserve">Iman RL. Latin hypercube sampling. In: </w:t>
      </w:r>
      <w:r w:rsidRPr="00783571">
        <w:rPr>
          <w:i/>
        </w:rPr>
        <w:t>Encyclopedia of Quantitative Risk Analysis and Assessment</w:t>
      </w:r>
      <w:r w:rsidRPr="00783571">
        <w:t>. Hoboken, NJ: Wiley &amp; Sons; 2008.</w:t>
      </w:r>
    </w:p>
    <w:p w14:paraId="3F18D40A" w14:textId="5832D8A7" w:rsidR="00FB4FDA" w:rsidRPr="00783571" w:rsidRDefault="00FB4FDA" w:rsidP="00FB4FDA">
      <w:pPr>
        <w:pStyle w:val="biblio"/>
      </w:pPr>
      <w:r w:rsidRPr="00783571">
        <w:t xml:space="preserve">Introcaso CE, Xu F, Kilmarx PH, </w:t>
      </w:r>
      <w:r w:rsidR="00511F54" w:rsidRPr="00783571">
        <w:t>et al</w:t>
      </w:r>
      <w:r w:rsidRPr="00783571">
        <w:t xml:space="preserve">. Prevalence of circumcision among men and boys aged 14 to 59 Years in the United States, National Health and Nutrition Examination Surveys 2005–2010. </w:t>
      </w:r>
      <w:r w:rsidRPr="00783571">
        <w:rPr>
          <w:i/>
        </w:rPr>
        <w:t>Sex Transm Dis</w:t>
      </w:r>
      <w:r w:rsidR="00ED16FA" w:rsidRPr="00783571">
        <w:t>. 2013;40:521</w:t>
      </w:r>
      <w:r w:rsidR="00740DFC" w:rsidRPr="00783571">
        <w:t>–5</w:t>
      </w:r>
      <w:r w:rsidRPr="00783571">
        <w:t>.</w:t>
      </w:r>
    </w:p>
    <w:p w14:paraId="368B5AC6" w14:textId="31AE5B5B" w:rsidR="00FB4FDA" w:rsidRPr="00783571" w:rsidRDefault="00FB4FDA" w:rsidP="00FB4FDA">
      <w:pPr>
        <w:pStyle w:val="biblio"/>
      </w:pPr>
      <w:r w:rsidRPr="00783571">
        <w:t xml:space="preserve">Jenness SM, Hagan H, Liu KL, </w:t>
      </w:r>
      <w:r w:rsidR="00511F54" w:rsidRPr="00783571">
        <w:t>et al</w:t>
      </w:r>
      <w:r w:rsidRPr="00783571">
        <w:t xml:space="preserve">. Continuing HIV risk in New York City injection drug users: the association of syringe source and syringe sharing. </w:t>
      </w:r>
      <w:r w:rsidRPr="00783571">
        <w:rPr>
          <w:i/>
        </w:rPr>
        <w:t>Subst Use Misuse</w:t>
      </w:r>
      <w:r w:rsidRPr="00783571">
        <w:t>. 2011;46(2</w:t>
      </w:r>
      <w:r w:rsidR="00740DFC" w:rsidRPr="00783571">
        <w:t>–3</w:t>
      </w:r>
      <w:r w:rsidRPr="00783571">
        <w:t>):192</w:t>
      </w:r>
      <w:r w:rsidR="00740DFC" w:rsidRPr="00783571">
        <w:t>–2</w:t>
      </w:r>
      <w:r w:rsidRPr="00783571">
        <w:t>00.</w:t>
      </w:r>
    </w:p>
    <w:p w14:paraId="1B26414A" w14:textId="08F37FFD" w:rsidR="00FB4FDA" w:rsidRPr="00783571" w:rsidRDefault="00FB4FDA" w:rsidP="00ED16FA">
      <w:pPr>
        <w:pStyle w:val="biblio"/>
      </w:pPr>
      <w:r w:rsidRPr="00783571">
        <w:t xml:space="preserve">Juusola JL, Brandeau ML, Owens DK, </w:t>
      </w:r>
      <w:r w:rsidR="00511F54" w:rsidRPr="00783571">
        <w:t>et al</w:t>
      </w:r>
      <w:r w:rsidRPr="00783571">
        <w:t xml:space="preserve">. The cost-effectiveness of preexposure prophylaxis for HIV prevention in the United States in men who have sex with men. </w:t>
      </w:r>
      <w:r w:rsidRPr="00783571">
        <w:rPr>
          <w:i/>
        </w:rPr>
        <w:t>Ann Intern Med</w:t>
      </w:r>
      <w:r w:rsidRPr="00783571">
        <w:t>. 2012 Apr 17;156(8):541</w:t>
      </w:r>
      <w:r w:rsidR="00740DFC" w:rsidRPr="00783571">
        <w:t>–5</w:t>
      </w:r>
      <w:r w:rsidRPr="00783571">
        <w:t>0.</w:t>
      </w:r>
    </w:p>
    <w:p w14:paraId="25A361D1" w14:textId="3D5DB1A9" w:rsidR="00FB4FDA" w:rsidRPr="00783571" w:rsidRDefault="00FB4FDA" w:rsidP="00FB4FDA">
      <w:pPr>
        <w:pStyle w:val="biblio"/>
      </w:pPr>
      <w:r w:rsidRPr="00783571">
        <w:t xml:space="preserve">Kaplan EH, Heimer R. A model-based estimate of </w:t>
      </w:r>
      <w:r w:rsidR="00457B8E" w:rsidRPr="00783571">
        <w:t>H</w:t>
      </w:r>
      <w:r w:rsidRPr="00783571">
        <w:t xml:space="preserve">IV infectivity via needle sharing. </w:t>
      </w:r>
      <w:r w:rsidRPr="00783571">
        <w:rPr>
          <w:i/>
        </w:rPr>
        <w:t>J Acquir Immune D</w:t>
      </w:r>
      <w:r w:rsidR="006577DA" w:rsidRPr="00783571">
        <w:rPr>
          <w:i/>
        </w:rPr>
        <w:t>e</w:t>
      </w:r>
      <w:r w:rsidRPr="00783571">
        <w:rPr>
          <w:i/>
        </w:rPr>
        <w:t>fic Syndr</w:t>
      </w:r>
      <w:r w:rsidR="00ED16FA" w:rsidRPr="00783571">
        <w:t>. 1992;5:1116</w:t>
      </w:r>
      <w:r w:rsidR="00740DFC" w:rsidRPr="00783571">
        <w:t>–8</w:t>
      </w:r>
      <w:r w:rsidRPr="00783571">
        <w:t>.</w:t>
      </w:r>
    </w:p>
    <w:p w14:paraId="0FB90434" w14:textId="55F29B0A" w:rsidR="00FB4FDA" w:rsidRPr="00783571" w:rsidRDefault="00FB4FDA" w:rsidP="00ED16FA">
      <w:pPr>
        <w:pStyle w:val="biblio"/>
      </w:pPr>
      <w:r w:rsidRPr="00783571">
        <w:t xml:space="preserve">Lansky A, Drake A, Pham HT. HIV-associated behaviors among injecting-drug users—23 cities, United States, May 2005–February 2006. </w:t>
      </w:r>
      <w:r w:rsidRPr="00783571">
        <w:rPr>
          <w:i/>
        </w:rPr>
        <w:t>JAMA</w:t>
      </w:r>
      <w:r w:rsidRPr="00783571">
        <w:t>. 2009;302:376</w:t>
      </w:r>
      <w:r w:rsidR="00740DFC" w:rsidRPr="00783571">
        <w:t>–7</w:t>
      </w:r>
      <w:r w:rsidRPr="00783571">
        <w:t xml:space="preserve">. Reprinted from </w:t>
      </w:r>
      <w:r w:rsidRPr="00783571">
        <w:rPr>
          <w:i/>
        </w:rPr>
        <w:t>MMWR Morb Mortal Wkly Rep</w:t>
      </w:r>
      <w:r w:rsidRPr="00783571">
        <w:t>. 2009;58:329</w:t>
      </w:r>
      <w:r w:rsidR="00740DFC" w:rsidRPr="00783571">
        <w:t>–3</w:t>
      </w:r>
      <w:r w:rsidRPr="00783571">
        <w:t>2.</w:t>
      </w:r>
    </w:p>
    <w:p w14:paraId="47E2F164" w14:textId="46EC49AE" w:rsidR="009A5CF3" w:rsidRPr="00783571" w:rsidRDefault="009A5CF3" w:rsidP="00ED16FA">
      <w:pPr>
        <w:pStyle w:val="biblio"/>
      </w:pPr>
      <w:r w:rsidRPr="00783571">
        <w:t xml:space="preserve">Lansky A, Finlayson T, Johnson C, </w:t>
      </w:r>
      <w:r w:rsidR="00ED16FA" w:rsidRPr="00783571">
        <w:t>et al</w:t>
      </w:r>
      <w:r w:rsidRPr="00783571">
        <w:t xml:space="preserve">. Estimating the number of persons who inject drugs in the united states by meta-analysis to calculate national rates of HIV and hepatitis C virus infections. </w:t>
      </w:r>
      <w:r w:rsidRPr="00783571">
        <w:rPr>
          <w:i/>
          <w:iCs/>
        </w:rPr>
        <w:t>PLoS One</w:t>
      </w:r>
      <w:r w:rsidRPr="00783571">
        <w:t>. 2014 May 19;9(5):e97596.</w:t>
      </w:r>
    </w:p>
    <w:p w14:paraId="68537380" w14:textId="77777777" w:rsidR="00FB4FDA" w:rsidRPr="00783571" w:rsidRDefault="00FB4FDA" w:rsidP="00FB4FDA">
      <w:pPr>
        <w:pStyle w:val="biblio"/>
      </w:pPr>
      <w:r w:rsidRPr="00783571">
        <w:t xml:space="preserve">Lasry A, Sansom SL, Hicks KA, et al. Allocating HIV prevention funds in the United States: recommendations from an optimization model. </w:t>
      </w:r>
      <w:r w:rsidRPr="00783571">
        <w:rPr>
          <w:i/>
        </w:rPr>
        <w:t>PLoS One</w:t>
      </w:r>
      <w:r w:rsidRPr="00783571">
        <w:t>. 2012;7:e37545.</w:t>
      </w:r>
    </w:p>
    <w:p w14:paraId="6482DE19" w14:textId="1B8FE327" w:rsidR="00FB4FDA" w:rsidRPr="00783571" w:rsidRDefault="00FB4FDA" w:rsidP="00ED16FA">
      <w:pPr>
        <w:pStyle w:val="biblio"/>
      </w:pPr>
      <w:r w:rsidRPr="00783571">
        <w:t>Laumann EO, Gagnon</w:t>
      </w:r>
      <w:r w:rsidR="00ED16FA" w:rsidRPr="00783571">
        <w:t xml:space="preserve"> JH</w:t>
      </w:r>
      <w:r w:rsidRPr="00783571">
        <w:t>, Michael</w:t>
      </w:r>
      <w:r w:rsidR="00ED16FA" w:rsidRPr="00783571">
        <w:t xml:space="preserve"> RT</w:t>
      </w:r>
      <w:r w:rsidRPr="00783571">
        <w:t xml:space="preserve">, </w:t>
      </w:r>
      <w:r w:rsidR="00511F54" w:rsidRPr="00783571">
        <w:t>et al</w:t>
      </w:r>
      <w:r w:rsidRPr="00783571">
        <w:t xml:space="preserve">. </w:t>
      </w:r>
      <w:r w:rsidRPr="00783571">
        <w:rPr>
          <w:i/>
        </w:rPr>
        <w:t xml:space="preserve">National Health and Social Life Survey, </w:t>
      </w:r>
      <w:r w:rsidR="00133D0B" w:rsidRPr="00783571">
        <w:rPr>
          <w:i/>
        </w:rPr>
        <w:t>2008</w:t>
      </w:r>
      <w:r w:rsidRPr="00783571">
        <w:rPr>
          <w:i/>
        </w:rPr>
        <w:t>: [United States]</w:t>
      </w:r>
      <w:r w:rsidRPr="00783571">
        <w:t xml:space="preserve">. ICPSR06647-v2. Ann Arbor, MI: Inter-university Consortium for Political and Social Research [distributor], 2008. </w:t>
      </w:r>
      <w:hyperlink r:id="rId166" w:history="1">
        <w:r w:rsidR="00D50000" w:rsidRPr="00783571">
          <w:rPr>
            <w:rStyle w:val="Hyperlink"/>
          </w:rPr>
          <w:t>http://doi.org/10.3886/ICPSR06647.v2</w:t>
        </w:r>
      </w:hyperlink>
    </w:p>
    <w:p w14:paraId="0B8F54CE" w14:textId="5266D6DA" w:rsidR="009E4D28" w:rsidRPr="00783571" w:rsidRDefault="00FB4FDA" w:rsidP="00ED16FA">
      <w:pPr>
        <w:pStyle w:val="biblio"/>
      </w:pPr>
      <w:r w:rsidRPr="00783571">
        <w:t xml:space="preserve">Laumann EO, Youm Y. Racial/ethnic group differences in the prevalence of sexually transmitted diseases in the United States: a network explanation. </w:t>
      </w:r>
      <w:r w:rsidRPr="00783571">
        <w:rPr>
          <w:i/>
        </w:rPr>
        <w:t>Sex Transm Dis</w:t>
      </w:r>
      <w:r w:rsidRPr="00783571">
        <w:t>. 1999;26(5):250</w:t>
      </w:r>
      <w:r w:rsidR="00740DFC" w:rsidRPr="00783571">
        <w:t>–6</w:t>
      </w:r>
      <w:r w:rsidRPr="00783571">
        <w:t>1.</w:t>
      </w:r>
    </w:p>
    <w:p w14:paraId="14B50FA5" w14:textId="2D5DBB46" w:rsidR="00FB4FDA" w:rsidRPr="00783571" w:rsidRDefault="00FB4FDA" w:rsidP="00FB4FDA">
      <w:pPr>
        <w:pStyle w:val="biblio"/>
      </w:pPr>
      <w:r w:rsidRPr="00783571">
        <w:t xml:space="preserve">Leichliter JS, Chesson HW, </w:t>
      </w:r>
      <w:r w:rsidR="00052E04" w:rsidRPr="00783571">
        <w:t xml:space="preserve">Sternberg M, </w:t>
      </w:r>
      <w:r w:rsidRPr="00783571">
        <w:t xml:space="preserve">et al. The concentration of sexual behaviours in the USA: a closer examination of subpopulations. </w:t>
      </w:r>
      <w:r w:rsidRPr="00783571">
        <w:rPr>
          <w:i/>
        </w:rPr>
        <w:t>Sex Transm Infect</w:t>
      </w:r>
      <w:r w:rsidRPr="00783571">
        <w:t>. 2010;86(Suppl 3):iii45–51.</w:t>
      </w:r>
    </w:p>
    <w:p w14:paraId="0125F840" w14:textId="4CDBED72" w:rsidR="00FB4FDA" w:rsidRPr="00783571" w:rsidRDefault="00FB4FDA" w:rsidP="00ED16FA">
      <w:pPr>
        <w:pStyle w:val="biblio"/>
      </w:pPr>
      <w:r w:rsidRPr="00783571">
        <w:t xml:space="preserve">Leynaert B, Downs AM, de Vincenzi I; European Study Group on Heterosexual Transmission of HIV. Heterosexual transmission of human immunodeficiency virus: variability of infectivity throughout the course of infection. </w:t>
      </w:r>
      <w:r w:rsidRPr="00783571">
        <w:rPr>
          <w:i/>
        </w:rPr>
        <w:t>Am J Epidemiol</w:t>
      </w:r>
      <w:r w:rsidRPr="00783571">
        <w:t>. 1998;148:88</w:t>
      </w:r>
      <w:r w:rsidR="00740DFC" w:rsidRPr="00783571">
        <w:t>–9</w:t>
      </w:r>
      <w:r w:rsidRPr="00783571">
        <w:t>6.</w:t>
      </w:r>
    </w:p>
    <w:p w14:paraId="28B1516B" w14:textId="532307B0" w:rsidR="00FB4FDA" w:rsidRPr="00783571" w:rsidRDefault="00FB4FDA" w:rsidP="00ED16FA">
      <w:pPr>
        <w:pStyle w:val="biblio"/>
      </w:pPr>
      <w:r w:rsidRPr="00783571">
        <w:t xml:space="preserve">Long E, Brandeau M, Owens D. The cost-effectiveness and population outcomes of expanded HIV screening and antiretroviral treatment in the United States. </w:t>
      </w:r>
      <w:r w:rsidRPr="00783571">
        <w:rPr>
          <w:i/>
        </w:rPr>
        <w:t>Ann Intern Med</w:t>
      </w:r>
      <w:r w:rsidRPr="00783571">
        <w:t>. 2010;153:778</w:t>
      </w:r>
      <w:r w:rsidR="00740DFC" w:rsidRPr="00783571">
        <w:t>–8</w:t>
      </w:r>
      <w:r w:rsidRPr="00783571">
        <w:t>9.</w:t>
      </w:r>
    </w:p>
    <w:p w14:paraId="358D491E" w14:textId="4E4D574D" w:rsidR="00FB4FDA" w:rsidRPr="00783571" w:rsidRDefault="00FB4FDA" w:rsidP="00ED16FA">
      <w:pPr>
        <w:pStyle w:val="biblio"/>
      </w:pPr>
      <w:r w:rsidRPr="00783571">
        <w:t xml:space="preserve">Long EF, Brandeau ML, Owens DK. Potential population health outcomes and expenditures of HIV vaccination strategies in the United States. </w:t>
      </w:r>
      <w:r w:rsidRPr="00783571">
        <w:rPr>
          <w:i/>
        </w:rPr>
        <w:t>Vaccine</w:t>
      </w:r>
      <w:r w:rsidRPr="00783571">
        <w:t>. 2009;27:5402</w:t>
      </w:r>
      <w:r w:rsidR="00740DFC" w:rsidRPr="00783571">
        <w:t>–1</w:t>
      </w:r>
      <w:r w:rsidRPr="00783571">
        <w:t>0.</w:t>
      </w:r>
    </w:p>
    <w:p w14:paraId="083AE1AD" w14:textId="53430D38" w:rsidR="00FB4FDA" w:rsidRPr="00783571" w:rsidRDefault="00FB4FDA" w:rsidP="00ED16FA">
      <w:pPr>
        <w:pStyle w:val="biblio"/>
      </w:pPr>
      <w:r w:rsidRPr="00783571">
        <w:t xml:space="preserve">Marks G, Crepaz N. HIV-positive men’s sexual practices in the context of self-disclosure of HIV status. </w:t>
      </w:r>
      <w:r w:rsidRPr="00783571">
        <w:rPr>
          <w:i/>
        </w:rPr>
        <w:t>J Acquir Immune Defic Syndr</w:t>
      </w:r>
      <w:r w:rsidRPr="00783571">
        <w:t>. 2001;27:79</w:t>
      </w:r>
      <w:r w:rsidR="00740DFC" w:rsidRPr="00783571">
        <w:t>–8</w:t>
      </w:r>
      <w:r w:rsidRPr="00783571">
        <w:t>5.</w:t>
      </w:r>
    </w:p>
    <w:p w14:paraId="55F05681" w14:textId="1A4DE774" w:rsidR="00FB4FDA" w:rsidRPr="00783571" w:rsidRDefault="00FB4FDA" w:rsidP="00ED16FA">
      <w:pPr>
        <w:pStyle w:val="biblio"/>
      </w:pPr>
      <w:r w:rsidRPr="00783571">
        <w:t xml:space="preserve">Marks G, Crepaz N, Janssen RS. Estimating sexual transmission of HIV from persons aware and unaware that they are infected with the virus in the USA. </w:t>
      </w:r>
      <w:r w:rsidRPr="00783571">
        <w:rPr>
          <w:i/>
        </w:rPr>
        <w:t>AIDS</w:t>
      </w:r>
      <w:r w:rsidRPr="00783571">
        <w:t>. 2006;20:1447</w:t>
      </w:r>
      <w:r w:rsidR="00740DFC" w:rsidRPr="00783571">
        <w:t>–5</w:t>
      </w:r>
      <w:r w:rsidRPr="00783571">
        <w:t>0.</w:t>
      </w:r>
    </w:p>
    <w:p w14:paraId="00337699" w14:textId="7160EDFF" w:rsidR="00FB4FDA" w:rsidRPr="00783571" w:rsidRDefault="00FB4FDA" w:rsidP="00ED16FA">
      <w:pPr>
        <w:pStyle w:val="biblio"/>
      </w:pPr>
      <w:r w:rsidRPr="00783571">
        <w:t xml:space="preserve">Marks G, Crepaz N, Senterfitt JW, et al. Meta-analysis of high-risk sexual behavior in persons aware and unaware they are infected with HIV in the United States: implications for HIV prevention programs. </w:t>
      </w:r>
      <w:r w:rsidRPr="00783571">
        <w:rPr>
          <w:i/>
        </w:rPr>
        <w:t>J Acquir Immune Defic Syndr</w:t>
      </w:r>
      <w:r w:rsidRPr="00783571">
        <w:t>. 2005;39:446</w:t>
      </w:r>
      <w:r w:rsidR="00740DFC" w:rsidRPr="00783571">
        <w:t>–5</w:t>
      </w:r>
      <w:r w:rsidRPr="00783571">
        <w:t>3.</w:t>
      </w:r>
    </w:p>
    <w:p w14:paraId="515975FE" w14:textId="4E6770C4" w:rsidR="00FB4FDA" w:rsidRPr="00783571" w:rsidRDefault="00FB4FDA" w:rsidP="00ED16FA">
      <w:pPr>
        <w:pStyle w:val="biblio"/>
      </w:pPr>
      <w:r w:rsidRPr="00783571">
        <w:t xml:space="preserve">Marks G, Gardner L, Craw J, et al. Entry and retention in medical care among HIV-diagnosed persons: a meta-analysis. </w:t>
      </w:r>
      <w:r w:rsidRPr="00783571">
        <w:rPr>
          <w:i/>
        </w:rPr>
        <w:t>AIDS</w:t>
      </w:r>
      <w:r w:rsidRPr="00783571">
        <w:t>. 2010a;24:2665</w:t>
      </w:r>
      <w:r w:rsidR="00740DFC" w:rsidRPr="00783571">
        <w:t>–7</w:t>
      </w:r>
      <w:r w:rsidRPr="00783571">
        <w:t>8.</w:t>
      </w:r>
    </w:p>
    <w:p w14:paraId="701063C5" w14:textId="3A8E5EFF" w:rsidR="00FB4FDA" w:rsidRPr="00783571" w:rsidRDefault="00FB4FDA" w:rsidP="00ED16FA">
      <w:pPr>
        <w:pStyle w:val="biblio"/>
      </w:pPr>
      <w:r w:rsidRPr="00783571">
        <w:t xml:space="preserve">Marks G, Millett G, Bingham T, et al. Prevalence and protective value of serosorting and strategic positioning among black and Latino men who have sex with men. </w:t>
      </w:r>
      <w:r w:rsidRPr="00783571">
        <w:rPr>
          <w:i/>
        </w:rPr>
        <w:t>Sex Transm Dis</w:t>
      </w:r>
      <w:r w:rsidRPr="00783571">
        <w:t>. 2010b;37:325</w:t>
      </w:r>
      <w:r w:rsidR="00740DFC" w:rsidRPr="00783571">
        <w:t>–7</w:t>
      </w:r>
      <w:r w:rsidRPr="00783571">
        <w:t>.</w:t>
      </w:r>
    </w:p>
    <w:p w14:paraId="3FD06444" w14:textId="081B0F00" w:rsidR="00FB4FDA" w:rsidRPr="00783571" w:rsidRDefault="00FB4FDA" w:rsidP="00ED16FA">
      <w:pPr>
        <w:pStyle w:val="biblio"/>
      </w:pPr>
      <w:r w:rsidRPr="00783571">
        <w:t xml:space="preserve">Marks G, Millett GA, Bingham T, </w:t>
      </w:r>
      <w:r w:rsidR="00511F54" w:rsidRPr="00783571">
        <w:t>et al</w:t>
      </w:r>
      <w:r w:rsidRPr="00783571">
        <w:t xml:space="preserve">. Understanding differences in HIV sexual transmission among Latino and black men who have sex with men: The Brothers y Hermanos study. </w:t>
      </w:r>
      <w:r w:rsidRPr="00783571">
        <w:rPr>
          <w:i/>
        </w:rPr>
        <w:t>AIDS and Behavior</w:t>
      </w:r>
      <w:r w:rsidRPr="00783571">
        <w:t>. 2009;13:682</w:t>
      </w:r>
      <w:r w:rsidR="00740DFC" w:rsidRPr="00783571">
        <w:t>–9</w:t>
      </w:r>
      <w:r w:rsidRPr="00783571">
        <w:t>0.</w:t>
      </w:r>
    </w:p>
    <w:p w14:paraId="38A36D87" w14:textId="042797DC" w:rsidR="00FB4FDA" w:rsidRPr="00783571" w:rsidRDefault="00FB4FDA" w:rsidP="00ED16FA">
      <w:pPr>
        <w:pStyle w:val="biblio"/>
      </w:pPr>
      <w:r w:rsidRPr="00783571">
        <w:t xml:space="preserve">May M, Sterne JA, Sabin C, et al. Prognosis of HIV-1-infected patients up to 5 years after initiation of HAART: collaborative analysis of prospective studies. </w:t>
      </w:r>
      <w:r w:rsidRPr="00783571">
        <w:rPr>
          <w:i/>
        </w:rPr>
        <w:t>AIDS</w:t>
      </w:r>
      <w:r w:rsidRPr="00783571">
        <w:t>. 2007;21:1185</w:t>
      </w:r>
      <w:r w:rsidR="00740DFC" w:rsidRPr="00783571">
        <w:t>–9</w:t>
      </w:r>
      <w:r w:rsidRPr="00783571">
        <w:t>7.</w:t>
      </w:r>
    </w:p>
    <w:p w14:paraId="70ADB24D" w14:textId="130B018F" w:rsidR="00FB4FDA" w:rsidRPr="00783571" w:rsidRDefault="00FB4FDA" w:rsidP="00ED16FA">
      <w:pPr>
        <w:pStyle w:val="biblio"/>
      </w:pPr>
      <w:r w:rsidRPr="00783571">
        <w:t xml:space="preserve">McKay MD, Conover WJ, Beckman RJ. A comparison of three methods for selecting values of input variables in the analysis of output from a computer code. </w:t>
      </w:r>
      <w:r w:rsidRPr="00783571">
        <w:rPr>
          <w:i/>
        </w:rPr>
        <w:t>Technometrics</w:t>
      </w:r>
      <w:r w:rsidRPr="00783571">
        <w:t>. 1979;21:239</w:t>
      </w:r>
      <w:r w:rsidR="00740DFC" w:rsidRPr="00783571">
        <w:t>–4</w:t>
      </w:r>
      <w:r w:rsidRPr="00783571">
        <w:t>5.</w:t>
      </w:r>
    </w:p>
    <w:p w14:paraId="529E2124" w14:textId="7CC50986" w:rsidR="00FB4FDA" w:rsidRPr="00783571" w:rsidRDefault="00FB4FDA" w:rsidP="00ED16FA">
      <w:pPr>
        <w:pStyle w:val="biblio"/>
      </w:pPr>
      <w:r w:rsidRPr="00783571">
        <w:t xml:space="preserve">Mellors JW, Munoz A, Giorgi JV, et al. Plasma viral load and CD4+ lymphocytes as prognostic markers of HIV-1 infection. </w:t>
      </w:r>
      <w:r w:rsidRPr="00783571">
        <w:rPr>
          <w:i/>
        </w:rPr>
        <w:t>Ann Intern Med</w:t>
      </w:r>
      <w:r w:rsidRPr="00783571">
        <w:t>. 1997;126:946</w:t>
      </w:r>
      <w:r w:rsidR="00740DFC" w:rsidRPr="00783571">
        <w:t>–5</w:t>
      </w:r>
      <w:r w:rsidRPr="00783571">
        <w:t>4.</w:t>
      </w:r>
    </w:p>
    <w:p w14:paraId="176A54F2" w14:textId="59BF8691" w:rsidR="00FB4FDA" w:rsidRPr="00783571" w:rsidRDefault="00FB4FDA" w:rsidP="00ED16FA">
      <w:pPr>
        <w:pStyle w:val="biblio"/>
      </w:pPr>
      <w:r w:rsidRPr="00783571">
        <w:t xml:space="preserve">Morris M, Goodreau S, Moody J. Chapter 7: </w:t>
      </w:r>
      <w:r w:rsidR="00D05543" w:rsidRPr="00783571">
        <w:t>S</w:t>
      </w:r>
      <w:r w:rsidRPr="00783571">
        <w:t xml:space="preserve">exual networks, concurrency, and STD/HIV. In: Holmes KK, Sparling PF, Stamm WE, Piot P, Wasserheit JN, Corey L, Cohen MS, editors. </w:t>
      </w:r>
      <w:r w:rsidRPr="00783571">
        <w:rPr>
          <w:i/>
        </w:rPr>
        <w:t>Sexually transmitted diseases</w:t>
      </w:r>
      <w:r w:rsidRPr="00783571">
        <w:t>, 4th ed. McGraw-Hill Medical; 2008</w:t>
      </w:r>
      <w:r w:rsidR="00511F54" w:rsidRPr="00783571">
        <w:t>:</w:t>
      </w:r>
      <w:r w:rsidRPr="00783571">
        <w:t>109–126.</w:t>
      </w:r>
    </w:p>
    <w:p w14:paraId="57B0496B" w14:textId="74943571" w:rsidR="00245779" w:rsidRPr="00783571" w:rsidRDefault="00245779" w:rsidP="00ED16FA">
      <w:pPr>
        <w:pStyle w:val="biblio"/>
      </w:pPr>
      <w:r w:rsidRPr="00783571">
        <w:t xml:space="preserve">Morris MD. Factorial sampling plans for preliminary computational experiments. </w:t>
      </w:r>
      <w:r w:rsidRPr="00783571">
        <w:rPr>
          <w:i/>
        </w:rPr>
        <w:t>Technometrics</w:t>
      </w:r>
      <w:r w:rsidR="00687E18" w:rsidRPr="00783571">
        <w:t>. 1991;</w:t>
      </w:r>
      <w:r w:rsidRPr="00783571">
        <w:t>33</w:t>
      </w:r>
      <w:r w:rsidR="00687E18" w:rsidRPr="00783571">
        <w:t>:</w:t>
      </w:r>
      <w:r w:rsidRPr="00783571">
        <w:t>161–74. doi:10.1080/00401706.1991.10484804</w:t>
      </w:r>
    </w:p>
    <w:p w14:paraId="7F0D1006" w14:textId="7CAF56CB" w:rsidR="007C57AF" w:rsidRPr="00783571" w:rsidRDefault="000914E3" w:rsidP="007C57AF">
      <w:pPr>
        <w:pStyle w:val="biblio"/>
      </w:pPr>
      <w:r w:rsidRPr="00783571">
        <w:t xml:space="preserve">Murphy EL, Collier AC, Kalish LA, et al. </w:t>
      </w:r>
      <w:r w:rsidR="00570C58" w:rsidRPr="00783571">
        <w:t xml:space="preserve">Highly active antiretroviral therapy decreases mortality and morbidity in patients with advanced HIV disease. </w:t>
      </w:r>
      <w:r w:rsidR="00570C58" w:rsidRPr="00783571">
        <w:rPr>
          <w:i/>
        </w:rPr>
        <w:t>Ann Intern Med</w:t>
      </w:r>
      <w:r w:rsidR="00570C58" w:rsidRPr="00783571">
        <w:t xml:space="preserve">. 2001 Jul 3;135(1):17-26. </w:t>
      </w:r>
      <w:r w:rsidR="007C57AF" w:rsidRPr="00783571">
        <w:t>Available</w:t>
      </w:r>
      <w:r w:rsidR="00570C58" w:rsidRPr="00783571">
        <w:t xml:space="preserve"> at</w:t>
      </w:r>
      <w:r w:rsidR="007C57AF" w:rsidRPr="00783571">
        <w:t>:</w:t>
      </w:r>
      <w:r w:rsidR="00570C58" w:rsidRPr="00783571">
        <w:t xml:space="preserve"> </w:t>
      </w:r>
      <w:hyperlink r:id="rId167" w:history="1">
        <w:r w:rsidR="007C57AF" w:rsidRPr="00783571">
          <w:rPr>
            <w:rStyle w:val="Hyperlink"/>
          </w:rPr>
          <w:t>http://www.ncbi.nlm.nih.gov/pubmed/11434728</w:t>
        </w:r>
      </w:hyperlink>
      <w:r w:rsidR="007C57AF" w:rsidRPr="00783571">
        <w:t>.</w:t>
      </w:r>
    </w:p>
    <w:p w14:paraId="65498CD9" w14:textId="77777777" w:rsidR="00FB4FDA" w:rsidRPr="00783571" w:rsidRDefault="00FB4FDA" w:rsidP="00FB4FDA">
      <w:pPr>
        <w:pStyle w:val="biblio"/>
      </w:pPr>
      <w:r w:rsidRPr="00783571">
        <w:t>North American AIDS Cohort Collaboration on Research and Design (NA-ACCORD). Mortality estimates 2006 and 2010 v2. Data on file. April 29, 2014.</w:t>
      </w:r>
    </w:p>
    <w:p w14:paraId="093410AC" w14:textId="482BFD80" w:rsidR="00BE4CD6" w:rsidRPr="00783571" w:rsidRDefault="00BE4CD6" w:rsidP="00FB4FDA">
      <w:pPr>
        <w:pStyle w:val="biblio"/>
      </w:pPr>
      <w:r w:rsidRPr="00783571">
        <w:t>OIG/HHS. U.S. Department of Health and Human Services</w:t>
      </w:r>
      <w:r w:rsidR="00752013" w:rsidRPr="00783571">
        <w:t>—</w:t>
      </w:r>
      <w:r w:rsidRPr="00783571">
        <w:t>Office of Inspector General. Medicaid Drug Price Comparisons: Average Manufacturer Price to Published Prices. 2005. Available at</w:t>
      </w:r>
      <w:r w:rsidR="00511F54" w:rsidRPr="00783571">
        <w:t>:</w:t>
      </w:r>
      <w:r w:rsidRPr="00783571">
        <w:t xml:space="preserve"> </w:t>
      </w:r>
      <w:hyperlink r:id="rId168" w:history="1">
        <w:r w:rsidRPr="00783571">
          <w:rPr>
            <w:rStyle w:val="Hyperlink"/>
          </w:rPr>
          <w:t>http://oig.hhs.gov/oei/reports/oei-05-05-00240.pdf</w:t>
        </w:r>
      </w:hyperlink>
      <w:r w:rsidRPr="00783571">
        <w:t>.</w:t>
      </w:r>
    </w:p>
    <w:p w14:paraId="51AD3EDE" w14:textId="2D70598C" w:rsidR="00FB4FDA" w:rsidRPr="00783571" w:rsidRDefault="00FB4FDA" w:rsidP="00FB4FDA">
      <w:pPr>
        <w:pStyle w:val="biblio"/>
      </w:pPr>
      <w:r w:rsidRPr="00783571">
        <w:t>OraQuick ADVANCE® [Package Insert]. Bethlehem, PA: OraSure Technologies; 2004</w:t>
      </w:r>
    </w:p>
    <w:p w14:paraId="1CE3C3CD" w14:textId="239A6176" w:rsidR="00FB4FDA" w:rsidRPr="00783571" w:rsidRDefault="00FB4FDA" w:rsidP="00FB4FDA">
      <w:pPr>
        <w:pStyle w:val="biblio"/>
      </w:pPr>
      <w:r w:rsidRPr="00783571">
        <w:t xml:space="preserve">Osmond D, Bacchetti P, Chaisson RE, et al. Time of exposure and risk of HIV infection in homosexual partners of men with AIDS. </w:t>
      </w:r>
      <w:r w:rsidRPr="00783571">
        <w:rPr>
          <w:i/>
        </w:rPr>
        <w:t>Am J Public Health</w:t>
      </w:r>
      <w:r w:rsidRPr="00783571">
        <w:t>. 1988;78:944–8.</w:t>
      </w:r>
    </w:p>
    <w:p w14:paraId="67E2739F" w14:textId="7499BE36" w:rsidR="00ED16FA" w:rsidRPr="00783571" w:rsidRDefault="00ED16FA" w:rsidP="00ED16FA">
      <w:pPr>
        <w:pStyle w:val="biblio"/>
      </w:pPr>
      <w:r w:rsidRPr="00783571">
        <w:t xml:space="preserve">Oster AM, Sternberg M, Lansky A, </w:t>
      </w:r>
      <w:r w:rsidR="00511F54" w:rsidRPr="00783571">
        <w:t>et al</w:t>
      </w:r>
      <w:r w:rsidRPr="00783571">
        <w:t xml:space="preserve">. Population size estimates for men who have sex with men and persons who inject drugs. </w:t>
      </w:r>
      <w:r w:rsidRPr="00783571">
        <w:rPr>
          <w:i/>
        </w:rPr>
        <w:t>J Urban Health.</w:t>
      </w:r>
      <w:r w:rsidRPr="00783571">
        <w:t xml:space="preserve"> 2015;92(4):733</w:t>
      </w:r>
      <w:r w:rsidR="00740DFC" w:rsidRPr="00783571">
        <w:t>–4</w:t>
      </w:r>
      <w:r w:rsidRPr="00783571">
        <w:t>3.</w:t>
      </w:r>
    </w:p>
    <w:p w14:paraId="69A97A73" w14:textId="61110BEB" w:rsidR="001F5372" w:rsidRPr="00783571" w:rsidRDefault="007C57AF" w:rsidP="007C57AF">
      <w:pPr>
        <w:pStyle w:val="biblio"/>
      </w:pPr>
      <w:r w:rsidRPr="00783571">
        <w:t xml:space="preserve">Oster AM, Sternberg M, Lansky A, </w:t>
      </w:r>
      <w:r w:rsidR="00511F54" w:rsidRPr="00783571">
        <w:t>et al</w:t>
      </w:r>
      <w:r w:rsidRPr="00783571">
        <w:t xml:space="preserve">. Population </w:t>
      </w:r>
      <w:r w:rsidRPr="00783571">
        <w:rPr>
          <w:i/>
          <w:iCs/>
        </w:rPr>
        <w:t>Size Estimates for Populations of Interest for HIV Prevention</w:t>
      </w:r>
      <w:r w:rsidRPr="00783571">
        <w:t>. Unpublished manuscript; March 2014.</w:t>
      </w:r>
    </w:p>
    <w:p w14:paraId="5EC5A928" w14:textId="24340F7A" w:rsidR="00511F54" w:rsidRPr="00783571" w:rsidRDefault="00511F54" w:rsidP="00ED16FA">
      <w:pPr>
        <w:pStyle w:val="biblio"/>
      </w:pPr>
      <w:r w:rsidRPr="00783571">
        <w:rPr>
          <w:rFonts w:cs="Verdana"/>
        </w:rPr>
        <w:t xml:space="preserve">Palella FJ, Jr., Baker RK, Moorman AC, et al. </w:t>
      </w:r>
      <w:r w:rsidR="00570C58" w:rsidRPr="00783571">
        <w:t xml:space="preserve">Mortality in the highly active antiretroviral therapy era: changing causes of death and disease in the HIV outpatient study. </w:t>
      </w:r>
      <w:r w:rsidR="00570C58" w:rsidRPr="00783571">
        <w:rPr>
          <w:i/>
        </w:rPr>
        <w:t>J Acquir Immune Defic Syndr</w:t>
      </w:r>
      <w:r w:rsidR="00570C58" w:rsidRPr="00783571">
        <w:t>. 2006;43</w:t>
      </w:r>
      <w:r w:rsidRPr="00783571">
        <w:t>(1)</w:t>
      </w:r>
      <w:r w:rsidR="00570C58" w:rsidRPr="00783571">
        <w:t xml:space="preserve">:27–34. </w:t>
      </w:r>
      <w:r w:rsidRPr="00783571">
        <w:t xml:space="preserve">Available </w:t>
      </w:r>
      <w:r w:rsidR="00570C58" w:rsidRPr="00783571">
        <w:t>at</w:t>
      </w:r>
      <w:r w:rsidRPr="00783571">
        <w:t>:</w:t>
      </w:r>
      <w:r w:rsidR="00570C58" w:rsidRPr="00783571">
        <w:t xml:space="preserve"> </w:t>
      </w:r>
      <w:hyperlink r:id="rId169" w:history="1">
        <w:r w:rsidRPr="00783571">
          <w:rPr>
            <w:rStyle w:val="Hyperlink"/>
          </w:rPr>
          <w:t>http://www.ncbi.nlm.nih.gov/pubmed/16878047</w:t>
        </w:r>
      </w:hyperlink>
      <w:r w:rsidRPr="00783571">
        <w:t>. Accessed January 13, 2016.</w:t>
      </w:r>
    </w:p>
    <w:p w14:paraId="68DB4C63" w14:textId="34C3BDA8" w:rsidR="00FB4FDA" w:rsidRPr="00783571" w:rsidRDefault="00FB4FDA" w:rsidP="00ED16FA">
      <w:pPr>
        <w:pStyle w:val="biblio"/>
      </w:pPr>
      <w:r w:rsidRPr="00783571">
        <w:t xml:space="preserve">Pandori MW, Hackett Jr J, Louie B, et al. Assessment of the ability of a fourth-generation immunoassay for human immunodeficiency virus (HIV) antibody and p24 antigen to detect both acute and recent HIV infections in a high-risk setting. </w:t>
      </w:r>
      <w:r w:rsidRPr="00783571">
        <w:rPr>
          <w:i/>
        </w:rPr>
        <w:t>J Clin Microbiol</w:t>
      </w:r>
      <w:r w:rsidR="00D50000" w:rsidRPr="00783571">
        <w:t>.</w:t>
      </w:r>
      <w:r w:rsidRPr="00783571">
        <w:t xml:space="preserve"> 2009;47(8):2639</w:t>
      </w:r>
      <w:r w:rsidR="00740DFC" w:rsidRPr="00783571">
        <w:t>–4</w:t>
      </w:r>
      <w:r w:rsidRPr="00783571">
        <w:t>2.</w:t>
      </w:r>
    </w:p>
    <w:p w14:paraId="400E65A8" w14:textId="3F98A872" w:rsidR="00FB4FDA" w:rsidRPr="00783571" w:rsidRDefault="00FB4FDA" w:rsidP="00ED16FA">
      <w:pPr>
        <w:pStyle w:val="biblio"/>
      </w:pPr>
      <w:r w:rsidRPr="00783571">
        <w:t xml:space="preserve">Pandori MW, Gay WE, Moss C, </w:t>
      </w:r>
      <w:r w:rsidR="00ED16FA" w:rsidRPr="00783571">
        <w:t>et al</w:t>
      </w:r>
      <w:r w:rsidRPr="00783571">
        <w:t xml:space="preserve">. The Multispot rapid HIV-1/HIV-2 differentiation assay is comparable with the Western Blot and an immunofluorescence assay at confirming HIV infection in a prospective study in three regions of the United States. In: </w:t>
      </w:r>
      <w:r w:rsidRPr="00783571">
        <w:rPr>
          <w:i/>
        </w:rPr>
        <w:t>Proceedings from the 2012 HIV diagnostics conference</w:t>
      </w:r>
      <w:r w:rsidRPr="00783571">
        <w:t xml:space="preserve">. 2012. </w:t>
      </w:r>
      <w:r w:rsidR="00511F54" w:rsidRPr="00783571">
        <w:t xml:space="preserve">Available at: </w:t>
      </w:r>
      <w:hyperlink r:id="rId170" w:history="1">
        <w:r w:rsidR="00D50000" w:rsidRPr="00783571">
          <w:rPr>
            <w:rStyle w:val="Hyperlink"/>
          </w:rPr>
          <w:t>www.hivtestingconference.org</w:t>
        </w:r>
      </w:hyperlink>
      <w:r w:rsidR="00ED16FA" w:rsidRPr="00783571">
        <w:rPr>
          <w:rStyle w:val="Hyperlink"/>
        </w:rPr>
        <w:t>.</w:t>
      </w:r>
      <w:r w:rsidR="00ED16FA" w:rsidRPr="00783571">
        <w:t xml:space="preserve"> A</w:t>
      </w:r>
      <w:r w:rsidRPr="00783571">
        <w:t xml:space="preserve">ccessed </w:t>
      </w:r>
      <w:r w:rsidR="00ED16FA" w:rsidRPr="00783571">
        <w:t xml:space="preserve">June 17, </w:t>
      </w:r>
      <w:r w:rsidRPr="00783571">
        <w:t>2013.</w:t>
      </w:r>
    </w:p>
    <w:p w14:paraId="3612AFD0" w14:textId="5F914B17" w:rsidR="00EF25CC" w:rsidRPr="00783571" w:rsidRDefault="00EF25CC" w:rsidP="00ED16FA">
      <w:pPr>
        <w:pStyle w:val="biblio"/>
      </w:pPr>
      <w:r w:rsidRPr="00783571">
        <w:t xml:space="preserve">Pezzotti P, Dorrucci M, Donisi A, et al. </w:t>
      </w:r>
      <w:r w:rsidR="00570C58" w:rsidRPr="00783571">
        <w:t xml:space="preserve">Survival, progression to AIDS and immunosuppression in HIV-positive individuals before and after the introduction of the highly active antiretroviral therapy (HAART). </w:t>
      </w:r>
      <w:r w:rsidR="00570C58" w:rsidRPr="00783571">
        <w:rPr>
          <w:i/>
        </w:rPr>
        <w:t>Epidemiol Prev</w:t>
      </w:r>
      <w:r w:rsidR="00570C58" w:rsidRPr="00783571">
        <w:t xml:space="preserve">. 2003 Nov-Dec;27(6):348-55. </w:t>
      </w:r>
      <w:r w:rsidR="00EE4785" w:rsidRPr="00783571">
        <w:t xml:space="preserve">Available </w:t>
      </w:r>
      <w:r w:rsidR="00570C58" w:rsidRPr="00783571">
        <w:t>at</w:t>
      </w:r>
      <w:r w:rsidR="00EE4785" w:rsidRPr="00783571">
        <w:t>:</w:t>
      </w:r>
      <w:r w:rsidR="00570C58" w:rsidRPr="00783571">
        <w:t xml:space="preserve"> </w:t>
      </w:r>
      <w:hyperlink r:id="rId171" w:history="1">
        <w:r w:rsidRPr="00783571">
          <w:rPr>
            <w:rStyle w:val="Hyperlink"/>
          </w:rPr>
          <w:t>http://www.ncbi.nlm.nih.gov/pubmed/15058363</w:t>
        </w:r>
      </w:hyperlink>
      <w:r w:rsidR="00EE4785" w:rsidRPr="00783571">
        <w:t>. Accessed January 13, 2016</w:t>
      </w:r>
    </w:p>
    <w:p w14:paraId="609BDBE5" w14:textId="77777777" w:rsidR="00FB4FDA" w:rsidRPr="00783571" w:rsidRDefault="00FB4FDA" w:rsidP="00FB4FDA">
      <w:pPr>
        <w:pStyle w:val="biblio"/>
      </w:pPr>
      <w:r w:rsidRPr="00783571">
        <w:t xml:space="preserve">Pilcher CD, Louie B, Facente S, et al. Performance of rapid point-of-care and laboratory tests for acute and established HIV infection in San Francisco. </w:t>
      </w:r>
      <w:r w:rsidRPr="00783571">
        <w:rPr>
          <w:i/>
        </w:rPr>
        <w:t>PLoS One</w:t>
      </w:r>
      <w:r w:rsidRPr="00783571">
        <w:t>. 2013 Dec 12;8(12):e80629.</w:t>
      </w:r>
    </w:p>
    <w:p w14:paraId="564FBC94" w14:textId="6AB990CD" w:rsidR="00FB4FDA" w:rsidRPr="00783571" w:rsidRDefault="00FB4FDA" w:rsidP="00ED16FA">
      <w:pPr>
        <w:pStyle w:val="biblio"/>
      </w:pPr>
      <w:r w:rsidRPr="00783571">
        <w:t>Pilcher CD, Tien HC, Eron JJ Jr, et al</w:t>
      </w:r>
      <w:r w:rsidR="00ED16FA" w:rsidRPr="00783571">
        <w:t>.</w:t>
      </w:r>
      <w:r w:rsidRPr="00783571">
        <w:t xml:space="preserve"> Quest Study. Brief but efficient: acute HIV infection and the sexual transmission of HIV. </w:t>
      </w:r>
      <w:r w:rsidRPr="00783571">
        <w:rPr>
          <w:i/>
        </w:rPr>
        <w:t>J Infect Dis</w:t>
      </w:r>
      <w:r w:rsidRPr="00783571">
        <w:t>. 2004;189:1785</w:t>
      </w:r>
      <w:r w:rsidR="00740DFC" w:rsidRPr="00783571">
        <w:t>–9</w:t>
      </w:r>
      <w:r w:rsidRPr="00783571">
        <w:t>2.</w:t>
      </w:r>
    </w:p>
    <w:p w14:paraId="4C02522E" w14:textId="271E987A" w:rsidR="00FB4FDA" w:rsidRPr="00783571" w:rsidRDefault="00FB4FDA" w:rsidP="00FB4FDA">
      <w:pPr>
        <w:pStyle w:val="biblio"/>
      </w:pPr>
      <w:r w:rsidRPr="00783571">
        <w:t xml:space="preserve">Pinkerton S, Abramson P, Holtgrave D, editors. The Bernoulli-process model of HIV transmission: applications and implications. In: </w:t>
      </w:r>
      <w:r w:rsidRPr="00783571">
        <w:rPr>
          <w:i/>
        </w:rPr>
        <w:t>Handbook of economic evaluation of HIV prevention programs</w:t>
      </w:r>
      <w:r w:rsidRPr="00783571">
        <w:t>. New York</w:t>
      </w:r>
      <w:r w:rsidR="00ED16FA" w:rsidRPr="00783571">
        <w:t>, NY</w:t>
      </w:r>
      <w:r w:rsidRPr="00783571">
        <w:t>: Plenum Press; 1998.</w:t>
      </w:r>
    </w:p>
    <w:p w14:paraId="10179571" w14:textId="77777777" w:rsidR="00FB4FDA" w:rsidRPr="00783571" w:rsidRDefault="00FB4FDA" w:rsidP="00FB4FDA">
      <w:pPr>
        <w:pStyle w:val="biblio"/>
      </w:pPr>
      <w:r w:rsidRPr="00783571">
        <w:t xml:space="preserve">Pinkerton SD. How many sexually-acquired HIV infections in the USA are due to acute-phase HIV transmission? </w:t>
      </w:r>
      <w:r w:rsidRPr="00783571">
        <w:rPr>
          <w:i/>
        </w:rPr>
        <w:t>AIDS</w:t>
      </w:r>
      <w:r w:rsidRPr="00783571">
        <w:t>. 2007;21:1625–9.</w:t>
      </w:r>
    </w:p>
    <w:p w14:paraId="73CCC4A6" w14:textId="5FE3EA57" w:rsidR="00FB4FDA" w:rsidRPr="00783571" w:rsidRDefault="00FB4FDA" w:rsidP="00FB4FDA">
      <w:pPr>
        <w:pStyle w:val="biblio"/>
      </w:pPr>
      <w:r w:rsidRPr="00783571">
        <w:t xml:space="preserve">Pinkerton SD, Bogart LM, Howerton D, </w:t>
      </w:r>
      <w:r w:rsidR="00EE4785" w:rsidRPr="00783571">
        <w:t>et al</w:t>
      </w:r>
      <w:r w:rsidRPr="00783571">
        <w:t xml:space="preserve">. Cost of rapid HIV testing at 45 U.S. hospitals. </w:t>
      </w:r>
      <w:r w:rsidRPr="00783571">
        <w:rPr>
          <w:i/>
        </w:rPr>
        <w:t>AIDS Patient Care STDS</w:t>
      </w:r>
      <w:r w:rsidRPr="00783571">
        <w:t>. 2010 Jul;24(7):409</w:t>
      </w:r>
      <w:r w:rsidR="00740DFC" w:rsidRPr="00783571">
        <w:t>–1</w:t>
      </w:r>
      <w:r w:rsidRPr="00783571">
        <w:t>3</w:t>
      </w:r>
      <w:r w:rsidR="00D4000F" w:rsidRPr="00783571">
        <w:t>.</w:t>
      </w:r>
    </w:p>
    <w:p w14:paraId="11A101C7" w14:textId="70343393" w:rsidR="00FB4FDA" w:rsidRPr="00783571" w:rsidRDefault="00FB4FDA" w:rsidP="00ED16FA">
      <w:pPr>
        <w:pStyle w:val="biblio"/>
      </w:pPr>
      <w:r w:rsidRPr="00783571">
        <w:t xml:space="preserve">Porco TC, Martin JN, Page-Shafer KA, et al. Decline in HIV infectivity following the introduction of highly active antiretroviral therapy. </w:t>
      </w:r>
      <w:r w:rsidRPr="00783571">
        <w:rPr>
          <w:i/>
        </w:rPr>
        <w:t>AIDS</w:t>
      </w:r>
      <w:r w:rsidRPr="00783571">
        <w:t>. 2004;18:81</w:t>
      </w:r>
      <w:r w:rsidR="00740DFC" w:rsidRPr="00783571">
        <w:t>–8</w:t>
      </w:r>
      <w:r w:rsidRPr="00783571">
        <w:t>.</w:t>
      </w:r>
    </w:p>
    <w:p w14:paraId="68CDF14D" w14:textId="3C7F02B8" w:rsidR="00FB4FDA" w:rsidRPr="00783571" w:rsidRDefault="00FB4FDA" w:rsidP="00AF4930">
      <w:pPr>
        <w:pStyle w:val="biblio"/>
      </w:pPr>
      <w:r w:rsidRPr="00783571">
        <w:t xml:space="preserve">Purcell DW, Johnson CH, Lansky A, et al. Estimating the population size of men who have sex with men in the United States to obtain HIV and syphilis rates. </w:t>
      </w:r>
      <w:r w:rsidRPr="00783571">
        <w:rPr>
          <w:i/>
        </w:rPr>
        <w:t>Open AIDS J</w:t>
      </w:r>
      <w:r w:rsidRPr="00783571">
        <w:t>. 2012;6:98</w:t>
      </w:r>
      <w:r w:rsidR="00740DFC" w:rsidRPr="00783571">
        <w:t>–1</w:t>
      </w:r>
      <w:r w:rsidRPr="00783571">
        <w:t>07.</w:t>
      </w:r>
    </w:p>
    <w:p w14:paraId="3FAF1826" w14:textId="103E493E" w:rsidR="00FB4FDA" w:rsidRPr="00783571" w:rsidRDefault="00FB4FDA" w:rsidP="00AF4930">
      <w:pPr>
        <w:pStyle w:val="biblio"/>
      </w:pPr>
      <w:r w:rsidRPr="00783571">
        <w:t xml:space="preserve">Reece M, Herbenick D, Schick V, et al. Sexual behaviors, relationships, and perceived health among adult men in the United States: results from a national probability sample. </w:t>
      </w:r>
      <w:r w:rsidRPr="00783571">
        <w:rPr>
          <w:i/>
        </w:rPr>
        <w:t>J Sex Med</w:t>
      </w:r>
      <w:r w:rsidRPr="00783571">
        <w:t>. 2010a;7:291</w:t>
      </w:r>
      <w:r w:rsidR="00740DFC" w:rsidRPr="00783571">
        <w:t>–3</w:t>
      </w:r>
      <w:r w:rsidRPr="00783571">
        <w:t>04.</w:t>
      </w:r>
    </w:p>
    <w:p w14:paraId="3B3E4957" w14:textId="45A1E824" w:rsidR="00FB4FDA" w:rsidRPr="00783571" w:rsidRDefault="00FB4FDA" w:rsidP="00AF4930">
      <w:pPr>
        <w:pStyle w:val="biblio"/>
      </w:pPr>
      <w:r w:rsidRPr="00783571">
        <w:t xml:space="preserve">Reece M, Herbenick D, Schick V, </w:t>
      </w:r>
      <w:r w:rsidR="00EE4785" w:rsidRPr="00783571">
        <w:t>et al</w:t>
      </w:r>
      <w:r w:rsidRPr="00783571">
        <w:t xml:space="preserve">. Condom use rates in a national probability sample of males and females aged 14 to 94 in the United States. </w:t>
      </w:r>
      <w:r w:rsidRPr="00783571">
        <w:rPr>
          <w:i/>
        </w:rPr>
        <w:t>J Sex Med</w:t>
      </w:r>
      <w:r w:rsidRPr="00783571">
        <w:t>. 2010b;7(Suppl 5):266</w:t>
      </w:r>
      <w:r w:rsidR="00740DFC" w:rsidRPr="00783571">
        <w:t>–7</w:t>
      </w:r>
      <w:r w:rsidRPr="00783571">
        <w:t>6.</w:t>
      </w:r>
    </w:p>
    <w:p w14:paraId="31C8CE15" w14:textId="21BA73FF" w:rsidR="00245779" w:rsidRPr="00783571" w:rsidRDefault="002C2794" w:rsidP="00AF4930">
      <w:pPr>
        <w:pStyle w:val="biblio"/>
      </w:pPr>
      <w:r w:rsidRPr="00783571">
        <w:t xml:space="preserve">Saltelli A, Tarantola S, Campolongo F, Ratto M. Sensitivity analysis in practice: a guide to assessing scientific models. </w:t>
      </w:r>
      <w:r w:rsidR="007C1DDF" w:rsidRPr="00783571">
        <w:t xml:space="preserve">Chichester, West Essex: </w:t>
      </w:r>
      <w:r w:rsidRPr="00783571">
        <w:t>John Wiley &amp; Sons; 2004</w:t>
      </w:r>
      <w:r w:rsidR="00245779" w:rsidRPr="00783571">
        <w:t>.</w:t>
      </w:r>
    </w:p>
    <w:p w14:paraId="0900C4F9" w14:textId="408B7ECE" w:rsidR="0028007E" w:rsidRPr="00783571" w:rsidRDefault="0028007E" w:rsidP="00AF4930">
      <w:pPr>
        <w:pStyle w:val="biblio"/>
      </w:pPr>
      <w:r w:rsidRPr="00783571">
        <w:t>Sánchez J, y Rosas VG, Hughes JP, Baeten JM, Fuchs J, Buchbinder SP, Koblin BA, Casapia M, Ortiz A, Celum C. Male circumcision and risk of HIV acquisition among men who have sex with men from the United States and Peru. AIDS (London, England). 2011 Feb 20;25(4):519.</w:t>
      </w:r>
    </w:p>
    <w:p w14:paraId="2338C8D5" w14:textId="6F53936D" w:rsidR="00F470E8" w:rsidRPr="00783571" w:rsidRDefault="00F470E8" w:rsidP="00FB4FDA">
      <w:pPr>
        <w:pStyle w:val="biblio"/>
      </w:pPr>
      <w:r w:rsidRPr="00783571">
        <w:t xml:space="preserve">Schackman BR, Finkelstein R, Neukermans CP, </w:t>
      </w:r>
      <w:r w:rsidR="00EE4785" w:rsidRPr="00783571">
        <w:t>et al</w:t>
      </w:r>
      <w:r w:rsidRPr="00783571">
        <w:t xml:space="preserve">. The cost of HIV medication adherence support interventions: results of a cross-site evaluation. </w:t>
      </w:r>
      <w:r w:rsidRPr="00783571">
        <w:rPr>
          <w:i/>
          <w:iCs/>
        </w:rPr>
        <w:t>AIDS Care</w:t>
      </w:r>
      <w:r w:rsidRPr="00783571">
        <w:t>. 2005 Nov;17(8):927</w:t>
      </w:r>
      <w:r w:rsidR="00740DFC" w:rsidRPr="00783571">
        <w:t>–3</w:t>
      </w:r>
      <w:r w:rsidRPr="00783571">
        <w:t>7.</w:t>
      </w:r>
    </w:p>
    <w:p w14:paraId="5F9058C8" w14:textId="42AA93D6" w:rsidR="00FB4FDA" w:rsidRPr="00783571" w:rsidRDefault="00FB4FDA" w:rsidP="00D4000F">
      <w:pPr>
        <w:pStyle w:val="biblio"/>
      </w:pPr>
      <w:r w:rsidRPr="00783571">
        <w:t>Schackman BR, Gebo KA, Walensky RP</w:t>
      </w:r>
      <w:r w:rsidR="00AF4930" w:rsidRPr="00783571">
        <w:t>,</w:t>
      </w:r>
      <w:r w:rsidRPr="00783571">
        <w:t xml:space="preserve"> et al. The lifetime cost of current human immunodeficiency virus care in the United States. </w:t>
      </w:r>
      <w:r w:rsidRPr="00783571">
        <w:rPr>
          <w:i/>
        </w:rPr>
        <w:t>Med Care</w:t>
      </w:r>
      <w:r w:rsidR="00D50000" w:rsidRPr="00783571">
        <w:t xml:space="preserve">. </w:t>
      </w:r>
      <w:r w:rsidR="00687E18" w:rsidRPr="00783571">
        <w:t>2006;</w:t>
      </w:r>
      <w:r w:rsidRPr="00783571">
        <w:t>44:990-7.</w:t>
      </w:r>
    </w:p>
    <w:p w14:paraId="3FAAEA1E" w14:textId="744BC171" w:rsidR="00FB4FDA" w:rsidRPr="00783571" w:rsidRDefault="00FB4FDA" w:rsidP="00FB4FDA">
      <w:pPr>
        <w:pStyle w:val="biblio"/>
      </w:pPr>
      <w:r w:rsidRPr="00783571">
        <w:t xml:space="preserve">Siegfried N, Muller M, Deeks JJ, </w:t>
      </w:r>
      <w:r w:rsidR="00EE4785" w:rsidRPr="00783571">
        <w:t>et al</w:t>
      </w:r>
      <w:r w:rsidRPr="00783571">
        <w:t xml:space="preserve">. Male circumcision for prevention of heterosexual acquisition of HIV in men. </w:t>
      </w:r>
      <w:r w:rsidRPr="00783571">
        <w:rPr>
          <w:i/>
        </w:rPr>
        <w:t>Cochrane Database Syst Rev</w:t>
      </w:r>
      <w:r w:rsidRPr="00783571">
        <w:t>. 2009;2:CD003362. doi: 10.1002/14651858.CD003362.pub2</w:t>
      </w:r>
    </w:p>
    <w:p w14:paraId="1AE4453C" w14:textId="64CF17F3" w:rsidR="00FB4FDA" w:rsidRPr="00783571" w:rsidRDefault="00FB4FDA" w:rsidP="00AF4930">
      <w:pPr>
        <w:pStyle w:val="biblio"/>
      </w:pPr>
      <w:r w:rsidRPr="00783571">
        <w:t xml:space="preserve">Shrestha RK, Clark HA, Sansom SL, </w:t>
      </w:r>
      <w:r w:rsidR="00AF4930" w:rsidRPr="00783571">
        <w:t>et al</w:t>
      </w:r>
      <w:r w:rsidRPr="00783571">
        <w:t xml:space="preserve">. Cost-effectiveness of finding new HIV diagnoses using rapid HIV testing in community-based organizations. </w:t>
      </w:r>
      <w:r w:rsidRPr="00783571">
        <w:rPr>
          <w:i/>
        </w:rPr>
        <w:t>Public Health Rep</w:t>
      </w:r>
      <w:r w:rsidRPr="00783571">
        <w:t>. 2008 Nov-Dec;123 Suppl 3:94</w:t>
      </w:r>
      <w:r w:rsidR="00740DFC" w:rsidRPr="00783571">
        <w:t>–1</w:t>
      </w:r>
      <w:r w:rsidRPr="00783571">
        <w:t>00.</w:t>
      </w:r>
    </w:p>
    <w:p w14:paraId="77D6A7F4" w14:textId="608620D0" w:rsidR="00864DFE" w:rsidRPr="00783571" w:rsidRDefault="00864DFE" w:rsidP="00AF4930">
      <w:pPr>
        <w:pStyle w:val="biblio"/>
      </w:pPr>
      <w:r w:rsidRPr="00783571">
        <w:t xml:space="preserve">Sionean C, Le BC, Hageman K, Oster AM, Wejnert C et al., HIV Risk, prevention, and testing behaviors among heterosexuals at increased risk for HIV infection--National HIV Behavioral Surveillance System, 21 U.S. cities, 2010. </w:t>
      </w:r>
      <w:r w:rsidRPr="00783571">
        <w:rPr>
          <w:i/>
          <w:iCs/>
        </w:rPr>
        <w:t>MMWR Surveill Summ</w:t>
      </w:r>
      <w:r w:rsidRPr="00783571">
        <w:t>, 2014</w:t>
      </w:r>
      <w:r w:rsidR="006015C3" w:rsidRPr="00783571">
        <w:t>;</w:t>
      </w:r>
      <w:r w:rsidRPr="00783571">
        <w:t>63(14):</w:t>
      </w:r>
      <w:r w:rsidR="00377525" w:rsidRPr="00783571">
        <w:t>1</w:t>
      </w:r>
      <w:r w:rsidRPr="00783571">
        <w:t>-39.</w:t>
      </w:r>
    </w:p>
    <w:p w14:paraId="4240DB73" w14:textId="19490E34" w:rsidR="009A5CF3" w:rsidRPr="00783571" w:rsidRDefault="009A5CF3" w:rsidP="00FB4FDA">
      <w:pPr>
        <w:pStyle w:val="biblio"/>
      </w:pPr>
      <w:r w:rsidRPr="00783571">
        <w:t xml:space="preserve">Smith DK, Herbst JH, Zhang X, </w:t>
      </w:r>
      <w:r w:rsidR="00EE4785" w:rsidRPr="00783571">
        <w:t>et al</w:t>
      </w:r>
      <w:r w:rsidRPr="00783571">
        <w:t xml:space="preserve">. Condom </w:t>
      </w:r>
      <w:r w:rsidR="00AF4930" w:rsidRPr="00783571">
        <w:t>effectiveness</w:t>
      </w:r>
      <w:r w:rsidRPr="00783571">
        <w:t xml:space="preserve"> for HIV </w:t>
      </w:r>
      <w:r w:rsidR="00AF4930" w:rsidRPr="00783571">
        <w:t>prevention by consistency of use among men who have sex with men</w:t>
      </w:r>
      <w:r w:rsidRPr="00783571">
        <w:t xml:space="preserve"> in the United States. </w:t>
      </w:r>
      <w:r w:rsidRPr="00783571">
        <w:rPr>
          <w:i/>
          <w:iCs/>
        </w:rPr>
        <w:t>J Acquir Immune Defic Syndr</w:t>
      </w:r>
      <w:r w:rsidRPr="00783571">
        <w:t>. 2015 Mar 1;68(3):337</w:t>
      </w:r>
      <w:r w:rsidR="00740DFC" w:rsidRPr="00783571">
        <w:t>–4</w:t>
      </w:r>
      <w:r w:rsidRPr="00783571">
        <w:t>4.</w:t>
      </w:r>
    </w:p>
    <w:p w14:paraId="4D2F9DA6" w14:textId="22B2A800" w:rsidR="00FB4FDA" w:rsidRPr="00783571" w:rsidRDefault="00FB4FDA" w:rsidP="004751B3">
      <w:pPr>
        <w:pStyle w:val="biblio"/>
      </w:pPr>
      <w:r w:rsidRPr="00783571">
        <w:t xml:space="preserve">Sood N, Wagner Z, Jaycocks A, </w:t>
      </w:r>
      <w:r w:rsidR="00EE4785" w:rsidRPr="00783571">
        <w:t>et al</w:t>
      </w:r>
      <w:r w:rsidRPr="00783571">
        <w:t xml:space="preserve">. Test-and-treat in Los Angeles: a mathematical model of the effects of test-and-treat for the population of men who have sex with men in Los Angeles County. </w:t>
      </w:r>
      <w:r w:rsidRPr="00783571">
        <w:rPr>
          <w:i/>
        </w:rPr>
        <w:t>Clin Infect Dis</w:t>
      </w:r>
      <w:r w:rsidRPr="00783571">
        <w:t>. 2013 Jun;56(12):1789–96. doi: 10.1093/cid/cit158</w:t>
      </w:r>
    </w:p>
    <w:p w14:paraId="36BFBF19" w14:textId="05DC3FD3" w:rsidR="00FB4FDA" w:rsidRPr="00783571" w:rsidRDefault="00FB4FDA" w:rsidP="00FB4FDA">
      <w:pPr>
        <w:pStyle w:val="biblio"/>
      </w:pPr>
      <w:r w:rsidRPr="00783571">
        <w:t>Sorensen SW, Sansom SL, B</w:t>
      </w:r>
      <w:r w:rsidR="00D05543" w:rsidRPr="00783571">
        <w:t>r</w:t>
      </w:r>
      <w:r w:rsidRPr="00783571">
        <w:t xml:space="preserve">ooks JT, et al. A mathematical model of comprehensive test-and-treat services and HIV incidence among men who have sex with men in the United States. </w:t>
      </w:r>
      <w:r w:rsidRPr="00783571">
        <w:rPr>
          <w:i/>
        </w:rPr>
        <w:t>PLoS One</w:t>
      </w:r>
      <w:r w:rsidRPr="00783571">
        <w:t>. 2012;7:e29098.</w:t>
      </w:r>
    </w:p>
    <w:p w14:paraId="7512FB18" w14:textId="24F6537B" w:rsidR="00FB4FDA" w:rsidRPr="00783571" w:rsidRDefault="00FB4FDA" w:rsidP="00FB4FDA">
      <w:pPr>
        <w:pStyle w:val="biblio"/>
      </w:pPr>
      <w:r w:rsidRPr="00783571">
        <w:t>Tengs TO, Lin TH</w:t>
      </w:r>
      <w:r w:rsidR="00687E18" w:rsidRPr="00783571">
        <w:t>.</w:t>
      </w:r>
      <w:r w:rsidRPr="00783571">
        <w:t xml:space="preserve"> A meta-analysis of utility estimates for HIV/AIDS. </w:t>
      </w:r>
      <w:r w:rsidRPr="00783571">
        <w:rPr>
          <w:i/>
        </w:rPr>
        <w:t>Med Decis Making</w:t>
      </w:r>
      <w:r w:rsidR="00EE4785" w:rsidRPr="00783571">
        <w:t xml:space="preserve">. </w:t>
      </w:r>
      <w:r w:rsidRPr="00783571">
        <w:t>2002</w:t>
      </w:r>
      <w:r w:rsidR="00EE4785" w:rsidRPr="00783571">
        <w:t>;</w:t>
      </w:r>
      <w:r w:rsidRPr="00783571">
        <w:t>22:475</w:t>
      </w:r>
      <w:r w:rsidR="00740DFC" w:rsidRPr="00783571">
        <w:t>–8</w:t>
      </w:r>
      <w:r w:rsidRPr="00783571">
        <w:t>1.</w:t>
      </w:r>
    </w:p>
    <w:p w14:paraId="7437BFD3" w14:textId="1927A690" w:rsidR="00FB4FDA" w:rsidRPr="00783571" w:rsidRDefault="00FB4FDA" w:rsidP="004751B3">
      <w:pPr>
        <w:pStyle w:val="biblio"/>
      </w:pPr>
      <w:r w:rsidRPr="00783571">
        <w:t>The Healthy Living Project Team</w:t>
      </w:r>
      <w:r w:rsidR="00EE4785" w:rsidRPr="00783571">
        <w:t xml:space="preserve">. </w:t>
      </w:r>
      <w:r w:rsidRPr="00783571">
        <w:t xml:space="preserve">Effects of a behavioral intervention to reduce risk of transmission among people living with HIV: The Healthy Living Project Randomized Controlled Study. </w:t>
      </w:r>
      <w:r w:rsidRPr="00783571">
        <w:rPr>
          <w:i/>
        </w:rPr>
        <w:t>J Acquir Immune Defic Syndr</w:t>
      </w:r>
      <w:r w:rsidR="00D50000" w:rsidRPr="00783571">
        <w:t>.</w:t>
      </w:r>
      <w:r w:rsidRPr="00783571">
        <w:t xml:space="preserve"> </w:t>
      </w:r>
      <w:r w:rsidR="00EE4785" w:rsidRPr="00783571">
        <w:t>2007;</w:t>
      </w:r>
      <w:r w:rsidRPr="00783571">
        <w:t>44:213–21.</w:t>
      </w:r>
    </w:p>
    <w:p w14:paraId="4165616D" w14:textId="7030D183" w:rsidR="00170C2B" w:rsidRPr="00783571" w:rsidRDefault="00170C2B" w:rsidP="00170C2B">
      <w:pPr>
        <w:pStyle w:val="biblio"/>
      </w:pPr>
      <w:r w:rsidRPr="00783571">
        <w:t xml:space="preserve">Tian Y, Hassmiller Lich K, </w:t>
      </w:r>
      <w:r w:rsidR="00EE4785" w:rsidRPr="00783571">
        <w:t>et al</w:t>
      </w:r>
      <w:r w:rsidRPr="00783571">
        <w:t xml:space="preserve">. Linked </w:t>
      </w:r>
      <w:r w:rsidR="007C57AF" w:rsidRPr="00783571">
        <w:t>sensitivity analysis, calibration, and uncertainty analysis using a system dynamics model for stroke comparative effectiveness research</w:t>
      </w:r>
      <w:r w:rsidRPr="00783571">
        <w:t xml:space="preserve">. </w:t>
      </w:r>
      <w:r w:rsidRPr="00783571">
        <w:rPr>
          <w:i/>
          <w:iCs/>
        </w:rPr>
        <w:t>Med Decis Making</w:t>
      </w:r>
      <w:r w:rsidRPr="00783571">
        <w:t>. 2016 Apr 18</w:t>
      </w:r>
      <w:r w:rsidR="00EE4785" w:rsidRPr="00783571">
        <w:t>;</w:t>
      </w:r>
      <w:r w:rsidRPr="00783571">
        <w:t>pii: 0272989X16643940. [Epub ahead of print]</w:t>
      </w:r>
    </w:p>
    <w:p w14:paraId="19C70873" w14:textId="77777777" w:rsidR="00FB4FDA" w:rsidRPr="00783571" w:rsidRDefault="00FB4FDA" w:rsidP="00FB4FDA">
      <w:pPr>
        <w:pStyle w:val="biblio"/>
      </w:pPr>
      <w:r w:rsidRPr="00783571">
        <w:t xml:space="preserve">Torian LV, Wiewel EW. Continuity of HIV-related medical care, New York City, 2005–2009: do patients who initiate care stay in care? </w:t>
      </w:r>
      <w:r w:rsidRPr="00783571">
        <w:rPr>
          <w:i/>
        </w:rPr>
        <w:t>AIDS Patient Care STDS</w:t>
      </w:r>
      <w:r w:rsidRPr="00783571">
        <w:t>. 2011;25:79–88.</w:t>
      </w:r>
    </w:p>
    <w:p w14:paraId="41EA4AAB" w14:textId="2346A90B" w:rsidR="00EC7979" w:rsidRPr="00783571" w:rsidRDefault="008A3F59" w:rsidP="001C430D">
      <w:pPr>
        <w:pStyle w:val="biblio"/>
      </w:pPr>
      <w:bookmarkStart w:id="152" w:name="_Hlk494372936"/>
      <w:r w:rsidRPr="00783571">
        <w:t xml:space="preserve">Truven Health Analytics. Red Book Online. Greenwood Village, Colorado: Truven Health Analytics. Available at: </w:t>
      </w:r>
      <w:hyperlink r:id="rId172" w:history="1">
        <w:r w:rsidRPr="00783571">
          <w:rPr>
            <w:rStyle w:val="Hyperlink"/>
          </w:rPr>
          <w:t>http://www.micromedexsolutions.com/</w:t>
        </w:r>
      </w:hyperlink>
      <w:r w:rsidRPr="00783571">
        <w:t>. Accessed February 7, 2017</w:t>
      </w:r>
      <w:bookmarkEnd w:id="152"/>
      <w:r w:rsidR="00B2449E" w:rsidRPr="00783571">
        <w:t>.</w:t>
      </w:r>
    </w:p>
    <w:p w14:paraId="039BF4EE" w14:textId="77777777" w:rsidR="00FB4FDA" w:rsidRPr="00783571" w:rsidRDefault="00FB4FDA" w:rsidP="00FB4FDA">
      <w:pPr>
        <w:pStyle w:val="biblio"/>
      </w:pPr>
      <w:r w:rsidRPr="00783571">
        <w:t xml:space="preserve">U.S. Census Bureau. Census 2010, Summary file 1, Tables QT-P2, PCT12J, and PCT12H. 2010. Available at: </w:t>
      </w:r>
      <w:hyperlink r:id="rId173" w:history="1">
        <w:r w:rsidR="00B91CDB" w:rsidRPr="00783571">
          <w:rPr>
            <w:rStyle w:val="Hyperlink"/>
          </w:rPr>
          <w:t>http://factfinder2.census.gov</w:t>
        </w:r>
      </w:hyperlink>
      <w:r w:rsidRPr="00783571">
        <w:t>. Accessed March 20, 2014.</w:t>
      </w:r>
    </w:p>
    <w:p w14:paraId="110FF713" w14:textId="77777777" w:rsidR="00FB4FDA" w:rsidRPr="00783571" w:rsidRDefault="00FB4FDA" w:rsidP="00FB4FDA">
      <w:pPr>
        <w:pStyle w:val="biblio"/>
      </w:pPr>
      <w:r w:rsidRPr="00783571">
        <w:t xml:space="preserve">Vergis EN, Mellors JW. Natural history of HIV-1 infection. </w:t>
      </w:r>
      <w:r w:rsidRPr="00783571">
        <w:rPr>
          <w:i/>
        </w:rPr>
        <w:t>Infect Dis Clin North Am</w:t>
      </w:r>
      <w:r w:rsidRPr="00783571">
        <w:t>. 2000;14:809–25, v–vi.</w:t>
      </w:r>
    </w:p>
    <w:p w14:paraId="2C86589D" w14:textId="49C6EF6E" w:rsidR="00FB4FDA" w:rsidRPr="00783571" w:rsidRDefault="00FB4FDA" w:rsidP="007C57AF">
      <w:pPr>
        <w:pStyle w:val="biblio"/>
      </w:pPr>
      <w:r w:rsidRPr="00783571">
        <w:t>Vlahov D, Wang C, Ompad D</w:t>
      </w:r>
      <w:r w:rsidR="004751B3" w:rsidRPr="00783571">
        <w:t>,</w:t>
      </w:r>
      <w:r w:rsidRPr="00783571">
        <w:t xml:space="preserve"> et al. Mortality </w:t>
      </w:r>
      <w:r w:rsidR="004751B3" w:rsidRPr="00783571">
        <w:t>risk among recent-onset injection drug users in five</w:t>
      </w:r>
      <w:r w:rsidRPr="00783571">
        <w:t xml:space="preserve"> U.S. </w:t>
      </w:r>
      <w:r w:rsidR="004751B3" w:rsidRPr="00783571">
        <w:t>c</w:t>
      </w:r>
      <w:r w:rsidRPr="00783571">
        <w:t xml:space="preserve">ities. </w:t>
      </w:r>
      <w:r w:rsidRPr="00783571">
        <w:rPr>
          <w:i/>
        </w:rPr>
        <w:t>Substance Use &amp; Misuse</w:t>
      </w:r>
      <w:r w:rsidR="00B91CDB" w:rsidRPr="00783571">
        <w:t>.</w:t>
      </w:r>
      <w:r w:rsidRPr="00783571">
        <w:t xml:space="preserve"> </w:t>
      </w:r>
      <w:r w:rsidR="007C57AF" w:rsidRPr="00783571">
        <w:t>2008;</w:t>
      </w:r>
      <w:r w:rsidRPr="00783571">
        <w:t>43:413-28.</w:t>
      </w:r>
    </w:p>
    <w:p w14:paraId="3902482A" w14:textId="77777777" w:rsidR="00FB4FDA" w:rsidRPr="00783571" w:rsidRDefault="00FB4FDA" w:rsidP="00FB4FDA">
      <w:pPr>
        <w:pStyle w:val="biblio"/>
      </w:pPr>
      <w:r w:rsidRPr="00783571">
        <w:t xml:space="preserve">Walensky R, Paltiel AD, Losina E, et al. Test and treat DC: forecasting the impact of a comprehensive HIV strategy in Washington DC. </w:t>
      </w:r>
      <w:r w:rsidRPr="00783571">
        <w:rPr>
          <w:i/>
        </w:rPr>
        <w:t>Clin Infect Dis</w:t>
      </w:r>
      <w:r w:rsidRPr="00783571">
        <w:t>. 2010;51:392–400.</w:t>
      </w:r>
    </w:p>
    <w:p w14:paraId="279757E3" w14:textId="77777777" w:rsidR="00FB4FDA" w:rsidRPr="00783571" w:rsidRDefault="00FB4FDA" w:rsidP="00FB4FDA">
      <w:pPr>
        <w:pStyle w:val="biblio"/>
      </w:pPr>
      <w:r w:rsidRPr="00783571">
        <w:t xml:space="preserve">Wall SD, Olcott EW, Gerberding JL. AIDS risk and risk reduction in the radiology department. </w:t>
      </w:r>
      <w:r w:rsidRPr="00783571">
        <w:rPr>
          <w:i/>
        </w:rPr>
        <w:t>Am J Roentgenol</w:t>
      </w:r>
      <w:r w:rsidRPr="00783571">
        <w:t>. 1991;157:911–7.</w:t>
      </w:r>
    </w:p>
    <w:p w14:paraId="74137721" w14:textId="77777777" w:rsidR="00FB4FDA" w:rsidRPr="00783571" w:rsidRDefault="00FB4FDA" w:rsidP="00FB4FDA">
      <w:pPr>
        <w:pStyle w:val="biblio"/>
      </w:pPr>
      <w:r w:rsidRPr="00783571">
        <w:t xml:space="preserve">Wawer MJ, Gray RH, Sewankambo NK, et al. Rates of HIV-1 transmission per coital act, by stage of HIV-1 infection, in Rakai, Uganda. </w:t>
      </w:r>
      <w:r w:rsidRPr="00783571">
        <w:rPr>
          <w:i/>
        </w:rPr>
        <w:t>J Infect Dis</w:t>
      </w:r>
      <w:r w:rsidRPr="00783571">
        <w:t>. 2005;191:1403–19.</w:t>
      </w:r>
    </w:p>
    <w:p w14:paraId="29CE1AC3" w14:textId="77777777" w:rsidR="00FB4FDA" w:rsidRPr="00783571" w:rsidRDefault="00FB4FDA" w:rsidP="00FB4FDA">
      <w:pPr>
        <w:pStyle w:val="biblio"/>
      </w:pPr>
      <w:r w:rsidRPr="00783571">
        <w:t xml:space="preserve">Weller S, Davis K. Condom effectiveness in reducing heterosexual HIV transmission. </w:t>
      </w:r>
      <w:r w:rsidRPr="00783571">
        <w:rPr>
          <w:i/>
        </w:rPr>
        <w:t>Cochrane Database Syst Rev</w:t>
      </w:r>
      <w:r w:rsidRPr="00783571">
        <w:t>. 2002;1:CD003255.</w:t>
      </w:r>
    </w:p>
    <w:p w14:paraId="3ADFC472" w14:textId="77777777" w:rsidR="00E72922" w:rsidRPr="00783571" w:rsidRDefault="00FB4FDA" w:rsidP="00E72922">
      <w:pPr>
        <w:pStyle w:val="biblio"/>
      </w:pPr>
      <w:r w:rsidRPr="00783571">
        <w:t xml:space="preserve">Wesolowski LG, Delaney KP, Hart C, et al. Performance of an alternative laboratory-based algorithm for diagnosis of HIV infection utilizing a third generation immunoassay a rapid HIV-1/HIV-2 differentiation test and a DNA or RNA-based nucleic acid amplification test in persons with established HIV-1 infection and blood donors. </w:t>
      </w:r>
      <w:r w:rsidRPr="00783571">
        <w:rPr>
          <w:i/>
        </w:rPr>
        <w:t>J Clin Virol</w:t>
      </w:r>
      <w:r w:rsidR="00B91CDB" w:rsidRPr="00783571">
        <w:rPr>
          <w:i/>
        </w:rPr>
        <w:t>.</w:t>
      </w:r>
      <w:r w:rsidRPr="00783571">
        <w:t xml:space="preserve"> 2011;52 Suppl. 1(December):S45–9.</w:t>
      </w:r>
    </w:p>
    <w:p w14:paraId="1DEA11DB" w14:textId="4570CB0A" w:rsidR="00E72922" w:rsidRPr="00783571" w:rsidRDefault="00E72922" w:rsidP="00E72922">
      <w:pPr>
        <w:pStyle w:val="biblio"/>
      </w:pPr>
      <w:r w:rsidRPr="00783571">
        <w:t xml:space="preserve">White House, Office of National AIDS Policy. National HIV/AIDS strategy for the United States: updated to 2020; July 2015. </w:t>
      </w:r>
      <w:hyperlink r:id="rId174" w:history="1">
        <w:r w:rsidRPr="00783571">
          <w:rPr>
            <w:rStyle w:val="Hyperlink"/>
          </w:rPr>
          <w:t>https://www.aids.gov/federal-resources/national-hiv-aids-strategy/nhas-update.pdf</w:t>
        </w:r>
      </w:hyperlink>
      <w:r w:rsidRPr="00783571">
        <w:t>. Accessed February 6, 2017.</w:t>
      </w:r>
    </w:p>
    <w:p w14:paraId="506B2396" w14:textId="7B5F7742" w:rsidR="00EE4785" w:rsidRPr="00783571" w:rsidRDefault="00EE4785" w:rsidP="00DE1354">
      <w:pPr>
        <w:pStyle w:val="biblio"/>
      </w:pPr>
      <w:r w:rsidRPr="00783571">
        <w:t>Wong KH, Chan KC, Lee SS.</w:t>
      </w:r>
      <w:r w:rsidR="00570C58" w:rsidRPr="00783571">
        <w:t xml:space="preserve"> Delayed progression to death and to AIDS in a Hong Kong cohort of patients with advanced HIV type 1 disease during the era of highly active antiretroviral therapy. </w:t>
      </w:r>
      <w:r w:rsidR="00570C58" w:rsidRPr="00783571">
        <w:rPr>
          <w:i/>
          <w:iCs/>
        </w:rPr>
        <w:t>Clin Infect Dis</w:t>
      </w:r>
      <w:r w:rsidR="00570C58" w:rsidRPr="00783571">
        <w:t xml:space="preserve">. 2004 Sep 15;39(6):853-60. </w:t>
      </w:r>
      <w:r w:rsidRPr="00783571">
        <w:t xml:space="preserve">Available </w:t>
      </w:r>
      <w:r w:rsidR="00570C58" w:rsidRPr="00783571">
        <w:t>at</w:t>
      </w:r>
      <w:r w:rsidRPr="00783571">
        <w:t>:</w:t>
      </w:r>
      <w:r w:rsidR="00570C58" w:rsidRPr="00783571">
        <w:t xml:space="preserve"> </w:t>
      </w:r>
      <w:hyperlink r:id="rId175" w:history="1">
        <w:r w:rsidRPr="00783571">
          <w:rPr>
            <w:rStyle w:val="Hyperlink"/>
          </w:rPr>
          <w:t>http://www.ncbi.nlm.nih.gov/pubmed/15472819</w:t>
        </w:r>
      </w:hyperlink>
      <w:r w:rsidRPr="00783571">
        <w:t>. Accessed January 13, 2016.</w:t>
      </w:r>
    </w:p>
    <w:p w14:paraId="17ECF125" w14:textId="11FA8C24" w:rsidR="00245779" w:rsidRPr="00783571" w:rsidRDefault="00245779" w:rsidP="00DE1354">
      <w:pPr>
        <w:pStyle w:val="biblio"/>
      </w:pPr>
      <w:r w:rsidRPr="00783571">
        <w:t xml:space="preserve">Wu J, Dhingra R, Gambhir M, Remais JV. Sensitivity analysis of infectious disease models: methods, advances and their application. </w:t>
      </w:r>
      <w:r w:rsidRPr="00783571">
        <w:rPr>
          <w:i/>
        </w:rPr>
        <w:t>J R Soc Interface</w:t>
      </w:r>
      <w:r w:rsidR="00687E18" w:rsidRPr="00783571">
        <w:t>.</w:t>
      </w:r>
      <w:r w:rsidRPr="00783571">
        <w:t xml:space="preserve"> </w:t>
      </w:r>
      <w:r w:rsidR="00687E18" w:rsidRPr="00783571">
        <w:t>2013;</w:t>
      </w:r>
      <w:r w:rsidRPr="00783571">
        <w:t xml:space="preserve">10:20121018. </w:t>
      </w:r>
      <w:hyperlink r:id="rId176" w:history="1">
        <w:r w:rsidR="00D15349" w:rsidRPr="00783571">
          <w:rPr>
            <w:rStyle w:val="Hyperlink"/>
          </w:rPr>
          <w:t>http://dx.doi.org/10.1098/rsif.2012.1018</w:t>
        </w:r>
      </w:hyperlink>
      <w:r w:rsidRPr="00783571">
        <w:t>.</w:t>
      </w:r>
    </w:p>
    <w:p w14:paraId="14FB541E" w14:textId="77777777" w:rsidR="00FB4FDA" w:rsidRPr="00783571" w:rsidRDefault="00FB4FDA" w:rsidP="00FB4FDA">
      <w:pPr>
        <w:pStyle w:val="biblio"/>
      </w:pPr>
      <w:r w:rsidRPr="00783571">
        <w:t xml:space="preserve">Xiridou M, Geskus R, de Wit J, et al. Primary HIV infection as source of HIV transmission within steady and casual partnerships among homosexual men. </w:t>
      </w:r>
      <w:r w:rsidRPr="00783571">
        <w:rPr>
          <w:i/>
        </w:rPr>
        <w:t>AIDS</w:t>
      </w:r>
      <w:r w:rsidRPr="00783571">
        <w:t>. 2004;18:1311–20.</w:t>
      </w:r>
    </w:p>
    <w:p w14:paraId="08D6BD92" w14:textId="77777777" w:rsidR="00FB4FDA" w:rsidRPr="00783571" w:rsidRDefault="00FB4FDA" w:rsidP="00FB4FDA">
      <w:pPr>
        <w:pStyle w:val="biblio"/>
      </w:pPr>
      <w:r w:rsidRPr="00783571">
        <w:t xml:space="preserve">Xu F, Markowitz LE, Sternberg MR, et al. Prevalence of circumcision and herpes simplex virus type 2 infection in men in the United States: the National Health and Nutrition Examination Survey (NHANES), 1999–2004. </w:t>
      </w:r>
      <w:r w:rsidRPr="00783571">
        <w:rPr>
          <w:i/>
        </w:rPr>
        <w:t>Sex Transm Dis</w:t>
      </w:r>
      <w:r w:rsidRPr="00783571">
        <w:t>. 2007;34:479–84.</w:t>
      </w:r>
    </w:p>
    <w:p w14:paraId="31334622" w14:textId="77777777" w:rsidR="00B91CDB" w:rsidRPr="00783571" w:rsidRDefault="00B91CDB" w:rsidP="00FB4FDA">
      <w:pPr>
        <w:pStyle w:val="biblio"/>
      </w:pPr>
    </w:p>
    <w:p w14:paraId="171653C1" w14:textId="77777777" w:rsidR="00B91CDB" w:rsidRPr="00783571" w:rsidRDefault="00B91CDB" w:rsidP="00FB4FDA">
      <w:pPr>
        <w:pStyle w:val="biblio"/>
        <w:sectPr w:rsidR="00B91CDB" w:rsidRPr="00783571" w:rsidSect="00EA6FDC">
          <w:headerReference w:type="default" r:id="rId177"/>
          <w:footerReference w:type="even" r:id="rId178"/>
          <w:footerReference w:type="default" r:id="rId179"/>
          <w:footerReference w:type="first" r:id="rId180"/>
          <w:type w:val="oddPage"/>
          <w:pgSz w:w="12240" w:h="15840" w:code="1"/>
          <w:pgMar w:top="1440" w:right="1440" w:bottom="1440" w:left="1440" w:header="720" w:footer="720" w:gutter="0"/>
          <w:pgNumType w:start="1"/>
          <w:cols w:space="720"/>
          <w:titlePg/>
          <w:docGrid w:linePitch="360"/>
        </w:sectPr>
      </w:pPr>
    </w:p>
    <w:p w14:paraId="4E97DEF1" w14:textId="77777777" w:rsidR="00B91CDB" w:rsidRPr="00783571" w:rsidRDefault="00B91CDB" w:rsidP="00B91CDB">
      <w:pPr>
        <w:pStyle w:val="AppHeading1"/>
      </w:pPr>
      <w:bookmarkStart w:id="153" w:name="_Toc438565047"/>
      <w:bookmarkStart w:id="154" w:name="_Toc96761280"/>
      <w:bookmarkStart w:id="155" w:name="_Toc97010865"/>
      <w:r w:rsidRPr="00783571">
        <w:t>Appendix A:</w:t>
      </w:r>
      <w:r w:rsidRPr="00783571">
        <w:br/>
        <w:t>Definitions</w:t>
      </w:r>
      <w:bookmarkEnd w:id="153"/>
    </w:p>
    <w:p w14:paraId="3350967F" w14:textId="77777777" w:rsidR="00B91CDB" w:rsidRPr="00783571" w:rsidRDefault="00B91CDB" w:rsidP="00B91CDB">
      <w:pPr>
        <w:pStyle w:val="BodyText"/>
      </w:pPr>
    </w:p>
    <w:bookmarkEnd w:id="154"/>
    <w:bookmarkEnd w:id="155"/>
    <w:p w14:paraId="35AA62E6" w14:textId="77777777" w:rsidR="00467D83" w:rsidRPr="00783571" w:rsidRDefault="00467D83" w:rsidP="00F50352">
      <w:pPr>
        <w:pStyle w:val="AppHeading1"/>
        <w:sectPr w:rsidR="00467D83" w:rsidRPr="00783571" w:rsidSect="00B91CDB">
          <w:headerReference w:type="default" r:id="rId181"/>
          <w:footerReference w:type="even" r:id="rId182"/>
          <w:footerReference w:type="default" r:id="rId183"/>
          <w:footerReference w:type="first" r:id="rId184"/>
          <w:endnotePr>
            <w:numFmt w:val="decimal"/>
          </w:endnotePr>
          <w:pgSz w:w="12240" w:h="15840"/>
          <w:pgMar w:top="1440" w:right="1296" w:bottom="1440" w:left="1296" w:header="720" w:footer="720" w:gutter="0"/>
          <w:pgNumType w:start="1"/>
          <w:cols w:space="720"/>
          <w:titlePg/>
          <w:docGrid w:linePitch="360"/>
        </w:sectPr>
      </w:pPr>
    </w:p>
    <w:p w14:paraId="64A0E672" w14:textId="60FEF46E" w:rsidR="00D74FFB" w:rsidRPr="00783571" w:rsidRDefault="00D74FFB" w:rsidP="00D74FFB">
      <w:pPr>
        <w:pStyle w:val="TableTitlecont"/>
      </w:pPr>
      <w:r w:rsidRPr="00783571">
        <w:t xml:space="preserve">Table </w:t>
      </w:r>
      <w:r w:rsidR="00052E04" w:rsidRPr="00783571">
        <w:t>A.</w:t>
      </w:r>
      <w:r w:rsidRPr="00783571">
        <w:t>1.</w:t>
      </w:r>
      <w:r w:rsidRPr="00783571">
        <w:tab/>
        <w:t>Definitions of Symbols Applied in This Document</w:t>
      </w:r>
    </w:p>
    <w:tbl>
      <w:tblPr>
        <w:tblW w:w="5000" w:type="pct"/>
        <w:tblInd w:w="86" w:type="dxa"/>
        <w:tblBorders>
          <w:top w:val="single" w:sz="12" w:space="0" w:color="auto"/>
          <w:bottom w:val="single" w:sz="12" w:space="0" w:color="auto"/>
          <w:insideH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970"/>
        <w:gridCol w:w="10990"/>
      </w:tblGrid>
      <w:tr w:rsidR="00F50352" w:rsidRPr="00783571" w14:paraId="6BCB0F30" w14:textId="77777777" w:rsidTr="00D40CDC">
        <w:trPr>
          <w:cantSplit/>
          <w:tblHeader/>
        </w:trPr>
        <w:tc>
          <w:tcPr>
            <w:tcW w:w="760" w:type="pct"/>
            <w:tcBorders>
              <w:top w:val="single" w:sz="12" w:space="0" w:color="auto"/>
              <w:bottom w:val="single" w:sz="6" w:space="0" w:color="auto"/>
            </w:tcBorders>
            <w:shd w:val="clear" w:color="auto" w:fill="auto"/>
          </w:tcPr>
          <w:p w14:paraId="0BB59BE7" w14:textId="77777777" w:rsidR="00F50352" w:rsidRPr="00783571" w:rsidRDefault="00F50352" w:rsidP="00D40CDC">
            <w:pPr>
              <w:pStyle w:val="TableHeaders"/>
              <w:rPr>
                <w:sz w:val="20"/>
              </w:rPr>
            </w:pPr>
            <w:r w:rsidRPr="00783571">
              <w:rPr>
                <w:sz w:val="20"/>
              </w:rPr>
              <w:t>Symbol</w:t>
            </w:r>
          </w:p>
        </w:tc>
        <w:tc>
          <w:tcPr>
            <w:tcW w:w="4240" w:type="pct"/>
            <w:tcBorders>
              <w:top w:val="single" w:sz="12" w:space="0" w:color="auto"/>
              <w:bottom w:val="single" w:sz="6" w:space="0" w:color="auto"/>
            </w:tcBorders>
            <w:shd w:val="clear" w:color="auto" w:fill="auto"/>
          </w:tcPr>
          <w:p w14:paraId="512AA364" w14:textId="77777777" w:rsidR="00F50352" w:rsidRPr="00783571" w:rsidRDefault="00F50352" w:rsidP="00D40CDC">
            <w:pPr>
              <w:pStyle w:val="TableHeaders"/>
              <w:jc w:val="left"/>
              <w:rPr>
                <w:sz w:val="20"/>
              </w:rPr>
            </w:pPr>
            <w:r w:rsidRPr="00783571">
              <w:rPr>
                <w:sz w:val="20"/>
              </w:rPr>
              <w:t>Definition</w:t>
            </w:r>
          </w:p>
        </w:tc>
      </w:tr>
      <w:tr w:rsidR="0072527B" w:rsidRPr="00783571" w14:paraId="0C225438" w14:textId="77777777" w:rsidTr="00D40CDC">
        <w:trPr>
          <w:cantSplit/>
        </w:trPr>
        <w:tc>
          <w:tcPr>
            <w:tcW w:w="5000" w:type="pct"/>
            <w:gridSpan w:val="2"/>
            <w:tcBorders>
              <w:top w:val="single" w:sz="6" w:space="0" w:color="auto"/>
            </w:tcBorders>
            <w:shd w:val="clear" w:color="auto" w:fill="D9D9D9" w:themeFill="background1" w:themeFillShade="D9"/>
          </w:tcPr>
          <w:p w14:paraId="61AB8536" w14:textId="09C57F8D" w:rsidR="0072527B" w:rsidRPr="00783571" w:rsidRDefault="0072527B" w:rsidP="00D40CDC">
            <w:pPr>
              <w:pStyle w:val="TableText"/>
              <w:rPr>
                <w:b/>
                <w:sz w:val="20"/>
              </w:rPr>
            </w:pPr>
            <w:r w:rsidRPr="00783571">
              <w:rPr>
                <w:b/>
                <w:sz w:val="20"/>
              </w:rPr>
              <w:t>Latin Alphabet</w:t>
            </w:r>
          </w:p>
        </w:tc>
      </w:tr>
      <w:tr w:rsidR="0063235C" w:rsidRPr="00783571" w14:paraId="68944CD3" w14:textId="77777777" w:rsidTr="00D40CDC">
        <w:trPr>
          <w:cantSplit/>
        </w:trPr>
        <w:tc>
          <w:tcPr>
            <w:tcW w:w="760" w:type="pct"/>
            <w:shd w:val="clear" w:color="auto" w:fill="auto"/>
          </w:tcPr>
          <w:p w14:paraId="4FEDD688" w14:textId="0AA0ECBF" w:rsidR="0063235C" w:rsidRPr="00783571" w:rsidRDefault="0063235C" w:rsidP="00D40CDC">
            <w:pPr>
              <w:pStyle w:val="TableText"/>
              <w:jc w:val="center"/>
              <w:rPr>
                <w:b/>
                <w:sz w:val="20"/>
              </w:rPr>
            </w:pPr>
            <w:r w:rsidRPr="00783571">
              <w:rPr>
                <w:i/>
                <w:sz w:val="20"/>
              </w:rPr>
              <w:t>A</w:t>
            </w:r>
          </w:p>
        </w:tc>
        <w:tc>
          <w:tcPr>
            <w:tcW w:w="4240" w:type="pct"/>
            <w:shd w:val="clear" w:color="auto" w:fill="auto"/>
          </w:tcPr>
          <w:p w14:paraId="724BFF76" w14:textId="5AA7118F" w:rsidR="0063235C" w:rsidRPr="00783571" w:rsidRDefault="0063235C" w:rsidP="00D40CDC">
            <w:pPr>
              <w:pStyle w:val="TableText"/>
              <w:rPr>
                <w:b/>
                <w:iCs/>
                <w:sz w:val="20"/>
              </w:rPr>
            </w:pPr>
            <w:r w:rsidRPr="00783571">
              <w:rPr>
                <w:sz w:val="20"/>
              </w:rPr>
              <w:t>Cumulative total costs over the time horizon</w:t>
            </w:r>
          </w:p>
        </w:tc>
      </w:tr>
      <w:tr w:rsidR="008B0BC7" w:rsidRPr="00783571" w14:paraId="17066626" w14:textId="77777777" w:rsidTr="00D40CDC">
        <w:trPr>
          <w:cantSplit/>
        </w:trPr>
        <w:tc>
          <w:tcPr>
            <w:tcW w:w="760" w:type="pct"/>
            <w:shd w:val="clear" w:color="auto" w:fill="auto"/>
          </w:tcPr>
          <w:p w14:paraId="5DBF9971" w14:textId="6B361CA1" w:rsidR="008B0BC7" w:rsidRPr="00783571" w:rsidRDefault="000F17E7" w:rsidP="00D40CDC">
            <w:pPr>
              <w:pStyle w:val="TableText"/>
              <w:jc w:val="center"/>
              <w:rPr>
                <w:i/>
                <w:sz w:val="20"/>
              </w:rPr>
            </w:pPr>
            <m:oMathPara>
              <m:oMath>
                <m:sSub>
                  <m:sSubPr>
                    <m:ctrlPr>
                      <w:rPr>
                        <w:rFonts w:ascii="Cambria Math" w:hAnsi="Cambria Math"/>
                        <w:i/>
                        <w:sz w:val="20"/>
                      </w:rPr>
                    </m:ctrlPr>
                  </m:sSubPr>
                  <m:e>
                    <m:r>
                      <w:rPr>
                        <w:rFonts w:ascii="Cambria Math" w:hAnsi="Cambria Math"/>
                        <w:sz w:val="20"/>
                      </w:rPr>
                      <m:t>a</m:t>
                    </m:r>
                  </m:e>
                  <m:sub>
                    <m:r>
                      <w:rPr>
                        <w:rFonts w:ascii="Cambria Math" w:hAnsi="Cambria Math"/>
                        <w:sz w:val="20"/>
                      </w:rPr>
                      <m:t>p1,p2</m:t>
                    </m:r>
                  </m:sub>
                </m:sSub>
              </m:oMath>
            </m:oMathPara>
          </w:p>
        </w:tc>
        <w:tc>
          <w:tcPr>
            <w:tcW w:w="4240" w:type="pct"/>
            <w:shd w:val="clear" w:color="auto" w:fill="auto"/>
          </w:tcPr>
          <w:p w14:paraId="1A6E5D85" w14:textId="7677413B" w:rsidR="008B0BC7" w:rsidRPr="00783571" w:rsidRDefault="008B0BC7" w:rsidP="00DE4977">
            <w:pPr>
              <w:pStyle w:val="TableText"/>
              <w:rPr>
                <w:sz w:val="20"/>
              </w:rPr>
            </w:pPr>
            <w:r w:rsidRPr="00783571">
              <w:rPr>
                <w:iCs/>
                <w:sz w:val="20"/>
              </w:rPr>
              <w:t>Percentage of individuals in subpopulation</w:t>
            </w:r>
            <w:r w:rsidRPr="00783571">
              <w:rPr>
                <w:sz w:val="20"/>
              </w:rPr>
              <w:t xml:space="preserve"> </w:t>
            </w:r>
            <w:r w:rsidRPr="00783571">
              <w:rPr>
                <w:iCs/>
                <w:sz w:val="20"/>
              </w:rPr>
              <w:t>p1</w:t>
            </w:r>
            <w:r w:rsidRPr="00783571">
              <w:rPr>
                <w:sz w:val="20"/>
              </w:rPr>
              <w:t xml:space="preserve">’s </w:t>
            </w:r>
            <w:r w:rsidRPr="00783571">
              <w:rPr>
                <w:iCs/>
                <w:sz w:val="20"/>
              </w:rPr>
              <w:t>partners that are in</w:t>
            </w:r>
            <w:r w:rsidR="00DE4977" w:rsidRPr="00783571">
              <w:rPr>
                <w:iCs/>
                <w:sz w:val="20"/>
              </w:rPr>
              <w:t xml:space="preserve"> p2</w:t>
            </w:r>
            <w:r w:rsidRPr="00783571">
              <w:rPr>
                <w:iCs/>
                <w:sz w:val="20"/>
              </w:rPr>
              <w:t>, as determined by the mixing matrix</w:t>
            </w:r>
          </w:p>
        </w:tc>
      </w:tr>
      <w:tr w:rsidR="00421CA0" w:rsidRPr="00783571" w14:paraId="15410E35" w14:textId="77777777" w:rsidTr="00D40CDC">
        <w:trPr>
          <w:cantSplit/>
        </w:trPr>
        <w:tc>
          <w:tcPr>
            <w:tcW w:w="760" w:type="pct"/>
            <w:shd w:val="clear" w:color="auto" w:fill="auto"/>
          </w:tcPr>
          <w:p w14:paraId="117B3B71" w14:textId="526370E7" w:rsidR="00421CA0" w:rsidRPr="00783571" w:rsidRDefault="00421CA0" w:rsidP="00D40CDC">
            <w:pPr>
              <w:pStyle w:val="TableText"/>
              <w:jc w:val="center"/>
              <w:rPr>
                <w:sz w:val="20"/>
              </w:rPr>
            </w:pPr>
            <w:r w:rsidRPr="00783571">
              <w:rPr>
                <w:i/>
                <w:sz w:val="20"/>
              </w:rPr>
              <w:t>B</w:t>
            </w:r>
            <w:r w:rsidRPr="00783571">
              <w:rPr>
                <w:i/>
                <w:sz w:val="20"/>
                <w:vertAlign w:val="superscript"/>
              </w:rPr>
              <w:t>c</w:t>
            </w:r>
          </w:p>
        </w:tc>
        <w:tc>
          <w:tcPr>
            <w:tcW w:w="4240" w:type="pct"/>
            <w:shd w:val="clear" w:color="auto" w:fill="auto"/>
          </w:tcPr>
          <w:p w14:paraId="3FA41832" w14:textId="4BEF34A5" w:rsidR="00421CA0" w:rsidRPr="00783571" w:rsidRDefault="00421CA0" w:rsidP="00D40CDC">
            <w:pPr>
              <w:pStyle w:val="TableText"/>
              <w:rPr>
                <w:sz w:val="20"/>
              </w:rPr>
            </w:pPr>
            <w:r w:rsidRPr="00783571">
              <w:rPr>
                <w:sz w:val="20"/>
              </w:rPr>
              <w:t xml:space="preserve">Rate of HIV progression to the next disease stage from compartment </w:t>
            </w:r>
            <w:r w:rsidRPr="00783571">
              <w:rPr>
                <w:i/>
                <w:sz w:val="20"/>
              </w:rPr>
              <w:t xml:space="preserve">c, </w:t>
            </w:r>
            <w:r w:rsidRPr="00783571">
              <w:rPr>
                <w:sz w:val="20"/>
              </w:rPr>
              <w:t>if VLS; applies to individuals with HIV, CD4 ≥ 200, and VLS, (</w:t>
            </w:r>
            <w:r w:rsidRPr="00783571">
              <w:rPr>
                <w:i/>
                <w:sz w:val="20"/>
              </w:rPr>
              <w:t>c</w:t>
            </w:r>
            <w:r w:rsidRPr="00783571">
              <w:rPr>
                <w:sz w:val="20"/>
              </w:rPr>
              <w:t xml:space="preserve"> = 10, 15, 20) only</w:t>
            </w:r>
          </w:p>
        </w:tc>
      </w:tr>
      <w:tr w:rsidR="00421CA0" w:rsidRPr="00783571" w14:paraId="19456733" w14:textId="77777777" w:rsidTr="00D40CDC">
        <w:trPr>
          <w:cantSplit/>
        </w:trPr>
        <w:tc>
          <w:tcPr>
            <w:tcW w:w="760" w:type="pct"/>
            <w:shd w:val="clear" w:color="auto" w:fill="auto"/>
          </w:tcPr>
          <w:p w14:paraId="618AB26E" w14:textId="01F11A60" w:rsidR="00421CA0" w:rsidRPr="00783571" w:rsidRDefault="00421CA0" w:rsidP="00D40CDC">
            <w:pPr>
              <w:pStyle w:val="TableText"/>
              <w:jc w:val="center"/>
              <w:rPr>
                <w:i/>
                <w:sz w:val="20"/>
              </w:rPr>
            </w:pPr>
            <w:r w:rsidRPr="00783571">
              <w:rPr>
                <w:i/>
                <w:iCs/>
                <w:sz w:val="20"/>
              </w:rPr>
              <w:t>b</w:t>
            </w:r>
            <w:r w:rsidRPr="00783571">
              <w:rPr>
                <w:i/>
                <w:iCs/>
                <w:sz w:val="20"/>
                <w:vertAlign w:val="subscript"/>
              </w:rPr>
              <w:t>p1,p2,z</w:t>
            </w:r>
          </w:p>
        </w:tc>
        <w:tc>
          <w:tcPr>
            <w:tcW w:w="4240" w:type="pct"/>
            <w:shd w:val="clear" w:color="auto" w:fill="auto"/>
          </w:tcPr>
          <w:p w14:paraId="20EC0340" w14:textId="5D375245" w:rsidR="00421CA0" w:rsidRPr="00783571" w:rsidRDefault="00421CA0" w:rsidP="00D40CDC">
            <w:pPr>
              <w:pStyle w:val="TableText"/>
              <w:rPr>
                <w:sz w:val="20"/>
              </w:rPr>
            </w:pPr>
            <w:r w:rsidRPr="00783571">
              <w:rPr>
                <w:sz w:val="20"/>
              </w:rPr>
              <w:t xml:space="preserve">Percentage reduction in per-insertive </w:t>
            </w:r>
            <w:r w:rsidR="00D10FEF" w:rsidRPr="00783571">
              <w:rPr>
                <w:sz w:val="20"/>
              </w:rPr>
              <w:t>sex act</w:t>
            </w:r>
            <w:r w:rsidRPr="00783571">
              <w:rPr>
                <w:sz w:val="20"/>
              </w:rPr>
              <w:t xml:space="preserve"> transmission probability from an act of type </w:t>
            </w:r>
            <w:r w:rsidRPr="00783571">
              <w:rPr>
                <w:iCs/>
                <w:sz w:val="20"/>
              </w:rPr>
              <w:t>z</w:t>
            </w:r>
            <w:r w:rsidRPr="00783571">
              <w:rPr>
                <w:sz w:val="20"/>
              </w:rPr>
              <w:t xml:space="preserve"> due to circumcision for an HIV-uninfected individual in subpopulation </w:t>
            </w:r>
            <w:r w:rsidRPr="00783571">
              <w:rPr>
                <w:i/>
                <w:sz w:val="20"/>
              </w:rPr>
              <w:t>p1</w:t>
            </w:r>
            <w:r w:rsidRPr="00783571">
              <w:rPr>
                <w:sz w:val="20"/>
              </w:rPr>
              <w:t xml:space="preserve"> with an HIV-infected partner in subpopulation </w:t>
            </w:r>
            <w:r w:rsidRPr="00783571">
              <w:rPr>
                <w:i/>
                <w:sz w:val="20"/>
              </w:rPr>
              <w:t>p2</w:t>
            </w:r>
          </w:p>
        </w:tc>
      </w:tr>
      <w:tr w:rsidR="00421CA0" w:rsidRPr="00783571" w14:paraId="3FAD69C0" w14:textId="77777777" w:rsidTr="00D40CDC">
        <w:trPr>
          <w:cantSplit/>
        </w:trPr>
        <w:tc>
          <w:tcPr>
            <w:tcW w:w="760" w:type="pct"/>
            <w:shd w:val="clear" w:color="auto" w:fill="auto"/>
          </w:tcPr>
          <w:p w14:paraId="3ADE1894" w14:textId="7AF9F98F" w:rsidR="00421CA0" w:rsidRPr="00783571" w:rsidRDefault="00421CA0" w:rsidP="00D40CDC">
            <w:pPr>
              <w:pStyle w:val="TableText"/>
              <w:jc w:val="center"/>
              <w:rPr>
                <w:i/>
                <w:sz w:val="20"/>
              </w:rPr>
            </w:pPr>
            <w:r w:rsidRPr="00783571">
              <w:rPr>
                <w:i/>
                <w:sz w:val="20"/>
              </w:rPr>
              <w:t>C</w:t>
            </w:r>
          </w:p>
        </w:tc>
        <w:tc>
          <w:tcPr>
            <w:tcW w:w="4240" w:type="pct"/>
            <w:shd w:val="clear" w:color="auto" w:fill="auto"/>
          </w:tcPr>
          <w:p w14:paraId="7561B017" w14:textId="62E7CA59" w:rsidR="00421CA0" w:rsidRPr="00783571" w:rsidRDefault="00421CA0" w:rsidP="00D40CDC">
            <w:pPr>
              <w:pStyle w:val="TableText"/>
              <w:rPr>
                <w:sz w:val="20"/>
              </w:rPr>
            </w:pPr>
            <w:r w:rsidRPr="00783571">
              <w:rPr>
                <w:sz w:val="20"/>
              </w:rPr>
              <w:t>Comparator scenario, using alternative user-defined inputs</w:t>
            </w:r>
          </w:p>
        </w:tc>
      </w:tr>
      <w:tr w:rsidR="00421CA0" w:rsidRPr="00783571" w14:paraId="596FDBCB" w14:textId="77777777" w:rsidTr="00D40CDC">
        <w:trPr>
          <w:cantSplit/>
        </w:trPr>
        <w:tc>
          <w:tcPr>
            <w:tcW w:w="760" w:type="pct"/>
            <w:shd w:val="clear" w:color="auto" w:fill="auto"/>
          </w:tcPr>
          <w:p w14:paraId="5269360F" w14:textId="64D1EBEE" w:rsidR="00421CA0" w:rsidRPr="00783571" w:rsidRDefault="00421CA0" w:rsidP="00D40CDC">
            <w:pPr>
              <w:pStyle w:val="TableText"/>
              <w:jc w:val="center"/>
              <w:rPr>
                <w:sz w:val="20"/>
              </w:rPr>
            </w:pPr>
            <w:r w:rsidRPr="00783571">
              <w:rPr>
                <w:i/>
                <w:sz w:val="20"/>
              </w:rPr>
              <w:t>D</w:t>
            </w:r>
          </w:p>
        </w:tc>
        <w:tc>
          <w:tcPr>
            <w:tcW w:w="4240" w:type="pct"/>
            <w:shd w:val="clear" w:color="auto" w:fill="auto"/>
          </w:tcPr>
          <w:p w14:paraId="294BBBC9" w14:textId="64550551" w:rsidR="00421CA0" w:rsidRPr="00783571" w:rsidRDefault="00421CA0" w:rsidP="00D40CDC">
            <w:pPr>
              <w:pStyle w:val="TableText"/>
              <w:rPr>
                <w:sz w:val="20"/>
              </w:rPr>
            </w:pPr>
            <w:r w:rsidRPr="00783571">
              <w:rPr>
                <w:sz w:val="20"/>
              </w:rPr>
              <w:t>Cumulative treatment and care costs over the time horizon</w:t>
            </w:r>
          </w:p>
        </w:tc>
      </w:tr>
      <w:tr w:rsidR="00421CA0" w:rsidRPr="00783571" w14:paraId="59D63240" w14:textId="77777777" w:rsidTr="00D40CDC">
        <w:trPr>
          <w:cantSplit/>
        </w:trPr>
        <w:tc>
          <w:tcPr>
            <w:tcW w:w="760" w:type="pct"/>
            <w:shd w:val="clear" w:color="auto" w:fill="auto"/>
          </w:tcPr>
          <w:p w14:paraId="334FE96B" w14:textId="2CB9D7EF" w:rsidR="00421CA0" w:rsidRPr="00783571" w:rsidRDefault="00421CA0" w:rsidP="00D40CDC">
            <w:pPr>
              <w:pStyle w:val="TableText"/>
              <w:jc w:val="center"/>
              <w:rPr>
                <w:sz w:val="20"/>
              </w:rPr>
            </w:pPr>
            <w:r w:rsidRPr="00783571">
              <w:rPr>
                <w:i/>
                <w:iCs/>
                <w:sz w:val="20"/>
              </w:rPr>
              <w:t>d</w:t>
            </w:r>
            <w:r w:rsidRPr="00783571">
              <w:rPr>
                <w:i/>
                <w:iCs/>
                <w:sz w:val="20"/>
                <w:vertAlign w:val="subscript"/>
              </w:rPr>
              <w:t>z</w:t>
            </w:r>
          </w:p>
        </w:tc>
        <w:tc>
          <w:tcPr>
            <w:tcW w:w="4240" w:type="pct"/>
            <w:shd w:val="clear" w:color="auto" w:fill="auto"/>
          </w:tcPr>
          <w:p w14:paraId="1BBA6C37" w14:textId="7986ACD6" w:rsidR="00421CA0" w:rsidRPr="00783571" w:rsidRDefault="00421CA0" w:rsidP="00D40CDC">
            <w:pPr>
              <w:pStyle w:val="TableText"/>
              <w:rPr>
                <w:sz w:val="20"/>
              </w:rPr>
            </w:pPr>
            <w:r w:rsidRPr="00783571">
              <w:rPr>
                <w:sz w:val="20"/>
              </w:rPr>
              <w:t>Percentage reduction in per-</w:t>
            </w:r>
            <w:r w:rsidR="00D10FEF" w:rsidRPr="00783571">
              <w:rPr>
                <w:sz w:val="20"/>
              </w:rPr>
              <w:t>sex-</w:t>
            </w:r>
            <w:r w:rsidRPr="00783571">
              <w:rPr>
                <w:sz w:val="20"/>
              </w:rPr>
              <w:t xml:space="preserve">act transmission probability from an act of type </w:t>
            </w:r>
            <w:r w:rsidRPr="00783571">
              <w:rPr>
                <w:iCs/>
                <w:sz w:val="20"/>
              </w:rPr>
              <w:t>z</w:t>
            </w:r>
            <w:r w:rsidRPr="00783571">
              <w:rPr>
                <w:sz w:val="20"/>
              </w:rPr>
              <w:t xml:space="preserve"> due to condom use</w:t>
            </w:r>
          </w:p>
        </w:tc>
      </w:tr>
      <w:tr w:rsidR="00421CA0" w:rsidRPr="00783571" w14:paraId="316293DD" w14:textId="77777777" w:rsidTr="00D40CDC">
        <w:trPr>
          <w:cantSplit/>
        </w:trPr>
        <w:tc>
          <w:tcPr>
            <w:tcW w:w="760" w:type="pct"/>
            <w:shd w:val="clear" w:color="auto" w:fill="auto"/>
          </w:tcPr>
          <w:p w14:paraId="0952AAE7" w14:textId="0C0FEFFA" w:rsidR="00421CA0" w:rsidRPr="00783571" w:rsidRDefault="00421CA0" w:rsidP="00D40CDC">
            <w:pPr>
              <w:pStyle w:val="TableText"/>
              <w:jc w:val="center"/>
              <w:rPr>
                <w:sz w:val="20"/>
              </w:rPr>
            </w:pPr>
            <w:r w:rsidRPr="00783571">
              <w:rPr>
                <w:i/>
                <w:iCs/>
                <w:sz w:val="20"/>
              </w:rPr>
              <w:t>E</w:t>
            </w:r>
          </w:p>
        </w:tc>
        <w:tc>
          <w:tcPr>
            <w:tcW w:w="4240" w:type="pct"/>
            <w:shd w:val="clear" w:color="auto" w:fill="auto"/>
          </w:tcPr>
          <w:p w14:paraId="437317BD" w14:textId="05792092" w:rsidR="00421CA0" w:rsidRPr="00783571" w:rsidRDefault="00421CA0" w:rsidP="00AA5501">
            <w:pPr>
              <w:pStyle w:val="TableText"/>
              <w:rPr>
                <w:sz w:val="20"/>
              </w:rPr>
            </w:pPr>
            <w:r w:rsidRPr="00783571">
              <w:rPr>
                <w:sz w:val="20"/>
              </w:rPr>
              <w:t xml:space="preserve">Number of needles shared annually per needle-sharing partner by </w:t>
            </w:r>
            <w:r w:rsidR="005C4A38" w:rsidRPr="00783571">
              <w:rPr>
                <w:sz w:val="20"/>
              </w:rPr>
              <w:t xml:space="preserve">a </w:t>
            </w:r>
            <w:r w:rsidR="00AA5501" w:rsidRPr="00783571">
              <w:rPr>
                <w:sz w:val="20"/>
              </w:rPr>
              <w:t>person who injects drugs</w:t>
            </w:r>
            <w:r w:rsidRPr="00783571">
              <w:rPr>
                <w:sz w:val="20"/>
              </w:rPr>
              <w:t xml:space="preserve"> </w:t>
            </w:r>
            <w:r w:rsidR="00712562" w:rsidRPr="00783571">
              <w:rPr>
                <w:sz w:val="20"/>
              </w:rPr>
              <w:t xml:space="preserve">(PWID) </w:t>
            </w:r>
            <w:r w:rsidRPr="00783571">
              <w:rPr>
                <w:sz w:val="20"/>
              </w:rPr>
              <w:t>who has never been diagnosed with HIV</w:t>
            </w:r>
          </w:p>
        </w:tc>
      </w:tr>
      <w:tr w:rsidR="00421CA0" w:rsidRPr="00783571" w14:paraId="15A5928F" w14:textId="77777777" w:rsidTr="00D40CDC">
        <w:trPr>
          <w:cantSplit/>
        </w:trPr>
        <w:tc>
          <w:tcPr>
            <w:tcW w:w="760" w:type="pct"/>
            <w:shd w:val="clear" w:color="auto" w:fill="auto"/>
          </w:tcPr>
          <w:p w14:paraId="2DCF55D6" w14:textId="34B0897E" w:rsidR="00421CA0" w:rsidRPr="00783571" w:rsidRDefault="00945156" w:rsidP="00D40CDC">
            <w:pPr>
              <w:pStyle w:val="TableText"/>
              <w:jc w:val="center"/>
              <w:rPr>
                <w:sz w:val="20"/>
              </w:rPr>
            </w:pPr>
            <w:r w:rsidRPr="00783571">
              <w:rPr>
                <w:position w:val="-14"/>
                <w:sz w:val="20"/>
              </w:rPr>
              <w:object w:dxaOrig="540" w:dyaOrig="400" w14:anchorId="7DFB81D3">
                <v:shape id="_x0000_i1086" type="#_x0000_t75" style="width:28.5pt;height:21.75pt" o:ole="">
                  <v:imagedata r:id="rId185" o:title=""/>
                </v:shape>
                <o:OLEObject Type="Embed" ProgID="Equation.3" ShapeID="_x0000_i1086" DrawAspect="Content" ObjectID="_1584261728" r:id="rId186"/>
              </w:object>
            </w:r>
          </w:p>
        </w:tc>
        <w:tc>
          <w:tcPr>
            <w:tcW w:w="4240" w:type="pct"/>
            <w:shd w:val="clear" w:color="auto" w:fill="auto"/>
          </w:tcPr>
          <w:p w14:paraId="061CB056" w14:textId="3AAEF620" w:rsidR="00421CA0" w:rsidRPr="00783571" w:rsidRDefault="00421CA0" w:rsidP="00D40CDC">
            <w:pPr>
              <w:pStyle w:val="TableText"/>
              <w:rPr>
                <w:sz w:val="20"/>
              </w:rPr>
            </w:pPr>
            <w:r w:rsidRPr="00783571">
              <w:rPr>
                <w:sz w:val="20"/>
              </w:rPr>
              <w:t xml:space="preserve">Rate of departure from HIV care if in care but not </w:t>
            </w:r>
            <w:r w:rsidR="000965E6" w:rsidRPr="00783571">
              <w:rPr>
                <w:sz w:val="20"/>
              </w:rPr>
              <w:t>prescribed ART</w:t>
            </w:r>
            <w:r w:rsidRPr="00783571">
              <w:rPr>
                <w:sz w:val="20"/>
              </w:rPr>
              <w:t xml:space="preserve">, by </w:t>
            </w:r>
            <w:r w:rsidRPr="00783571">
              <w:rPr>
                <w:iCs/>
                <w:sz w:val="20"/>
              </w:rPr>
              <w:t xml:space="preserve">demographic subpopulation </w:t>
            </w:r>
            <w:r w:rsidRPr="00783571">
              <w:rPr>
                <w:i/>
                <w:iCs/>
                <w:sz w:val="20"/>
              </w:rPr>
              <w:t>p</w:t>
            </w:r>
            <w:r w:rsidRPr="00783571">
              <w:rPr>
                <w:sz w:val="20"/>
              </w:rPr>
              <w:t xml:space="preserve"> at time </w:t>
            </w:r>
            <w:r w:rsidRPr="00783571">
              <w:rPr>
                <w:i/>
                <w:iCs/>
                <w:sz w:val="20"/>
              </w:rPr>
              <w:t>t</w:t>
            </w:r>
            <w:r w:rsidRPr="00783571">
              <w:rPr>
                <w:sz w:val="20"/>
              </w:rPr>
              <w:t>; applies to (</w:t>
            </w:r>
            <w:r w:rsidRPr="00783571">
              <w:rPr>
                <w:i/>
                <w:sz w:val="20"/>
              </w:rPr>
              <w:t>c</w:t>
            </w:r>
            <w:r w:rsidR="00E628BE" w:rsidRPr="00783571">
              <w:rPr>
                <w:i/>
                <w:sz w:val="20"/>
              </w:rPr>
              <w:t> = </w:t>
            </w:r>
            <w:r w:rsidRPr="00783571">
              <w:rPr>
                <w:sz w:val="20"/>
              </w:rPr>
              <w:t>5, 8, 13, 18, 23) only</w:t>
            </w:r>
          </w:p>
        </w:tc>
      </w:tr>
      <w:tr w:rsidR="008B0BC7" w:rsidRPr="00783571" w14:paraId="4B5954AA" w14:textId="77777777" w:rsidTr="00D40CDC">
        <w:trPr>
          <w:cantSplit/>
        </w:trPr>
        <w:tc>
          <w:tcPr>
            <w:tcW w:w="760" w:type="pct"/>
            <w:shd w:val="clear" w:color="auto" w:fill="auto"/>
          </w:tcPr>
          <w:p w14:paraId="726F9ABF" w14:textId="06F4713D" w:rsidR="008B0BC7" w:rsidRPr="00783571" w:rsidRDefault="008B0BC7" w:rsidP="00D40CDC">
            <w:pPr>
              <w:pStyle w:val="TableText"/>
              <w:jc w:val="center"/>
              <w:rPr>
                <w:i/>
                <w:sz w:val="20"/>
              </w:rPr>
            </w:pPr>
            <w:r w:rsidRPr="00783571">
              <w:rPr>
                <w:i/>
                <w:sz w:val="20"/>
              </w:rPr>
              <w:t>F</w:t>
            </w:r>
          </w:p>
        </w:tc>
        <w:tc>
          <w:tcPr>
            <w:tcW w:w="4240" w:type="pct"/>
            <w:shd w:val="clear" w:color="auto" w:fill="auto"/>
          </w:tcPr>
          <w:p w14:paraId="3E9092B7" w14:textId="6AA8DD24" w:rsidR="008B0BC7" w:rsidRPr="00783571" w:rsidRDefault="008B0BC7" w:rsidP="00D40CDC">
            <w:pPr>
              <w:pStyle w:val="TableText"/>
              <w:rPr>
                <w:sz w:val="20"/>
              </w:rPr>
            </w:pPr>
            <w:r w:rsidRPr="00783571">
              <w:rPr>
                <w:sz w:val="20"/>
              </w:rPr>
              <w:t>Cumulative number of HIV infections over the time horizon</w:t>
            </w:r>
          </w:p>
        </w:tc>
      </w:tr>
      <w:tr w:rsidR="008B0BC7" w:rsidRPr="00783571" w14:paraId="49F42AA0" w14:textId="77777777" w:rsidTr="00D40CDC">
        <w:trPr>
          <w:cantSplit/>
        </w:trPr>
        <w:tc>
          <w:tcPr>
            <w:tcW w:w="760" w:type="pct"/>
            <w:shd w:val="clear" w:color="auto" w:fill="auto"/>
          </w:tcPr>
          <w:p w14:paraId="3E084F77" w14:textId="77D43338" w:rsidR="008B0BC7" w:rsidRPr="00783571" w:rsidRDefault="008B0BC7" w:rsidP="00D40CDC">
            <w:pPr>
              <w:pStyle w:val="TableText"/>
              <w:jc w:val="center"/>
              <w:rPr>
                <w:i/>
                <w:sz w:val="20"/>
              </w:rPr>
            </w:pPr>
            <w:r w:rsidRPr="00783571">
              <w:rPr>
                <w:i/>
                <w:sz w:val="20"/>
              </w:rPr>
              <w:t>G</w:t>
            </w:r>
            <w:r w:rsidRPr="00783571">
              <w:rPr>
                <w:i/>
                <w:iCs/>
                <w:sz w:val="20"/>
                <w:vertAlign w:val="subscript"/>
              </w:rPr>
              <w:t>z,p,c</w:t>
            </w:r>
          </w:p>
        </w:tc>
        <w:tc>
          <w:tcPr>
            <w:tcW w:w="4240" w:type="pct"/>
            <w:shd w:val="clear" w:color="auto" w:fill="auto"/>
          </w:tcPr>
          <w:p w14:paraId="5FDD5AE0" w14:textId="3D2B80BA" w:rsidR="008B0BC7" w:rsidRPr="00783571" w:rsidRDefault="008B0BC7" w:rsidP="00D40CDC">
            <w:pPr>
              <w:pStyle w:val="TableText"/>
              <w:rPr>
                <w:sz w:val="20"/>
              </w:rPr>
            </w:pPr>
            <w:r w:rsidRPr="00783571">
              <w:rPr>
                <w:sz w:val="20"/>
              </w:rPr>
              <w:t xml:space="preserve">Percentage of </w:t>
            </w:r>
            <w:r w:rsidR="00DB6E5A" w:rsidRPr="00783571">
              <w:rPr>
                <w:sz w:val="20"/>
              </w:rPr>
              <w:t>sex act</w:t>
            </w:r>
            <w:r w:rsidRPr="00783571">
              <w:rPr>
                <w:sz w:val="20"/>
              </w:rPr>
              <w:t xml:space="preserve">s of risk type z protected with a condom, given partner in compartment </w:t>
            </w:r>
            <w:r w:rsidRPr="00783571">
              <w:rPr>
                <w:i/>
                <w:iCs/>
                <w:sz w:val="20"/>
              </w:rPr>
              <w:t>c</w:t>
            </w:r>
            <w:r w:rsidRPr="00783571">
              <w:rPr>
                <w:sz w:val="20"/>
              </w:rPr>
              <w:t xml:space="preserve">, by subpopulation </w:t>
            </w:r>
            <w:r w:rsidRPr="00783571">
              <w:rPr>
                <w:i/>
                <w:iCs/>
                <w:sz w:val="20"/>
              </w:rPr>
              <w:t>p</w:t>
            </w:r>
          </w:p>
        </w:tc>
      </w:tr>
      <w:tr w:rsidR="00421CA0" w:rsidRPr="00783571" w14:paraId="466A1D3B" w14:textId="77777777" w:rsidTr="00F46463">
        <w:trPr>
          <w:cantSplit/>
        </w:trPr>
        <w:tc>
          <w:tcPr>
            <w:tcW w:w="760" w:type="pct"/>
            <w:tcBorders>
              <w:bottom w:val="single" w:sz="4" w:space="0" w:color="808080" w:themeColor="background1" w:themeShade="80"/>
            </w:tcBorders>
            <w:shd w:val="clear" w:color="auto" w:fill="auto"/>
          </w:tcPr>
          <w:p w14:paraId="0BF43E16" w14:textId="3ACF7B61" w:rsidR="00421CA0" w:rsidRPr="00783571" w:rsidRDefault="00421CA0" w:rsidP="00D40CDC">
            <w:pPr>
              <w:pStyle w:val="TableText"/>
              <w:jc w:val="center"/>
              <w:rPr>
                <w:sz w:val="20"/>
              </w:rPr>
            </w:pPr>
            <w:r w:rsidRPr="00783571">
              <w:rPr>
                <w:i/>
                <w:sz w:val="20"/>
              </w:rPr>
              <w:t>H</w:t>
            </w:r>
            <w:r w:rsidRPr="00783571">
              <w:rPr>
                <w:i/>
                <w:iCs/>
                <w:sz w:val="20"/>
                <w:vertAlign w:val="superscript"/>
              </w:rPr>
              <w:t>c</w:t>
            </w:r>
          </w:p>
        </w:tc>
        <w:tc>
          <w:tcPr>
            <w:tcW w:w="4240" w:type="pct"/>
            <w:tcBorders>
              <w:bottom w:val="single" w:sz="4" w:space="0" w:color="808080" w:themeColor="background1" w:themeShade="80"/>
            </w:tcBorders>
            <w:shd w:val="clear" w:color="auto" w:fill="auto"/>
          </w:tcPr>
          <w:p w14:paraId="33FE8612" w14:textId="364C3E25" w:rsidR="00421CA0" w:rsidRPr="00783571" w:rsidRDefault="00421CA0" w:rsidP="00D40CDC">
            <w:pPr>
              <w:pStyle w:val="TableText"/>
              <w:rPr>
                <w:sz w:val="20"/>
              </w:rPr>
            </w:pPr>
            <w:r w:rsidRPr="00783571">
              <w:rPr>
                <w:sz w:val="20"/>
              </w:rPr>
              <w:t xml:space="preserve">Rate of HIV progression to the next disease stage from compartment </w:t>
            </w:r>
            <w:r w:rsidRPr="00783571">
              <w:rPr>
                <w:i/>
                <w:sz w:val="20"/>
              </w:rPr>
              <w:t xml:space="preserve">c, </w:t>
            </w:r>
            <w:r w:rsidRPr="00783571">
              <w:rPr>
                <w:sz w:val="20"/>
              </w:rPr>
              <w:t xml:space="preserve">if </w:t>
            </w:r>
            <w:r w:rsidR="000965E6" w:rsidRPr="00783571">
              <w:rPr>
                <w:sz w:val="20"/>
              </w:rPr>
              <w:t>prescribed ART</w:t>
            </w:r>
            <w:r w:rsidRPr="00783571">
              <w:rPr>
                <w:sz w:val="20"/>
              </w:rPr>
              <w:t xml:space="preserve">, not VLS; applies to individuals with HIV, CD4 ≥ 200, and </w:t>
            </w:r>
            <w:r w:rsidR="000965E6" w:rsidRPr="00783571">
              <w:rPr>
                <w:sz w:val="20"/>
              </w:rPr>
              <w:t>prescribed ART</w:t>
            </w:r>
            <w:r w:rsidRPr="00783571">
              <w:rPr>
                <w:sz w:val="20"/>
              </w:rPr>
              <w:t>, not VLS (</w:t>
            </w:r>
            <w:r w:rsidRPr="00783571">
              <w:rPr>
                <w:i/>
                <w:sz w:val="20"/>
              </w:rPr>
              <w:t>c</w:t>
            </w:r>
            <w:r w:rsidR="00E628BE" w:rsidRPr="00783571">
              <w:rPr>
                <w:sz w:val="20"/>
              </w:rPr>
              <w:t> = </w:t>
            </w:r>
            <w:r w:rsidRPr="00783571">
              <w:rPr>
                <w:sz w:val="20"/>
              </w:rPr>
              <w:t>9, 14, 19) only</w:t>
            </w:r>
          </w:p>
        </w:tc>
      </w:tr>
      <w:tr w:rsidR="00421CA0" w:rsidRPr="00783571" w14:paraId="0447E7BC" w14:textId="77777777" w:rsidTr="00F46463">
        <w:trPr>
          <w:cantSplit/>
        </w:trPr>
        <w:tc>
          <w:tcPr>
            <w:tcW w:w="760" w:type="pct"/>
            <w:tcBorders>
              <w:top w:val="single" w:sz="4" w:space="0" w:color="808080" w:themeColor="background1" w:themeShade="80"/>
              <w:bottom w:val="single" w:sz="6" w:space="0" w:color="808080" w:themeColor="background1" w:themeShade="80"/>
            </w:tcBorders>
            <w:shd w:val="clear" w:color="auto" w:fill="auto"/>
          </w:tcPr>
          <w:p w14:paraId="5BE962F9" w14:textId="14A93FD1" w:rsidR="00421CA0" w:rsidRPr="00783571" w:rsidRDefault="00421CA0" w:rsidP="00D40CDC">
            <w:pPr>
              <w:pStyle w:val="TableText"/>
              <w:jc w:val="center"/>
              <w:rPr>
                <w:sz w:val="20"/>
              </w:rPr>
            </w:pPr>
            <w:r w:rsidRPr="00783571">
              <w:rPr>
                <w:i/>
                <w:sz w:val="20"/>
              </w:rPr>
              <w:t>I</w:t>
            </w:r>
          </w:p>
        </w:tc>
        <w:tc>
          <w:tcPr>
            <w:tcW w:w="4240" w:type="pct"/>
            <w:tcBorders>
              <w:top w:val="single" w:sz="4" w:space="0" w:color="808080" w:themeColor="background1" w:themeShade="80"/>
              <w:bottom w:val="single" w:sz="6" w:space="0" w:color="808080" w:themeColor="background1" w:themeShade="80"/>
            </w:tcBorders>
            <w:shd w:val="clear" w:color="auto" w:fill="auto"/>
          </w:tcPr>
          <w:p w14:paraId="2386C532" w14:textId="3C01F4FD" w:rsidR="00421CA0" w:rsidRPr="00783571" w:rsidRDefault="00421CA0" w:rsidP="00D40CDC">
            <w:pPr>
              <w:pStyle w:val="TableText"/>
              <w:rPr>
                <w:sz w:val="20"/>
              </w:rPr>
            </w:pPr>
            <w:r w:rsidRPr="00783571">
              <w:rPr>
                <w:sz w:val="20"/>
              </w:rPr>
              <w:t>Initial scenario, using user-defined inputs</w:t>
            </w:r>
          </w:p>
        </w:tc>
      </w:tr>
    </w:tbl>
    <w:p w14:paraId="25B83E4C" w14:textId="4176ED04" w:rsidR="00D40CDC" w:rsidRPr="00783571" w:rsidRDefault="00D40CDC" w:rsidP="00D40CDC">
      <w:pPr>
        <w:pStyle w:val="Tablecont"/>
        <w:rPr>
          <w:sz w:val="20"/>
        </w:rPr>
      </w:pPr>
      <w:r w:rsidRPr="00783571">
        <w:rPr>
          <w:sz w:val="20"/>
        </w:rPr>
        <w:t>(continued)</w:t>
      </w:r>
    </w:p>
    <w:p w14:paraId="70FE893B" w14:textId="2B6128A5" w:rsidR="00D40CDC" w:rsidRPr="00783571" w:rsidRDefault="00D40CDC" w:rsidP="00D40CDC">
      <w:pPr>
        <w:pStyle w:val="TableTitlecont"/>
      </w:pPr>
      <w:r w:rsidRPr="00783571">
        <w:t>Table A.1.</w:t>
      </w:r>
      <w:r w:rsidRPr="00783571">
        <w:tab/>
        <w:t>Definitions of Symbols Applied in This Document (continued)</w:t>
      </w:r>
    </w:p>
    <w:tbl>
      <w:tblPr>
        <w:tblW w:w="5000" w:type="pct"/>
        <w:tblInd w:w="86" w:type="dxa"/>
        <w:tblBorders>
          <w:top w:val="single" w:sz="12" w:space="0" w:color="auto"/>
          <w:bottom w:val="single" w:sz="12" w:space="0" w:color="auto"/>
          <w:insideH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970"/>
        <w:gridCol w:w="10990"/>
      </w:tblGrid>
      <w:tr w:rsidR="00D40CDC" w:rsidRPr="00783571" w14:paraId="17920402" w14:textId="77777777" w:rsidTr="00474F9B">
        <w:trPr>
          <w:cantSplit/>
          <w:tblHeader/>
        </w:trPr>
        <w:tc>
          <w:tcPr>
            <w:tcW w:w="760" w:type="pct"/>
            <w:tcBorders>
              <w:top w:val="single" w:sz="12" w:space="0" w:color="auto"/>
              <w:bottom w:val="single" w:sz="6" w:space="0" w:color="auto"/>
            </w:tcBorders>
            <w:shd w:val="clear" w:color="auto" w:fill="auto"/>
          </w:tcPr>
          <w:p w14:paraId="6FE39B36" w14:textId="77777777" w:rsidR="00D40CDC" w:rsidRPr="00783571" w:rsidRDefault="00D40CDC" w:rsidP="00474F9B">
            <w:pPr>
              <w:pStyle w:val="TableHeaders"/>
              <w:rPr>
                <w:sz w:val="20"/>
              </w:rPr>
            </w:pPr>
            <w:r w:rsidRPr="00783571">
              <w:rPr>
                <w:sz w:val="20"/>
              </w:rPr>
              <w:t>Symbol</w:t>
            </w:r>
          </w:p>
        </w:tc>
        <w:tc>
          <w:tcPr>
            <w:tcW w:w="4240" w:type="pct"/>
            <w:tcBorders>
              <w:top w:val="single" w:sz="12" w:space="0" w:color="auto"/>
              <w:bottom w:val="single" w:sz="6" w:space="0" w:color="auto"/>
            </w:tcBorders>
            <w:shd w:val="clear" w:color="auto" w:fill="auto"/>
          </w:tcPr>
          <w:p w14:paraId="09C64D59" w14:textId="77777777" w:rsidR="00D40CDC" w:rsidRPr="00783571" w:rsidRDefault="00D40CDC" w:rsidP="00474F9B">
            <w:pPr>
              <w:pStyle w:val="TableHeaders"/>
              <w:jc w:val="left"/>
              <w:rPr>
                <w:sz w:val="20"/>
              </w:rPr>
            </w:pPr>
            <w:r w:rsidRPr="00783571">
              <w:rPr>
                <w:sz w:val="20"/>
              </w:rPr>
              <w:t>Definition</w:t>
            </w:r>
          </w:p>
        </w:tc>
      </w:tr>
      <w:tr w:rsidR="00D40CDC" w:rsidRPr="00783571" w14:paraId="2B6332A7" w14:textId="77777777" w:rsidTr="00474F9B">
        <w:trPr>
          <w:cantSplit/>
        </w:trPr>
        <w:tc>
          <w:tcPr>
            <w:tcW w:w="5000" w:type="pct"/>
            <w:gridSpan w:val="2"/>
            <w:tcBorders>
              <w:top w:val="single" w:sz="6" w:space="0" w:color="auto"/>
            </w:tcBorders>
            <w:shd w:val="clear" w:color="auto" w:fill="D9D9D9" w:themeFill="background1" w:themeFillShade="D9"/>
          </w:tcPr>
          <w:p w14:paraId="57B08ECD" w14:textId="70F6635B" w:rsidR="00D40CDC" w:rsidRPr="00783571" w:rsidRDefault="00D40CDC" w:rsidP="00474F9B">
            <w:pPr>
              <w:pStyle w:val="TableText"/>
              <w:rPr>
                <w:b/>
                <w:sz w:val="20"/>
              </w:rPr>
            </w:pPr>
            <w:r w:rsidRPr="00783571">
              <w:rPr>
                <w:b/>
                <w:sz w:val="20"/>
              </w:rPr>
              <w:t>Latin Alphabet (continued)</w:t>
            </w:r>
          </w:p>
        </w:tc>
      </w:tr>
      <w:tr w:rsidR="00421CA0" w:rsidRPr="00783571" w14:paraId="795F3D2B" w14:textId="77777777" w:rsidTr="00D40CDC">
        <w:trPr>
          <w:cantSplit/>
        </w:trPr>
        <w:tc>
          <w:tcPr>
            <w:tcW w:w="760" w:type="pct"/>
            <w:shd w:val="clear" w:color="auto" w:fill="auto"/>
          </w:tcPr>
          <w:p w14:paraId="5591BF3C" w14:textId="3220735D" w:rsidR="00421CA0" w:rsidRPr="00783571" w:rsidRDefault="00421CA0" w:rsidP="00D40CDC">
            <w:pPr>
              <w:pStyle w:val="TableText"/>
              <w:jc w:val="center"/>
              <w:rPr>
                <w:sz w:val="20"/>
              </w:rPr>
            </w:pPr>
            <w:r w:rsidRPr="00783571">
              <w:rPr>
                <w:i/>
                <w:sz w:val="20"/>
              </w:rPr>
              <w:t>i</w:t>
            </w:r>
            <w:r w:rsidRPr="00783571">
              <w:rPr>
                <w:sz w:val="20"/>
                <w:vertAlign w:val="subscript"/>
              </w:rPr>
              <w:t>p</w:t>
            </w:r>
          </w:p>
        </w:tc>
        <w:tc>
          <w:tcPr>
            <w:tcW w:w="4240" w:type="pct"/>
            <w:shd w:val="clear" w:color="auto" w:fill="auto"/>
          </w:tcPr>
          <w:p w14:paraId="53623384" w14:textId="4994D2BF" w:rsidR="00421CA0" w:rsidRPr="00783571" w:rsidRDefault="00421CA0" w:rsidP="00D40CDC">
            <w:pPr>
              <w:pStyle w:val="TableText"/>
              <w:rPr>
                <w:sz w:val="20"/>
              </w:rPr>
            </w:pPr>
            <w:r w:rsidRPr="00783571">
              <w:rPr>
                <w:sz w:val="20"/>
              </w:rPr>
              <w:t>Percent</w:t>
            </w:r>
            <w:r w:rsidR="00C80F5B" w:rsidRPr="00783571">
              <w:rPr>
                <w:sz w:val="20"/>
              </w:rPr>
              <w:t>age</w:t>
            </w:r>
            <w:r w:rsidRPr="00783571">
              <w:rPr>
                <w:sz w:val="20"/>
              </w:rPr>
              <w:t xml:space="preserve"> reduction in the annual rate of HIV transmission if HIV- individual in subpopulation </w:t>
            </w:r>
            <w:r w:rsidRPr="00783571">
              <w:rPr>
                <w:i/>
                <w:iCs/>
                <w:sz w:val="20"/>
              </w:rPr>
              <w:t>p</w:t>
            </w:r>
            <w:r w:rsidRPr="00783571">
              <w:rPr>
                <w:sz w:val="20"/>
              </w:rPr>
              <w:t xml:space="preserve"> is on PrEP</w:t>
            </w:r>
          </w:p>
        </w:tc>
      </w:tr>
      <w:tr w:rsidR="008E0FAC" w:rsidRPr="00783571" w14:paraId="044218E9" w14:textId="77777777" w:rsidTr="00D40CDC">
        <w:trPr>
          <w:cantSplit/>
        </w:trPr>
        <w:tc>
          <w:tcPr>
            <w:tcW w:w="760" w:type="pct"/>
            <w:shd w:val="clear" w:color="auto" w:fill="auto"/>
          </w:tcPr>
          <w:p w14:paraId="7C92EEC0" w14:textId="2F3ED01C" w:rsidR="008E0FAC" w:rsidRPr="00783571" w:rsidRDefault="000F17E7" w:rsidP="00D40CDC">
            <w:pPr>
              <w:pStyle w:val="TableText"/>
              <w:rPr>
                <w:sz w:val="20"/>
              </w:rPr>
            </w:pPr>
            <m:oMathPara>
              <m:oMath>
                <m:sSub>
                  <m:sSubPr>
                    <m:ctrlPr>
                      <w:rPr>
                        <w:rFonts w:ascii="Cambria Math" w:hAnsi="Cambria Math"/>
                        <w:sz w:val="20"/>
                      </w:rPr>
                    </m:ctrlPr>
                  </m:sSubPr>
                  <m:e>
                    <m:r>
                      <w:rPr>
                        <w:rFonts w:ascii="Cambria Math" w:hAnsi="Cambria Math"/>
                        <w:sz w:val="20"/>
                      </w:rPr>
                      <m:t>J</m:t>
                    </m:r>
                  </m:e>
                  <m:sub>
                    <m:r>
                      <w:rPr>
                        <w:rFonts w:ascii="Cambria Math" w:hAnsi="Cambria Math"/>
                        <w:sz w:val="20"/>
                      </w:rPr>
                      <m:t>p</m:t>
                    </m:r>
                    <m:r>
                      <m:rPr>
                        <m:sty m:val="p"/>
                      </m:rPr>
                      <w:rPr>
                        <w:rFonts w:ascii="Cambria Math" w:hAnsi="Cambria Math"/>
                        <w:sz w:val="20"/>
                      </w:rPr>
                      <m:t>,</m:t>
                    </m:r>
                    <m:r>
                      <w:rPr>
                        <w:rFonts w:ascii="Cambria Math" w:hAnsi="Cambria Math"/>
                        <w:sz w:val="20"/>
                      </w:rPr>
                      <m:t>j*</m:t>
                    </m:r>
                  </m:sub>
                </m:sSub>
                <m:d>
                  <m:dPr>
                    <m:ctrlPr>
                      <w:rPr>
                        <w:rFonts w:ascii="Cambria Math" w:hAnsi="Cambria Math"/>
                        <w:sz w:val="20"/>
                      </w:rPr>
                    </m:ctrlPr>
                  </m:dPr>
                  <m:e>
                    <m:r>
                      <m:rPr>
                        <m:sty m:val="p"/>
                      </m:rPr>
                      <w:rPr>
                        <w:rFonts w:ascii="Cambria Math" w:hAnsi="Cambria Math" w:cs="Arial"/>
                        <w:sz w:val="20"/>
                      </w:rPr>
                      <m:t>ṅ</m:t>
                    </m:r>
                    <m:r>
                      <m:rPr>
                        <m:sty m:val="p"/>
                      </m:rPr>
                      <w:rPr>
                        <w:rFonts w:ascii="Cambria Math" w:hAnsi="Cambria Math"/>
                        <w:sz w:val="20"/>
                      </w:rPr>
                      <m:t>,</m:t>
                    </m:r>
                    <m:r>
                      <w:rPr>
                        <w:rFonts w:ascii="Cambria Math" w:hAnsi="Cambria Math"/>
                        <w:sz w:val="20"/>
                      </w:rPr>
                      <m:t>t</m:t>
                    </m:r>
                  </m:e>
                </m:d>
              </m:oMath>
            </m:oMathPara>
          </w:p>
        </w:tc>
        <w:tc>
          <w:tcPr>
            <w:tcW w:w="4240" w:type="pct"/>
            <w:shd w:val="clear" w:color="auto" w:fill="auto"/>
          </w:tcPr>
          <w:p w14:paraId="2BDE251A" w14:textId="200C423B" w:rsidR="008E0FAC" w:rsidRPr="00783571" w:rsidRDefault="008E0FAC" w:rsidP="009F0447">
            <w:pPr>
              <w:pStyle w:val="TableText"/>
              <w:rPr>
                <w:sz w:val="20"/>
              </w:rPr>
            </w:pPr>
            <w:r w:rsidRPr="00783571">
              <w:rPr>
                <w:sz w:val="20"/>
              </w:rPr>
              <w:t>Number of individuals in subpopulation p eligible for intervention j* at time t</w:t>
            </w:r>
          </w:p>
        </w:tc>
      </w:tr>
      <w:tr w:rsidR="00421CA0" w:rsidRPr="00783571" w14:paraId="7C94A0BF" w14:textId="77777777" w:rsidTr="00D40CDC">
        <w:trPr>
          <w:cantSplit/>
        </w:trPr>
        <w:tc>
          <w:tcPr>
            <w:tcW w:w="760" w:type="pct"/>
            <w:shd w:val="clear" w:color="auto" w:fill="auto"/>
          </w:tcPr>
          <w:p w14:paraId="6EBFF1B9" w14:textId="5DEC20E3" w:rsidR="00421CA0" w:rsidRPr="00783571" w:rsidRDefault="000F17E7" w:rsidP="00D40CDC">
            <w:pPr>
              <w:pStyle w:val="TableText"/>
              <w:rPr>
                <w:sz w:val="20"/>
              </w:rPr>
            </w:pPr>
            <m:oMathPara>
              <m:oMath>
                <m:sSub>
                  <m:sSubPr>
                    <m:ctrlPr>
                      <w:rPr>
                        <w:rFonts w:ascii="Cambria Math" w:hAnsi="Cambria Math"/>
                        <w:i/>
                        <w:sz w:val="20"/>
                      </w:rPr>
                    </m:ctrlPr>
                  </m:sSubPr>
                  <m:e>
                    <m:r>
                      <w:rPr>
                        <w:rFonts w:ascii="Cambria Math" w:hAnsi="Cambria Math"/>
                        <w:sz w:val="20"/>
                      </w:rPr>
                      <m:t>K</m:t>
                    </m:r>
                  </m:e>
                  <m:sub>
                    <m:r>
                      <w:rPr>
                        <w:rFonts w:ascii="Cambria Math" w:hAnsi="Cambria Math"/>
                        <w:sz w:val="20"/>
                      </w:rPr>
                      <m:t>p</m:t>
                    </m:r>
                  </m:sub>
                </m:sSub>
              </m:oMath>
            </m:oMathPara>
          </w:p>
        </w:tc>
        <w:tc>
          <w:tcPr>
            <w:tcW w:w="4240" w:type="pct"/>
            <w:shd w:val="clear" w:color="auto" w:fill="auto"/>
          </w:tcPr>
          <w:p w14:paraId="54A943A3" w14:textId="46B688A5" w:rsidR="00421CA0" w:rsidRPr="00783571" w:rsidRDefault="00421CA0" w:rsidP="00D40CDC">
            <w:pPr>
              <w:pStyle w:val="TableText"/>
              <w:rPr>
                <w:sz w:val="20"/>
              </w:rPr>
            </w:pPr>
            <w:r w:rsidRPr="00783571">
              <w:rPr>
                <w:sz w:val="20"/>
              </w:rPr>
              <w:t xml:space="preserve">Percentage of subpopulation </w:t>
            </w:r>
            <w:r w:rsidRPr="00783571">
              <w:rPr>
                <w:i/>
                <w:iCs/>
                <w:sz w:val="20"/>
              </w:rPr>
              <w:t>p</w:t>
            </w:r>
            <w:r w:rsidRPr="00783571">
              <w:rPr>
                <w:sz w:val="20"/>
              </w:rPr>
              <w:t xml:space="preserve"> compliant with testing at the given interval (relevant for interval-based testing only)</w:t>
            </w:r>
          </w:p>
        </w:tc>
      </w:tr>
      <w:tr w:rsidR="00421CA0" w:rsidRPr="00783571" w14:paraId="3D9889C4" w14:textId="77777777" w:rsidTr="00D40CDC">
        <w:trPr>
          <w:cantSplit/>
        </w:trPr>
        <w:tc>
          <w:tcPr>
            <w:tcW w:w="760" w:type="pct"/>
            <w:shd w:val="clear" w:color="auto" w:fill="auto"/>
          </w:tcPr>
          <w:p w14:paraId="182573C9" w14:textId="7E6032FC" w:rsidR="00421CA0" w:rsidRPr="00783571" w:rsidRDefault="00421CA0" w:rsidP="00D40CDC">
            <w:pPr>
              <w:pStyle w:val="TableText"/>
              <w:jc w:val="center"/>
              <w:rPr>
                <w:sz w:val="20"/>
              </w:rPr>
            </w:pPr>
            <w:r w:rsidRPr="00783571">
              <w:rPr>
                <w:i/>
                <w:sz w:val="20"/>
              </w:rPr>
              <w:t>L</w:t>
            </w:r>
          </w:p>
        </w:tc>
        <w:tc>
          <w:tcPr>
            <w:tcW w:w="4240" w:type="pct"/>
            <w:shd w:val="clear" w:color="auto" w:fill="auto"/>
          </w:tcPr>
          <w:p w14:paraId="6FD79C6A" w14:textId="4B90DA7E" w:rsidR="00421CA0" w:rsidRPr="00783571" w:rsidRDefault="00421CA0" w:rsidP="00D40CDC">
            <w:pPr>
              <w:pStyle w:val="TableText"/>
              <w:rPr>
                <w:sz w:val="20"/>
              </w:rPr>
            </w:pPr>
            <w:r w:rsidRPr="00783571">
              <w:rPr>
                <w:sz w:val="20"/>
              </w:rPr>
              <w:t>Cumulative life-years in the modelled population over the time horizon</w:t>
            </w:r>
          </w:p>
        </w:tc>
      </w:tr>
      <w:tr w:rsidR="00E2098C" w:rsidRPr="00783571" w14:paraId="51197F31" w14:textId="77777777" w:rsidTr="00D40CDC">
        <w:trPr>
          <w:cantSplit/>
        </w:trPr>
        <w:tc>
          <w:tcPr>
            <w:tcW w:w="760" w:type="pct"/>
            <w:shd w:val="clear" w:color="auto" w:fill="auto"/>
          </w:tcPr>
          <w:p w14:paraId="5123BCCE" w14:textId="5287A087" w:rsidR="00E2098C" w:rsidRPr="00783571" w:rsidRDefault="000F17E7" w:rsidP="00D40CDC">
            <w:pPr>
              <w:pStyle w:val="TableText"/>
              <w:jc w:val="center"/>
            </w:pPr>
            <m:oMathPara>
              <m:oMath>
                <m:sSub>
                  <m:sSubPr>
                    <m:ctrlPr>
                      <w:rPr>
                        <w:rFonts w:ascii="Cambria Math" w:hAnsi="Cambria Math"/>
                        <w:i/>
                        <w:sz w:val="22"/>
                        <w:szCs w:val="22"/>
                      </w:rPr>
                    </m:ctrlPr>
                  </m:sSubPr>
                  <m:e>
                    <m:r>
                      <m:rPr>
                        <m:sty m:val="b"/>
                      </m:rPr>
                      <w:rPr>
                        <w:rFonts w:ascii="Cambria Math" w:hAnsi="Cambria Math"/>
                        <w:sz w:val="22"/>
                        <w:szCs w:val="22"/>
                      </w:rPr>
                      <m:t>Ḷ</m:t>
                    </m:r>
                  </m:e>
                  <m:sub>
                    <m:r>
                      <w:rPr>
                        <w:rFonts w:ascii="Cambria Math" w:hAnsi="Cambria Math"/>
                        <w:sz w:val="22"/>
                        <w:szCs w:val="22"/>
                      </w:rPr>
                      <m:t>c,</m:t>
                    </m:r>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oMath>
            </m:oMathPara>
          </w:p>
        </w:tc>
        <w:tc>
          <w:tcPr>
            <w:tcW w:w="4240" w:type="pct"/>
            <w:shd w:val="clear" w:color="auto" w:fill="auto"/>
          </w:tcPr>
          <w:p w14:paraId="630EFD55" w14:textId="66162C81" w:rsidR="00E2098C" w:rsidRPr="00783571" w:rsidRDefault="00E2098C" w:rsidP="00D40CDC">
            <w:pPr>
              <w:pStyle w:val="TableText"/>
              <w:rPr>
                <w:sz w:val="20"/>
              </w:rPr>
            </w:pPr>
            <w:r w:rsidRPr="00783571">
              <w:rPr>
                <w:sz w:val="20"/>
              </w:rPr>
              <w:t>Binary indicator of eligibility for intervention j* for individuals in compartment c (1 = eligible, 0 = not eligible)</w:t>
            </w:r>
          </w:p>
        </w:tc>
      </w:tr>
      <w:tr w:rsidR="00833802" w:rsidRPr="00783571" w14:paraId="13C1F35C" w14:textId="77777777" w:rsidTr="00D40CDC">
        <w:trPr>
          <w:cantSplit/>
        </w:trPr>
        <w:tc>
          <w:tcPr>
            <w:tcW w:w="760" w:type="pct"/>
            <w:shd w:val="clear" w:color="auto" w:fill="auto"/>
          </w:tcPr>
          <w:p w14:paraId="37ACBF9B" w14:textId="7C329F1E" w:rsidR="00833802" w:rsidRPr="00783571" w:rsidRDefault="00F109C2" w:rsidP="00D40CDC">
            <w:pPr>
              <w:pStyle w:val="TableText"/>
              <w:jc w:val="center"/>
              <w:rPr>
                <w:sz w:val="20"/>
              </w:rPr>
            </w:pPr>
            <w:r w:rsidRPr="00783571">
              <w:rPr>
                <w:position w:val="-6"/>
              </w:rPr>
              <w:object w:dxaOrig="180" w:dyaOrig="279" w14:anchorId="7B22AC22">
                <v:shape id="_x0000_i1087" type="#_x0000_t75" style="width:7.5pt;height:14.25pt" o:ole="">
                  <v:imagedata r:id="rId187" o:title=""/>
                </v:shape>
                <o:OLEObject Type="Embed" ProgID="Equation.3" ShapeID="_x0000_i1087" DrawAspect="Content" ObjectID="_1584261729" r:id="rId188"/>
              </w:object>
            </w:r>
            <w:r w:rsidRPr="00783571">
              <w:rPr>
                <w:position w:val="-14"/>
                <w:sz w:val="20"/>
              </w:rPr>
              <w:object w:dxaOrig="460" w:dyaOrig="400" w14:anchorId="1B8B183E">
                <v:shape id="_x0000_i1088" type="#_x0000_t75" style="width:21.75pt;height:21.75pt" o:ole="">
                  <v:imagedata r:id="rId189" o:title=""/>
                </v:shape>
                <o:OLEObject Type="Embed" ProgID="Equation.3" ShapeID="_x0000_i1088" DrawAspect="Content" ObjectID="_1584261730" r:id="rId190"/>
              </w:object>
            </w:r>
          </w:p>
        </w:tc>
        <w:tc>
          <w:tcPr>
            <w:tcW w:w="4240" w:type="pct"/>
            <w:shd w:val="clear" w:color="auto" w:fill="auto"/>
          </w:tcPr>
          <w:p w14:paraId="793F7D97" w14:textId="74CFDAFC" w:rsidR="00833802" w:rsidRPr="00783571" w:rsidRDefault="00833802" w:rsidP="00DE4977">
            <w:pPr>
              <w:pStyle w:val="TableText"/>
              <w:rPr>
                <w:sz w:val="20"/>
              </w:rPr>
            </w:pPr>
            <w:r w:rsidRPr="00783571">
              <w:rPr>
                <w:sz w:val="20"/>
              </w:rPr>
              <w:t xml:space="preserve">Rate of linkage to HIV care among aware (not newly diagnosed) individuals, by demographic subpopulation </w:t>
            </w:r>
            <w:r w:rsidRPr="00783571">
              <w:rPr>
                <w:i/>
                <w:sz w:val="20"/>
              </w:rPr>
              <w:t>p</w:t>
            </w:r>
            <w:r w:rsidRPr="00783571">
              <w:rPr>
                <w:sz w:val="20"/>
              </w:rPr>
              <w:t xml:space="preserve"> at time </w:t>
            </w:r>
            <w:r w:rsidRPr="00783571">
              <w:rPr>
                <w:i/>
                <w:iCs/>
                <w:sz w:val="20"/>
              </w:rPr>
              <w:t>t</w:t>
            </w:r>
            <w:r w:rsidRPr="00783571">
              <w:rPr>
                <w:sz w:val="20"/>
              </w:rPr>
              <w:t xml:space="preserve">; applies to individuals aware of their infection but not in care or </w:t>
            </w:r>
            <w:r w:rsidR="000965E6" w:rsidRPr="00783571">
              <w:rPr>
                <w:sz w:val="20"/>
              </w:rPr>
              <w:t>prescribed ART</w:t>
            </w:r>
            <w:r w:rsidRPr="00783571">
              <w:rPr>
                <w:sz w:val="20"/>
              </w:rPr>
              <w:t xml:space="preserve"> (</w:t>
            </w:r>
            <w:r w:rsidRPr="00783571">
              <w:rPr>
                <w:i/>
                <w:sz w:val="20"/>
              </w:rPr>
              <w:t xml:space="preserve">c </w:t>
            </w:r>
            <w:r w:rsidRPr="00783571">
              <w:rPr>
                <w:sz w:val="20"/>
              </w:rPr>
              <w:t>=</w:t>
            </w:r>
            <w:r w:rsidR="00DE4977" w:rsidRPr="00783571">
              <w:rPr>
                <w:sz w:val="20"/>
              </w:rPr>
              <w:t>4</w:t>
            </w:r>
            <w:r w:rsidRPr="00783571">
              <w:rPr>
                <w:sz w:val="20"/>
              </w:rPr>
              <w:t>, 7, 12, 17, 22) only</w:t>
            </w:r>
          </w:p>
        </w:tc>
      </w:tr>
      <w:tr w:rsidR="00421CA0" w:rsidRPr="00783571" w14:paraId="44DA48FD" w14:textId="77777777" w:rsidTr="00D40CDC">
        <w:trPr>
          <w:cantSplit/>
        </w:trPr>
        <w:tc>
          <w:tcPr>
            <w:tcW w:w="760" w:type="pct"/>
            <w:shd w:val="clear" w:color="auto" w:fill="auto"/>
          </w:tcPr>
          <w:p w14:paraId="6CE7CC1A" w14:textId="1648C300" w:rsidR="00421CA0" w:rsidRPr="00783571" w:rsidRDefault="00330DC3" w:rsidP="00D40CDC">
            <w:pPr>
              <w:pStyle w:val="TableText"/>
              <w:jc w:val="center"/>
              <w:rPr>
                <w:sz w:val="20"/>
              </w:rPr>
            </w:pPr>
            <w:r w:rsidRPr="00783571">
              <w:rPr>
                <w:position w:val="-14"/>
                <w:sz w:val="20"/>
              </w:rPr>
              <w:object w:dxaOrig="400" w:dyaOrig="400" w14:anchorId="4FEEC6AD">
                <v:shape id="_x0000_i1089" type="#_x0000_t75" style="width:28.5pt;height:21.75pt" o:ole="">
                  <v:imagedata r:id="rId191" o:title=""/>
                </v:shape>
                <o:OLEObject Type="Embed" ProgID="Equation.3" ShapeID="_x0000_i1089" DrawAspect="Content" ObjectID="_1584261731" r:id="rId192"/>
              </w:object>
            </w:r>
          </w:p>
        </w:tc>
        <w:tc>
          <w:tcPr>
            <w:tcW w:w="4240" w:type="pct"/>
            <w:shd w:val="clear" w:color="auto" w:fill="auto"/>
          </w:tcPr>
          <w:p w14:paraId="138DE015" w14:textId="006D9CEA" w:rsidR="00421CA0" w:rsidRPr="00783571" w:rsidRDefault="00421CA0" w:rsidP="00D40CDC">
            <w:pPr>
              <w:pStyle w:val="TableText"/>
              <w:rPr>
                <w:sz w:val="20"/>
              </w:rPr>
            </w:pPr>
            <w:r w:rsidRPr="00783571">
              <w:rPr>
                <w:sz w:val="20"/>
              </w:rPr>
              <w:t xml:space="preserve">Annual number of partners of risk type z per person in demographic subpopulation </w:t>
            </w:r>
            <w:r w:rsidRPr="00783571">
              <w:rPr>
                <w:i/>
                <w:sz w:val="20"/>
              </w:rPr>
              <w:t>p</w:t>
            </w:r>
          </w:p>
        </w:tc>
      </w:tr>
      <w:tr w:rsidR="00421CA0" w:rsidRPr="00783571" w14:paraId="3B80DC1D" w14:textId="77777777" w:rsidTr="00D40CDC">
        <w:trPr>
          <w:cantSplit/>
        </w:trPr>
        <w:tc>
          <w:tcPr>
            <w:tcW w:w="760" w:type="pct"/>
            <w:shd w:val="clear" w:color="auto" w:fill="auto"/>
          </w:tcPr>
          <w:p w14:paraId="052EF711" w14:textId="3D1A8B46" w:rsidR="00421CA0" w:rsidRPr="00783571" w:rsidRDefault="000F17E7" w:rsidP="00D40CDC">
            <w:pPr>
              <w:pStyle w:val="TableText"/>
              <w:jc w:val="center"/>
              <w:rPr>
                <w:sz w:val="20"/>
              </w:rPr>
            </w:pPr>
            <m:oMathPara>
              <m:oMath>
                <m:sSub>
                  <m:sSubPr>
                    <m:ctrlPr>
                      <w:rPr>
                        <w:rFonts w:ascii="Cambria Math" w:hAnsi="Cambria Math"/>
                        <w:i/>
                        <w:sz w:val="20"/>
                      </w:rPr>
                    </m:ctrlPr>
                  </m:sSubPr>
                  <m:e>
                    <m:r>
                      <w:rPr>
                        <w:rFonts w:ascii="Cambria Math" w:hAnsi="Cambria Math"/>
                        <w:sz w:val="20"/>
                      </w:rPr>
                      <m:t>N</m:t>
                    </m:r>
                  </m:e>
                  <m:sub>
                    <m:r>
                      <w:rPr>
                        <w:rFonts w:ascii="Cambria Math" w:hAnsi="Cambria Math"/>
                        <w:sz w:val="20"/>
                      </w:rPr>
                      <m:t>p</m:t>
                    </m:r>
                  </m:sub>
                </m:sSub>
              </m:oMath>
            </m:oMathPara>
          </w:p>
        </w:tc>
        <w:tc>
          <w:tcPr>
            <w:tcW w:w="4240" w:type="pct"/>
            <w:shd w:val="clear" w:color="auto" w:fill="auto"/>
          </w:tcPr>
          <w:p w14:paraId="75C902E4" w14:textId="66815CAB" w:rsidR="00421CA0" w:rsidRPr="00783571" w:rsidRDefault="00421CA0" w:rsidP="00D40CDC">
            <w:pPr>
              <w:pStyle w:val="TableText"/>
              <w:rPr>
                <w:iCs/>
                <w:sz w:val="20"/>
              </w:rPr>
            </w:pPr>
            <w:r w:rsidRPr="00783571">
              <w:rPr>
                <w:sz w:val="20"/>
              </w:rPr>
              <w:t xml:space="preserve">Average interval between tests in months by demographic subpopulation </w:t>
            </w:r>
            <w:r w:rsidRPr="00783571">
              <w:rPr>
                <w:i/>
                <w:sz w:val="20"/>
              </w:rPr>
              <w:t>p</w:t>
            </w:r>
            <w:r w:rsidR="00C64F7C" w:rsidRPr="00783571">
              <w:rPr>
                <w:iCs/>
                <w:sz w:val="20"/>
              </w:rPr>
              <w:t xml:space="preserve"> (applicable to HET interval-based testing method only)</w:t>
            </w:r>
          </w:p>
        </w:tc>
      </w:tr>
      <w:tr w:rsidR="00E2098C" w:rsidRPr="00783571" w14:paraId="53ADC4D7" w14:textId="77777777" w:rsidTr="00BF50B1">
        <w:trPr>
          <w:cantSplit/>
        </w:trPr>
        <w:tc>
          <w:tcPr>
            <w:tcW w:w="760" w:type="pct"/>
            <w:shd w:val="clear" w:color="auto" w:fill="auto"/>
          </w:tcPr>
          <w:p w14:paraId="4DE6FDC9" w14:textId="39BA5E34" w:rsidR="00E2098C" w:rsidRPr="00783571" w:rsidRDefault="00E2098C" w:rsidP="00BF50B1">
            <w:pPr>
              <w:pStyle w:val="TableText"/>
              <w:jc w:val="center"/>
              <w:rPr>
                <w:sz w:val="20"/>
              </w:rPr>
            </w:pPr>
            <w:r w:rsidRPr="00783571">
              <w:rPr>
                <w:rFonts w:ascii="Arial" w:hAnsi="Arial" w:cs="Arial"/>
                <w:sz w:val="20"/>
              </w:rPr>
              <w:t>ṅ</w:t>
            </w:r>
            <w:r w:rsidRPr="00783571">
              <w:rPr>
                <w:rFonts w:ascii="Arial" w:hAnsi="Arial" w:cs="Arial"/>
                <w:sz w:val="20"/>
                <w:vertAlign w:val="subscript"/>
              </w:rPr>
              <w:t>j*</w:t>
            </w:r>
          </w:p>
        </w:tc>
        <w:tc>
          <w:tcPr>
            <w:tcW w:w="4240" w:type="pct"/>
            <w:shd w:val="clear" w:color="auto" w:fill="auto"/>
          </w:tcPr>
          <w:p w14:paraId="31A2F56B" w14:textId="575DA95B" w:rsidR="00E2098C" w:rsidRPr="00783571" w:rsidRDefault="00E2098C" w:rsidP="00E2098C">
            <w:pPr>
              <w:pStyle w:val="bullets"/>
              <w:numPr>
                <w:ilvl w:val="0"/>
                <w:numId w:val="0"/>
              </w:numPr>
            </w:pPr>
            <w:r w:rsidRPr="00783571">
              <w:t>Annual funding allocation for implementing intervention j*</w:t>
            </w:r>
          </w:p>
        </w:tc>
      </w:tr>
      <w:tr w:rsidR="00421CA0" w:rsidRPr="00783571" w14:paraId="4FBEACA0" w14:textId="77777777" w:rsidTr="00D40CDC">
        <w:trPr>
          <w:cantSplit/>
        </w:trPr>
        <w:tc>
          <w:tcPr>
            <w:tcW w:w="760" w:type="pct"/>
            <w:shd w:val="clear" w:color="auto" w:fill="auto"/>
          </w:tcPr>
          <w:p w14:paraId="598924F7" w14:textId="3F92A527" w:rsidR="00421CA0" w:rsidRPr="00783571" w:rsidRDefault="000F17E7" w:rsidP="00D40CDC">
            <w:pPr>
              <w:pStyle w:val="TableText"/>
              <w:jc w:val="center"/>
              <w:rPr>
                <w:sz w:val="20"/>
              </w:rPr>
            </w:pPr>
            <m:oMathPara>
              <m:oMath>
                <m:sSub>
                  <m:sSubPr>
                    <m:ctrlPr>
                      <w:rPr>
                        <w:rFonts w:ascii="Cambria Math" w:hAnsi="Cambria Math"/>
                        <w:sz w:val="20"/>
                      </w:rPr>
                    </m:ctrlPr>
                  </m:sSubPr>
                  <m:e>
                    <m:r>
                      <w:rPr>
                        <w:rFonts w:ascii="Cambria Math" w:hAnsi="Cambria Math"/>
                        <w:sz w:val="20"/>
                      </w:rPr>
                      <m:t>O</m:t>
                    </m:r>
                  </m:e>
                  <m:sub>
                    <m:r>
                      <w:rPr>
                        <w:rFonts w:ascii="Cambria Math" w:hAnsi="Cambria Math"/>
                        <w:sz w:val="20"/>
                      </w:rPr>
                      <m:t>p,y</m:t>
                    </m:r>
                  </m:sub>
                </m:sSub>
              </m:oMath>
            </m:oMathPara>
          </w:p>
        </w:tc>
        <w:tc>
          <w:tcPr>
            <w:tcW w:w="4240" w:type="pct"/>
            <w:shd w:val="clear" w:color="auto" w:fill="auto"/>
          </w:tcPr>
          <w:p w14:paraId="7D5C0F2A" w14:textId="77D68D93" w:rsidR="00421CA0" w:rsidRPr="00783571" w:rsidRDefault="00421CA0" w:rsidP="00D40CDC">
            <w:pPr>
              <w:pStyle w:val="TableText"/>
              <w:rPr>
                <w:sz w:val="20"/>
              </w:rPr>
            </w:pPr>
            <w:r w:rsidRPr="00783571">
              <w:rPr>
                <w:sz w:val="20"/>
              </w:rPr>
              <w:t>Percentage of subpopulation p’s partnerships that are type y, given partnerships of type y</w:t>
            </w:r>
          </w:p>
        </w:tc>
      </w:tr>
      <w:tr w:rsidR="00421CA0" w:rsidRPr="00783571" w14:paraId="7C170896" w14:textId="77777777" w:rsidTr="00D40CDC">
        <w:trPr>
          <w:cantSplit/>
        </w:trPr>
        <w:tc>
          <w:tcPr>
            <w:tcW w:w="760" w:type="pct"/>
            <w:shd w:val="clear" w:color="auto" w:fill="auto"/>
          </w:tcPr>
          <w:p w14:paraId="2AABBB68" w14:textId="33C64960" w:rsidR="00421CA0" w:rsidRPr="00783571" w:rsidRDefault="00421CA0" w:rsidP="00D40CDC">
            <w:pPr>
              <w:pStyle w:val="TableText"/>
              <w:jc w:val="center"/>
              <w:rPr>
                <w:iCs/>
                <w:sz w:val="20"/>
              </w:rPr>
            </w:pPr>
            <w:r w:rsidRPr="00783571">
              <w:rPr>
                <w:i/>
                <w:sz w:val="20"/>
              </w:rPr>
              <w:t>P(t)</w:t>
            </w:r>
          </w:p>
        </w:tc>
        <w:tc>
          <w:tcPr>
            <w:tcW w:w="4240" w:type="pct"/>
            <w:shd w:val="clear" w:color="auto" w:fill="auto"/>
          </w:tcPr>
          <w:p w14:paraId="19416045" w14:textId="58F9B520" w:rsidR="00421CA0" w:rsidRPr="00783571" w:rsidRDefault="00421CA0" w:rsidP="00D40CDC">
            <w:pPr>
              <w:pStyle w:val="TableText"/>
              <w:rPr>
                <w:sz w:val="20"/>
              </w:rPr>
            </w:pPr>
            <w:r w:rsidRPr="00783571">
              <w:rPr>
                <w:sz w:val="20"/>
              </w:rPr>
              <w:t xml:space="preserve">HIV prevalence at time </w:t>
            </w:r>
            <w:r w:rsidRPr="00783571">
              <w:rPr>
                <w:i/>
                <w:sz w:val="20"/>
              </w:rPr>
              <w:t>t</w:t>
            </w:r>
            <w:r w:rsidRPr="00783571">
              <w:rPr>
                <w:sz w:val="20"/>
              </w:rPr>
              <w:t>, defined as the number of individuals with HIV</w:t>
            </w:r>
          </w:p>
        </w:tc>
      </w:tr>
      <w:tr w:rsidR="00220142" w:rsidRPr="00783571" w14:paraId="2911D0A3" w14:textId="77777777" w:rsidTr="00D40CDC">
        <w:trPr>
          <w:cantSplit/>
        </w:trPr>
        <w:tc>
          <w:tcPr>
            <w:tcW w:w="760" w:type="pct"/>
            <w:shd w:val="clear" w:color="auto" w:fill="auto"/>
          </w:tcPr>
          <w:p w14:paraId="133A790D" w14:textId="3F19D9A0" w:rsidR="00220142" w:rsidRPr="00783571" w:rsidRDefault="00220142" w:rsidP="00D40CDC">
            <w:pPr>
              <w:pStyle w:val="TableText"/>
              <w:jc w:val="center"/>
              <w:rPr>
                <w:i/>
                <w:sz w:val="20"/>
              </w:rPr>
            </w:pPr>
            <w:r w:rsidRPr="00783571">
              <w:rPr>
                <w:i/>
                <w:sz w:val="20"/>
              </w:rPr>
              <w:t>Q</w:t>
            </w:r>
          </w:p>
        </w:tc>
        <w:tc>
          <w:tcPr>
            <w:tcW w:w="4240" w:type="pct"/>
            <w:shd w:val="clear" w:color="auto" w:fill="auto"/>
          </w:tcPr>
          <w:p w14:paraId="4542A71D" w14:textId="5272D789" w:rsidR="00220142" w:rsidRPr="00783571" w:rsidRDefault="00220142" w:rsidP="00D40CDC">
            <w:pPr>
              <w:pStyle w:val="TableText"/>
              <w:rPr>
                <w:sz w:val="20"/>
              </w:rPr>
            </w:pPr>
            <w:r w:rsidRPr="00783571">
              <w:rPr>
                <w:sz w:val="20"/>
              </w:rPr>
              <w:t>Discount rate for QALYs</w:t>
            </w:r>
          </w:p>
        </w:tc>
      </w:tr>
      <w:tr w:rsidR="00220142" w:rsidRPr="00783571" w14:paraId="44CFF8C9" w14:textId="77777777" w:rsidTr="00D40CDC">
        <w:trPr>
          <w:cantSplit/>
        </w:trPr>
        <w:tc>
          <w:tcPr>
            <w:tcW w:w="760" w:type="pct"/>
            <w:shd w:val="clear" w:color="auto" w:fill="auto"/>
          </w:tcPr>
          <w:p w14:paraId="5DEC4C01" w14:textId="52796F63" w:rsidR="00220142" w:rsidRPr="00783571" w:rsidRDefault="00220142" w:rsidP="00D40CDC">
            <w:pPr>
              <w:pStyle w:val="TableText"/>
              <w:jc w:val="center"/>
              <w:rPr>
                <w:i/>
                <w:sz w:val="20"/>
              </w:rPr>
            </w:pPr>
            <w:r w:rsidRPr="00783571">
              <w:rPr>
                <w:i/>
                <w:sz w:val="20"/>
              </w:rPr>
              <w:t>q(t)</w:t>
            </w:r>
          </w:p>
        </w:tc>
        <w:tc>
          <w:tcPr>
            <w:tcW w:w="4240" w:type="pct"/>
            <w:shd w:val="clear" w:color="auto" w:fill="auto"/>
          </w:tcPr>
          <w:p w14:paraId="4D2CA558" w14:textId="5717AF49" w:rsidR="00220142" w:rsidRPr="00783571" w:rsidRDefault="00220142" w:rsidP="00D40CDC">
            <w:pPr>
              <w:pStyle w:val="TableText"/>
              <w:rPr>
                <w:sz w:val="20"/>
              </w:rPr>
            </w:pPr>
            <w:r w:rsidRPr="00783571">
              <w:rPr>
                <w:sz w:val="20"/>
              </w:rPr>
              <w:t>Length of model’s computational time step, in years, at time t</w:t>
            </w:r>
          </w:p>
        </w:tc>
      </w:tr>
      <w:tr w:rsidR="00220142" w:rsidRPr="00783571" w14:paraId="3302FC0A" w14:textId="77777777" w:rsidTr="002A4EE6">
        <w:trPr>
          <w:cantSplit/>
        </w:trPr>
        <w:tc>
          <w:tcPr>
            <w:tcW w:w="760" w:type="pct"/>
            <w:tcBorders>
              <w:bottom w:val="single" w:sz="4" w:space="0" w:color="808080" w:themeColor="background1" w:themeShade="80"/>
            </w:tcBorders>
            <w:shd w:val="clear" w:color="auto" w:fill="auto"/>
          </w:tcPr>
          <w:p w14:paraId="3DBF642B" w14:textId="4BE3AEF6" w:rsidR="00220142" w:rsidRPr="00783571" w:rsidRDefault="00220142" w:rsidP="00D40CDC">
            <w:pPr>
              <w:pStyle w:val="TableText"/>
              <w:jc w:val="center"/>
              <w:rPr>
                <w:i/>
                <w:sz w:val="20"/>
                <w:vertAlign w:val="subscript"/>
              </w:rPr>
            </w:pPr>
            <w:r w:rsidRPr="00783571">
              <w:rPr>
                <w:i/>
                <w:sz w:val="20"/>
              </w:rPr>
              <w:t>R</w:t>
            </w:r>
            <w:r w:rsidRPr="00783571">
              <w:rPr>
                <w:i/>
                <w:sz w:val="20"/>
                <w:vertAlign w:val="subscript"/>
              </w:rPr>
              <w:t>c</w:t>
            </w:r>
          </w:p>
        </w:tc>
        <w:tc>
          <w:tcPr>
            <w:tcW w:w="4240" w:type="pct"/>
            <w:tcBorders>
              <w:bottom w:val="single" w:sz="4" w:space="0" w:color="808080" w:themeColor="background1" w:themeShade="80"/>
            </w:tcBorders>
            <w:shd w:val="clear" w:color="auto" w:fill="auto"/>
          </w:tcPr>
          <w:p w14:paraId="7272A3CE" w14:textId="69DF8015" w:rsidR="00220142" w:rsidRPr="00783571" w:rsidRDefault="00220142" w:rsidP="00D40CDC">
            <w:pPr>
              <w:pStyle w:val="TableText"/>
              <w:rPr>
                <w:sz w:val="20"/>
              </w:rPr>
            </w:pPr>
            <w:r w:rsidRPr="00783571">
              <w:rPr>
                <w:sz w:val="20"/>
              </w:rPr>
              <w:t>Health utility for individuals in compartment c</w:t>
            </w:r>
          </w:p>
        </w:tc>
      </w:tr>
      <w:tr w:rsidR="00220142" w:rsidRPr="00783571" w14:paraId="3D9603BA" w14:textId="77777777" w:rsidTr="002A4EE6">
        <w:trPr>
          <w:cantSplit/>
        </w:trPr>
        <w:tc>
          <w:tcPr>
            <w:tcW w:w="760" w:type="pct"/>
            <w:tcBorders>
              <w:top w:val="single" w:sz="4" w:space="0" w:color="808080" w:themeColor="background1" w:themeShade="80"/>
              <w:bottom w:val="single" w:sz="6" w:space="0" w:color="808080" w:themeColor="background1" w:themeShade="80"/>
            </w:tcBorders>
            <w:shd w:val="clear" w:color="auto" w:fill="auto"/>
          </w:tcPr>
          <w:p w14:paraId="6841C36F" w14:textId="3C719F56" w:rsidR="00220142" w:rsidRPr="00783571" w:rsidRDefault="00220142" w:rsidP="00D40CDC">
            <w:pPr>
              <w:pStyle w:val="TableText"/>
              <w:jc w:val="center"/>
              <w:rPr>
                <w:i/>
                <w:sz w:val="20"/>
                <w:vertAlign w:val="subscript"/>
              </w:rPr>
            </w:pPr>
            <w:r w:rsidRPr="00783571">
              <w:rPr>
                <w:i/>
                <w:sz w:val="20"/>
              </w:rPr>
              <w:t>R</w:t>
            </w:r>
            <w:r w:rsidRPr="00783571">
              <w:rPr>
                <w:i/>
                <w:sz w:val="20"/>
                <w:vertAlign w:val="subscript"/>
              </w:rPr>
              <w:t>j*,1</w:t>
            </w:r>
          </w:p>
        </w:tc>
        <w:tc>
          <w:tcPr>
            <w:tcW w:w="4240" w:type="pct"/>
            <w:tcBorders>
              <w:top w:val="single" w:sz="4" w:space="0" w:color="808080" w:themeColor="background1" w:themeShade="80"/>
              <w:bottom w:val="single" w:sz="6" w:space="0" w:color="808080" w:themeColor="background1" w:themeShade="80"/>
            </w:tcBorders>
            <w:shd w:val="clear" w:color="auto" w:fill="auto"/>
          </w:tcPr>
          <w:p w14:paraId="3DF365D2" w14:textId="29BE79AD" w:rsidR="00220142" w:rsidRPr="00783571" w:rsidRDefault="00220142" w:rsidP="00D40CDC">
            <w:pPr>
              <w:pStyle w:val="TableText"/>
              <w:rPr>
                <w:sz w:val="20"/>
              </w:rPr>
            </w:pPr>
            <w:r w:rsidRPr="00783571">
              <w:rPr>
                <w:sz w:val="20"/>
              </w:rPr>
              <w:t xml:space="preserve">Maximum reach for intervention j* in any </w:t>
            </w:r>
            <w:r w:rsidR="006015C3" w:rsidRPr="00783571">
              <w:rPr>
                <w:sz w:val="20"/>
              </w:rPr>
              <w:t xml:space="preserve">1 </w:t>
            </w:r>
            <w:r w:rsidRPr="00783571">
              <w:rPr>
                <w:sz w:val="20"/>
              </w:rPr>
              <w:t>year among individuals eligible for that intervention</w:t>
            </w:r>
          </w:p>
        </w:tc>
      </w:tr>
    </w:tbl>
    <w:p w14:paraId="39C9EDE8" w14:textId="77777777" w:rsidR="004A1C14" w:rsidRPr="00783571" w:rsidRDefault="004A1C14" w:rsidP="004A1C14">
      <w:pPr>
        <w:pStyle w:val="Tablecont"/>
        <w:rPr>
          <w:sz w:val="20"/>
        </w:rPr>
      </w:pPr>
      <w:r w:rsidRPr="00783571">
        <w:rPr>
          <w:sz w:val="20"/>
        </w:rPr>
        <w:t>(continued)</w:t>
      </w:r>
    </w:p>
    <w:p w14:paraId="451114EA" w14:textId="77777777" w:rsidR="00F31D98" w:rsidRPr="00783571" w:rsidRDefault="00F31D98">
      <w:pPr>
        <w:rPr>
          <w:b/>
        </w:rPr>
      </w:pPr>
      <w:r w:rsidRPr="00783571">
        <w:br w:type="page"/>
      </w:r>
    </w:p>
    <w:p w14:paraId="12B8A36B" w14:textId="4CF3EE7D" w:rsidR="004A1C14" w:rsidRPr="00783571" w:rsidRDefault="004A1C14" w:rsidP="00F31D98">
      <w:pPr>
        <w:pStyle w:val="TableTitlecont"/>
      </w:pPr>
      <w:r w:rsidRPr="00783571">
        <w:t>Table A.1.</w:t>
      </w:r>
      <w:r w:rsidRPr="00783571">
        <w:tab/>
        <w:t>Definitions of Symbols Applied in This Document (continued)</w:t>
      </w:r>
    </w:p>
    <w:tbl>
      <w:tblPr>
        <w:tblW w:w="5001" w:type="pct"/>
        <w:tblInd w:w="86" w:type="dxa"/>
        <w:tblBorders>
          <w:top w:val="single" w:sz="12" w:space="0" w:color="auto"/>
          <w:bottom w:val="single" w:sz="12" w:space="0" w:color="auto"/>
          <w:insideH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970"/>
        <w:gridCol w:w="10993"/>
      </w:tblGrid>
      <w:tr w:rsidR="004A1C14" w:rsidRPr="00783571" w14:paraId="01FFA1E2" w14:textId="77777777" w:rsidTr="002A4EE6">
        <w:trPr>
          <w:cantSplit/>
          <w:tblHeader/>
        </w:trPr>
        <w:tc>
          <w:tcPr>
            <w:tcW w:w="760" w:type="pct"/>
            <w:tcBorders>
              <w:top w:val="single" w:sz="12" w:space="0" w:color="auto"/>
              <w:bottom w:val="single" w:sz="6" w:space="0" w:color="auto"/>
            </w:tcBorders>
            <w:shd w:val="clear" w:color="auto" w:fill="auto"/>
          </w:tcPr>
          <w:p w14:paraId="5061F3F2" w14:textId="77777777" w:rsidR="004A1C14" w:rsidRPr="00783571" w:rsidRDefault="004A1C14" w:rsidP="00F52C23">
            <w:pPr>
              <w:pStyle w:val="TableHeaders"/>
              <w:rPr>
                <w:sz w:val="20"/>
              </w:rPr>
            </w:pPr>
            <w:r w:rsidRPr="00783571">
              <w:rPr>
                <w:sz w:val="20"/>
              </w:rPr>
              <w:t>Symbol</w:t>
            </w:r>
          </w:p>
        </w:tc>
        <w:tc>
          <w:tcPr>
            <w:tcW w:w="4240" w:type="pct"/>
            <w:tcBorders>
              <w:top w:val="single" w:sz="12" w:space="0" w:color="auto"/>
              <w:bottom w:val="single" w:sz="6" w:space="0" w:color="auto"/>
            </w:tcBorders>
            <w:shd w:val="clear" w:color="auto" w:fill="auto"/>
          </w:tcPr>
          <w:p w14:paraId="58D86DF8" w14:textId="77777777" w:rsidR="004A1C14" w:rsidRPr="00783571" w:rsidRDefault="004A1C14" w:rsidP="00F52C23">
            <w:pPr>
              <w:pStyle w:val="TableHeaders"/>
              <w:jc w:val="left"/>
              <w:rPr>
                <w:sz w:val="20"/>
              </w:rPr>
            </w:pPr>
            <w:r w:rsidRPr="00783571">
              <w:rPr>
                <w:sz w:val="20"/>
              </w:rPr>
              <w:t>Definition</w:t>
            </w:r>
          </w:p>
        </w:tc>
      </w:tr>
      <w:tr w:rsidR="004A1C14" w:rsidRPr="00783571" w14:paraId="4DDB8450" w14:textId="77777777" w:rsidTr="002A4EE6">
        <w:trPr>
          <w:cantSplit/>
        </w:trPr>
        <w:tc>
          <w:tcPr>
            <w:tcW w:w="5000" w:type="pct"/>
            <w:gridSpan w:val="2"/>
            <w:tcBorders>
              <w:top w:val="single" w:sz="6" w:space="0" w:color="auto"/>
            </w:tcBorders>
            <w:shd w:val="clear" w:color="auto" w:fill="D9D9D9" w:themeFill="background1" w:themeFillShade="D9"/>
          </w:tcPr>
          <w:p w14:paraId="46F205F6" w14:textId="77777777" w:rsidR="004A1C14" w:rsidRPr="00783571" w:rsidRDefault="004A1C14" w:rsidP="00F52C23">
            <w:pPr>
              <w:pStyle w:val="TableText"/>
              <w:rPr>
                <w:b/>
                <w:sz w:val="20"/>
              </w:rPr>
            </w:pPr>
            <w:r w:rsidRPr="00783571">
              <w:rPr>
                <w:b/>
                <w:sz w:val="20"/>
              </w:rPr>
              <w:t>Latin Alphabet (continued)</w:t>
            </w:r>
          </w:p>
        </w:tc>
      </w:tr>
      <w:tr w:rsidR="002A4EE6" w:rsidRPr="00783571" w14:paraId="73F380AF" w14:textId="77777777" w:rsidTr="002A4EE6">
        <w:trPr>
          <w:cantSplit/>
        </w:trPr>
        <w:tc>
          <w:tcPr>
            <w:tcW w:w="760" w:type="pct"/>
            <w:shd w:val="clear" w:color="auto" w:fill="auto"/>
          </w:tcPr>
          <w:p w14:paraId="6512813C" w14:textId="77777777" w:rsidR="002A4EE6" w:rsidRPr="00783571" w:rsidRDefault="002A4EE6" w:rsidP="00260D8A">
            <w:pPr>
              <w:pStyle w:val="TableText"/>
              <w:jc w:val="center"/>
              <w:rPr>
                <w:i/>
                <w:sz w:val="20"/>
              </w:rPr>
            </w:pPr>
            <w:r w:rsidRPr="00783571">
              <w:rPr>
                <w:i/>
                <w:sz w:val="20"/>
              </w:rPr>
              <w:t>R</w:t>
            </w:r>
            <w:r w:rsidRPr="00783571">
              <w:rPr>
                <w:i/>
                <w:sz w:val="20"/>
                <w:vertAlign w:val="subscript"/>
              </w:rPr>
              <w:t>j*,2</w:t>
            </w:r>
          </w:p>
        </w:tc>
        <w:tc>
          <w:tcPr>
            <w:tcW w:w="4240" w:type="pct"/>
            <w:shd w:val="clear" w:color="auto" w:fill="auto"/>
          </w:tcPr>
          <w:p w14:paraId="11F4B5EA" w14:textId="77777777" w:rsidR="002A4EE6" w:rsidRPr="00783571" w:rsidRDefault="002A4EE6" w:rsidP="00260D8A">
            <w:pPr>
              <w:pStyle w:val="TableText"/>
              <w:rPr>
                <w:sz w:val="20"/>
              </w:rPr>
            </w:pPr>
            <w:r w:rsidRPr="00783571">
              <w:rPr>
                <w:sz w:val="20"/>
              </w:rPr>
              <w:t>Maximum annual rate or probability of the transition targeted by intervention j* among individuals eligible for that intervention</w:t>
            </w:r>
          </w:p>
        </w:tc>
      </w:tr>
      <w:tr w:rsidR="002A4EE6" w:rsidRPr="00783571" w14:paraId="5C5D69C9" w14:textId="77777777" w:rsidTr="002A4EE6">
        <w:trPr>
          <w:cantSplit/>
        </w:trPr>
        <w:tc>
          <w:tcPr>
            <w:tcW w:w="760" w:type="pct"/>
            <w:shd w:val="clear" w:color="auto" w:fill="auto"/>
          </w:tcPr>
          <w:p w14:paraId="5F9CBFFE" w14:textId="77777777" w:rsidR="002A4EE6" w:rsidRPr="00783571" w:rsidRDefault="002A4EE6" w:rsidP="00260D8A">
            <w:pPr>
              <w:pStyle w:val="TableText"/>
              <w:jc w:val="center"/>
              <w:rPr>
                <w:iCs/>
                <w:sz w:val="20"/>
              </w:rPr>
            </w:pPr>
            <w:r w:rsidRPr="00783571">
              <w:rPr>
                <w:i/>
                <w:sz w:val="20"/>
              </w:rPr>
              <w:t>S</w:t>
            </w:r>
            <w:r w:rsidRPr="00783571">
              <w:rPr>
                <w:i/>
                <w:iCs/>
                <w:sz w:val="20"/>
                <w:vertAlign w:val="subscript"/>
              </w:rPr>
              <w:t xml:space="preserve"> p</w:t>
            </w:r>
          </w:p>
        </w:tc>
        <w:tc>
          <w:tcPr>
            <w:tcW w:w="4240" w:type="pct"/>
            <w:shd w:val="clear" w:color="auto" w:fill="auto"/>
          </w:tcPr>
          <w:p w14:paraId="1B7E6E62" w14:textId="0D80B458" w:rsidR="002A4EE6" w:rsidRPr="00783571" w:rsidRDefault="002A4EE6" w:rsidP="00260D8A">
            <w:pPr>
              <w:pStyle w:val="TableText"/>
              <w:rPr>
                <w:sz w:val="20"/>
              </w:rPr>
            </w:pPr>
            <w:r w:rsidRPr="00783571">
              <w:rPr>
                <w:sz w:val="20"/>
              </w:rPr>
              <w:t xml:space="preserve">Number of annual sex acts for an HIV-uninfected individual per partner, HIV-uninfected or undiagnosed, by subpopulation </w:t>
            </w:r>
            <w:r w:rsidRPr="00783571">
              <w:rPr>
                <w:i/>
                <w:iCs/>
                <w:sz w:val="20"/>
              </w:rPr>
              <w:t>p</w:t>
            </w:r>
          </w:p>
        </w:tc>
      </w:tr>
      <w:tr w:rsidR="002A4EE6" w:rsidRPr="00783571" w14:paraId="4C8D7635" w14:textId="77777777" w:rsidTr="002A4EE6">
        <w:trPr>
          <w:cantSplit/>
        </w:trPr>
        <w:tc>
          <w:tcPr>
            <w:tcW w:w="760" w:type="pct"/>
            <w:tcBorders>
              <w:bottom w:val="single" w:sz="4" w:space="0" w:color="808080" w:themeColor="background1" w:themeShade="80"/>
            </w:tcBorders>
            <w:shd w:val="clear" w:color="auto" w:fill="auto"/>
          </w:tcPr>
          <w:p w14:paraId="06B0291A" w14:textId="77777777" w:rsidR="002A4EE6" w:rsidRPr="00783571" w:rsidRDefault="002A4EE6" w:rsidP="00260D8A">
            <w:pPr>
              <w:pStyle w:val="TableText"/>
              <w:jc w:val="center"/>
              <w:rPr>
                <w:i/>
                <w:iCs/>
                <w:sz w:val="20"/>
              </w:rPr>
            </w:pPr>
            <w:r w:rsidRPr="00783571">
              <w:rPr>
                <w:i/>
                <w:iCs/>
                <w:sz w:val="20"/>
              </w:rPr>
              <w:t>s</w:t>
            </w:r>
            <w:r w:rsidRPr="00783571">
              <w:rPr>
                <w:i/>
                <w:iCs/>
                <w:sz w:val="20"/>
                <w:vertAlign w:val="subscript"/>
              </w:rPr>
              <w:t>c</w:t>
            </w:r>
          </w:p>
        </w:tc>
        <w:tc>
          <w:tcPr>
            <w:tcW w:w="4240" w:type="pct"/>
            <w:tcBorders>
              <w:bottom w:val="single" w:sz="4" w:space="0" w:color="808080" w:themeColor="background1" w:themeShade="80"/>
            </w:tcBorders>
            <w:shd w:val="clear" w:color="auto" w:fill="auto"/>
          </w:tcPr>
          <w:p w14:paraId="2F257F32" w14:textId="77777777" w:rsidR="002A4EE6" w:rsidRPr="00783571" w:rsidRDefault="002A4EE6" w:rsidP="00260D8A">
            <w:pPr>
              <w:pStyle w:val="TableText"/>
              <w:rPr>
                <w:sz w:val="20"/>
              </w:rPr>
            </w:pPr>
            <w:r w:rsidRPr="00783571">
              <w:rPr>
                <w:sz w:val="20"/>
              </w:rPr>
              <w:t xml:space="preserve">Binary indicator that model state </w:t>
            </w:r>
            <w:r w:rsidRPr="00783571">
              <w:rPr>
                <w:i/>
                <w:iCs/>
                <w:sz w:val="20"/>
              </w:rPr>
              <w:t>c</w:t>
            </w:r>
            <w:r w:rsidRPr="00783571">
              <w:rPr>
                <w:sz w:val="20"/>
              </w:rPr>
              <w:t xml:space="preserve"> is an infected HIV state (1 = infected, 0 = not infected)</w:t>
            </w:r>
          </w:p>
        </w:tc>
      </w:tr>
      <w:tr w:rsidR="002A4EE6" w:rsidRPr="00783571" w14:paraId="77C85DA4" w14:textId="77777777" w:rsidTr="002A4EE6">
        <w:trPr>
          <w:cantSplit/>
        </w:trPr>
        <w:tc>
          <w:tcPr>
            <w:tcW w:w="760" w:type="pct"/>
            <w:tcBorders>
              <w:top w:val="single" w:sz="4" w:space="0" w:color="808080" w:themeColor="background1" w:themeShade="80"/>
              <w:bottom w:val="single" w:sz="6" w:space="0" w:color="808080" w:themeColor="background1" w:themeShade="80"/>
            </w:tcBorders>
            <w:shd w:val="clear" w:color="auto" w:fill="auto"/>
          </w:tcPr>
          <w:p w14:paraId="69FCAF4F" w14:textId="7EA56BC6" w:rsidR="002A4EE6" w:rsidRPr="00783571" w:rsidRDefault="000F17E7" w:rsidP="00260D8A">
            <w:pPr>
              <w:pStyle w:val="TableText"/>
              <w:jc w:val="center"/>
              <w:rPr>
                <w:i/>
                <w:sz w:val="20"/>
              </w:rPr>
            </w:pPr>
            <m:oMathPara>
              <m:oMath>
                <m:sSub>
                  <m:sSubPr>
                    <m:ctrlPr>
                      <w:rPr>
                        <w:rFonts w:ascii="Cambria Math" w:hAnsi="Cambria Math"/>
                        <w:i/>
                        <w:iCs/>
                        <w:sz w:val="20"/>
                      </w:rPr>
                    </m:ctrlPr>
                  </m:sSubPr>
                  <m:e>
                    <m:r>
                      <m:rPr>
                        <m:sty m:val="p"/>
                      </m:rPr>
                      <w:rPr>
                        <w:rFonts w:ascii="Cambria Math" w:hAnsi="Cambria Math"/>
                      </w:rPr>
                      <m:t>Ṡ</m:t>
                    </m:r>
                  </m:e>
                  <m:sub>
                    <m:r>
                      <w:rPr>
                        <w:rFonts w:ascii="Cambria Math" w:hAnsi="Cambria Math"/>
                        <w:sz w:val="20"/>
                      </w:rPr>
                      <m:t>j*</m:t>
                    </m:r>
                  </m:sub>
                </m:sSub>
              </m:oMath>
            </m:oMathPara>
          </w:p>
        </w:tc>
        <w:tc>
          <w:tcPr>
            <w:tcW w:w="4240" w:type="pct"/>
            <w:tcBorders>
              <w:top w:val="single" w:sz="4" w:space="0" w:color="808080" w:themeColor="background1" w:themeShade="80"/>
              <w:bottom w:val="single" w:sz="6" w:space="0" w:color="808080" w:themeColor="background1" w:themeShade="80"/>
            </w:tcBorders>
            <w:shd w:val="clear" w:color="auto" w:fill="auto"/>
          </w:tcPr>
          <w:p w14:paraId="1DDE64A9" w14:textId="77777777" w:rsidR="002A4EE6" w:rsidRPr="00783571" w:rsidRDefault="002A4EE6" w:rsidP="00260D8A">
            <w:pPr>
              <w:pStyle w:val="TableText"/>
              <w:rPr>
                <w:sz w:val="20"/>
              </w:rPr>
            </w:pPr>
            <w:r w:rsidRPr="00783571">
              <w:rPr>
                <w:sz w:val="20"/>
              </w:rPr>
              <w:t>Per-person cost of implementing intervention j*, as incurred by the agency funding the intervention</w:t>
            </w:r>
          </w:p>
        </w:tc>
      </w:tr>
      <w:tr w:rsidR="008B0BC7" w:rsidRPr="00783571" w14:paraId="469D1FFD" w14:textId="77777777" w:rsidTr="002A4EE6">
        <w:trPr>
          <w:cantSplit/>
        </w:trPr>
        <w:tc>
          <w:tcPr>
            <w:tcW w:w="760" w:type="pct"/>
            <w:tcBorders>
              <w:top w:val="single" w:sz="6" w:space="0" w:color="808080" w:themeColor="background1" w:themeShade="80"/>
            </w:tcBorders>
            <w:shd w:val="clear" w:color="auto" w:fill="auto"/>
          </w:tcPr>
          <w:p w14:paraId="6D335D6A" w14:textId="3D3E8EE6" w:rsidR="008B0BC7" w:rsidRPr="00783571" w:rsidRDefault="008B0BC7" w:rsidP="00D40CDC">
            <w:pPr>
              <w:pStyle w:val="TableText"/>
              <w:jc w:val="center"/>
              <w:rPr>
                <w:sz w:val="20"/>
              </w:rPr>
            </w:pPr>
            <w:r w:rsidRPr="00783571">
              <w:rPr>
                <w:i/>
                <w:iCs/>
                <w:sz w:val="20"/>
              </w:rPr>
              <w:t>Τ</w:t>
            </w:r>
            <w:r w:rsidRPr="00783571">
              <w:rPr>
                <w:iCs/>
                <w:sz w:val="20"/>
                <w:vertAlign w:val="subscript"/>
              </w:rPr>
              <w:t>p1,p2,c</w:t>
            </w:r>
          </w:p>
        </w:tc>
        <w:tc>
          <w:tcPr>
            <w:tcW w:w="4240" w:type="pct"/>
            <w:tcBorders>
              <w:top w:val="single" w:sz="6" w:space="0" w:color="808080" w:themeColor="background1" w:themeShade="80"/>
            </w:tcBorders>
            <w:shd w:val="clear" w:color="auto" w:fill="auto"/>
          </w:tcPr>
          <w:p w14:paraId="669393E2" w14:textId="12E33292" w:rsidR="008B0BC7" w:rsidRPr="00783571" w:rsidRDefault="008B0BC7" w:rsidP="00D40CDC">
            <w:pPr>
              <w:pStyle w:val="TableText"/>
              <w:rPr>
                <w:sz w:val="20"/>
              </w:rPr>
            </w:pPr>
            <w:r w:rsidRPr="00783571">
              <w:rPr>
                <w:sz w:val="20"/>
              </w:rPr>
              <w:t xml:space="preserve">Reduction in number of needles shared for diagnosed versus undiagnosed or uninfected (0 if compartment </w:t>
            </w:r>
            <w:r w:rsidRPr="00783571">
              <w:rPr>
                <w:i/>
                <w:sz w:val="20"/>
              </w:rPr>
              <w:t>c</w:t>
            </w:r>
            <w:r w:rsidRPr="00783571">
              <w:rPr>
                <w:sz w:val="20"/>
              </w:rPr>
              <w:t xml:space="preserve"> is for undiagnosed or uninfected compartments or if either subpopulations </w:t>
            </w:r>
            <w:r w:rsidRPr="00783571">
              <w:rPr>
                <w:i/>
                <w:iCs/>
                <w:sz w:val="20"/>
              </w:rPr>
              <w:t>p1</w:t>
            </w:r>
            <w:r w:rsidRPr="00783571">
              <w:rPr>
                <w:sz w:val="20"/>
              </w:rPr>
              <w:t xml:space="preserve"> or </w:t>
            </w:r>
            <w:r w:rsidRPr="00783571">
              <w:rPr>
                <w:i/>
                <w:iCs/>
                <w:sz w:val="20"/>
              </w:rPr>
              <w:t>p2</w:t>
            </w:r>
            <w:r w:rsidRPr="00783571">
              <w:rPr>
                <w:sz w:val="20"/>
              </w:rPr>
              <w:t xml:space="preserve"> are not </w:t>
            </w:r>
            <w:r w:rsidR="005C4A38" w:rsidRPr="00783571">
              <w:rPr>
                <w:sz w:val="20"/>
              </w:rPr>
              <w:t>PWID</w:t>
            </w:r>
            <w:r w:rsidRPr="00783571">
              <w:rPr>
                <w:sz w:val="20"/>
              </w:rPr>
              <w:t>)</w:t>
            </w:r>
          </w:p>
        </w:tc>
      </w:tr>
      <w:tr w:rsidR="00421CA0" w:rsidRPr="00783571" w14:paraId="5AD9489E" w14:textId="77777777" w:rsidTr="002A4EE6">
        <w:trPr>
          <w:cantSplit/>
        </w:trPr>
        <w:tc>
          <w:tcPr>
            <w:tcW w:w="760" w:type="pct"/>
            <w:shd w:val="clear" w:color="auto" w:fill="auto"/>
          </w:tcPr>
          <w:p w14:paraId="6FF03F37" w14:textId="0E62378C" w:rsidR="00421CA0" w:rsidRPr="00783571" w:rsidRDefault="00421CA0" w:rsidP="00D40CDC">
            <w:pPr>
              <w:pStyle w:val="TableText"/>
              <w:jc w:val="center"/>
              <w:rPr>
                <w:sz w:val="20"/>
              </w:rPr>
            </w:pPr>
            <m:oMathPara>
              <m:oMath>
                <m:r>
                  <w:rPr>
                    <w:rFonts w:ascii="Cambria Math" w:hAnsi="Cambria Math"/>
                    <w:sz w:val="20"/>
                  </w:rPr>
                  <m:t>u</m:t>
                </m:r>
              </m:oMath>
            </m:oMathPara>
          </w:p>
        </w:tc>
        <w:tc>
          <w:tcPr>
            <w:tcW w:w="4240" w:type="pct"/>
            <w:shd w:val="clear" w:color="auto" w:fill="auto"/>
          </w:tcPr>
          <w:p w14:paraId="6EB61890" w14:textId="68F9B1CD" w:rsidR="00421CA0" w:rsidRPr="00783571" w:rsidRDefault="00421CA0" w:rsidP="00D40CDC">
            <w:pPr>
              <w:pStyle w:val="TableText"/>
              <w:rPr>
                <w:sz w:val="20"/>
              </w:rPr>
            </w:pPr>
            <w:r w:rsidRPr="00783571">
              <w:rPr>
                <w:sz w:val="20"/>
              </w:rPr>
              <w:t>Percentage of the individuals who become VLS among those who are prescribed ART</w:t>
            </w:r>
          </w:p>
        </w:tc>
      </w:tr>
      <w:tr w:rsidR="002F5F01" w:rsidRPr="00783571" w14:paraId="2F935BEC" w14:textId="77777777" w:rsidTr="002A4EE6">
        <w:trPr>
          <w:cantSplit/>
        </w:trPr>
        <w:tc>
          <w:tcPr>
            <w:tcW w:w="760" w:type="pct"/>
            <w:tcBorders>
              <w:bottom w:val="single" w:sz="4" w:space="0" w:color="808080" w:themeColor="background1" w:themeShade="80"/>
            </w:tcBorders>
            <w:shd w:val="clear" w:color="auto" w:fill="auto"/>
          </w:tcPr>
          <w:p w14:paraId="52715E4F" w14:textId="433A4094" w:rsidR="002F5F01" w:rsidRPr="00783571" w:rsidRDefault="000F17E7" w:rsidP="00D40CDC">
            <w:pPr>
              <w:pStyle w:val="TableText"/>
              <w:jc w:val="center"/>
              <w:rPr>
                <w:i/>
                <w:sz w:val="20"/>
              </w:rPr>
            </w:pPr>
            <m:oMathPara>
              <m:oMath>
                <m:sSub>
                  <m:sSubPr>
                    <m:ctrlPr>
                      <w:rPr>
                        <w:rFonts w:ascii="Cambria Math" w:hAnsi="Cambria Math"/>
                        <w:i/>
                        <w:sz w:val="22"/>
                        <w:szCs w:val="22"/>
                      </w:rPr>
                    </m:ctrlPr>
                  </m:sSubPr>
                  <m:e>
                    <m:r>
                      <m:rPr>
                        <m:sty m:val="p"/>
                      </m:rPr>
                      <w:rPr>
                        <w:rFonts w:ascii="Cambria Math" w:hAnsi="Cambria Math"/>
                      </w:rPr>
                      <m:t>u̇</m:t>
                    </m:r>
                  </m:e>
                  <m:sub>
                    <m:r>
                      <w:rPr>
                        <w:rFonts w:ascii="Cambria Math" w:hAnsi="Cambria Math"/>
                        <w:sz w:val="22"/>
                        <w:szCs w:val="22"/>
                      </w:rPr>
                      <m:t>p,</m:t>
                    </m:r>
                    <m:sSup>
                      <m:sSupPr>
                        <m:ctrlPr>
                          <w:rPr>
                            <w:rFonts w:ascii="Cambria Math" w:eastAsiaTheme="minorHAnsi" w:hAnsi="Cambria Math" w:cs="Arial"/>
                            <w:i/>
                            <w:sz w:val="22"/>
                            <w:szCs w:val="22"/>
                          </w:rPr>
                        </m:ctrlPr>
                      </m:sSupPr>
                      <m:e>
                        <m:r>
                          <w:rPr>
                            <w:rFonts w:ascii="Cambria Math" w:hAnsi="Cambria Math"/>
                            <w:sz w:val="22"/>
                            <w:szCs w:val="22"/>
                          </w:rPr>
                          <m:t>j</m:t>
                        </m:r>
                      </m:e>
                      <m:sup>
                        <m:r>
                          <w:rPr>
                            <w:rFonts w:ascii="Cambria Math" w:hAnsi="Cambria Math"/>
                            <w:sz w:val="22"/>
                            <w:szCs w:val="22"/>
                          </w:rPr>
                          <m:t>*</m:t>
                        </m:r>
                      </m:sup>
                    </m:sSup>
                  </m:sub>
                </m:sSub>
              </m:oMath>
            </m:oMathPara>
          </w:p>
        </w:tc>
        <w:tc>
          <w:tcPr>
            <w:tcW w:w="4240" w:type="pct"/>
            <w:tcBorders>
              <w:bottom w:val="single" w:sz="4" w:space="0" w:color="808080" w:themeColor="background1" w:themeShade="80"/>
            </w:tcBorders>
            <w:shd w:val="clear" w:color="auto" w:fill="auto"/>
          </w:tcPr>
          <w:p w14:paraId="623BEA2B" w14:textId="7CC3F5A3" w:rsidR="002F5F01" w:rsidRPr="00783571" w:rsidRDefault="002F5F01" w:rsidP="00D40CDC">
            <w:pPr>
              <w:pStyle w:val="TableText"/>
              <w:rPr>
                <w:sz w:val="20"/>
              </w:rPr>
            </w:pPr>
            <w:r w:rsidRPr="00783571">
              <w:rPr>
                <w:sz w:val="20"/>
              </w:rPr>
              <w:t>Binary indicator that subpopulation p is targeted by intervention j* (1 = included, 0 = not included)</w:t>
            </w:r>
          </w:p>
        </w:tc>
      </w:tr>
      <w:tr w:rsidR="00421CA0" w:rsidRPr="00783571" w14:paraId="63C4F986" w14:textId="77777777" w:rsidTr="002A4EE6">
        <w:trPr>
          <w:cantSplit/>
        </w:trPr>
        <w:tc>
          <w:tcPr>
            <w:tcW w:w="760" w:type="pct"/>
            <w:tcBorders>
              <w:bottom w:val="single" w:sz="4" w:space="0" w:color="808080" w:themeColor="background1" w:themeShade="80"/>
            </w:tcBorders>
            <w:shd w:val="clear" w:color="auto" w:fill="auto"/>
          </w:tcPr>
          <w:p w14:paraId="5CC3BC6C" w14:textId="4E26EB4D" w:rsidR="00421CA0" w:rsidRPr="00783571" w:rsidRDefault="00421CA0" w:rsidP="00D40CDC">
            <w:pPr>
              <w:pStyle w:val="TableText"/>
              <w:jc w:val="center"/>
              <w:rPr>
                <w:sz w:val="20"/>
              </w:rPr>
            </w:pPr>
            <w:r w:rsidRPr="00783571">
              <w:rPr>
                <w:i/>
                <w:sz w:val="20"/>
              </w:rPr>
              <w:t>U</w:t>
            </w:r>
          </w:p>
        </w:tc>
        <w:tc>
          <w:tcPr>
            <w:tcW w:w="4240" w:type="pct"/>
            <w:tcBorders>
              <w:bottom w:val="single" w:sz="4" w:space="0" w:color="808080" w:themeColor="background1" w:themeShade="80"/>
            </w:tcBorders>
            <w:shd w:val="clear" w:color="auto" w:fill="auto"/>
          </w:tcPr>
          <w:p w14:paraId="5C207212" w14:textId="461DBD0B" w:rsidR="00421CA0" w:rsidRPr="00783571" w:rsidRDefault="00421CA0" w:rsidP="00D40CDC">
            <w:pPr>
              <w:pStyle w:val="TableText"/>
              <w:rPr>
                <w:sz w:val="20"/>
              </w:rPr>
            </w:pPr>
            <w:r w:rsidRPr="00783571">
              <w:rPr>
                <w:sz w:val="20"/>
              </w:rPr>
              <w:t>Discount rate for costs</w:t>
            </w:r>
          </w:p>
        </w:tc>
      </w:tr>
      <w:tr w:rsidR="00330DC3" w:rsidRPr="00783571" w14:paraId="20E08290" w14:textId="77777777" w:rsidTr="002A4EE6">
        <w:trPr>
          <w:cantSplit/>
        </w:trPr>
        <w:tc>
          <w:tcPr>
            <w:tcW w:w="760" w:type="pct"/>
            <w:tcBorders>
              <w:bottom w:val="single" w:sz="4" w:space="0" w:color="808080" w:themeColor="background1" w:themeShade="80"/>
            </w:tcBorders>
            <w:shd w:val="clear" w:color="auto" w:fill="auto"/>
          </w:tcPr>
          <w:p w14:paraId="1C5B7E42" w14:textId="6F69EA1B" w:rsidR="00330DC3" w:rsidRPr="00783571" w:rsidRDefault="00330DC3" w:rsidP="00D40CDC">
            <w:pPr>
              <w:pStyle w:val="TableText"/>
              <w:jc w:val="center"/>
              <w:rPr>
                <w:i/>
                <w:sz w:val="20"/>
              </w:rPr>
            </w:pPr>
            <w:r w:rsidRPr="00783571">
              <w:rPr>
                <w:position w:val="-14"/>
                <w:sz w:val="20"/>
              </w:rPr>
              <w:object w:dxaOrig="580" w:dyaOrig="380" w14:anchorId="3A0F1373">
                <v:shape id="_x0000_i1090" type="#_x0000_t75" style="width:28.5pt;height:14.25pt" o:ole="">
                  <v:imagedata r:id="rId193" o:title=""/>
                </v:shape>
                <o:OLEObject Type="Embed" ProgID="Equation.3" ShapeID="_x0000_i1090" DrawAspect="Content" ObjectID="_1584261732" r:id="rId194"/>
              </w:object>
            </w:r>
          </w:p>
        </w:tc>
        <w:tc>
          <w:tcPr>
            <w:tcW w:w="4240" w:type="pct"/>
            <w:tcBorders>
              <w:bottom w:val="single" w:sz="4" w:space="0" w:color="808080" w:themeColor="background1" w:themeShade="80"/>
            </w:tcBorders>
            <w:shd w:val="clear" w:color="auto" w:fill="auto"/>
          </w:tcPr>
          <w:p w14:paraId="7D076CA9" w14:textId="0EA1C599" w:rsidR="00330DC3" w:rsidRPr="00783571" w:rsidRDefault="00330DC3" w:rsidP="00D40CDC">
            <w:pPr>
              <w:pStyle w:val="TableText"/>
              <w:rPr>
                <w:sz w:val="20"/>
              </w:rPr>
            </w:pPr>
            <w:r w:rsidRPr="00783571">
              <w:rPr>
                <w:sz w:val="20"/>
              </w:rPr>
              <w:t xml:space="preserve">Proportion of male-male sex acts by individuals in subpopulation </w:t>
            </w:r>
            <w:r w:rsidRPr="00783571">
              <w:rPr>
                <w:iCs/>
                <w:sz w:val="20"/>
              </w:rPr>
              <w:t>p1</w:t>
            </w:r>
            <w:r w:rsidRPr="00783571">
              <w:rPr>
                <w:sz w:val="20"/>
              </w:rPr>
              <w:t xml:space="preserve"> with individuals in subpopulation </w:t>
            </w:r>
            <w:r w:rsidRPr="00783571">
              <w:rPr>
                <w:iCs/>
                <w:sz w:val="20"/>
              </w:rPr>
              <w:t>p2</w:t>
            </w:r>
            <w:r w:rsidRPr="00783571">
              <w:rPr>
                <w:sz w:val="20"/>
              </w:rPr>
              <w:t xml:space="preserve"> that are receptive (0 if subpopulation p1 or p2 is not MSM), so that (1 </w:t>
            </w:r>
            <w:r w:rsidRPr="00783571">
              <w:t>−</w:t>
            </w:r>
            <w:r w:rsidRPr="00783571">
              <w:rPr>
                <w:sz w:val="20"/>
              </w:rPr>
              <w:t xml:space="preserve"> </w:t>
            </w:r>
            <w:r w:rsidRPr="00783571">
              <w:rPr>
                <w:position w:val="-14"/>
                <w:sz w:val="20"/>
              </w:rPr>
              <w:object w:dxaOrig="660" w:dyaOrig="380" w14:anchorId="4D470B03">
                <v:shape id="_x0000_i1091" type="#_x0000_t75" style="width:28.5pt;height:14.25pt" o:ole="">
                  <v:imagedata r:id="rId195" o:title=""/>
                </v:shape>
                <o:OLEObject Type="Embed" ProgID="Equation.3" ShapeID="_x0000_i1091" DrawAspect="Content" ObjectID="_1584261733" r:id="rId196"/>
              </w:object>
            </w:r>
            <w:r w:rsidRPr="00783571">
              <w:rPr>
                <w:sz w:val="20"/>
              </w:rPr>
              <w:t xml:space="preserve">) is the fraction of insertive </w:t>
            </w:r>
            <w:r w:rsidR="00D10FEF" w:rsidRPr="00783571">
              <w:rPr>
                <w:sz w:val="20"/>
              </w:rPr>
              <w:t>sex act</w:t>
            </w:r>
            <w:r w:rsidRPr="00783571">
              <w:rPr>
                <w:sz w:val="20"/>
              </w:rPr>
              <w:t>s</w:t>
            </w:r>
          </w:p>
        </w:tc>
      </w:tr>
      <w:tr w:rsidR="008B0BC7" w:rsidRPr="00783571" w14:paraId="51F9FC03" w14:textId="77777777" w:rsidTr="00F46463">
        <w:trPr>
          <w:cantSplit/>
        </w:trPr>
        <w:tc>
          <w:tcPr>
            <w:tcW w:w="760" w:type="pct"/>
            <w:tcBorders>
              <w:top w:val="single" w:sz="4" w:space="0" w:color="808080" w:themeColor="background1" w:themeShade="80"/>
              <w:bottom w:val="single" w:sz="6" w:space="0" w:color="808080" w:themeColor="background1" w:themeShade="80"/>
            </w:tcBorders>
            <w:shd w:val="clear" w:color="auto" w:fill="auto"/>
          </w:tcPr>
          <w:p w14:paraId="16A5737B" w14:textId="1021581E" w:rsidR="008B0BC7" w:rsidRPr="00783571" w:rsidRDefault="008B0BC7" w:rsidP="00D40CDC">
            <w:pPr>
              <w:pStyle w:val="TableText"/>
              <w:jc w:val="center"/>
              <w:rPr>
                <w:position w:val="-14"/>
                <w:sz w:val="20"/>
              </w:rPr>
            </w:pPr>
            <w:r w:rsidRPr="00783571">
              <w:rPr>
                <w:position w:val="-14"/>
                <w:sz w:val="20"/>
              </w:rPr>
              <w:t>W</w:t>
            </w:r>
          </w:p>
        </w:tc>
        <w:tc>
          <w:tcPr>
            <w:tcW w:w="4240" w:type="pct"/>
            <w:tcBorders>
              <w:top w:val="single" w:sz="4" w:space="0" w:color="808080" w:themeColor="background1" w:themeShade="80"/>
              <w:bottom w:val="single" w:sz="6" w:space="0" w:color="808080" w:themeColor="background1" w:themeShade="80"/>
            </w:tcBorders>
            <w:shd w:val="clear" w:color="auto" w:fill="auto"/>
          </w:tcPr>
          <w:p w14:paraId="644BFB71" w14:textId="3117C0FD" w:rsidR="008B0BC7" w:rsidRPr="00783571" w:rsidRDefault="008B0BC7" w:rsidP="007C57AF">
            <w:pPr>
              <w:pStyle w:val="TableText"/>
              <w:rPr>
                <w:position w:val="-14"/>
                <w:sz w:val="20"/>
              </w:rPr>
            </w:pPr>
            <w:r w:rsidRPr="00783571">
              <w:rPr>
                <w:position w:val="-14"/>
                <w:sz w:val="20"/>
              </w:rPr>
              <w:t xml:space="preserve">Cumulative quality-adjusted </w:t>
            </w:r>
            <w:r w:rsidR="00EF3A64" w:rsidRPr="00783571">
              <w:rPr>
                <w:position w:val="-14"/>
                <w:sz w:val="20"/>
              </w:rPr>
              <w:t>life-year</w:t>
            </w:r>
            <w:r w:rsidRPr="00783571">
              <w:rPr>
                <w:position w:val="-14"/>
                <w:sz w:val="20"/>
              </w:rPr>
              <w:t>s in the modelled population over the time horizon</w:t>
            </w:r>
          </w:p>
        </w:tc>
      </w:tr>
      <w:tr w:rsidR="008B0BC7" w:rsidRPr="00783571" w14:paraId="319485C0" w14:textId="77777777" w:rsidTr="00F46463">
        <w:trPr>
          <w:cantSplit/>
        </w:trPr>
        <w:tc>
          <w:tcPr>
            <w:tcW w:w="760" w:type="pct"/>
            <w:tcBorders>
              <w:top w:val="single" w:sz="6" w:space="0" w:color="808080" w:themeColor="background1" w:themeShade="80"/>
            </w:tcBorders>
            <w:shd w:val="clear" w:color="auto" w:fill="auto"/>
          </w:tcPr>
          <w:p w14:paraId="5B32B122" w14:textId="060996FD" w:rsidR="008B0BC7" w:rsidRPr="00783571" w:rsidRDefault="000F17E7" w:rsidP="00D40CDC">
            <w:pPr>
              <w:pStyle w:val="TableText"/>
              <w:jc w:val="center"/>
              <w:rPr>
                <w:sz w:val="20"/>
              </w:rPr>
            </w:pPr>
            <m:oMathPara>
              <m:oMath>
                <m:sSub>
                  <m:sSubPr>
                    <m:ctrlPr>
                      <w:rPr>
                        <w:rFonts w:ascii="Cambria Math" w:hAnsi="Cambria Math"/>
                        <w:i/>
                        <w:sz w:val="20"/>
                      </w:rPr>
                    </m:ctrlPr>
                  </m:sSubPr>
                  <m:e>
                    <m:r>
                      <w:rPr>
                        <w:rFonts w:ascii="Cambria Math" w:hAnsi="Cambria Math"/>
                        <w:sz w:val="20"/>
                      </w:rPr>
                      <m:t>w</m:t>
                    </m:r>
                  </m:e>
                  <m:sub>
                    <m:r>
                      <w:rPr>
                        <w:rFonts w:ascii="Cambria Math" w:hAnsi="Cambria Math"/>
                        <w:sz w:val="20"/>
                      </w:rPr>
                      <m:t>c,g</m:t>
                    </m:r>
                  </m:sub>
                </m:sSub>
              </m:oMath>
            </m:oMathPara>
          </w:p>
        </w:tc>
        <w:tc>
          <w:tcPr>
            <w:tcW w:w="4240" w:type="pct"/>
            <w:tcBorders>
              <w:top w:val="single" w:sz="6" w:space="0" w:color="808080" w:themeColor="background1" w:themeShade="80"/>
            </w:tcBorders>
            <w:shd w:val="clear" w:color="auto" w:fill="auto"/>
          </w:tcPr>
          <w:p w14:paraId="42C24316" w14:textId="38F21252" w:rsidR="008B0BC7" w:rsidRPr="00783571" w:rsidRDefault="008B0BC7" w:rsidP="00D40CDC">
            <w:pPr>
              <w:pStyle w:val="TableText"/>
              <w:rPr>
                <w:sz w:val="20"/>
              </w:rPr>
            </w:pPr>
            <w:r w:rsidRPr="00783571">
              <w:rPr>
                <w:sz w:val="20"/>
              </w:rPr>
              <w:t xml:space="preserve">Test sensitivity by compartment </w:t>
            </w:r>
            <w:r w:rsidRPr="00783571">
              <w:rPr>
                <w:i/>
                <w:sz w:val="20"/>
              </w:rPr>
              <w:t>c</w:t>
            </w:r>
            <w:r w:rsidRPr="00783571">
              <w:rPr>
                <w:sz w:val="20"/>
              </w:rPr>
              <w:t xml:space="preserve"> and type of test </w:t>
            </w:r>
            <w:r w:rsidRPr="00783571">
              <w:rPr>
                <w:i/>
                <w:sz w:val="20"/>
              </w:rPr>
              <w:t>g</w:t>
            </w:r>
          </w:p>
        </w:tc>
      </w:tr>
      <w:tr w:rsidR="00421CA0" w:rsidRPr="00783571" w14:paraId="0F274C40" w14:textId="77777777" w:rsidTr="002A4EE6">
        <w:trPr>
          <w:cantSplit/>
        </w:trPr>
        <w:tc>
          <w:tcPr>
            <w:tcW w:w="760" w:type="pct"/>
            <w:shd w:val="clear" w:color="auto" w:fill="auto"/>
          </w:tcPr>
          <w:p w14:paraId="35F4EC15" w14:textId="61BC4B8F" w:rsidR="00421CA0" w:rsidRPr="00783571" w:rsidRDefault="00C73A9D" w:rsidP="00D40CDC">
            <w:pPr>
              <w:pStyle w:val="TableText"/>
              <w:jc w:val="center"/>
              <w:rPr>
                <w:sz w:val="20"/>
              </w:rPr>
            </w:pPr>
            <w:r w:rsidRPr="00783571">
              <w:rPr>
                <w:position w:val="-14"/>
                <w:sz w:val="20"/>
              </w:rPr>
              <w:object w:dxaOrig="639" w:dyaOrig="400" w14:anchorId="193A041B">
                <v:shape id="_x0000_i1092" type="#_x0000_t75" style="width:36pt;height:21.75pt" o:ole="">
                  <v:imagedata r:id="rId197" o:title=""/>
                </v:shape>
                <o:OLEObject Type="Embed" ProgID="Equation.3" ShapeID="_x0000_i1092" DrawAspect="Content" ObjectID="_1584261734" r:id="rId198"/>
              </w:object>
            </w:r>
          </w:p>
        </w:tc>
        <w:tc>
          <w:tcPr>
            <w:tcW w:w="4240" w:type="pct"/>
            <w:shd w:val="clear" w:color="auto" w:fill="auto"/>
          </w:tcPr>
          <w:p w14:paraId="10119FAC" w14:textId="7BE366D0" w:rsidR="00421CA0" w:rsidRPr="00783571" w:rsidRDefault="00421CA0" w:rsidP="00D40CDC">
            <w:pPr>
              <w:pStyle w:val="TableText"/>
              <w:rPr>
                <w:sz w:val="20"/>
              </w:rPr>
            </w:pPr>
            <w:r w:rsidRPr="00783571">
              <w:rPr>
                <w:sz w:val="20"/>
              </w:rPr>
              <w:t xml:space="preserve">Number of individuals in the population in compartment </w:t>
            </w:r>
            <w:r w:rsidRPr="00783571">
              <w:rPr>
                <w:i/>
                <w:iCs/>
                <w:sz w:val="20"/>
              </w:rPr>
              <w:t>c</w:t>
            </w:r>
            <w:r w:rsidRPr="00783571">
              <w:rPr>
                <w:sz w:val="20"/>
              </w:rPr>
              <w:t xml:space="preserve"> and demographic subpopulation </w:t>
            </w:r>
            <w:r w:rsidRPr="00783571">
              <w:rPr>
                <w:i/>
                <w:iCs/>
                <w:sz w:val="20"/>
              </w:rPr>
              <w:t>p</w:t>
            </w:r>
            <w:r w:rsidRPr="00783571">
              <w:rPr>
                <w:sz w:val="20"/>
              </w:rPr>
              <w:t xml:space="preserve"> at time </w:t>
            </w:r>
            <w:r w:rsidRPr="00783571">
              <w:rPr>
                <w:i/>
                <w:sz w:val="20"/>
              </w:rPr>
              <w:t>t</w:t>
            </w:r>
            <w:r w:rsidR="00054325" w:rsidRPr="00783571">
              <w:rPr>
                <w:iCs/>
                <w:sz w:val="20"/>
              </w:rPr>
              <w:t xml:space="preserve">; when progression along the HIV continuum of care determined by allocation-based progression, this variable is also a function of allocated budget </w:t>
            </w:r>
            <m:oMath>
              <m:sSub>
                <m:sSubPr>
                  <m:ctrlPr>
                    <w:rPr>
                      <w:rFonts w:ascii="Cambria Math" w:hAnsi="Cambria Math"/>
                      <w:b/>
                      <w:bCs/>
                      <w:iCs/>
                      <w:sz w:val="20"/>
                      <w:lang w:val="fr-FR"/>
                    </w:rPr>
                  </m:ctrlPr>
                </m:sSubPr>
                <m:e>
                  <m:r>
                    <m:rPr>
                      <m:sty m:val="b"/>
                    </m:rPr>
                    <w:rPr>
                      <w:rFonts w:ascii="Cambria Math" w:hAnsi="Cambria Math"/>
                      <w:sz w:val="20"/>
                    </w:rPr>
                    <m:t>ṅ</m:t>
                  </m:r>
                </m:e>
                <m:sub>
                  <m:sSup>
                    <m:sSupPr>
                      <m:ctrlPr>
                        <w:rPr>
                          <w:rFonts w:ascii="Cambria Math" w:hAnsi="Cambria Math"/>
                          <w:b/>
                          <w:bCs/>
                          <w:iCs/>
                          <w:sz w:val="20"/>
                          <w:lang w:val="fr-FR"/>
                        </w:rPr>
                      </m:ctrlPr>
                    </m:sSupPr>
                    <m:e>
                      <m:r>
                        <m:rPr>
                          <m:sty m:val="b"/>
                        </m:rPr>
                        <w:rPr>
                          <w:rFonts w:ascii="Cambria Math" w:hAnsi="Cambria Math"/>
                          <w:sz w:val="20"/>
                        </w:rPr>
                        <m:t>j</m:t>
                      </m:r>
                    </m:e>
                    <m:sup>
                      <m:r>
                        <m:rPr>
                          <m:sty m:val="b"/>
                        </m:rPr>
                        <w:rPr>
                          <w:rFonts w:ascii="Cambria Math" w:hAnsi="Cambria Math"/>
                          <w:sz w:val="20"/>
                        </w:rPr>
                        <m:t>*</m:t>
                      </m:r>
                    </m:sup>
                  </m:sSup>
                </m:sub>
              </m:sSub>
            </m:oMath>
            <w:r w:rsidR="00054325" w:rsidRPr="00783571">
              <w:rPr>
                <w:b/>
                <w:bCs/>
                <w:iCs/>
                <w:sz w:val="20"/>
                <w:lang w:val="fr-FR"/>
              </w:rPr>
              <w:t xml:space="preserve"> </w:t>
            </w:r>
            <w:r w:rsidR="00054325" w:rsidRPr="00783571">
              <w:rPr>
                <w:iCs/>
                <w:sz w:val="20"/>
                <w:lang w:val="fr-FR"/>
              </w:rPr>
              <w:t xml:space="preserve">and therefore represented by </w:t>
            </w:r>
            <m:oMath>
              <m:sSubSup>
                <m:sSubSupPr>
                  <m:ctrlPr>
                    <w:rPr>
                      <w:rFonts w:ascii="Cambria Math" w:hAnsi="Cambria Math"/>
                      <w:i/>
                      <w:sz w:val="20"/>
                    </w:rPr>
                  </m:ctrlPr>
                </m:sSubSupPr>
                <m:e>
                  <m:r>
                    <w:rPr>
                      <w:rFonts w:ascii="Cambria Math" w:hAnsi="Cambria Math"/>
                      <w:sz w:val="20"/>
                    </w:rPr>
                    <m:t>X</m:t>
                  </m:r>
                </m:e>
                <m:sub>
                  <m:r>
                    <w:rPr>
                      <w:rFonts w:ascii="Cambria Math" w:hAnsi="Cambria Math"/>
                      <w:sz w:val="20"/>
                    </w:rPr>
                    <m:t>p</m:t>
                  </m:r>
                </m:sub>
                <m:sup>
                  <m:r>
                    <w:rPr>
                      <w:rFonts w:ascii="Cambria Math" w:hAnsi="Cambria Math"/>
                      <w:sz w:val="20"/>
                    </w:rPr>
                    <m:t>c</m:t>
                  </m:r>
                </m:sup>
              </m:sSubSup>
              <m:d>
                <m:dPr>
                  <m:ctrlPr>
                    <w:rPr>
                      <w:rFonts w:ascii="Cambria Math" w:hAnsi="Cambria Math"/>
                      <w:i/>
                      <w:sz w:val="20"/>
                    </w:rPr>
                  </m:ctrlPr>
                </m:dPr>
                <m:e>
                  <m:sSub>
                    <m:sSubPr>
                      <m:ctrlPr>
                        <w:rPr>
                          <w:rFonts w:ascii="Cambria Math" w:hAnsi="Cambria Math"/>
                          <w:sz w:val="20"/>
                          <w:lang w:val="fr-FR"/>
                        </w:rPr>
                      </m:ctrlPr>
                    </m:sSubPr>
                    <m:e>
                      <m:r>
                        <m:rPr>
                          <m:sty m:val="p"/>
                        </m:rPr>
                        <w:rPr>
                          <w:rFonts w:ascii="Cambria Math" w:hAnsi="Cambria Math"/>
                          <w:sz w:val="20"/>
                        </w:rPr>
                        <m:t>ṅ</m:t>
                      </m:r>
                    </m:e>
                    <m:sub>
                      <m:sSup>
                        <m:sSupPr>
                          <m:ctrlPr>
                            <w:rPr>
                              <w:rFonts w:ascii="Cambria Math" w:hAnsi="Cambria Math"/>
                              <w:i/>
                              <w:sz w:val="20"/>
                              <w:lang w:val="fr-FR"/>
                            </w:rPr>
                          </m:ctrlPr>
                        </m:sSupPr>
                        <m:e>
                          <m:r>
                            <w:rPr>
                              <w:rFonts w:ascii="Cambria Math" w:hAnsi="Cambria Math"/>
                              <w:sz w:val="20"/>
                            </w:rPr>
                            <m:t>j</m:t>
                          </m:r>
                        </m:e>
                        <m:sup>
                          <m:r>
                            <w:rPr>
                              <w:rFonts w:ascii="Cambria Math" w:hAnsi="Cambria Math"/>
                              <w:sz w:val="20"/>
                            </w:rPr>
                            <m:t>*</m:t>
                          </m:r>
                        </m:sup>
                      </m:sSup>
                    </m:sub>
                  </m:sSub>
                  <m:r>
                    <w:rPr>
                      <w:rFonts w:ascii="Cambria Math" w:hAnsi="Cambria Math"/>
                      <w:sz w:val="20"/>
                    </w:rPr>
                    <m:t>,t</m:t>
                  </m:r>
                </m:e>
              </m:d>
            </m:oMath>
          </w:p>
        </w:tc>
      </w:tr>
      <w:tr w:rsidR="008B0BC7" w:rsidRPr="00783571" w14:paraId="0CEE93F9" w14:textId="77777777" w:rsidTr="002A4EE6">
        <w:trPr>
          <w:cantSplit/>
        </w:trPr>
        <w:tc>
          <w:tcPr>
            <w:tcW w:w="760" w:type="pct"/>
            <w:shd w:val="clear" w:color="auto" w:fill="auto"/>
          </w:tcPr>
          <w:p w14:paraId="2F0DF108" w14:textId="0985C512" w:rsidR="008B0BC7" w:rsidRPr="00783571" w:rsidRDefault="008B0BC7" w:rsidP="00D40CDC">
            <w:pPr>
              <w:pStyle w:val="TableText"/>
              <w:jc w:val="center"/>
              <w:rPr>
                <w:sz w:val="20"/>
              </w:rPr>
            </w:pPr>
            <w:r w:rsidRPr="00783571">
              <w:rPr>
                <w:sz w:val="20"/>
              </w:rPr>
              <w:t>Y</w:t>
            </w:r>
            <w:r w:rsidRPr="00783571">
              <w:rPr>
                <w:sz w:val="20"/>
                <w:vertAlign w:val="subscript"/>
              </w:rPr>
              <w:t>p</w:t>
            </w:r>
          </w:p>
        </w:tc>
        <w:tc>
          <w:tcPr>
            <w:tcW w:w="4240" w:type="pct"/>
            <w:shd w:val="clear" w:color="auto" w:fill="auto"/>
          </w:tcPr>
          <w:p w14:paraId="44E47F25" w14:textId="724826E5" w:rsidR="008B0BC7" w:rsidRPr="00783571" w:rsidRDefault="008B0BC7" w:rsidP="00766A8C">
            <w:pPr>
              <w:pStyle w:val="TableText"/>
              <w:rPr>
                <w:sz w:val="20"/>
              </w:rPr>
            </w:pPr>
            <w:r w:rsidRPr="00783571">
              <w:rPr>
                <w:sz w:val="20"/>
              </w:rPr>
              <w:t xml:space="preserve">Annual probability of </w:t>
            </w:r>
            <w:r w:rsidR="00766A8C" w:rsidRPr="00783571">
              <w:rPr>
                <w:sz w:val="20"/>
              </w:rPr>
              <w:t>stopping</w:t>
            </w:r>
            <w:r w:rsidRPr="00783571">
              <w:rPr>
                <w:sz w:val="20"/>
              </w:rPr>
              <w:t xml:space="preserve"> PrEP, if susceptible and on-PrEP for subpopulation </w:t>
            </w:r>
            <w:r w:rsidRPr="00783571">
              <w:rPr>
                <w:i/>
                <w:iCs/>
                <w:sz w:val="20"/>
              </w:rPr>
              <w:t>p</w:t>
            </w:r>
          </w:p>
        </w:tc>
      </w:tr>
      <w:tr w:rsidR="00282784" w:rsidRPr="00783571" w14:paraId="411B4B41" w14:textId="77777777" w:rsidTr="002A4EE6">
        <w:trPr>
          <w:cantSplit/>
        </w:trPr>
        <w:tc>
          <w:tcPr>
            <w:tcW w:w="760" w:type="pct"/>
            <w:tcBorders>
              <w:bottom w:val="single" w:sz="4" w:space="0" w:color="808080" w:themeColor="background1" w:themeShade="80"/>
            </w:tcBorders>
            <w:shd w:val="clear" w:color="auto" w:fill="auto"/>
          </w:tcPr>
          <w:p w14:paraId="233CFB41" w14:textId="77777777" w:rsidR="00282784" w:rsidRPr="00783571" w:rsidRDefault="000F17E7" w:rsidP="009F3B77">
            <w:pPr>
              <w:pStyle w:val="TableText"/>
              <w:jc w:val="center"/>
              <w:rPr>
                <w:sz w:val="20"/>
              </w:rPr>
            </w:pPr>
            <m:oMath>
              <m:sSub>
                <m:sSubPr>
                  <m:ctrlPr>
                    <w:rPr>
                      <w:rFonts w:ascii="Cambria Math" w:hAnsi="Cambria Math"/>
                      <w:i/>
                      <w:sz w:val="22"/>
                      <w:szCs w:val="22"/>
                    </w:rPr>
                  </m:ctrlPr>
                </m:sSubPr>
                <m:e>
                  <m:r>
                    <m:rPr>
                      <m:sty m:val="b"/>
                    </m:rPr>
                    <w:rPr>
                      <w:rFonts w:ascii="Cambria Math" w:hAnsi="Cambria Math"/>
                      <w:sz w:val="22"/>
                      <w:szCs w:val="22"/>
                    </w:rPr>
                    <m:t>ẏ</m:t>
                  </m:r>
                </m:e>
                <m:sub>
                  <m:r>
                    <w:rPr>
                      <w:rFonts w:ascii="Cambria Math" w:hAnsi="Cambria Math"/>
                      <w:sz w:val="22"/>
                      <w:szCs w:val="22"/>
                    </w:rPr>
                    <m:t>p,</m:t>
                  </m:r>
                  <m:sSup>
                    <m:sSupPr>
                      <m:ctrlPr>
                        <w:rPr>
                          <w:rFonts w:ascii="Cambria Math" w:hAnsi="Cambria Math"/>
                          <w:i/>
                          <w:sz w:val="22"/>
                          <w:szCs w:val="22"/>
                        </w:rPr>
                      </m:ctrlPr>
                    </m:sSupPr>
                    <m:e>
                      <m:r>
                        <w:rPr>
                          <w:rFonts w:ascii="Cambria Math" w:hAnsi="Cambria Math"/>
                          <w:sz w:val="22"/>
                          <w:szCs w:val="22"/>
                        </w:rPr>
                        <m:t>j</m:t>
                      </m:r>
                    </m:e>
                    <m:sup>
                      <m:r>
                        <w:rPr>
                          <w:rFonts w:ascii="Cambria Math" w:hAnsi="Cambria Math"/>
                          <w:sz w:val="22"/>
                          <w:szCs w:val="22"/>
                        </w:rPr>
                        <m:t>*</m:t>
                      </m:r>
                    </m:sup>
                  </m:sSup>
                </m:sub>
              </m:sSub>
              <m:d>
                <m:dPr>
                  <m:ctrlPr>
                    <w:rPr>
                      <w:rFonts w:ascii="Cambria Math" w:hAnsi="Cambria Math"/>
                      <w:i/>
                      <w:sz w:val="22"/>
                      <w:szCs w:val="22"/>
                    </w:rPr>
                  </m:ctrlPr>
                </m:dPr>
                <m:e>
                  <m:sSub>
                    <m:sSubPr>
                      <m:ctrlPr>
                        <w:rPr>
                          <w:rFonts w:ascii="Cambria Math" w:hAnsi="Cambria Math"/>
                          <w:b/>
                          <w:bCs/>
                          <w:sz w:val="22"/>
                          <w:szCs w:val="22"/>
                        </w:rPr>
                      </m:ctrlPr>
                    </m:sSubPr>
                    <m:e>
                      <m:r>
                        <m:rPr>
                          <m:sty m:val="b"/>
                        </m:rPr>
                        <w:rPr>
                          <w:rFonts w:ascii="Cambria Math" w:hAnsi="Cambria Math"/>
                          <w:sz w:val="22"/>
                          <w:szCs w:val="22"/>
                        </w:rPr>
                        <m:t>ṅ</m:t>
                      </m:r>
                    </m:e>
                    <m:sub>
                      <m:sSup>
                        <m:sSupPr>
                          <m:ctrlPr>
                            <w:rPr>
                              <w:rFonts w:ascii="Cambria Math" w:hAnsi="Cambria Math"/>
                              <w:b/>
                              <w:bCs/>
                              <w:i/>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r>
                    <w:rPr>
                      <w:rFonts w:ascii="Cambria Math" w:hAnsi="Cambria Math"/>
                      <w:sz w:val="22"/>
                      <w:szCs w:val="22"/>
                    </w:rPr>
                    <m:t>,t</m:t>
                  </m:r>
                </m:e>
              </m:d>
            </m:oMath>
            <w:r w:rsidR="00282784" w:rsidRPr="00783571">
              <w:rPr>
                <w:sz w:val="22"/>
                <w:szCs w:val="22"/>
              </w:rPr>
              <w:t xml:space="preserve"> </w:t>
            </w:r>
          </w:p>
        </w:tc>
        <w:tc>
          <w:tcPr>
            <w:tcW w:w="4240" w:type="pct"/>
            <w:tcBorders>
              <w:bottom w:val="single" w:sz="4" w:space="0" w:color="808080" w:themeColor="background1" w:themeShade="80"/>
            </w:tcBorders>
            <w:shd w:val="clear" w:color="auto" w:fill="auto"/>
          </w:tcPr>
          <w:p w14:paraId="757FC0FB" w14:textId="77777777" w:rsidR="00282784" w:rsidRPr="00783571" w:rsidRDefault="00282784" w:rsidP="009F3B77">
            <w:pPr>
              <w:pStyle w:val="TableText"/>
              <w:rPr>
                <w:sz w:val="20"/>
              </w:rPr>
            </w:pPr>
            <w:r w:rsidRPr="00783571">
              <w:rPr>
                <w:sz w:val="20"/>
              </w:rPr>
              <w:t xml:space="preserve">Number of individuals in subpopulation p funded to receive intervention j* over time step t, given allocated budget </w:t>
            </w:r>
            <m:oMath>
              <m:sSub>
                <m:sSubPr>
                  <m:ctrlPr>
                    <w:rPr>
                      <w:rFonts w:ascii="Cambria Math" w:hAnsi="Cambria Math"/>
                      <w:b/>
                      <w:bCs/>
                      <w:sz w:val="22"/>
                      <w:szCs w:val="22"/>
                    </w:rPr>
                  </m:ctrlPr>
                </m:sSubPr>
                <m:e>
                  <m:r>
                    <m:rPr>
                      <m:sty m:val="b"/>
                    </m:rPr>
                    <w:rPr>
                      <w:rFonts w:ascii="Cambria Math" w:hAnsi="Cambria Math"/>
                      <w:sz w:val="22"/>
                      <w:szCs w:val="22"/>
                    </w:rPr>
                    <m:t>ṅ</m:t>
                  </m:r>
                </m:e>
                <m:sub>
                  <m:sSup>
                    <m:sSupPr>
                      <m:ctrlPr>
                        <w:rPr>
                          <w:rFonts w:ascii="Cambria Math" w:hAnsi="Cambria Math"/>
                          <w:b/>
                          <w:bCs/>
                          <w:i/>
                          <w:sz w:val="22"/>
                          <w:szCs w:val="22"/>
                        </w:rPr>
                      </m:ctrlPr>
                    </m:sSupPr>
                    <m:e>
                      <m:r>
                        <m:rPr>
                          <m:sty m:val="bi"/>
                        </m:rPr>
                        <w:rPr>
                          <w:rFonts w:ascii="Cambria Math" w:hAnsi="Cambria Math"/>
                          <w:sz w:val="22"/>
                          <w:szCs w:val="22"/>
                        </w:rPr>
                        <m:t>j</m:t>
                      </m:r>
                    </m:e>
                    <m:sup>
                      <m:r>
                        <m:rPr>
                          <m:sty m:val="bi"/>
                        </m:rPr>
                        <w:rPr>
                          <w:rFonts w:ascii="Cambria Math" w:hAnsi="Cambria Math"/>
                          <w:sz w:val="22"/>
                          <w:szCs w:val="22"/>
                        </w:rPr>
                        <m:t>*</m:t>
                      </m:r>
                    </m:sup>
                  </m:sSup>
                </m:sub>
              </m:sSub>
            </m:oMath>
          </w:p>
        </w:tc>
      </w:tr>
      <w:tr w:rsidR="00E748ED" w:rsidRPr="00783571" w14:paraId="56CEA323" w14:textId="77777777" w:rsidTr="002A4EE6">
        <w:trPr>
          <w:cantSplit/>
        </w:trPr>
        <w:tc>
          <w:tcPr>
            <w:tcW w:w="760" w:type="pct"/>
            <w:tcBorders>
              <w:top w:val="single" w:sz="4" w:space="0" w:color="808080" w:themeColor="background1" w:themeShade="80"/>
              <w:bottom w:val="single" w:sz="6" w:space="0" w:color="808080" w:themeColor="background1" w:themeShade="80"/>
            </w:tcBorders>
            <w:shd w:val="clear" w:color="auto" w:fill="auto"/>
          </w:tcPr>
          <w:p w14:paraId="725CCBD2" w14:textId="39970856" w:rsidR="00E748ED" w:rsidRPr="00783571" w:rsidRDefault="00E748ED" w:rsidP="009F3B77">
            <w:pPr>
              <w:pStyle w:val="TableText"/>
              <w:jc w:val="center"/>
              <w:rPr>
                <w:sz w:val="22"/>
                <w:szCs w:val="22"/>
              </w:rPr>
            </w:pPr>
            <w:r w:rsidRPr="00783571">
              <w:rPr>
                <w:sz w:val="22"/>
                <w:szCs w:val="22"/>
              </w:rPr>
              <w:t>Z</w:t>
            </w:r>
          </w:p>
        </w:tc>
        <w:tc>
          <w:tcPr>
            <w:tcW w:w="4240" w:type="pct"/>
            <w:tcBorders>
              <w:top w:val="single" w:sz="4" w:space="0" w:color="808080" w:themeColor="background1" w:themeShade="80"/>
              <w:bottom w:val="single" w:sz="6" w:space="0" w:color="808080" w:themeColor="background1" w:themeShade="80"/>
            </w:tcBorders>
            <w:shd w:val="clear" w:color="auto" w:fill="auto"/>
          </w:tcPr>
          <w:p w14:paraId="6D043E15" w14:textId="59B0899A" w:rsidR="00E748ED" w:rsidRPr="00783571" w:rsidRDefault="00E748ED" w:rsidP="0034605D">
            <w:pPr>
              <w:pStyle w:val="TableText"/>
              <w:rPr>
                <w:sz w:val="20"/>
              </w:rPr>
            </w:pPr>
            <w:r w:rsidRPr="00783571">
              <w:rPr>
                <w:sz w:val="20"/>
              </w:rPr>
              <w:t xml:space="preserve">Number of </w:t>
            </w:r>
            <w:r w:rsidR="0034605D" w:rsidRPr="00783571">
              <w:rPr>
                <w:sz w:val="20"/>
              </w:rPr>
              <w:t>inputs</w:t>
            </w:r>
            <w:r w:rsidRPr="00783571">
              <w:rPr>
                <w:sz w:val="20"/>
              </w:rPr>
              <w:t xml:space="preserve"> </w:t>
            </w:r>
            <w:r w:rsidR="0034605D" w:rsidRPr="00783571">
              <w:rPr>
                <w:sz w:val="20"/>
              </w:rPr>
              <w:t>varied</w:t>
            </w:r>
            <w:r w:rsidRPr="00783571">
              <w:rPr>
                <w:sz w:val="20"/>
              </w:rPr>
              <w:t xml:space="preserve"> using the elementary effects method</w:t>
            </w:r>
          </w:p>
        </w:tc>
      </w:tr>
    </w:tbl>
    <w:p w14:paraId="374F08C7" w14:textId="77777777" w:rsidR="004A1C14" w:rsidRPr="00783571" w:rsidRDefault="004A1C14" w:rsidP="004A1C14">
      <w:pPr>
        <w:pStyle w:val="Tablecont"/>
        <w:rPr>
          <w:sz w:val="20"/>
        </w:rPr>
      </w:pPr>
      <w:r w:rsidRPr="00783571">
        <w:rPr>
          <w:sz w:val="20"/>
        </w:rPr>
        <w:t>(continued)</w:t>
      </w:r>
    </w:p>
    <w:p w14:paraId="6E1089B7" w14:textId="77777777" w:rsidR="004A1C14" w:rsidRPr="00783571" w:rsidRDefault="004A1C14" w:rsidP="004A1C14">
      <w:pPr>
        <w:pStyle w:val="TableTitlecont"/>
      </w:pPr>
      <w:r w:rsidRPr="00783571">
        <w:t>Table A.1.</w:t>
      </w:r>
      <w:r w:rsidRPr="00783571">
        <w:tab/>
        <w:t>Definitions of Symbols Applied in This Document (continued)</w:t>
      </w:r>
    </w:p>
    <w:tbl>
      <w:tblPr>
        <w:tblW w:w="5001" w:type="pct"/>
        <w:tblInd w:w="86" w:type="dxa"/>
        <w:tblBorders>
          <w:top w:val="single" w:sz="12" w:space="0" w:color="auto"/>
          <w:bottom w:val="single" w:sz="12" w:space="0" w:color="auto"/>
          <w:insideH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970"/>
        <w:gridCol w:w="10993"/>
      </w:tblGrid>
      <w:tr w:rsidR="004A1C14" w:rsidRPr="00783571" w14:paraId="55D403F3" w14:textId="77777777" w:rsidTr="002A4EE6">
        <w:trPr>
          <w:cantSplit/>
          <w:tblHeader/>
        </w:trPr>
        <w:tc>
          <w:tcPr>
            <w:tcW w:w="760" w:type="pct"/>
            <w:tcBorders>
              <w:top w:val="single" w:sz="12" w:space="0" w:color="auto"/>
              <w:bottom w:val="single" w:sz="6" w:space="0" w:color="auto"/>
            </w:tcBorders>
            <w:shd w:val="clear" w:color="auto" w:fill="auto"/>
          </w:tcPr>
          <w:p w14:paraId="0B802001" w14:textId="77777777" w:rsidR="004A1C14" w:rsidRPr="00783571" w:rsidRDefault="004A1C14" w:rsidP="00F52C23">
            <w:pPr>
              <w:pStyle w:val="TableHeaders"/>
              <w:rPr>
                <w:sz w:val="20"/>
              </w:rPr>
            </w:pPr>
            <w:r w:rsidRPr="00783571">
              <w:rPr>
                <w:sz w:val="20"/>
              </w:rPr>
              <w:t>Symbol</w:t>
            </w:r>
          </w:p>
        </w:tc>
        <w:tc>
          <w:tcPr>
            <w:tcW w:w="4240" w:type="pct"/>
            <w:tcBorders>
              <w:top w:val="single" w:sz="12" w:space="0" w:color="auto"/>
              <w:bottom w:val="single" w:sz="6" w:space="0" w:color="auto"/>
            </w:tcBorders>
            <w:shd w:val="clear" w:color="auto" w:fill="auto"/>
          </w:tcPr>
          <w:p w14:paraId="4D5876D7" w14:textId="77777777" w:rsidR="004A1C14" w:rsidRPr="00783571" w:rsidRDefault="004A1C14" w:rsidP="00F52C23">
            <w:pPr>
              <w:pStyle w:val="TableHeaders"/>
              <w:jc w:val="left"/>
              <w:rPr>
                <w:sz w:val="20"/>
              </w:rPr>
            </w:pPr>
            <w:r w:rsidRPr="00783571">
              <w:rPr>
                <w:sz w:val="20"/>
              </w:rPr>
              <w:t>Definition</w:t>
            </w:r>
          </w:p>
        </w:tc>
      </w:tr>
      <w:tr w:rsidR="002A4EE6" w:rsidRPr="00783571" w14:paraId="0170DBA8" w14:textId="77777777" w:rsidTr="002A4EE6">
        <w:trPr>
          <w:cantSplit/>
        </w:trPr>
        <w:tc>
          <w:tcPr>
            <w:tcW w:w="5000" w:type="pct"/>
            <w:gridSpan w:val="2"/>
            <w:tcBorders>
              <w:bottom w:val="single" w:sz="4" w:space="0" w:color="808080" w:themeColor="background1" w:themeShade="80"/>
            </w:tcBorders>
            <w:shd w:val="clear" w:color="auto" w:fill="D9D9D9" w:themeFill="background1" w:themeFillShade="D9"/>
          </w:tcPr>
          <w:p w14:paraId="74371D6D" w14:textId="77777777" w:rsidR="002A4EE6" w:rsidRPr="00783571" w:rsidRDefault="002A4EE6" w:rsidP="00260D8A">
            <w:pPr>
              <w:pStyle w:val="TableText"/>
              <w:rPr>
                <w:b/>
                <w:sz w:val="20"/>
              </w:rPr>
            </w:pPr>
            <w:r w:rsidRPr="00783571">
              <w:rPr>
                <w:b/>
                <w:sz w:val="20"/>
              </w:rPr>
              <w:t>Greek Alphabet</w:t>
            </w:r>
          </w:p>
        </w:tc>
      </w:tr>
      <w:tr w:rsidR="002A4EE6" w:rsidRPr="00783571" w14:paraId="2E2A0A72" w14:textId="77777777" w:rsidTr="002A4EE6">
        <w:trPr>
          <w:cantSplit/>
        </w:trPr>
        <w:tc>
          <w:tcPr>
            <w:tcW w:w="760" w:type="pct"/>
            <w:tcBorders>
              <w:top w:val="single" w:sz="4" w:space="0" w:color="808080" w:themeColor="background1" w:themeShade="80"/>
              <w:bottom w:val="single" w:sz="6" w:space="0" w:color="808080" w:themeColor="background1" w:themeShade="80"/>
            </w:tcBorders>
            <w:shd w:val="clear" w:color="auto" w:fill="auto"/>
          </w:tcPr>
          <w:p w14:paraId="61A775A6" w14:textId="77777777" w:rsidR="002A4EE6" w:rsidRPr="00783571" w:rsidRDefault="002A4EE6" w:rsidP="00260D8A">
            <w:pPr>
              <w:pStyle w:val="TableText"/>
              <w:jc w:val="center"/>
              <w:rPr>
                <w:sz w:val="20"/>
              </w:rPr>
            </w:pPr>
            <w:r w:rsidRPr="00783571">
              <w:rPr>
                <w:position w:val="-14"/>
                <w:sz w:val="20"/>
              </w:rPr>
              <w:object w:dxaOrig="600" w:dyaOrig="400" w14:anchorId="627D190E">
                <v:shape id="_x0000_i1093" type="#_x0000_t75" style="width:36pt;height:21.75pt" o:ole="">
                  <v:imagedata r:id="rId199" o:title=""/>
                </v:shape>
                <o:OLEObject Type="Embed" ProgID="Equation.3" ShapeID="_x0000_i1093" DrawAspect="Content" ObjectID="_1584261735" r:id="rId200"/>
              </w:object>
            </w:r>
          </w:p>
        </w:tc>
        <w:tc>
          <w:tcPr>
            <w:tcW w:w="4240" w:type="pct"/>
            <w:tcBorders>
              <w:top w:val="single" w:sz="4" w:space="0" w:color="808080" w:themeColor="background1" w:themeShade="80"/>
              <w:bottom w:val="single" w:sz="6" w:space="0" w:color="808080" w:themeColor="background1" w:themeShade="80"/>
            </w:tcBorders>
            <w:shd w:val="clear" w:color="auto" w:fill="auto"/>
          </w:tcPr>
          <w:p w14:paraId="7059554B" w14:textId="77777777" w:rsidR="002A4EE6" w:rsidRPr="00783571" w:rsidRDefault="002A4EE6" w:rsidP="00260D8A">
            <w:pPr>
              <w:pStyle w:val="TableText"/>
              <w:rPr>
                <w:sz w:val="20"/>
              </w:rPr>
            </w:pPr>
            <w:r w:rsidRPr="00783571">
              <w:rPr>
                <w:sz w:val="20"/>
              </w:rPr>
              <w:t xml:space="preserve">Probability of transmission for an HIV-uninfected individual in subpopulation </w:t>
            </w:r>
            <w:r w:rsidRPr="00783571">
              <w:rPr>
                <w:i/>
                <w:iCs/>
                <w:sz w:val="20"/>
              </w:rPr>
              <w:t xml:space="preserve">p1 </w:t>
            </w:r>
            <w:r w:rsidRPr="00783571">
              <w:rPr>
                <w:sz w:val="20"/>
              </w:rPr>
              <w:t xml:space="preserve">per sexual or needle-sharing partnership from risk type </w:t>
            </w:r>
            <w:r w:rsidRPr="00783571">
              <w:rPr>
                <w:i/>
                <w:iCs/>
                <w:sz w:val="20"/>
              </w:rPr>
              <w:t xml:space="preserve">z </w:t>
            </w:r>
            <w:r w:rsidRPr="00783571">
              <w:rPr>
                <w:iCs/>
                <w:sz w:val="20"/>
              </w:rPr>
              <w:t>(</w:t>
            </w:r>
            <w:r w:rsidRPr="00783571">
              <w:rPr>
                <w:sz w:val="20"/>
              </w:rPr>
              <w:t xml:space="preserve">vaginal, anal, or needle) in a partnership type </w:t>
            </w:r>
            <w:r w:rsidRPr="00783571">
              <w:rPr>
                <w:i/>
                <w:iCs/>
                <w:sz w:val="20"/>
              </w:rPr>
              <w:t>y</w:t>
            </w:r>
            <w:r w:rsidRPr="00783571">
              <w:rPr>
                <w:sz w:val="20"/>
              </w:rPr>
              <w:t xml:space="preserve"> (male-female partnership with vaginal intercourse only, male-male partnership with anal intercourse only, male-female partnership that includes anal intercourse, or needle-sharing) with a partner who is in subpopulation </w:t>
            </w:r>
            <w:r w:rsidRPr="00783571">
              <w:rPr>
                <w:i/>
                <w:iCs/>
                <w:sz w:val="20"/>
              </w:rPr>
              <w:t>p2</w:t>
            </w:r>
            <w:r w:rsidRPr="00783571">
              <w:rPr>
                <w:sz w:val="20"/>
              </w:rPr>
              <w:t xml:space="preserve"> and compartment </w:t>
            </w:r>
            <w:r w:rsidRPr="00783571">
              <w:rPr>
                <w:i/>
                <w:iCs/>
                <w:sz w:val="20"/>
              </w:rPr>
              <w:t>c</w:t>
            </w:r>
          </w:p>
        </w:tc>
      </w:tr>
      <w:tr w:rsidR="00421CA0" w:rsidRPr="00783571" w14:paraId="0E3C0E38" w14:textId="77777777" w:rsidTr="002A4EE6">
        <w:trPr>
          <w:cantSplit/>
        </w:trPr>
        <w:tc>
          <w:tcPr>
            <w:tcW w:w="760" w:type="pct"/>
            <w:tcBorders>
              <w:top w:val="single" w:sz="6" w:space="0" w:color="808080" w:themeColor="background1" w:themeShade="80"/>
            </w:tcBorders>
            <w:shd w:val="clear" w:color="auto" w:fill="auto"/>
          </w:tcPr>
          <w:p w14:paraId="29367B96" w14:textId="29CC5B93" w:rsidR="00421CA0" w:rsidRPr="00783571" w:rsidRDefault="00421CA0" w:rsidP="00D40CDC">
            <w:pPr>
              <w:pStyle w:val="TableText"/>
              <w:jc w:val="center"/>
              <w:rPr>
                <w:sz w:val="20"/>
              </w:rPr>
            </w:pPr>
            <w:r w:rsidRPr="00783571">
              <w:rPr>
                <w:position w:val="-12"/>
                <w:sz w:val="20"/>
              </w:rPr>
              <w:object w:dxaOrig="400" w:dyaOrig="320" w14:anchorId="0DF32133">
                <v:shape id="_x0000_i1094" type="#_x0000_t75" style="width:21.75pt;height:14.25pt" o:ole="">
                  <v:imagedata r:id="rId201" o:title=""/>
                </v:shape>
                <o:OLEObject Type="Embed" ProgID="Equation.3" ShapeID="_x0000_i1094" DrawAspect="Content" ObjectID="_1584261736" r:id="rId202"/>
              </w:object>
            </w:r>
          </w:p>
        </w:tc>
        <w:tc>
          <w:tcPr>
            <w:tcW w:w="4240" w:type="pct"/>
            <w:tcBorders>
              <w:top w:val="single" w:sz="6" w:space="0" w:color="808080" w:themeColor="background1" w:themeShade="80"/>
            </w:tcBorders>
            <w:shd w:val="clear" w:color="auto" w:fill="auto"/>
          </w:tcPr>
          <w:p w14:paraId="2A2FFE50" w14:textId="15A51CCF" w:rsidR="00421CA0" w:rsidRPr="00783571" w:rsidRDefault="00421CA0" w:rsidP="00D40CDC">
            <w:pPr>
              <w:pStyle w:val="TableText"/>
              <w:rPr>
                <w:sz w:val="20"/>
              </w:rPr>
            </w:pPr>
            <w:r w:rsidRPr="00783571">
              <w:rPr>
                <w:sz w:val="20"/>
              </w:rPr>
              <w:t xml:space="preserve">Per-sex-act transmission probability for insertive unprotected intercourse of type z (vaginal or anal intercourse) with infected partner in compartment </w:t>
            </w:r>
            <w:r w:rsidRPr="00783571">
              <w:rPr>
                <w:i/>
                <w:sz w:val="20"/>
              </w:rPr>
              <w:t>c</w:t>
            </w:r>
          </w:p>
        </w:tc>
      </w:tr>
      <w:tr w:rsidR="00421CA0" w:rsidRPr="00783571" w14:paraId="7812535D" w14:textId="77777777" w:rsidTr="002A4EE6">
        <w:trPr>
          <w:cantSplit/>
        </w:trPr>
        <w:tc>
          <w:tcPr>
            <w:tcW w:w="760" w:type="pct"/>
            <w:tcBorders>
              <w:bottom w:val="single" w:sz="4" w:space="0" w:color="808080" w:themeColor="background1" w:themeShade="80"/>
            </w:tcBorders>
            <w:shd w:val="clear" w:color="auto" w:fill="auto"/>
          </w:tcPr>
          <w:p w14:paraId="06D00CBD" w14:textId="2C524357" w:rsidR="00421CA0" w:rsidRPr="00783571" w:rsidRDefault="00452469" w:rsidP="00D40CDC">
            <w:pPr>
              <w:pStyle w:val="TableText"/>
              <w:jc w:val="center"/>
              <w:rPr>
                <w:sz w:val="20"/>
              </w:rPr>
            </w:pPr>
            <w:r w:rsidRPr="00783571">
              <w:rPr>
                <w:position w:val="-14"/>
                <w:sz w:val="20"/>
              </w:rPr>
              <w:object w:dxaOrig="580" w:dyaOrig="400" w14:anchorId="5FFDF2A3">
                <v:shape id="_x0000_i1095" type="#_x0000_t75" style="width:28.5pt;height:21.75pt" o:ole="">
                  <v:imagedata r:id="rId203" o:title=""/>
                </v:shape>
                <o:OLEObject Type="Embed" ProgID="Equation.3" ShapeID="_x0000_i1095" DrawAspect="Content" ObjectID="_1584261737" r:id="rId204"/>
              </w:object>
            </w:r>
          </w:p>
        </w:tc>
        <w:tc>
          <w:tcPr>
            <w:tcW w:w="4240" w:type="pct"/>
            <w:tcBorders>
              <w:bottom w:val="single" w:sz="4" w:space="0" w:color="808080" w:themeColor="background1" w:themeShade="80"/>
            </w:tcBorders>
            <w:shd w:val="clear" w:color="auto" w:fill="auto"/>
          </w:tcPr>
          <w:p w14:paraId="76856F78" w14:textId="28F0546C" w:rsidR="00421CA0" w:rsidRPr="00783571" w:rsidRDefault="00421CA0" w:rsidP="00642FB4">
            <w:pPr>
              <w:pStyle w:val="TableText"/>
              <w:rPr>
                <w:sz w:val="20"/>
              </w:rPr>
            </w:pPr>
            <w:r w:rsidRPr="00783571">
              <w:rPr>
                <w:sz w:val="20"/>
              </w:rPr>
              <w:t xml:space="preserve">Rate of ART prescription if </w:t>
            </w:r>
            <w:r w:rsidR="009E34D9" w:rsidRPr="00783571">
              <w:rPr>
                <w:sz w:val="20"/>
              </w:rPr>
              <w:t>linked to HIV care</w:t>
            </w:r>
            <w:r w:rsidRPr="00783571">
              <w:rPr>
                <w:sz w:val="20"/>
              </w:rPr>
              <w:t xml:space="preserve">, by compartment c and subpopulation </w:t>
            </w:r>
            <w:r w:rsidRPr="00783571">
              <w:rPr>
                <w:i/>
                <w:iCs/>
                <w:sz w:val="20"/>
              </w:rPr>
              <w:t>p</w:t>
            </w:r>
            <w:r w:rsidRPr="00783571">
              <w:rPr>
                <w:iCs/>
                <w:sz w:val="20"/>
              </w:rPr>
              <w:t xml:space="preserve"> at time </w:t>
            </w:r>
            <w:r w:rsidRPr="00783571">
              <w:rPr>
                <w:i/>
                <w:iCs/>
                <w:sz w:val="20"/>
              </w:rPr>
              <w:t>t</w:t>
            </w:r>
            <w:r w:rsidRPr="00783571">
              <w:rPr>
                <w:sz w:val="20"/>
              </w:rPr>
              <w:t xml:space="preserve">; </w:t>
            </w:r>
            <w:r w:rsidR="00642FB4" w:rsidRPr="00783571">
              <w:rPr>
                <w:sz w:val="20"/>
              </w:rPr>
              <w:t xml:space="preserve">applies to individuals </w:t>
            </w:r>
            <w:r w:rsidR="009E34D9" w:rsidRPr="00783571">
              <w:rPr>
                <w:sz w:val="20"/>
              </w:rPr>
              <w:t>linked to HIV care</w:t>
            </w:r>
            <w:r w:rsidR="00642FB4" w:rsidRPr="00783571">
              <w:rPr>
                <w:sz w:val="20"/>
              </w:rPr>
              <w:t xml:space="preserve"> and not </w:t>
            </w:r>
            <w:r w:rsidR="000965E6" w:rsidRPr="00783571">
              <w:rPr>
                <w:sz w:val="20"/>
              </w:rPr>
              <w:t>prescribed ART</w:t>
            </w:r>
            <w:r w:rsidRPr="00783571">
              <w:rPr>
                <w:sz w:val="20"/>
              </w:rPr>
              <w:t xml:space="preserve"> (</w:t>
            </w:r>
            <w:r w:rsidRPr="00783571">
              <w:rPr>
                <w:i/>
                <w:sz w:val="20"/>
              </w:rPr>
              <w:t>c</w:t>
            </w:r>
            <w:r w:rsidR="00E628BE" w:rsidRPr="00783571">
              <w:rPr>
                <w:i/>
                <w:sz w:val="20"/>
              </w:rPr>
              <w:t> = </w:t>
            </w:r>
            <w:r w:rsidRPr="00783571">
              <w:rPr>
                <w:sz w:val="20"/>
              </w:rPr>
              <w:t xml:space="preserve">5, 8, 13, 18, 23) </w:t>
            </w:r>
          </w:p>
        </w:tc>
      </w:tr>
      <w:tr w:rsidR="00421CA0" w:rsidRPr="00783571" w14:paraId="681BB24D" w14:textId="77777777" w:rsidTr="002A4EE6">
        <w:trPr>
          <w:cantSplit/>
        </w:trPr>
        <w:tc>
          <w:tcPr>
            <w:tcW w:w="760" w:type="pct"/>
            <w:tcBorders>
              <w:top w:val="single" w:sz="4" w:space="0" w:color="808080" w:themeColor="background1" w:themeShade="80"/>
              <w:bottom w:val="single" w:sz="6" w:space="0" w:color="auto"/>
            </w:tcBorders>
            <w:shd w:val="clear" w:color="auto" w:fill="auto"/>
          </w:tcPr>
          <w:p w14:paraId="5FEA1059" w14:textId="541DC3F9" w:rsidR="00421CA0" w:rsidRPr="00783571" w:rsidRDefault="000F17E7" w:rsidP="00D40CDC">
            <w:pPr>
              <w:pStyle w:val="TableText"/>
              <w:jc w:val="center"/>
              <w:rPr>
                <w:i/>
                <w:iCs/>
                <w:sz w:val="20"/>
              </w:rPr>
            </w:pPr>
            <m:oMathPara>
              <m:oMath>
                <m:sSub>
                  <m:sSubPr>
                    <m:ctrlPr>
                      <w:rPr>
                        <w:rFonts w:ascii="Cambria Math" w:hAnsi="Cambria Math"/>
                        <w:sz w:val="20"/>
                      </w:rPr>
                    </m:ctrlPr>
                  </m:sSubPr>
                  <m:e>
                    <m:r>
                      <m:rPr>
                        <m:sty m:val="p"/>
                      </m:rPr>
                      <w:rPr>
                        <w:rFonts w:ascii="Cambria Math" w:hAnsi="Cambria Math"/>
                        <w:sz w:val="20"/>
                      </w:rPr>
                      <m:t>Δ</m:t>
                    </m:r>
                  </m:e>
                  <m:sub>
                    <m:r>
                      <w:rPr>
                        <w:rFonts w:ascii="Cambria Math" w:hAnsi="Cambria Math"/>
                        <w:sz w:val="20"/>
                      </w:rPr>
                      <m:t>c,z</m:t>
                    </m:r>
                  </m:sub>
                </m:sSub>
              </m:oMath>
            </m:oMathPara>
          </w:p>
        </w:tc>
        <w:tc>
          <w:tcPr>
            <w:tcW w:w="4240" w:type="pct"/>
            <w:tcBorders>
              <w:top w:val="single" w:sz="4" w:space="0" w:color="808080" w:themeColor="background1" w:themeShade="80"/>
              <w:bottom w:val="single" w:sz="6" w:space="0" w:color="auto"/>
            </w:tcBorders>
            <w:shd w:val="clear" w:color="auto" w:fill="auto"/>
          </w:tcPr>
          <w:p w14:paraId="3182203E" w14:textId="360CB8F4" w:rsidR="00421CA0" w:rsidRPr="00783571" w:rsidRDefault="00421CA0" w:rsidP="00D40CDC">
            <w:pPr>
              <w:pStyle w:val="TableText"/>
              <w:rPr>
                <w:sz w:val="20"/>
              </w:rPr>
            </w:pPr>
            <w:r w:rsidRPr="00783571">
              <w:rPr>
                <w:sz w:val="20"/>
              </w:rPr>
              <w:t xml:space="preserve">Percentage reduction in per-act transmission probability due to viral load suppression, by compartment c and transmission risk type </w:t>
            </w:r>
            <w:r w:rsidRPr="00783571">
              <w:rPr>
                <w:i/>
                <w:iCs/>
                <w:sz w:val="20"/>
              </w:rPr>
              <w:t>z</w:t>
            </w:r>
          </w:p>
        </w:tc>
      </w:tr>
      <w:tr w:rsidR="00421CA0" w:rsidRPr="00783571" w14:paraId="77CB642D" w14:textId="77777777" w:rsidTr="002A4EE6">
        <w:trPr>
          <w:cantSplit/>
        </w:trPr>
        <w:tc>
          <w:tcPr>
            <w:tcW w:w="760" w:type="pct"/>
            <w:shd w:val="clear" w:color="auto" w:fill="auto"/>
          </w:tcPr>
          <w:p w14:paraId="6414195B" w14:textId="164665B1" w:rsidR="00421CA0" w:rsidRPr="00783571" w:rsidRDefault="0020439A" w:rsidP="00D40CDC">
            <w:pPr>
              <w:pStyle w:val="TableText"/>
              <w:jc w:val="center"/>
              <w:rPr>
                <w:b/>
                <w:i/>
                <w:sz w:val="20"/>
              </w:rPr>
            </w:pPr>
            <w:r w:rsidRPr="00783571">
              <w:rPr>
                <w:position w:val="-14"/>
                <w:sz w:val="20"/>
              </w:rPr>
              <w:object w:dxaOrig="320" w:dyaOrig="400" w14:anchorId="5C080403">
                <v:shape id="_x0000_i1096" type="#_x0000_t75" style="width:14.25pt;height:21.75pt" o:ole="">
                  <v:imagedata r:id="rId205" o:title=""/>
                </v:shape>
                <o:OLEObject Type="Embed" ProgID="Equation.3" ShapeID="_x0000_i1096" DrawAspect="Content" ObjectID="_1584261738" r:id="rId206"/>
              </w:object>
            </w:r>
            <w:r w:rsidR="00421CA0" w:rsidRPr="00783571">
              <w:rPr>
                <w:sz w:val="20"/>
              </w:rPr>
              <w:t>and</w:t>
            </w:r>
            <w:r w:rsidRPr="00783571">
              <w:rPr>
                <w:position w:val="-14"/>
                <w:sz w:val="20"/>
              </w:rPr>
              <w:object w:dxaOrig="320" w:dyaOrig="400" w14:anchorId="3A8EE079">
                <v:shape id="_x0000_i1097" type="#_x0000_t75" style="width:14.25pt;height:21.75pt" o:ole="">
                  <v:imagedata r:id="rId207" o:title=""/>
                </v:shape>
                <o:OLEObject Type="Embed" ProgID="Equation.3" ShapeID="_x0000_i1097" DrawAspect="Content" ObjectID="_1584261739" r:id="rId208"/>
              </w:object>
            </w:r>
          </w:p>
        </w:tc>
        <w:tc>
          <w:tcPr>
            <w:tcW w:w="4240" w:type="pct"/>
            <w:shd w:val="clear" w:color="auto" w:fill="auto"/>
          </w:tcPr>
          <w:p w14:paraId="721DAEE4" w14:textId="25B7E1B6" w:rsidR="00421CA0" w:rsidRPr="00783571" w:rsidRDefault="00421CA0" w:rsidP="00D40CDC">
            <w:pPr>
              <w:pStyle w:val="TableText"/>
              <w:rPr>
                <w:b/>
                <w:sz w:val="20"/>
              </w:rPr>
            </w:pPr>
            <w:r w:rsidRPr="00783571">
              <w:rPr>
                <w:sz w:val="20"/>
              </w:rPr>
              <w:t xml:space="preserve">Aging rates into (+) and out of (–) demographic subpopulation </w:t>
            </w:r>
            <w:r w:rsidRPr="00783571">
              <w:rPr>
                <w:i/>
                <w:sz w:val="20"/>
              </w:rPr>
              <w:t>p</w:t>
            </w:r>
          </w:p>
        </w:tc>
      </w:tr>
      <w:tr w:rsidR="00421CA0" w:rsidRPr="00783571" w14:paraId="3CBD772A" w14:textId="77777777" w:rsidTr="002A4EE6">
        <w:trPr>
          <w:cantSplit/>
        </w:trPr>
        <w:tc>
          <w:tcPr>
            <w:tcW w:w="760" w:type="pct"/>
            <w:shd w:val="clear" w:color="auto" w:fill="auto"/>
          </w:tcPr>
          <w:p w14:paraId="6A4FEE94" w14:textId="14F41887" w:rsidR="00421CA0" w:rsidRPr="00783571" w:rsidRDefault="00421CA0" w:rsidP="00D40CDC">
            <w:pPr>
              <w:pStyle w:val="TableText"/>
              <w:jc w:val="center"/>
              <w:rPr>
                <w:sz w:val="20"/>
              </w:rPr>
            </w:pPr>
            <w:r w:rsidRPr="00783571">
              <w:rPr>
                <w:position w:val="-14"/>
                <w:sz w:val="20"/>
              </w:rPr>
              <w:object w:dxaOrig="560" w:dyaOrig="380" w14:anchorId="2A4F1A08">
                <v:shape id="_x0000_i1098" type="#_x0000_t75" style="width:43.5pt;height:21.75pt" o:ole="">
                  <v:imagedata r:id="rId209" o:title=""/>
                </v:shape>
                <o:OLEObject Type="Embed" ProgID="Equation.3" ShapeID="_x0000_i1098" DrawAspect="Content" ObjectID="_1584261740" r:id="rId210"/>
              </w:object>
            </w:r>
          </w:p>
        </w:tc>
        <w:tc>
          <w:tcPr>
            <w:tcW w:w="4240" w:type="pct"/>
            <w:shd w:val="clear" w:color="auto" w:fill="auto"/>
          </w:tcPr>
          <w:p w14:paraId="1780A16C" w14:textId="47797B08" w:rsidR="00421CA0" w:rsidRPr="00783571" w:rsidRDefault="00BF425D" w:rsidP="00A74EA3">
            <w:pPr>
              <w:pStyle w:val="TableText"/>
              <w:rPr>
                <w:sz w:val="20"/>
              </w:rPr>
            </w:pPr>
            <w:r w:rsidRPr="00783571">
              <w:rPr>
                <w:sz w:val="20"/>
              </w:rPr>
              <w:t>Annual r</w:t>
            </w:r>
            <w:r w:rsidR="00421CA0" w:rsidRPr="00783571">
              <w:rPr>
                <w:sz w:val="20"/>
              </w:rPr>
              <w:t xml:space="preserve">ate of </w:t>
            </w:r>
            <w:r w:rsidR="00A74EA3" w:rsidRPr="00783571">
              <w:rPr>
                <w:sz w:val="20"/>
              </w:rPr>
              <w:t xml:space="preserve">dropping off </w:t>
            </w:r>
            <w:r w:rsidR="00421CA0" w:rsidRPr="00783571">
              <w:rPr>
                <w:sz w:val="20"/>
              </w:rPr>
              <w:t>of ART if ART</w:t>
            </w:r>
            <w:r w:rsidR="0047287B" w:rsidRPr="00783571">
              <w:rPr>
                <w:sz w:val="20"/>
              </w:rPr>
              <w:t>-</w:t>
            </w:r>
            <w:r w:rsidR="00DE4977" w:rsidRPr="00783571">
              <w:rPr>
                <w:sz w:val="20"/>
              </w:rPr>
              <w:t>not</w:t>
            </w:r>
            <w:r w:rsidR="0047287B" w:rsidRPr="00783571">
              <w:rPr>
                <w:sz w:val="20"/>
              </w:rPr>
              <w:t>-</w:t>
            </w:r>
            <w:r w:rsidR="00160FE1" w:rsidRPr="00783571">
              <w:rPr>
                <w:sz w:val="20"/>
              </w:rPr>
              <w:t>VLS</w:t>
            </w:r>
            <w:r w:rsidR="00421CA0" w:rsidRPr="00783571">
              <w:rPr>
                <w:sz w:val="20"/>
              </w:rPr>
              <w:t xml:space="preserve">, by demographic subpopulation </w:t>
            </w:r>
            <w:r w:rsidR="00421CA0" w:rsidRPr="00783571">
              <w:rPr>
                <w:i/>
                <w:sz w:val="20"/>
              </w:rPr>
              <w:t>p</w:t>
            </w:r>
            <w:r w:rsidR="00421CA0" w:rsidRPr="00783571">
              <w:rPr>
                <w:sz w:val="20"/>
              </w:rPr>
              <w:t xml:space="preserve"> at time </w:t>
            </w:r>
            <w:r w:rsidR="00421CA0" w:rsidRPr="00783571">
              <w:rPr>
                <w:i/>
                <w:sz w:val="20"/>
              </w:rPr>
              <w:t>t</w:t>
            </w:r>
            <w:r w:rsidR="00421CA0" w:rsidRPr="00783571">
              <w:rPr>
                <w:sz w:val="20"/>
              </w:rPr>
              <w:t xml:space="preserve">; applies to individuals </w:t>
            </w:r>
            <w:r w:rsidR="00A74EA3" w:rsidRPr="00783571">
              <w:rPr>
                <w:sz w:val="20"/>
              </w:rPr>
              <w:t>who are</w:t>
            </w:r>
            <w:r w:rsidR="00421CA0" w:rsidRPr="00783571">
              <w:rPr>
                <w:sz w:val="20"/>
              </w:rPr>
              <w:t xml:space="preserve"> ART</w:t>
            </w:r>
            <w:r w:rsidR="00A74EA3" w:rsidRPr="00783571">
              <w:rPr>
                <w:sz w:val="20"/>
              </w:rPr>
              <w:t>-</w:t>
            </w:r>
            <w:r w:rsidR="00421CA0" w:rsidRPr="00783571">
              <w:rPr>
                <w:sz w:val="20"/>
              </w:rPr>
              <w:t>not</w:t>
            </w:r>
            <w:r w:rsidR="00A74EA3" w:rsidRPr="00783571">
              <w:rPr>
                <w:sz w:val="20"/>
              </w:rPr>
              <w:t>-</w:t>
            </w:r>
            <w:r w:rsidR="00421CA0" w:rsidRPr="00783571">
              <w:rPr>
                <w:sz w:val="20"/>
              </w:rPr>
              <w:t>VLS (</w:t>
            </w:r>
            <w:r w:rsidR="00421CA0" w:rsidRPr="00783571">
              <w:rPr>
                <w:i/>
                <w:sz w:val="20"/>
              </w:rPr>
              <w:t>c</w:t>
            </w:r>
            <w:r w:rsidR="00E628BE" w:rsidRPr="00783571">
              <w:rPr>
                <w:i/>
                <w:sz w:val="20"/>
              </w:rPr>
              <w:t> = </w:t>
            </w:r>
            <w:r w:rsidR="00421CA0" w:rsidRPr="00783571">
              <w:rPr>
                <w:sz w:val="20"/>
              </w:rPr>
              <w:t>9, 14, 19, 24) only</w:t>
            </w:r>
          </w:p>
        </w:tc>
      </w:tr>
      <w:tr w:rsidR="00421CA0" w:rsidRPr="00783571" w14:paraId="6AFA6EA9" w14:textId="77777777" w:rsidTr="002A4EE6">
        <w:trPr>
          <w:cantSplit/>
        </w:trPr>
        <w:tc>
          <w:tcPr>
            <w:tcW w:w="760" w:type="pct"/>
            <w:shd w:val="clear" w:color="auto" w:fill="auto"/>
          </w:tcPr>
          <w:p w14:paraId="39927957" w14:textId="507C409D" w:rsidR="00421CA0" w:rsidRPr="00783571" w:rsidRDefault="000F17E7" w:rsidP="00D40CDC">
            <w:pPr>
              <w:pStyle w:val="TableText"/>
              <w:jc w:val="center"/>
              <w:rPr>
                <w:b/>
                <w:sz w:val="20"/>
              </w:rPr>
            </w:pPr>
            <m:oMathPara>
              <m:oMath>
                <m:sSub>
                  <m:sSubPr>
                    <m:ctrlPr>
                      <w:rPr>
                        <w:rFonts w:ascii="Cambria Math" w:hAnsi="Cambria Math"/>
                        <w:i/>
                        <w:sz w:val="20"/>
                      </w:rPr>
                    </m:ctrlPr>
                  </m:sSubPr>
                  <m:e>
                    <m:r>
                      <w:rPr>
                        <w:rFonts w:ascii="Cambria Math" w:hAnsi="Cambria Math"/>
                        <w:sz w:val="20"/>
                      </w:rPr>
                      <m:t>η</m:t>
                    </m:r>
                  </m:e>
                  <m:sub>
                    <m:r>
                      <w:rPr>
                        <w:rFonts w:ascii="Cambria Math" w:hAnsi="Cambria Math"/>
                        <w:sz w:val="20"/>
                      </w:rPr>
                      <m:t>p</m:t>
                    </m:r>
                  </m:sub>
                </m:sSub>
                <m:r>
                  <w:rPr>
                    <w:rFonts w:ascii="Cambria Math" w:hAnsi="Cambria Math"/>
                    <w:sz w:val="20"/>
                  </w:rPr>
                  <m:t>(t)</m:t>
                </m:r>
              </m:oMath>
            </m:oMathPara>
          </w:p>
        </w:tc>
        <w:tc>
          <w:tcPr>
            <w:tcW w:w="4240" w:type="pct"/>
            <w:shd w:val="clear" w:color="auto" w:fill="auto"/>
          </w:tcPr>
          <w:p w14:paraId="4345E1F6" w14:textId="1A71B8E7" w:rsidR="00421CA0" w:rsidRPr="00783571" w:rsidRDefault="00BF425D" w:rsidP="00D40CDC">
            <w:pPr>
              <w:pStyle w:val="TableText"/>
              <w:rPr>
                <w:b/>
                <w:sz w:val="20"/>
              </w:rPr>
            </w:pPr>
            <w:r w:rsidRPr="00783571">
              <w:rPr>
                <w:sz w:val="20"/>
              </w:rPr>
              <w:t>Annual r</w:t>
            </w:r>
            <w:r w:rsidR="00421CA0" w:rsidRPr="00783571">
              <w:rPr>
                <w:sz w:val="20"/>
              </w:rPr>
              <w:t xml:space="preserve">ate of loss of viral load suppression if VLS, by demographic subpopulation </w:t>
            </w:r>
            <w:r w:rsidR="00421CA0" w:rsidRPr="00783571">
              <w:rPr>
                <w:i/>
                <w:sz w:val="20"/>
              </w:rPr>
              <w:t>p</w:t>
            </w:r>
            <w:r w:rsidR="00421CA0" w:rsidRPr="00783571">
              <w:rPr>
                <w:sz w:val="20"/>
              </w:rPr>
              <w:t xml:space="preserve"> at time </w:t>
            </w:r>
            <w:r w:rsidR="00421CA0" w:rsidRPr="00783571">
              <w:rPr>
                <w:i/>
                <w:sz w:val="20"/>
              </w:rPr>
              <w:t>t</w:t>
            </w:r>
            <w:r w:rsidR="00421CA0" w:rsidRPr="00783571">
              <w:rPr>
                <w:sz w:val="20"/>
              </w:rPr>
              <w:t>; applies to individuals with HIV and who are VLS (</w:t>
            </w:r>
            <w:r w:rsidR="00421CA0" w:rsidRPr="00783571">
              <w:rPr>
                <w:i/>
                <w:sz w:val="20"/>
              </w:rPr>
              <w:t>c</w:t>
            </w:r>
            <w:r w:rsidR="00E628BE" w:rsidRPr="00783571">
              <w:rPr>
                <w:sz w:val="20"/>
              </w:rPr>
              <w:t> = </w:t>
            </w:r>
            <w:r w:rsidR="00421CA0" w:rsidRPr="00783571">
              <w:rPr>
                <w:sz w:val="20"/>
              </w:rPr>
              <w:t>10, 15, 20, 25) only</w:t>
            </w:r>
          </w:p>
        </w:tc>
      </w:tr>
      <w:tr w:rsidR="00421CA0" w:rsidRPr="00783571" w14:paraId="28569AED" w14:textId="77777777" w:rsidTr="002A4EE6">
        <w:trPr>
          <w:cantSplit/>
        </w:trPr>
        <w:tc>
          <w:tcPr>
            <w:tcW w:w="760" w:type="pct"/>
            <w:shd w:val="clear" w:color="auto" w:fill="auto"/>
          </w:tcPr>
          <w:p w14:paraId="4F21DB7C" w14:textId="35B1791C" w:rsidR="00421CA0" w:rsidRPr="00783571" w:rsidRDefault="00421CA0" w:rsidP="00D40CDC">
            <w:pPr>
              <w:pStyle w:val="TableText"/>
              <w:jc w:val="center"/>
              <w:rPr>
                <w:sz w:val="20"/>
              </w:rPr>
            </w:pPr>
            <w:r w:rsidRPr="00783571">
              <w:rPr>
                <w:sz w:val="20"/>
              </w:rPr>
              <w:t xml:space="preserve">Θ </w:t>
            </w:r>
            <w:r w:rsidRPr="00783571">
              <w:rPr>
                <w:i/>
                <w:iCs/>
                <w:sz w:val="20"/>
                <w:vertAlign w:val="subscript"/>
              </w:rPr>
              <w:t>c</w:t>
            </w:r>
          </w:p>
        </w:tc>
        <w:tc>
          <w:tcPr>
            <w:tcW w:w="4240" w:type="pct"/>
            <w:shd w:val="clear" w:color="auto" w:fill="auto"/>
          </w:tcPr>
          <w:p w14:paraId="60EE12DD" w14:textId="7480055B" w:rsidR="00421CA0" w:rsidRPr="00783571" w:rsidRDefault="00421CA0" w:rsidP="00D40CDC">
            <w:pPr>
              <w:pStyle w:val="TableText"/>
              <w:rPr>
                <w:sz w:val="20"/>
              </w:rPr>
            </w:pPr>
            <w:r w:rsidRPr="00783571">
              <w:rPr>
                <w:sz w:val="20"/>
              </w:rPr>
              <w:t xml:space="preserve">Probability of HIV transmission per needle shared with an HIV-infected partner in compartment </w:t>
            </w:r>
            <w:r w:rsidRPr="00783571">
              <w:rPr>
                <w:iCs/>
                <w:sz w:val="20"/>
              </w:rPr>
              <w:t>c</w:t>
            </w:r>
          </w:p>
        </w:tc>
      </w:tr>
      <w:tr w:rsidR="00EE0B68" w:rsidRPr="00783571" w14:paraId="04AD3D04" w14:textId="77777777" w:rsidTr="002A4EE6">
        <w:trPr>
          <w:cantSplit/>
        </w:trPr>
        <w:tc>
          <w:tcPr>
            <w:tcW w:w="760" w:type="pct"/>
            <w:shd w:val="clear" w:color="auto" w:fill="auto"/>
          </w:tcPr>
          <w:p w14:paraId="1A1187CB" w14:textId="77777777" w:rsidR="00EE0B68" w:rsidRPr="00783571" w:rsidRDefault="000F17E7" w:rsidP="00D40CDC">
            <w:pPr>
              <w:pStyle w:val="TableText"/>
              <w:jc w:val="center"/>
              <w:rPr>
                <w:sz w:val="20"/>
              </w:rPr>
            </w:pPr>
            <m:oMathPara>
              <m:oMath>
                <m:sSup>
                  <m:sSupPr>
                    <m:ctrlPr>
                      <w:rPr>
                        <w:rFonts w:ascii="Cambria Math" w:hAnsi="Cambria Math"/>
                        <w:i/>
                        <w:sz w:val="20"/>
                      </w:rPr>
                    </m:ctrlPr>
                  </m:sSupPr>
                  <m:e>
                    <m:r>
                      <w:rPr>
                        <w:rFonts w:ascii="Cambria Math" w:hAnsi="Cambria Math"/>
                        <w:sz w:val="20"/>
                      </w:rPr>
                      <m:t>ϑ</m:t>
                    </m:r>
                  </m:e>
                  <m:sup>
                    <m:r>
                      <w:rPr>
                        <w:rFonts w:ascii="Cambria Math" w:hAnsi="Cambria Math"/>
                        <w:sz w:val="20"/>
                      </w:rPr>
                      <m:t>c</m:t>
                    </m:r>
                  </m:sup>
                </m:sSup>
              </m:oMath>
            </m:oMathPara>
          </w:p>
        </w:tc>
        <w:tc>
          <w:tcPr>
            <w:tcW w:w="4240" w:type="pct"/>
            <w:shd w:val="clear" w:color="auto" w:fill="auto"/>
          </w:tcPr>
          <w:p w14:paraId="2D933D8E" w14:textId="6DA74E84" w:rsidR="00EE0B68" w:rsidRPr="00783571" w:rsidRDefault="00EE0B68" w:rsidP="00D40CDC">
            <w:pPr>
              <w:pStyle w:val="TableText"/>
              <w:rPr>
                <w:sz w:val="20"/>
              </w:rPr>
            </w:pPr>
            <w:r w:rsidRPr="00783571">
              <w:rPr>
                <w:sz w:val="20"/>
              </w:rPr>
              <w:t xml:space="preserve">Rate of HIV progression to the previous disease stage from compartment </w:t>
            </w:r>
            <w:r w:rsidRPr="00783571">
              <w:rPr>
                <w:i/>
                <w:sz w:val="20"/>
              </w:rPr>
              <w:t>c</w:t>
            </w:r>
            <w:r w:rsidRPr="00783571">
              <w:rPr>
                <w:sz w:val="20"/>
              </w:rPr>
              <w:t>, if VLS; applies to individuals with HIV, CD4 ≤500, and VLS, (</w:t>
            </w:r>
            <w:r w:rsidRPr="00783571">
              <w:rPr>
                <w:i/>
                <w:sz w:val="20"/>
              </w:rPr>
              <w:t>c</w:t>
            </w:r>
            <w:r w:rsidR="00E628BE" w:rsidRPr="00783571">
              <w:rPr>
                <w:sz w:val="20"/>
              </w:rPr>
              <w:t> = </w:t>
            </w:r>
            <w:r w:rsidRPr="00783571">
              <w:rPr>
                <w:sz w:val="20"/>
              </w:rPr>
              <w:t>15, 20, 25) only</w:t>
            </w:r>
          </w:p>
        </w:tc>
      </w:tr>
      <w:tr w:rsidR="004C0297" w:rsidRPr="00783571" w14:paraId="407F6202" w14:textId="77777777" w:rsidTr="002A4EE6">
        <w:trPr>
          <w:cantSplit/>
        </w:trPr>
        <w:tc>
          <w:tcPr>
            <w:tcW w:w="760" w:type="pct"/>
            <w:shd w:val="clear" w:color="auto" w:fill="auto"/>
          </w:tcPr>
          <w:p w14:paraId="409EC6A6" w14:textId="77777777" w:rsidR="004C0297" w:rsidRPr="00783571" w:rsidRDefault="004C0297" w:rsidP="00D40CDC">
            <w:pPr>
              <w:pStyle w:val="TableText"/>
              <w:jc w:val="center"/>
              <w:rPr>
                <w:sz w:val="20"/>
              </w:rPr>
            </w:pPr>
            <w:r w:rsidRPr="00783571">
              <w:rPr>
                <w:position w:val="-14"/>
                <w:sz w:val="20"/>
              </w:rPr>
              <w:object w:dxaOrig="620" w:dyaOrig="420" w14:anchorId="71CF8142">
                <v:shape id="_x0000_i1099" type="#_x0000_t75" style="width:21.75pt;height:21.75pt" o:ole="">
                  <v:imagedata r:id="rId211" o:title=""/>
                </v:shape>
                <o:OLEObject Type="Embed" ProgID="Equation.3" ShapeID="_x0000_i1099" DrawAspect="Content" ObjectID="_1584261741" r:id="rId212"/>
              </w:object>
            </w:r>
          </w:p>
        </w:tc>
        <w:tc>
          <w:tcPr>
            <w:tcW w:w="4240" w:type="pct"/>
            <w:shd w:val="clear" w:color="auto" w:fill="auto"/>
          </w:tcPr>
          <w:p w14:paraId="2637A9F2" w14:textId="418DBB13" w:rsidR="004C0297" w:rsidRPr="00783571" w:rsidRDefault="004C0297" w:rsidP="00D40CDC">
            <w:pPr>
              <w:pStyle w:val="TableText"/>
              <w:rPr>
                <w:sz w:val="20"/>
              </w:rPr>
            </w:pPr>
            <w:r w:rsidRPr="00783571">
              <w:rPr>
                <w:sz w:val="20"/>
              </w:rPr>
              <w:t xml:space="preserve">Percentage of newly diagnosed individuals in subpopulation </w:t>
            </w:r>
            <w:r w:rsidRPr="00783571">
              <w:rPr>
                <w:i/>
                <w:iCs/>
                <w:sz w:val="20"/>
              </w:rPr>
              <w:t>p</w:t>
            </w:r>
            <w:r w:rsidRPr="00783571">
              <w:rPr>
                <w:sz w:val="20"/>
              </w:rPr>
              <w:t xml:space="preserve"> immediately </w:t>
            </w:r>
            <w:r w:rsidR="009E34D9" w:rsidRPr="00783571">
              <w:rPr>
                <w:sz w:val="20"/>
              </w:rPr>
              <w:t>linked to HIV care</w:t>
            </w:r>
            <w:r w:rsidRPr="00783571">
              <w:rPr>
                <w:sz w:val="20"/>
              </w:rPr>
              <w:t xml:space="preserve"> at time </w:t>
            </w:r>
            <w:r w:rsidRPr="00783571">
              <w:rPr>
                <w:i/>
                <w:sz w:val="20"/>
              </w:rPr>
              <w:t>t</w:t>
            </w:r>
            <w:r w:rsidRPr="00783571">
              <w:rPr>
                <w:sz w:val="20"/>
              </w:rPr>
              <w:t xml:space="preserve"> </w:t>
            </w:r>
          </w:p>
        </w:tc>
      </w:tr>
      <w:tr w:rsidR="00421CA0" w:rsidRPr="00783571" w14:paraId="0C3B8429" w14:textId="77777777" w:rsidTr="002A4EE6">
        <w:trPr>
          <w:cantSplit/>
        </w:trPr>
        <w:tc>
          <w:tcPr>
            <w:tcW w:w="760" w:type="pct"/>
            <w:tcBorders>
              <w:bottom w:val="single" w:sz="4" w:space="0" w:color="808080" w:themeColor="background1" w:themeShade="80"/>
            </w:tcBorders>
            <w:shd w:val="clear" w:color="auto" w:fill="auto"/>
          </w:tcPr>
          <w:p w14:paraId="51A9A416" w14:textId="1BBA1B76" w:rsidR="00421CA0" w:rsidRPr="00783571" w:rsidRDefault="0020439A" w:rsidP="00D40CDC">
            <w:pPr>
              <w:pStyle w:val="TableText"/>
              <w:jc w:val="center"/>
              <w:rPr>
                <w:b/>
                <w:sz w:val="20"/>
              </w:rPr>
            </w:pPr>
            <w:r w:rsidRPr="00783571">
              <w:rPr>
                <w:position w:val="-14"/>
                <w:sz w:val="20"/>
              </w:rPr>
              <w:object w:dxaOrig="360" w:dyaOrig="400" w14:anchorId="1D3BD72A">
                <v:shape id="_x0000_i1100" type="#_x0000_t75" style="width:21.75pt;height:21.75pt" o:ole="">
                  <v:imagedata r:id="rId213" o:title=""/>
                </v:shape>
                <o:OLEObject Type="Embed" ProgID="Equation.3" ShapeID="_x0000_i1100" DrawAspect="Content" ObjectID="_1584261742" r:id="rId214"/>
              </w:object>
            </w:r>
          </w:p>
        </w:tc>
        <w:tc>
          <w:tcPr>
            <w:tcW w:w="4240" w:type="pct"/>
            <w:tcBorders>
              <w:bottom w:val="single" w:sz="4" w:space="0" w:color="808080" w:themeColor="background1" w:themeShade="80"/>
            </w:tcBorders>
            <w:shd w:val="clear" w:color="auto" w:fill="auto"/>
          </w:tcPr>
          <w:p w14:paraId="7408AF57" w14:textId="33589627" w:rsidR="00421CA0" w:rsidRPr="00783571" w:rsidRDefault="00421CA0" w:rsidP="00D40CDC">
            <w:pPr>
              <w:pStyle w:val="TableText"/>
              <w:rPr>
                <w:b/>
                <w:sz w:val="20"/>
              </w:rPr>
            </w:pPr>
            <w:r w:rsidRPr="00783571">
              <w:rPr>
                <w:sz w:val="20"/>
              </w:rPr>
              <w:t xml:space="preserve">Constant rate of aging into the modeled population per person in subpopulation </w:t>
            </w:r>
            <w:r w:rsidRPr="00783571">
              <w:rPr>
                <w:i/>
                <w:iCs/>
                <w:sz w:val="20"/>
              </w:rPr>
              <w:t>p</w:t>
            </w:r>
            <w:r w:rsidRPr="00783571">
              <w:rPr>
                <w:sz w:val="20"/>
              </w:rPr>
              <w:t xml:space="preserve"> at the start of the model</w:t>
            </w:r>
          </w:p>
        </w:tc>
      </w:tr>
      <w:tr w:rsidR="00421CA0" w:rsidRPr="00783571" w14:paraId="1670C1DE" w14:textId="77777777" w:rsidTr="002A4EE6">
        <w:trPr>
          <w:cantSplit/>
        </w:trPr>
        <w:tc>
          <w:tcPr>
            <w:tcW w:w="760" w:type="pct"/>
            <w:tcBorders>
              <w:top w:val="single" w:sz="4" w:space="0" w:color="808080" w:themeColor="background1" w:themeShade="80"/>
              <w:bottom w:val="single" w:sz="4" w:space="0" w:color="808080" w:themeColor="background1" w:themeShade="80"/>
            </w:tcBorders>
            <w:shd w:val="clear" w:color="auto" w:fill="auto"/>
          </w:tcPr>
          <w:p w14:paraId="62DF65C1" w14:textId="53E370A1" w:rsidR="00421CA0" w:rsidRPr="00783571" w:rsidRDefault="00421CA0" w:rsidP="00D40CDC">
            <w:pPr>
              <w:pStyle w:val="TableText"/>
              <w:jc w:val="center"/>
              <w:rPr>
                <w:sz w:val="20"/>
              </w:rPr>
            </w:pPr>
            <w:r w:rsidRPr="00783571">
              <w:rPr>
                <w:position w:val="-14"/>
                <w:sz w:val="20"/>
              </w:rPr>
              <w:object w:dxaOrig="620" w:dyaOrig="400" w14:anchorId="65AD7D3C">
                <v:shape id="_x0000_i1101" type="#_x0000_t75" style="width:21.75pt;height:21.75pt" o:ole="">
                  <v:imagedata r:id="rId215" o:title=""/>
                </v:shape>
                <o:OLEObject Type="Embed" ProgID="Equation.3" ShapeID="_x0000_i1101" DrawAspect="Content" ObjectID="_1584261743" r:id="rId216"/>
              </w:object>
            </w:r>
          </w:p>
        </w:tc>
        <w:tc>
          <w:tcPr>
            <w:tcW w:w="4240" w:type="pct"/>
            <w:tcBorders>
              <w:top w:val="single" w:sz="4" w:space="0" w:color="808080" w:themeColor="background1" w:themeShade="80"/>
              <w:bottom w:val="single" w:sz="4" w:space="0" w:color="808080" w:themeColor="background1" w:themeShade="80"/>
            </w:tcBorders>
            <w:shd w:val="clear" w:color="auto" w:fill="auto"/>
          </w:tcPr>
          <w:p w14:paraId="2F4F760E" w14:textId="606F9D00" w:rsidR="00421CA0" w:rsidRPr="00783571" w:rsidRDefault="00421CA0" w:rsidP="00D40CDC">
            <w:pPr>
              <w:pStyle w:val="TableText"/>
              <w:rPr>
                <w:sz w:val="20"/>
              </w:rPr>
            </w:pPr>
            <w:r w:rsidRPr="00783571">
              <w:rPr>
                <w:sz w:val="20"/>
              </w:rPr>
              <w:t xml:space="preserve">Force of HIV infection for non-HIV-infected individuals (across all sexual and needle-sharing risks) in subpopulation </w:t>
            </w:r>
            <w:r w:rsidRPr="00783571">
              <w:rPr>
                <w:i/>
                <w:iCs/>
                <w:sz w:val="20"/>
              </w:rPr>
              <w:t>p</w:t>
            </w:r>
            <w:r w:rsidRPr="00783571">
              <w:rPr>
                <w:sz w:val="20"/>
              </w:rPr>
              <w:t xml:space="preserve"> at time </w:t>
            </w:r>
            <w:r w:rsidRPr="00783571">
              <w:rPr>
                <w:i/>
                <w:iCs/>
                <w:sz w:val="20"/>
              </w:rPr>
              <w:t>t</w:t>
            </w:r>
          </w:p>
        </w:tc>
      </w:tr>
    </w:tbl>
    <w:p w14:paraId="06F81BA7" w14:textId="77777777" w:rsidR="004A1C14" w:rsidRPr="00783571" w:rsidRDefault="004A1C14" w:rsidP="004A1C14">
      <w:pPr>
        <w:pStyle w:val="Tablecont"/>
        <w:rPr>
          <w:sz w:val="20"/>
        </w:rPr>
      </w:pPr>
      <w:r w:rsidRPr="00783571">
        <w:rPr>
          <w:sz w:val="20"/>
        </w:rPr>
        <w:t>(continued)</w:t>
      </w:r>
    </w:p>
    <w:p w14:paraId="774999ED" w14:textId="77777777" w:rsidR="004A1C14" w:rsidRPr="00783571" w:rsidRDefault="004A1C14" w:rsidP="004A1C14">
      <w:pPr>
        <w:pStyle w:val="TableTitlecont"/>
      </w:pPr>
      <w:r w:rsidRPr="00783571">
        <w:t>Table A.1.</w:t>
      </w:r>
      <w:r w:rsidRPr="00783571">
        <w:tab/>
        <w:t>Definitions of Symbols Applied in This Document (continued)</w:t>
      </w:r>
    </w:p>
    <w:tbl>
      <w:tblPr>
        <w:tblW w:w="5001" w:type="pct"/>
        <w:tblInd w:w="86" w:type="dxa"/>
        <w:tblBorders>
          <w:top w:val="single" w:sz="12" w:space="0" w:color="auto"/>
          <w:bottom w:val="single" w:sz="12" w:space="0" w:color="auto"/>
          <w:insideH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970"/>
        <w:gridCol w:w="10993"/>
      </w:tblGrid>
      <w:tr w:rsidR="004A1C14" w:rsidRPr="00783571" w14:paraId="460CBE7C" w14:textId="77777777" w:rsidTr="002A4EE6">
        <w:trPr>
          <w:cantSplit/>
          <w:tblHeader/>
        </w:trPr>
        <w:tc>
          <w:tcPr>
            <w:tcW w:w="760" w:type="pct"/>
            <w:tcBorders>
              <w:top w:val="single" w:sz="12" w:space="0" w:color="auto"/>
              <w:bottom w:val="single" w:sz="6" w:space="0" w:color="auto"/>
            </w:tcBorders>
            <w:shd w:val="clear" w:color="auto" w:fill="auto"/>
          </w:tcPr>
          <w:p w14:paraId="5DA30525" w14:textId="77777777" w:rsidR="004A1C14" w:rsidRPr="00783571" w:rsidRDefault="004A1C14" w:rsidP="00F52C23">
            <w:pPr>
              <w:pStyle w:val="TableHeaders"/>
              <w:spacing w:before="50" w:after="50"/>
              <w:rPr>
                <w:sz w:val="20"/>
              </w:rPr>
            </w:pPr>
            <w:r w:rsidRPr="00783571">
              <w:rPr>
                <w:sz w:val="20"/>
              </w:rPr>
              <w:t>Symbol</w:t>
            </w:r>
          </w:p>
        </w:tc>
        <w:tc>
          <w:tcPr>
            <w:tcW w:w="4239" w:type="pct"/>
            <w:tcBorders>
              <w:top w:val="single" w:sz="12" w:space="0" w:color="auto"/>
              <w:bottom w:val="single" w:sz="6" w:space="0" w:color="auto"/>
            </w:tcBorders>
            <w:shd w:val="clear" w:color="auto" w:fill="auto"/>
          </w:tcPr>
          <w:p w14:paraId="52093395" w14:textId="77777777" w:rsidR="004A1C14" w:rsidRPr="00783571" w:rsidRDefault="004A1C14" w:rsidP="00F52C23">
            <w:pPr>
              <w:pStyle w:val="TableHeaders"/>
              <w:spacing w:before="50" w:after="50"/>
              <w:jc w:val="left"/>
              <w:rPr>
                <w:sz w:val="20"/>
              </w:rPr>
            </w:pPr>
            <w:r w:rsidRPr="00783571">
              <w:rPr>
                <w:sz w:val="20"/>
              </w:rPr>
              <w:t>Definition</w:t>
            </w:r>
          </w:p>
        </w:tc>
      </w:tr>
      <w:tr w:rsidR="004A1C14" w:rsidRPr="00783571" w14:paraId="496043B5" w14:textId="77777777" w:rsidTr="002A4EE6">
        <w:trPr>
          <w:cantSplit/>
        </w:trPr>
        <w:tc>
          <w:tcPr>
            <w:tcW w:w="4999" w:type="pct"/>
            <w:gridSpan w:val="2"/>
            <w:tcBorders>
              <w:top w:val="single" w:sz="6" w:space="0" w:color="auto"/>
            </w:tcBorders>
            <w:shd w:val="clear" w:color="auto" w:fill="D9D9D9" w:themeFill="background1" w:themeFillShade="D9"/>
          </w:tcPr>
          <w:p w14:paraId="71F46F57" w14:textId="77777777" w:rsidR="004A1C14" w:rsidRPr="00783571" w:rsidRDefault="004A1C14" w:rsidP="00F52C23">
            <w:pPr>
              <w:pStyle w:val="TableText"/>
              <w:spacing w:before="50" w:after="50"/>
              <w:rPr>
                <w:b/>
                <w:sz w:val="20"/>
              </w:rPr>
            </w:pPr>
            <w:r w:rsidRPr="00783571">
              <w:rPr>
                <w:b/>
                <w:sz w:val="20"/>
              </w:rPr>
              <w:t>Greek Alphabet (continued)</w:t>
            </w:r>
          </w:p>
        </w:tc>
      </w:tr>
      <w:tr w:rsidR="002A4EE6" w:rsidRPr="00783571" w14:paraId="6EE89742" w14:textId="77777777" w:rsidTr="002A4EE6">
        <w:trPr>
          <w:cantSplit/>
        </w:trPr>
        <w:tc>
          <w:tcPr>
            <w:tcW w:w="760" w:type="pct"/>
            <w:tcBorders>
              <w:top w:val="single" w:sz="4" w:space="0" w:color="808080" w:themeColor="background1" w:themeShade="80"/>
              <w:bottom w:val="single" w:sz="4" w:space="0" w:color="808080" w:themeColor="background1" w:themeShade="80"/>
            </w:tcBorders>
            <w:shd w:val="clear" w:color="auto" w:fill="auto"/>
          </w:tcPr>
          <w:p w14:paraId="78B6B28B" w14:textId="77777777" w:rsidR="002A4EE6" w:rsidRPr="00783571" w:rsidRDefault="002A4EE6" w:rsidP="00260D8A">
            <w:pPr>
              <w:pStyle w:val="TableText"/>
              <w:jc w:val="center"/>
              <w:rPr>
                <w:sz w:val="20"/>
              </w:rPr>
            </w:pPr>
            <w:r w:rsidRPr="00783571">
              <w:rPr>
                <w:position w:val="-14"/>
                <w:sz w:val="20"/>
              </w:rPr>
              <w:object w:dxaOrig="660" w:dyaOrig="400" w14:anchorId="6533608A">
                <v:shape id="_x0000_i1102" type="#_x0000_t75" style="width:28.5pt;height:21.75pt" o:ole="">
                  <v:imagedata r:id="rId217" o:title=""/>
                </v:shape>
                <o:OLEObject Type="Embed" ProgID="Equation.3" ShapeID="_x0000_i1102" DrawAspect="Content" ObjectID="_1584261744" r:id="rId218"/>
              </w:object>
            </w:r>
          </w:p>
        </w:tc>
        <w:tc>
          <w:tcPr>
            <w:tcW w:w="4240" w:type="pct"/>
            <w:tcBorders>
              <w:top w:val="single" w:sz="4" w:space="0" w:color="808080" w:themeColor="background1" w:themeShade="80"/>
              <w:bottom w:val="single" w:sz="4" w:space="0" w:color="808080" w:themeColor="background1" w:themeShade="80"/>
            </w:tcBorders>
            <w:shd w:val="clear" w:color="auto" w:fill="auto"/>
          </w:tcPr>
          <w:p w14:paraId="13EC64ED" w14:textId="77777777" w:rsidR="002A4EE6" w:rsidRPr="00783571" w:rsidRDefault="002A4EE6" w:rsidP="00260D8A">
            <w:pPr>
              <w:pStyle w:val="TableText"/>
              <w:rPr>
                <w:sz w:val="20"/>
              </w:rPr>
            </w:pPr>
            <w:r w:rsidRPr="00783571">
              <w:rPr>
                <w:sz w:val="20"/>
              </w:rPr>
              <w:t xml:space="preserve">Force of HIV infection from risk type </w:t>
            </w:r>
            <w:r w:rsidRPr="00783571">
              <w:rPr>
                <w:i/>
                <w:iCs/>
                <w:sz w:val="20"/>
              </w:rPr>
              <w:t>z</w:t>
            </w:r>
            <w:r w:rsidRPr="00783571">
              <w:rPr>
                <w:sz w:val="20"/>
              </w:rPr>
              <w:t xml:space="preserve"> for non-HIV infected individuals in subpopulation </w:t>
            </w:r>
            <w:r w:rsidRPr="00783571">
              <w:rPr>
                <w:i/>
                <w:iCs/>
                <w:sz w:val="20"/>
              </w:rPr>
              <w:t>p</w:t>
            </w:r>
            <w:r w:rsidRPr="00783571">
              <w:rPr>
                <w:sz w:val="20"/>
              </w:rPr>
              <w:t xml:space="preserve"> who participate in sexual transmission risk behaviors of each type x, at time </w:t>
            </w:r>
            <w:r w:rsidRPr="00783571">
              <w:rPr>
                <w:i/>
                <w:iCs/>
                <w:sz w:val="20"/>
              </w:rPr>
              <w:t xml:space="preserve">t </w:t>
            </w:r>
          </w:p>
        </w:tc>
      </w:tr>
      <w:tr w:rsidR="002A4EE6" w:rsidRPr="00783571" w14:paraId="1E726CEC" w14:textId="77777777" w:rsidTr="002A4EE6">
        <w:trPr>
          <w:cantSplit/>
        </w:trPr>
        <w:tc>
          <w:tcPr>
            <w:tcW w:w="760" w:type="pct"/>
            <w:tcBorders>
              <w:top w:val="single" w:sz="4" w:space="0" w:color="808080" w:themeColor="background1" w:themeShade="80"/>
              <w:bottom w:val="single" w:sz="6" w:space="0" w:color="808080" w:themeColor="background1" w:themeShade="80"/>
            </w:tcBorders>
            <w:shd w:val="clear" w:color="auto" w:fill="auto"/>
          </w:tcPr>
          <w:p w14:paraId="6BFFC3E6" w14:textId="77777777" w:rsidR="002A4EE6" w:rsidRPr="00783571" w:rsidRDefault="002A4EE6" w:rsidP="00260D8A">
            <w:pPr>
              <w:pStyle w:val="TableText"/>
              <w:jc w:val="center"/>
              <w:rPr>
                <w:sz w:val="20"/>
              </w:rPr>
            </w:pPr>
            <w:r w:rsidRPr="00783571">
              <w:rPr>
                <w:position w:val="-14"/>
                <w:sz w:val="20"/>
              </w:rPr>
              <w:object w:dxaOrig="320" w:dyaOrig="380" w14:anchorId="7F0B89E9">
                <v:shape id="_x0000_i1103" type="#_x0000_t75" style="width:21.75pt;height:14.25pt" o:ole="">
                  <v:imagedata r:id="rId219" o:title=""/>
                </v:shape>
                <o:OLEObject Type="Embed" ProgID="Equation.3" ShapeID="_x0000_i1103" DrawAspect="Content" ObjectID="_1584261745" r:id="rId220"/>
              </w:object>
            </w:r>
          </w:p>
        </w:tc>
        <w:tc>
          <w:tcPr>
            <w:tcW w:w="4240" w:type="pct"/>
            <w:tcBorders>
              <w:top w:val="single" w:sz="4" w:space="0" w:color="808080" w:themeColor="background1" w:themeShade="80"/>
              <w:bottom w:val="single" w:sz="6" w:space="0" w:color="808080" w:themeColor="background1" w:themeShade="80"/>
            </w:tcBorders>
            <w:shd w:val="clear" w:color="auto" w:fill="auto"/>
          </w:tcPr>
          <w:p w14:paraId="4E0B3162" w14:textId="020492D3" w:rsidR="002A4EE6" w:rsidRPr="00783571" w:rsidRDefault="002A4EE6" w:rsidP="00260D8A">
            <w:pPr>
              <w:pStyle w:val="TableText"/>
              <w:rPr>
                <w:sz w:val="20"/>
              </w:rPr>
            </w:pPr>
            <w:r w:rsidRPr="00783571">
              <w:rPr>
                <w:sz w:val="20"/>
              </w:rPr>
              <w:t xml:space="preserve">Mortality rate from causes other than AIDS, if not prescribed ART, by demographic subpopulation </w:t>
            </w:r>
            <w:r w:rsidRPr="00783571">
              <w:rPr>
                <w:i/>
                <w:sz w:val="20"/>
              </w:rPr>
              <w:t>p</w:t>
            </w:r>
          </w:p>
        </w:tc>
      </w:tr>
      <w:tr w:rsidR="00421CA0" w:rsidRPr="00783571" w14:paraId="06AE36B0" w14:textId="77777777" w:rsidTr="002A4EE6">
        <w:trPr>
          <w:cantSplit/>
        </w:trPr>
        <w:tc>
          <w:tcPr>
            <w:tcW w:w="760" w:type="pct"/>
            <w:tcBorders>
              <w:top w:val="single" w:sz="6" w:space="0" w:color="808080" w:themeColor="background1" w:themeShade="80"/>
              <w:bottom w:val="single" w:sz="4" w:space="0" w:color="808080" w:themeColor="background1" w:themeShade="80"/>
            </w:tcBorders>
            <w:shd w:val="clear" w:color="auto" w:fill="auto"/>
          </w:tcPr>
          <w:p w14:paraId="36AAFBEB" w14:textId="0FDC6440" w:rsidR="00421CA0" w:rsidRPr="00783571" w:rsidRDefault="00421CA0" w:rsidP="00D40CDC">
            <w:pPr>
              <w:pStyle w:val="TableText"/>
              <w:jc w:val="center"/>
              <w:rPr>
                <w:sz w:val="20"/>
              </w:rPr>
            </w:pPr>
            <w:r w:rsidRPr="00783571">
              <w:rPr>
                <w:sz w:val="20"/>
              </w:rPr>
              <w:t xml:space="preserve">ξ </w:t>
            </w:r>
            <w:r w:rsidRPr="00783571">
              <w:rPr>
                <w:sz w:val="20"/>
                <w:vertAlign w:val="subscript"/>
              </w:rPr>
              <w:t>z,y</w:t>
            </w:r>
            <w:r w:rsidRPr="00783571">
              <w:rPr>
                <w:sz w:val="20"/>
              </w:rPr>
              <w:t>,</w:t>
            </w:r>
            <w:r w:rsidRPr="00783571">
              <w:rPr>
                <w:sz w:val="20"/>
                <w:vertAlign w:val="subscript"/>
              </w:rPr>
              <w:t>p1,p2,c</w:t>
            </w:r>
          </w:p>
        </w:tc>
        <w:tc>
          <w:tcPr>
            <w:tcW w:w="4239" w:type="pct"/>
            <w:tcBorders>
              <w:top w:val="single" w:sz="6" w:space="0" w:color="808080" w:themeColor="background1" w:themeShade="80"/>
              <w:bottom w:val="single" w:sz="4" w:space="0" w:color="808080" w:themeColor="background1" w:themeShade="80"/>
            </w:tcBorders>
            <w:shd w:val="clear" w:color="auto" w:fill="auto"/>
          </w:tcPr>
          <w:p w14:paraId="588F25E9" w14:textId="0866A860" w:rsidR="00421CA0" w:rsidRPr="00783571" w:rsidRDefault="00421CA0" w:rsidP="00D40CDC">
            <w:pPr>
              <w:pStyle w:val="TableText"/>
              <w:rPr>
                <w:sz w:val="20"/>
              </w:rPr>
            </w:pPr>
            <w:r w:rsidRPr="00783571">
              <w:rPr>
                <w:sz w:val="20"/>
              </w:rPr>
              <w:t xml:space="preserve">Number of partnerships of type y involving risk type </w:t>
            </w:r>
            <w:r w:rsidRPr="00783571">
              <w:rPr>
                <w:iCs/>
                <w:sz w:val="20"/>
              </w:rPr>
              <w:t>z</w:t>
            </w:r>
            <w:r w:rsidRPr="00783571">
              <w:rPr>
                <w:sz w:val="20"/>
              </w:rPr>
              <w:t xml:space="preserve"> per uninfected individual in subpopulation </w:t>
            </w:r>
            <w:r w:rsidRPr="00783571">
              <w:rPr>
                <w:iCs/>
                <w:sz w:val="20"/>
              </w:rPr>
              <w:t>p1</w:t>
            </w:r>
            <w:r w:rsidRPr="00783571">
              <w:rPr>
                <w:sz w:val="20"/>
              </w:rPr>
              <w:t xml:space="preserve"> with infected partners in subpopulation</w:t>
            </w:r>
            <w:r w:rsidRPr="00783571">
              <w:rPr>
                <w:iCs/>
                <w:sz w:val="20"/>
              </w:rPr>
              <w:t xml:space="preserve"> p2</w:t>
            </w:r>
            <w:r w:rsidRPr="00783571">
              <w:rPr>
                <w:sz w:val="20"/>
              </w:rPr>
              <w:t xml:space="preserve"> in compartment </w:t>
            </w:r>
            <w:r w:rsidRPr="00783571">
              <w:rPr>
                <w:iCs/>
                <w:sz w:val="20"/>
              </w:rPr>
              <w:t>c</w:t>
            </w:r>
          </w:p>
        </w:tc>
      </w:tr>
      <w:tr w:rsidR="00833802" w:rsidRPr="00783571" w14:paraId="652DC4DC" w14:textId="77777777" w:rsidTr="002A4EE6">
        <w:trPr>
          <w:cantSplit/>
        </w:trPr>
        <w:tc>
          <w:tcPr>
            <w:tcW w:w="760" w:type="pct"/>
            <w:tcBorders>
              <w:top w:val="single" w:sz="4" w:space="0" w:color="808080" w:themeColor="background1" w:themeShade="80"/>
              <w:bottom w:val="single" w:sz="4" w:space="0" w:color="808080" w:themeColor="background1" w:themeShade="80"/>
            </w:tcBorders>
            <w:shd w:val="clear" w:color="auto" w:fill="auto"/>
          </w:tcPr>
          <w:p w14:paraId="74DF208D" w14:textId="1432BE2F" w:rsidR="00833802" w:rsidRPr="00783571" w:rsidRDefault="000F17E7" w:rsidP="00D40CDC">
            <w:pPr>
              <w:pStyle w:val="TableText"/>
              <w:jc w:val="center"/>
              <w:rPr>
                <w:sz w:val="20"/>
              </w:rPr>
            </w:pPr>
            <m:oMath>
              <m:sSubSup>
                <m:sSubSupPr>
                  <m:ctrlPr>
                    <w:rPr>
                      <w:rFonts w:ascii="Cambria Math" w:hAnsi="Cambria Math"/>
                      <w:i/>
                      <w:sz w:val="20"/>
                    </w:rPr>
                  </m:ctrlPr>
                </m:sSubSupPr>
                <m:e>
                  <m:r>
                    <m:rPr>
                      <m:nor/>
                    </m:rPr>
                    <w:rPr>
                      <w:sz w:val="20"/>
                    </w:rPr>
                    <m:t>π</m:t>
                  </m:r>
                </m:e>
                <m:sub>
                  <m:r>
                    <m:rPr>
                      <m:nor/>
                    </m:rPr>
                    <w:rPr>
                      <w:sz w:val="20"/>
                    </w:rPr>
                    <m:t>p</m:t>
                  </m:r>
                </m:sub>
                <m:sup>
                  <m:r>
                    <m:rPr>
                      <m:nor/>
                    </m:rPr>
                    <w:rPr>
                      <w:sz w:val="20"/>
                    </w:rPr>
                    <m:t>c</m:t>
                  </m:r>
                </m:sup>
              </m:sSubSup>
            </m:oMath>
            <w:r w:rsidR="00833802" w:rsidRPr="00783571">
              <w:rPr>
                <w:sz w:val="20"/>
              </w:rPr>
              <w:t>(t)</w:t>
            </w:r>
          </w:p>
        </w:tc>
        <w:tc>
          <w:tcPr>
            <w:tcW w:w="4239" w:type="pct"/>
            <w:tcBorders>
              <w:top w:val="single" w:sz="4" w:space="0" w:color="808080" w:themeColor="background1" w:themeShade="80"/>
              <w:bottom w:val="single" w:sz="4" w:space="0" w:color="808080" w:themeColor="background1" w:themeShade="80"/>
            </w:tcBorders>
            <w:shd w:val="clear" w:color="auto" w:fill="auto"/>
          </w:tcPr>
          <w:p w14:paraId="2EF0C120" w14:textId="79B6BACE" w:rsidR="00833802" w:rsidRPr="00783571" w:rsidRDefault="00833802" w:rsidP="00D40CDC">
            <w:pPr>
              <w:pStyle w:val="TableText"/>
              <w:rPr>
                <w:sz w:val="20"/>
              </w:rPr>
            </w:pPr>
            <w:r w:rsidRPr="00783571">
              <w:rPr>
                <w:sz w:val="20"/>
              </w:rPr>
              <w:t xml:space="preserve">Rate of testing of undiagnosed individuals in compartment </w:t>
            </w:r>
            <w:r w:rsidRPr="00783571">
              <w:rPr>
                <w:i/>
                <w:sz w:val="20"/>
              </w:rPr>
              <w:t>c</w:t>
            </w:r>
            <w:r w:rsidRPr="00783571">
              <w:rPr>
                <w:sz w:val="20"/>
              </w:rPr>
              <w:t xml:space="preserve">, at time </w:t>
            </w:r>
            <w:r w:rsidRPr="00783571">
              <w:rPr>
                <w:i/>
                <w:sz w:val="20"/>
              </w:rPr>
              <w:t>t</w:t>
            </w:r>
            <w:r w:rsidRPr="00783571">
              <w:rPr>
                <w:sz w:val="20"/>
              </w:rPr>
              <w:t xml:space="preserve"> by demographic subpopulation </w:t>
            </w:r>
            <w:r w:rsidRPr="00783571">
              <w:rPr>
                <w:i/>
                <w:sz w:val="20"/>
              </w:rPr>
              <w:t>p</w:t>
            </w:r>
          </w:p>
        </w:tc>
      </w:tr>
      <w:tr w:rsidR="00BF7CA2" w:rsidRPr="00783571" w14:paraId="2920AEF4" w14:textId="77777777" w:rsidTr="002A4EE6">
        <w:trPr>
          <w:cantSplit/>
        </w:trPr>
        <w:tc>
          <w:tcPr>
            <w:tcW w:w="760" w:type="pct"/>
            <w:tcBorders>
              <w:top w:val="single" w:sz="6" w:space="0" w:color="808080" w:themeColor="background1" w:themeShade="80"/>
              <w:bottom w:val="single" w:sz="4" w:space="0" w:color="808080" w:themeColor="background1" w:themeShade="80"/>
            </w:tcBorders>
            <w:shd w:val="clear" w:color="auto" w:fill="auto"/>
          </w:tcPr>
          <w:p w14:paraId="2F358B01" w14:textId="4FBC46F9" w:rsidR="00BF7CA2" w:rsidRPr="00783571" w:rsidRDefault="000F17E7" w:rsidP="00D40CDC">
            <w:pPr>
              <w:pStyle w:val="TableText"/>
              <w:spacing w:before="50" w:after="50"/>
              <w:jc w:val="center"/>
              <w:rPr>
                <w:sz w:val="20"/>
              </w:rPr>
            </w:pPr>
            <m:oMath>
              <m:sSub>
                <m:sSubPr>
                  <m:ctrlPr>
                    <w:rPr>
                      <w:rFonts w:ascii="Cambria Math" w:hAnsi="Cambria Math"/>
                      <w:i/>
                      <w:sz w:val="20"/>
                    </w:rPr>
                  </m:ctrlPr>
                </m:sSubPr>
                <m:e>
                  <m:r>
                    <m:rPr>
                      <m:nor/>
                    </m:rPr>
                    <w:rPr>
                      <w:rFonts w:ascii="Calibri" w:hAnsi="Calibri" w:cs="Calibri"/>
                      <w:sz w:val="20"/>
                    </w:rPr>
                    <m:t>ϖ</m:t>
                  </m:r>
                </m:e>
                <m:sub>
                  <m:r>
                    <m:rPr>
                      <m:nor/>
                    </m:rPr>
                    <w:rPr>
                      <w:sz w:val="20"/>
                    </w:rPr>
                    <m:t>p,g</m:t>
                  </m:r>
                </m:sub>
              </m:sSub>
            </m:oMath>
            <w:r w:rsidR="00BF7CA2" w:rsidRPr="00783571">
              <w:rPr>
                <w:sz w:val="20"/>
              </w:rPr>
              <w:t>(t)</w:t>
            </w:r>
          </w:p>
        </w:tc>
        <w:tc>
          <w:tcPr>
            <w:tcW w:w="4239" w:type="pct"/>
            <w:tcBorders>
              <w:top w:val="single" w:sz="6" w:space="0" w:color="808080" w:themeColor="background1" w:themeShade="80"/>
              <w:bottom w:val="single" w:sz="4" w:space="0" w:color="808080" w:themeColor="background1" w:themeShade="80"/>
            </w:tcBorders>
            <w:shd w:val="clear" w:color="auto" w:fill="auto"/>
          </w:tcPr>
          <w:p w14:paraId="34227649" w14:textId="6A2C36A0" w:rsidR="00BF7CA2" w:rsidRPr="00783571" w:rsidRDefault="003168C5" w:rsidP="003168C5">
            <w:pPr>
              <w:pStyle w:val="TableText"/>
              <w:spacing w:before="50" w:after="50"/>
              <w:rPr>
                <w:sz w:val="20"/>
              </w:rPr>
            </w:pPr>
            <w:r w:rsidRPr="00783571">
              <w:rPr>
                <w:sz w:val="20"/>
              </w:rPr>
              <w:t>P</w:t>
            </w:r>
            <w:r w:rsidR="00BF7CA2" w:rsidRPr="00783571">
              <w:rPr>
                <w:sz w:val="20"/>
              </w:rPr>
              <w:t xml:space="preserve">robability of notification given a confirmed positive test result </w:t>
            </w:r>
            <w:r w:rsidRPr="00783571">
              <w:rPr>
                <w:sz w:val="20"/>
              </w:rPr>
              <w:t xml:space="preserve">for a previously undiagnosed individual in </w:t>
            </w:r>
            <w:r w:rsidR="00BF7CA2" w:rsidRPr="00783571">
              <w:rPr>
                <w:sz w:val="20"/>
              </w:rPr>
              <w:t xml:space="preserve">demographic subpopulation </w:t>
            </w:r>
            <w:r w:rsidR="00BF7CA2" w:rsidRPr="00783571">
              <w:rPr>
                <w:i/>
                <w:sz w:val="20"/>
              </w:rPr>
              <w:t xml:space="preserve">p </w:t>
            </w:r>
            <w:r w:rsidR="00BF7CA2" w:rsidRPr="00783571">
              <w:rPr>
                <w:sz w:val="20"/>
              </w:rPr>
              <w:t xml:space="preserve">and type of test </w:t>
            </w:r>
            <w:r w:rsidR="00BF7CA2" w:rsidRPr="00783571">
              <w:rPr>
                <w:i/>
                <w:sz w:val="20"/>
              </w:rPr>
              <w:t xml:space="preserve">g </w:t>
            </w:r>
            <w:r w:rsidR="00BF7CA2" w:rsidRPr="00783571">
              <w:rPr>
                <w:iCs/>
                <w:sz w:val="20"/>
              </w:rPr>
              <w:t>at time</w:t>
            </w:r>
            <w:r w:rsidR="00BF7CA2" w:rsidRPr="00783571">
              <w:rPr>
                <w:i/>
                <w:sz w:val="20"/>
              </w:rPr>
              <w:t xml:space="preserve"> t</w:t>
            </w:r>
          </w:p>
        </w:tc>
      </w:tr>
      <w:tr w:rsidR="00EE0B68" w:rsidRPr="00783571" w14:paraId="655E7ABB" w14:textId="77777777" w:rsidTr="002A4EE6">
        <w:trPr>
          <w:cantSplit/>
        </w:trPr>
        <w:tc>
          <w:tcPr>
            <w:tcW w:w="760" w:type="pct"/>
            <w:tcBorders>
              <w:top w:val="single" w:sz="4" w:space="0" w:color="808080" w:themeColor="background1" w:themeShade="80"/>
            </w:tcBorders>
            <w:shd w:val="clear" w:color="auto" w:fill="auto"/>
          </w:tcPr>
          <w:p w14:paraId="6709C64C" w14:textId="77777777" w:rsidR="00EE0B68" w:rsidRPr="00783571" w:rsidRDefault="000F17E7" w:rsidP="00D40CDC">
            <w:pPr>
              <w:pStyle w:val="TableText"/>
              <w:spacing w:before="50" w:after="50"/>
              <w:jc w:val="center"/>
              <w:rPr>
                <w:b/>
                <w:sz w:val="20"/>
              </w:rPr>
            </w:pPr>
            <m:oMathPara>
              <m:oMath>
                <m:sSub>
                  <m:sSubPr>
                    <m:ctrlPr>
                      <w:rPr>
                        <w:rFonts w:ascii="Cambria Math" w:hAnsi="Cambria Math"/>
                        <w:i/>
                        <w:sz w:val="20"/>
                      </w:rPr>
                    </m:ctrlPr>
                  </m:sSubPr>
                  <m:e>
                    <m:r>
                      <w:rPr>
                        <w:rFonts w:ascii="Cambria Math" w:hAnsi="Cambria Math"/>
                        <w:sz w:val="20"/>
                      </w:rPr>
                      <m:t>ϱ</m:t>
                    </m:r>
                  </m:e>
                  <m:sub>
                    <m:r>
                      <w:rPr>
                        <w:rFonts w:ascii="Cambria Math" w:hAnsi="Cambria Math"/>
                        <w:sz w:val="20"/>
                      </w:rPr>
                      <m:t>p,x</m:t>
                    </m:r>
                  </m:sub>
                </m:sSub>
              </m:oMath>
            </m:oMathPara>
          </w:p>
        </w:tc>
        <w:tc>
          <w:tcPr>
            <w:tcW w:w="4239" w:type="pct"/>
            <w:tcBorders>
              <w:top w:val="single" w:sz="4" w:space="0" w:color="808080" w:themeColor="background1" w:themeShade="80"/>
            </w:tcBorders>
            <w:shd w:val="clear" w:color="auto" w:fill="auto"/>
          </w:tcPr>
          <w:p w14:paraId="7D0935B6" w14:textId="3F43593E" w:rsidR="00EE0B68" w:rsidRPr="00783571" w:rsidRDefault="00EE0B68" w:rsidP="00DE4977">
            <w:pPr>
              <w:pStyle w:val="TableText"/>
              <w:spacing w:before="50" w:after="50"/>
              <w:rPr>
                <w:b/>
                <w:i/>
                <w:iCs/>
                <w:sz w:val="20"/>
              </w:rPr>
            </w:pPr>
            <w:r w:rsidRPr="00783571">
              <w:rPr>
                <w:sz w:val="20"/>
              </w:rPr>
              <w:t xml:space="preserve">Proportion of subpopulation p with transmission risk participation type </w:t>
            </w:r>
            <w:r w:rsidRPr="00783571">
              <w:rPr>
                <w:iCs/>
                <w:sz w:val="20"/>
              </w:rPr>
              <w:t xml:space="preserve">x, which is defined by the </w:t>
            </w:r>
            <w:r w:rsidRPr="00783571">
              <w:rPr>
                <w:sz w:val="20"/>
              </w:rPr>
              <w:t>percentage of people who have anal intercourse (AI) in their male-female partnerships as well as the assumptions that 100% of MSM have AI in their male-male partnerships and 100% of all transmission groups have vaginal intercourse (VI) in their male-female partnerships</w:t>
            </w:r>
          </w:p>
        </w:tc>
      </w:tr>
      <w:tr w:rsidR="00421CA0" w:rsidRPr="00783571" w14:paraId="4DE314B5" w14:textId="77777777" w:rsidTr="002A4EE6">
        <w:trPr>
          <w:cantSplit/>
        </w:trPr>
        <w:tc>
          <w:tcPr>
            <w:tcW w:w="760" w:type="pct"/>
            <w:shd w:val="clear" w:color="auto" w:fill="auto"/>
          </w:tcPr>
          <w:p w14:paraId="36D3C095" w14:textId="3B57DD5E" w:rsidR="00421CA0" w:rsidRPr="00783571" w:rsidRDefault="00421CA0" w:rsidP="00D40CDC">
            <w:pPr>
              <w:pStyle w:val="TableText"/>
              <w:spacing w:before="50" w:after="50"/>
              <w:jc w:val="center"/>
              <w:rPr>
                <w:sz w:val="20"/>
              </w:rPr>
            </w:pPr>
            <w:r w:rsidRPr="00783571">
              <w:rPr>
                <w:position w:val="-14"/>
                <w:sz w:val="20"/>
              </w:rPr>
              <w:object w:dxaOrig="620" w:dyaOrig="400" w14:anchorId="00439280">
                <v:shape id="_x0000_i1104" type="#_x0000_t75" style="width:28.5pt;height:21.75pt" o:ole="">
                  <v:imagedata r:id="rId221" o:title=""/>
                </v:shape>
                <o:OLEObject Type="Embed" ProgID="Equation.3" ShapeID="_x0000_i1104" DrawAspect="Content" ObjectID="_1584261746" r:id="rId222"/>
              </w:object>
            </w:r>
          </w:p>
        </w:tc>
        <w:tc>
          <w:tcPr>
            <w:tcW w:w="4239" w:type="pct"/>
            <w:shd w:val="clear" w:color="auto" w:fill="auto"/>
          </w:tcPr>
          <w:p w14:paraId="748FDB75" w14:textId="5DC16786" w:rsidR="00421CA0" w:rsidRPr="00783571" w:rsidRDefault="00421CA0" w:rsidP="00751A9E">
            <w:pPr>
              <w:pStyle w:val="TableText"/>
              <w:spacing w:before="50" w:after="50"/>
              <w:rPr>
                <w:sz w:val="20"/>
              </w:rPr>
            </w:pPr>
            <w:r w:rsidRPr="00783571">
              <w:rPr>
                <w:sz w:val="20"/>
              </w:rPr>
              <w:t xml:space="preserve">Mortality rate if </w:t>
            </w:r>
            <w:r w:rsidR="00751A9E" w:rsidRPr="00783571">
              <w:rPr>
                <w:sz w:val="20"/>
              </w:rPr>
              <w:t>HIV-infected</w:t>
            </w:r>
            <w:r w:rsidRPr="00783571">
              <w:rPr>
                <w:sz w:val="20"/>
              </w:rPr>
              <w:t xml:space="preserve">, by demographic subpopulation </w:t>
            </w:r>
            <w:r w:rsidRPr="00783571">
              <w:rPr>
                <w:i/>
                <w:sz w:val="20"/>
              </w:rPr>
              <w:t>p</w:t>
            </w:r>
            <w:r w:rsidRPr="00783571">
              <w:rPr>
                <w:sz w:val="20"/>
              </w:rPr>
              <w:t xml:space="preserve"> and </w:t>
            </w:r>
            <w:r w:rsidRPr="00783571">
              <w:rPr>
                <w:iCs/>
                <w:sz w:val="20"/>
              </w:rPr>
              <w:t xml:space="preserve">compartment </w:t>
            </w:r>
            <w:r w:rsidRPr="00783571">
              <w:rPr>
                <w:i/>
                <w:iCs/>
                <w:sz w:val="20"/>
              </w:rPr>
              <w:t xml:space="preserve">c, </w:t>
            </w:r>
            <w:r w:rsidRPr="00783571">
              <w:rPr>
                <w:iCs/>
                <w:sz w:val="20"/>
              </w:rPr>
              <w:t xml:space="preserve">at time </w:t>
            </w:r>
            <w:r w:rsidRPr="00783571">
              <w:rPr>
                <w:i/>
                <w:iCs/>
                <w:sz w:val="20"/>
              </w:rPr>
              <w:t>t</w:t>
            </w:r>
          </w:p>
        </w:tc>
      </w:tr>
      <w:tr w:rsidR="00EE0B68" w:rsidRPr="00783571" w14:paraId="7D3DC49F" w14:textId="77777777" w:rsidTr="002A4EE6">
        <w:trPr>
          <w:cantSplit/>
        </w:trPr>
        <w:tc>
          <w:tcPr>
            <w:tcW w:w="760" w:type="pct"/>
            <w:shd w:val="clear" w:color="auto" w:fill="auto"/>
          </w:tcPr>
          <w:p w14:paraId="02E7B244" w14:textId="77777777" w:rsidR="00EE0B68" w:rsidRPr="00783571" w:rsidRDefault="00452469" w:rsidP="00D40CDC">
            <w:pPr>
              <w:pStyle w:val="TableText"/>
              <w:spacing w:before="50" w:after="50"/>
              <w:jc w:val="center"/>
              <w:rPr>
                <w:sz w:val="20"/>
              </w:rPr>
            </w:pPr>
            <w:r w:rsidRPr="00783571">
              <w:rPr>
                <w:position w:val="-14"/>
                <w:sz w:val="20"/>
              </w:rPr>
              <w:object w:dxaOrig="639" w:dyaOrig="400" w14:anchorId="42E2691F">
                <v:shape id="_x0000_i1105" type="#_x0000_t75" style="width:36pt;height:21.75pt" o:ole="">
                  <v:imagedata r:id="rId223" o:title=""/>
                </v:shape>
                <o:OLEObject Type="Embed" ProgID="Equation.3" ShapeID="_x0000_i1105" DrawAspect="Content" ObjectID="_1584261747" r:id="rId224"/>
              </w:object>
            </w:r>
          </w:p>
        </w:tc>
        <w:tc>
          <w:tcPr>
            <w:tcW w:w="4239" w:type="pct"/>
            <w:shd w:val="clear" w:color="auto" w:fill="auto"/>
          </w:tcPr>
          <w:p w14:paraId="0DAE92AE" w14:textId="0D9B5278" w:rsidR="00EE0B68" w:rsidRPr="00783571" w:rsidRDefault="00EE0B68" w:rsidP="00D40CDC">
            <w:pPr>
              <w:pStyle w:val="TableText"/>
              <w:spacing w:before="50" w:after="50"/>
              <w:rPr>
                <w:i/>
                <w:iCs/>
                <w:sz w:val="20"/>
              </w:rPr>
            </w:pPr>
            <w:r w:rsidRPr="00783571">
              <w:rPr>
                <w:sz w:val="20"/>
              </w:rPr>
              <w:t xml:space="preserve">Diagnosis rate based on test and notification of unaware infected individuals in compartment </w:t>
            </w:r>
            <w:r w:rsidRPr="00783571">
              <w:rPr>
                <w:i/>
                <w:sz w:val="20"/>
              </w:rPr>
              <w:t>c</w:t>
            </w:r>
            <w:r w:rsidRPr="00783571">
              <w:rPr>
                <w:iCs/>
                <w:sz w:val="20"/>
              </w:rPr>
              <w:t>, progressing them from unaware</w:t>
            </w:r>
            <w:r w:rsidRPr="00783571">
              <w:rPr>
                <w:i/>
                <w:sz w:val="20"/>
              </w:rPr>
              <w:t xml:space="preserve"> </w:t>
            </w:r>
            <w:r w:rsidRPr="00783571">
              <w:rPr>
                <w:sz w:val="20"/>
              </w:rPr>
              <w:t>(</w:t>
            </w:r>
            <w:r w:rsidRPr="00783571">
              <w:rPr>
                <w:i/>
                <w:iCs/>
                <w:sz w:val="20"/>
              </w:rPr>
              <w:t>r</w:t>
            </w:r>
            <w:r w:rsidR="00E628BE" w:rsidRPr="00783571">
              <w:rPr>
                <w:i/>
                <w:iCs/>
                <w:sz w:val="20"/>
              </w:rPr>
              <w:t> = </w:t>
            </w:r>
            <w:r w:rsidRPr="00783571">
              <w:rPr>
                <w:sz w:val="20"/>
              </w:rPr>
              <w:t>1) to aware (</w:t>
            </w:r>
            <w:r w:rsidRPr="00783571">
              <w:rPr>
                <w:i/>
                <w:iCs/>
                <w:sz w:val="20"/>
              </w:rPr>
              <w:t>r</w:t>
            </w:r>
            <w:r w:rsidR="00E628BE" w:rsidRPr="00783571">
              <w:rPr>
                <w:sz w:val="20"/>
              </w:rPr>
              <w:t> = </w:t>
            </w:r>
            <w:r w:rsidRPr="00783571">
              <w:rPr>
                <w:sz w:val="20"/>
              </w:rPr>
              <w:t xml:space="preserve">2 or </w:t>
            </w:r>
            <w:r w:rsidRPr="00783571">
              <w:rPr>
                <w:i/>
                <w:sz w:val="20"/>
              </w:rPr>
              <w:t>r</w:t>
            </w:r>
            <w:r w:rsidR="00E628BE" w:rsidRPr="00783571">
              <w:rPr>
                <w:i/>
                <w:sz w:val="20"/>
              </w:rPr>
              <w:t> = </w:t>
            </w:r>
            <w:r w:rsidRPr="00783571">
              <w:rPr>
                <w:sz w:val="20"/>
              </w:rPr>
              <w:t xml:space="preserve">3), by subpopulation </w:t>
            </w:r>
            <w:r w:rsidRPr="00783571">
              <w:rPr>
                <w:i/>
                <w:sz w:val="20"/>
              </w:rPr>
              <w:t>p</w:t>
            </w:r>
          </w:p>
        </w:tc>
      </w:tr>
      <w:tr w:rsidR="00421CA0" w:rsidRPr="00783571" w14:paraId="550214D1" w14:textId="77777777" w:rsidTr="002A4EE6">
        <w:trPr>
          <w:cantSplit/>
        </w:trPr>
        <w:tc>
          <w:tcPr>
            <w:tcW w:w="760" w:type="pct"/>
            <w:shd w:val="clear" w:color="auto" w:fill="auto"/>
          </w:tcPr>
          <w:p w14:paraId="67DEF0D4" w14:textId="4D85841B" w:rsidR="00421CA0" w:rsidRPr="00783571" w:rsidRDefault="00421CA0" w:rsidP="00D40CDC">
            <w:pPr>
              <w:pStyle w:val="TableText"/>
              <w:spacing w:before="50" w:after="50"/>
              <w:jc w:val="center"/>
              <w:rPr>
                <w:sz w:val="20"/>
              </w:rPr>
            </w:pPr>
            <w:r w:rsidRPr="00783571">
              <w:rPr>
                <w:position w:val="-12"/>
                <w:sz w:val="20"/>
              </w:rPr>
              <w:object w:dxaOrig="460" w:dyaOrig="320" w14:anchorId="55E501DE">
                <v:shape id="_x0000_i1106" type="#_x0000_t75" style="width:21.75pt;height:14.25pt" o:ole="">
                  <v:imagedata r:id="rId225" o:title=""/>
                </v:shape>
                <o:OLEObject Type="Embed" ProgID="Equation.3" ShapeID="_x0000_i1106" DrawAspect="Content" ObjectID="_1584261748" r:id="rId226"/>
              </w:object>
            </w:r>
          </w:p>
        </w:tc>
        <w:tc>
          <w:tcPr>
            <w:tcW w:w="4239" w:type="pct"/>
            <w:shd w:val="clear" w:color="auto" w:fill="auto"/>
          </w:tcPr>
          <w:p w14:paraId="6EC9F67D" w14:textId="4BA77A84" w:rsidR="00421CA0" w:rsidRPr="00783571" w:rsidRDefault="00421CA0" w:rsidP="00D40CDC">
            <w:pPr>
              <w:pStyle w:val="TableText"/>
              <w:spacing w:before="50" w:after="50"/>
              <w:rPr>
                <w:sz w:val="20"/>
              </w:rPr>
            </w:pPr>
            <w:r w:rsidRPr="00783571">
              <w:rPr>
                <w:sz w:val="20"/>
              </w:rPr>
              <w:t xml:space="preserve">Per-sex-act transmission probability for receptive unprotected intercourse of type z (vaginal or anal intercourse) with infected partner in compartment </w:t>
            </w:r>
            <w:r w:rsidRPr="00783571">
              <w:rPr>
                <w:i/>
                <w:sz w:val="20"/>
              </w:rPr>
              <w:t>c</w:t>
            </w:r>
          </w:p>
        </w:tc>
      </w:tr>
      <w:tr w:rsidR="00B1329B" w:rsidRPr="00783571" w14:paraId="7DC1AD90" w14:textId="77777777" w:rsidTr="002A4EE6">
        <w:trPr>
          <w:cantSplit/>
        </w:trPr>
        <w:tc>
          <w:tcPr>
            <w:tcW w:w="760" w:type="pct"/>
            <w:tcBorders>
              <w:bottom w:val="single" w:sz="4" w:space="0" w:color="808080" w:themeColor="background1" w:themeShade="80"/>
            </w:tcBorders>
            <w:shd w:val="clear" w:color="auto" w:fill="auto"/>
          </w:tcPr>
          <w:p w14:paraId="5D230329" w14:textId="0561F2D0" w:rsidR="00B1329B" w:rsidRPr="00783571" w:rsidRDefault="000F17E7" w:rsidP="00D40CDC">
            <w:pPr>
              <w:pStyle w:val="TableText"/>
              <w:spacing w:before="50" w:after="50"/>
              <w:jc w:val="center"/>
              <w:rPr>
                <w:sz w:val="20"/>
              </w:rPr>
            </w:pPr>
            <m:oMathPara>
              <m:oMath>
                <m:sSub>
                  <m:sSubPr>
                    <m:ctrlPr>
                      <w:rPr>
                        <w:rFonts w:ascii="Cambria Math" w:hAnsi="Cambria Math"/>
                        <w:i/>
                        <w:sz w:val="20"/>
                      </w:rPr>
                    </m:ctrlPr>
                  </m:sSubPr>
                  <m:e>
                    <m:r>
                      <m:rPr>
                        <m:sty m:val="p"/>
                      </m:rPr>
                      <w:rPr>
                        <w:rFonts w:ascii="Cambria Math" w:hAnsi="Cambria Math"/>
                        <w:sz w:val="20"/>
                      </w:rPr>
                      <m:t>Ψ</m:t>
                    </m:r>
                  </m:e>
                  <m:sub>
                    <m:r>
                      <w:rPr>
                        <w:rFonts w:ascii="Cambria Math" w:hAnsi="Cambria Math"/>
                        <w:sz w:val="20"/>
                      </w:rPr>
                      <m:t>p</m:t>
                    </m:r>
                  </m:sub>
                </m:sSub>
                <m:d>
                  <m:dPr>
                    <m:ctrlPr>
                      <w:rPr>
                        <w:rFonts w:ascii="Cambria Math" w:hAnsi="Cambria Math"/>
                        <w:i/>
                        <w:sz w:val="20"/>
                      </w:rPr>
                    </m:ctrlPr>
                  </m:dPr>
                  <m:e>
                    <m:r>
                      <w:rPr>
                        <w:rFonts w:ascii="Cambria Math" w:hAnsi="Cambria Math"/>
                        <w:sz w:val="20"/>
                      </w:rPr>
                      <m:t>t</m:t>
                    </m:r>
                  </m:e>
                </m:d>
              </m:oMath>
            </m:oMathPara>
          </w:p>
        </w:tc>
        <w:tc>
          <w:tcPr>
            <w:tcW w:w="4239" w:type="pct"/>
            <w:tcBorders>
              <w:bottom w:val="single" w:sz="4" w:space="0" w:color="808080" w:themeColor="background1" w:themeShade="80"/>
            </w:tcBorders>
            <w:shd w:val="clear" w:color="auto" w:fill="auto"/>
          </w:tcPr>
          <w:p w14:paraId="233D325C" w14:textId="19ACD9D3" w:rsidR="00B1329B" w:rsidRPr="00783571" w:rsidRDefault="00B1329B" w:rsidP="00D40CDC">
            <w:pPr>
              <w:pStyle w:val="TableText"/>
              <w:spacing w:before="50" w:after="50"/>
              <w:rPr>
                <w:sz w:val="20"/>
              </w:rPr>
            </w:pPr>
            <w:r w:rsidRPr="00783571">
              <w:rPr>
                <w:sz w:val="20"/>
              </w:rPr>
              <w:t xml:space="preserve">Annual probability of initiating PrEP, given eligible, for subpopulation </w:t>
            </w:r>
            <w:r w:rsidRPr="00783571">
              <w:rPr>
                <w:i/>
                <w:iCs/>
                <w:sz w:val="20"/>
              </w:rPr>
              <w:t>p</w:t>
            </w:r>
            <w:r w:rsidRPr="00783571">
              <w:rPr>
                <w:sz w:val="20"/>
              </w:rPr>
              <w:t xml:space="preserve"> at time </w:t>
            </w:r>
            <w:r w:rsidRPr="00783571">
              <w:rPr>
                <w:i/>
                <w:iCs/>
                <w:sz w:val="20"/>
              </w:rPr>
              <w:t>t</w:t>
            </w:r>
          </w:p>
        </w:tc>
      </w:tr>
      <w:tr w:rsidR="008B0BC7" w:rsidRPr="00783571" w14:paraId="4AEE6AC9" w14:textId="77777777" w:rsidTr="002A4EE6">
        <w:trPr>
          <w:cantSplit/>
        </w:trPr>
        <w:tc>
          <w:tcPr>
            <w:tcW w:w="760" w:type="pct"/>
            <w:tcBorders>
              <w:top w:val="single" w:sz="4" w:space="0" w:color="808080" w:themeColor="background1" w:themeShade="80"/>
              <w:bottom w:val="single" w:sz="4" w:space="0" w:color="808080" w:themeColor="background1" w:themeShade="80"/>
            </w:tcBorders>
            <w:shd w:val="clear" w:color="auto" w:fill="auto"/>
          </w:tcPr>
          <w:p w14:paraId="681298CD" w14:textId="6E5E5D0F" w:rsidR="008B0BC7" w:rsidRPr="00783571" w:rsidRDefault="000F17E7" w:rsidP="00D40CDC">
            <w:pPr>
              <w:pStyle w:val="TableText"/>
              <w:spacing w:before="50" w:after="50"/>
              <w:jc w:val="center"/>
              <w:rPr>
                <w:sz w:val="20"/>
              </w:rPr>
            </w:pPr>
            <m:oMath>
              <m:sSub>
                <m:sSubPr>
                  <m:ctrlPr>
                    <w:rPr>
                      <w:rFonts w:ascii="Cambria Math" w:hAnsi="Cambria Math"/>
                      <w:i/>
                      <w:sz w:val="20"/>
                    </w:rPr>
                  </m:ctrlPr>
                </m:sSubPr>
                <m:e>
                  <m:r>
                    <w:rPr>
                      <w:rFonts w:ascii="Cambria Math" w:hAnsi="Cambria Math"/>
                      <w:sz w:val="20"/>
                    </w:rPr>
                    <m:t>ψ</m:t>
                  </m:r>
                </m:e>
                <m:sub>
                  <m:r>
                    <w:rPr>
                      <w:rFonts w:ascii="Cambria Math" w:hAnsi="Cambria Math"/>
                      <w:sz w:val="20"/>
                    </w:rPr>
                    <m:t>p</m:t>
                  </m:r>
                </m:sub>
              </m:sSub>
            </m:oMath>
            <w:r w:rsidR="008B0BC7" w:rsidRPr="00783571">
              <w:rPr>
                <w:i/>
                <w:sz w:val="20"/>
              </w:rPr>
              <w:t>(t)</w:t>
            </w:r>
          </w:p>
        </w:tc>
        <w:tc>
          <w:tcPr>
            <w:tcW w:w="4239" w:type="pct"/>
            <w:tcBorders>
              <w:top w:val="single" w:sz="4" w:space="0" w:color="808080" w:themeColor="background1" w:themeShade="80"/>
              <w:bottom w:val="single" w:sz="4" w:space="0" w:color="808080" w:themeColor="background1" w:themeShade="80"/>
            </w:tcBorders>
            <w:shd w:val="clear" w:color="auto" w:fill="auto"/>
          </w:tcPr>
          <w:p w14:paraId="2C7CCDC3" w14:textId="0E2D7C60" w:rsidR="008B0BC7" w:rsidRPr="00783571" w:rsidRDefault="008B0BC7" w:rsidP="00D40CDC">
            <w:pPr>
              <w:pStyle w:val="TableText"/>
              <w:spacing w:before="50" w:after="50"/>
              <w:rPr>
                <w:sz w:val="20"/>
              </w:rPr>
            </w:pPr>
            <w:r w:rsidRPr="00783571">
              <w:rPr>
                <w:sz w:val="20"/>
              </w:rPr>
              <w:t xml:space="preserve">Percentage of screens that are rapid (type of test </w:t>
            </w:r>
            <w:r w:rsidRPr="00783571">
              <w:rPr>
                <w:i/>
                <w:iCs/>
                <w:sz w:val="20"/>
              </w:rPr>
              <w:t>g</w:t>
            </w:r>
            <w:r w:rsidR="00E628BE" w:rsidRPr="00783571">
              <w:rPr>
                <w:sz w:val="20"/>
              </w:rPr>
              <w:t> = </w:t>
            </w:r>
            <w:r w:rsidRPr="00783571">
              <w:rPr>
                <w:sz w:val="20"/>
              </w:rPr>
              <w:t xml:space="preserve">1), by subpopulation </w:t>
            </w:r>
            <w:r w:rsidRPr="00783571">
              <w:rPr>
                <w:i/>
                <w:iCs/>
                <w:sz w:val="20"/>
              </w:rPr>
              <w:t>p</w:t>
            </w:r>
            <w:r w:rsidRPr="00783571">
              <w:rPr>
                <w:sz w:val="20"/>
              </w:rPr>
              <w:t xml:space="preserve"> and time </w:t>
            </w:r>
            <w:r w:rsidRPr="00783571">
              <w:rPr>
                <w:i/>
                <w:iCs/>
                <w:sz w:val="20"/>
              </w:rPr>
              <w:t>t</w:t>
            </w:r>
          </w:p>
        </w:tc>
      </w:tr>
      <w:tr w:rsidR="00741472" w:rsidRPr="00783571" w14:paraId="5CADF519" w14:textId="77777777" w:rsidTr="002A4EE6">
        <w:trPr>
          <w:cantSplit/>
        </w:trPr>
        <w:tc>
          <w:tcPr>
            <w:tcW w:w="760" w:type="pct"/>
            <w:tcBorders>
              <w:top w:val="single" w:sz="4" w:space="0" w:color="808080" w:themeColor="background1" w:themeShade="80"/>
              <w:bottom w:val="single" w:sz="4" w:space="0" w:color="808080" w:themeColor="background1" w:themeShade="80"/>
            </w:tcBorders>
            <w:shd w:val="clear" w:color="auto" w:fill="auto"/>
          </w:tcPr>
          <w:p w14:paraId="53BC1B38" w14:textId="7446390F" w:rsidR="00741472" w:rsidRPr="00783571" w:rsidRDefault="00741472" w:rsidP="00741472">
            <w:pPr>
              <w:pStyle w:val="TableText"/>
              <w:spacing w:before="50" w:after="50"/>
              <w:jc w:val="center"/>
              <w:rPr>
                <w:sz w:val="20"/>
              </w:rPr>
            </w:pPr>
            <w:r w:rsidRPr="00783571">
              <w:rPr>
                <w:sz w:val="20"/>
              </w:rPr>
              <w:t>Ω</w:t>
            </w:r>
            <w:r w:rsidRPr="00783571">
              <w:rPr>
                <w:sz w:val="20"/>
                <w:vertAlign w:val="subscript"/>
              </w:rPr>
              <w:t>p1,p2,z,y</w:t>
            </w:r>
          </w:p>
        </w:tc>
        <w:tc>
          <w:tcPr>
            <w:tcW w:w="4239" w:type="pct"/>
            <w:tcBorders>
              <w:top w:val="single" w:sz="4" w:space="0" w:color="808080" w:themeColor="background1" w:themeShade="80"/>
              <w:bottom w:val="single" w:sz="4" w:space="0" w:color="808080" w:themeColor="background1" w:themeShade="80"/>
            </w:tcBorders>
            <w:shd w:val="clear" w:color="auto" w:fill="auto"/>
          </w:tcPr>
          <w:p w14:paraId="726D0D8E" w14:textId="4507E8F6" w:rsidR="00741472" w:rsidRPr="00783571" w:rsidRDefault="00741472" w:rsidP="00741472">
            <w:pPr>
              <w:pStyle w:val="TableText"/>
              <w:spacing w:before="50" w:after="50"/>
              <w:rPr>
                <w:sz w:val="20"/>
              </w:rPr>
            </w:pPr>
            <w:r w:rsidRPr="00783571">
              <w:rPr>
                <w:sz w:val="20"/>
              </w:rPr>
              <w:t xml:space="preserve">Proportion of sexual acts by individuals in subpopulation </w:t>
            </w:r>
            <w:r w:rsidRPr="00783571">
              <w:rPr>
                <w:iCs/>
                <w:sz w:val="20"/>
              </w:rPr>
              <w:t>p1</w:t>
            </w:r>
            <w:r w:rsidRPr="00783571">
              <w:rPr>
                <w:sz w:val="20"/>
              </w:rPr>
              <w:t xml:space="preserve"> in partnerships of type </w:t>
            </w:r>
            <w:r w:rsidRPr="00783571">
              <w:rPr>
                <w:iCs/>
                <w:sz w:val="20"/>
              </w:rPr>
              <w:t>y</w:t>
            </w:r>
            <w:r w:rsidRPr="00783571">
              <w:rPr>
                <w:sz w:val="20"/>
              </w:rPr>
              <w:t xml:space="preserve"> with individuals in subpopulation </w:t>
            </w:r>
            <w:r w:rsidRPr="00783571">
              <w:rPr>
                <w:iCs/>
                <w:sz w:val="20"/>
              </w:rPr>
              <w:t>p2</w:t>
            </w:r>
            <w:r w:rsidRPr="00783571">
              <w:rPr>
                <w:sz w:val="20"/>
              </w:rPr>
              <w:t xml:space="preserve"> that are risk type </w:t>
            </w:r>
            <w:r w:rsidRPr="00783571">
              <w:rPr>
                <w:iCs/>
                <w:sz w:val="20"/>
              </w:rPr>
              <w:t>z</w:t>
            </w:r>
            <w:r w:rsidRPr="00783571">
              <w:rPr>
                <w:sz w:val="20"/>
              </w:rPr>
              <w:t xml:space="preserve"> (where </w:t>
            </w:r>
            <w:r w:rsidRPr="00783571">
              <w:rPr>
                <w:iCs/>
                <w:sz w:val="20"/>
              </w:rPr>
              <w:t>z</w:t>
            </w:r>
            <w:r w:rsidRPr="00783571">
              <w:rPr>
                <w:sz w:val="20"/>
              </w:rPr>
              <w:t> = vaginal or anal)</w:t>
            </w:r>
          </w:p>
        </w:tc>
      </w:tr>
      <w:tr w:rsidR="00741472" w:rsidRPr="00783571" w14:paraId="2EA319FA" w14:textId="77777777" w:rsidTr="006015C3">
        <w:trPr>
          <w:cantSplit/>
        </w:trPr>
        <w:tc>
          <w:tcPr>
            <w:tcW w:w="760" w:type="pct"/>
            <w:tcBorders>
              <w:top w:val="single" w:sz="4" w:space="0" w:color="808080" w:themeColor="background1" w:themeShade="80"/>
              <w:bottom w:val="single" w:sz="4" w:space="0" w:color="808080" w:themeColor="background1" w:themeShade="80"/>
            </w:tcBorders>
            <w:shd w:val="clear" w:color="auto" w:fill="auto"/>
          </w:tcPr>
          <w:p w14:paraId="207499CF" w14:textId="016647ED" w:rsidR="00741472" w:rsidRPr="00783571" w:rsidRDefault="00741472" w:rsidP="00741472">
            <w:pPr>
              <w:pStyle w:val="TableText"/>
              <w:spacing w:before="50" w:after="50"/>
              <w:jc w:val="center"/>
              <w:rPr>
                <w:sz w:val="20"/>
              </w:rPr>
            </w:pPr>
            <w:r w:rsidRPr="00783571">
              <w:rPr>
                <w:position w:val="-6"/>
                <w:sz w:val="20"/>
              </w:rPr>
              <w:object w:dxaOrig="320" w:dyaOrig="320" w14:anchorId="5B811097">
                <v:shape id="_x0000_i1107" type="#_x0000_t75" style="width:21.75pt;height:14.25pt" o:ole="">
                  <v:imagedata r:id="rId227" o:title=""/>
                </v:shape>
                <o:OLEObject Type="Embed" ProgID="Equation.3" ShapeID="_x0000_i1107" DrawAspect="Content" ObjectID="_1584261749" r:id="rId228"/>
              </w:object>
            </w:r>
          </w:p>
        </w:tc>
        <w:tc>
          <w:tcPr>
            <w:tcW w:w="4239" w:type="pct"/>
            <w:tcBorders>
              <w:top w:val="single" w:sz="4" w:space="0" w:color="808080" w:themeColor="background1" w:themeShade="80"/>
              <w:bottom w:val="single" w:sz="4" w:space="0" w:color="808080" w:themeColor="background1" w:themeShade="80"/>
            </w:tcBorders>
            <w:shd w:val="clear" w:color="auto" w:fill="auto"/>
          </w:tcPr>
          <w:p w14:paraId="343D4C41" w14:textId="58613E53" w:rsidR="00741472" w:rsidRPr="00783571" w:rsidRDefault="00741472" w:rsidP="00741472">
            <w:pPr>
              <w:pStyle w:val="TableText"/>
              <w:spacing w:before="50" w:after="50"/>
              <w:rPr>
                <w:sz w:val="20"/>
              </w:rPr>
            </w:pPr>
            <w:r w:rsidRPr="00783571">
              <w:rPr>
                <w:sz w:val="20"/>
              </w:rPr>
              <w:t xml:space="preserve">Rate of natural history of HIV progression to the next disease stage from compartment </w:t>
            </w:r>
            <w:r w:rsidRPr="00783571">
              <w:rPr>
                <w:i/>
                <w:sz w:val="20"/>
              </w:rPr>
              <w:t>c</w:t>
            </w:r>
            <w:r w:rsidRPr="00783571">
              <w:rPr>
                <w:sz w:val="20"/>
              </w:rPr>
              <w:t xml:space="preserve">; applies to individuals with HIV, CD4 ≥ 200, and not </w:t>
            </w:r>
            <w:r w:rsidR="000965E6" w:rsidRPr="00783571">
              <w:rPr>
                <w:sz w:val="20"/>
              </w:rPr>
              <w:t>prescribed ART</w:t>
            </w:r>
            <w:r w:rsidRPr="00783571">
              <w:rPr>
                <w:sz w:val="20"/>
              </w:rPr>
              <w:t xml:space="preserve"> (</w:t>
            </w:r>
            <w:r w:rsidRPr="00783571">
              <w:rPr>
                <w:i/>
                <w:sz w:val="20"/>
              </w:rPr>
              <w:t>c</w:t>
            </w:r>
            <w:r w:rsidRPr="00783571">
              <w:rPr>
                <w:sz w:val="20"/>
              </w:rPr>
              <w:t> = 3 to 5, 6 to 8, 11 to 13, 16 to 18) only</w:t>
            </w:r>
          </w:p>
        </w:tc>
      </w:tr>
      <w:tr w:rsidR="00626348" w:rsidRPr="00783571" w14:paraId="5A1766AE" w14:textId="77777777" w:rsidTr="002A4EE6">
        <w:trPr>
          <w:cantSplit/>
        </w:trPr>
        <w:tc>
          <w:tcPr>
            <w:tcW w:w="760" w:type="pct"/>
            <w:tcBorders>
              <w:top w:val="single" w:sz="4" w:space="0" w:color="808080" w:themeColor="background1" w:themeShade="80"/>
              <w:bottom w:val="single" w:sz="6" w:space="0" w:color="auto"/>
            </w:tcBorders>
            <w:shd w:val="clear" w:color="auto" w:fill="auto"/>
          </w:tcPr>
          <w:p w14:paraId="3BC03707" w14:textId="1EE0E870" w:rsidR="00626348" w:rsidRPr="00783571" w:rsidRDefault="000F17E7" w:rsidP="00741472">
            <w:pPr>
              <w:pStyle w:val="TableText"/>
              <w:spacing w:before="50" w:after="50"/>
              <w:jc w:val="center"/>
              <w:rPr>
                <w:sz w:val="20"/>
              </w:rPr>
            </w:pPr>
            <m:oMathPara>
              <m:oMath>
                <m:sSub>
                  <m:sSubPr>
                    <m:ctrlPr>
                      <w:rPr>
                        <w:rFonts w:ascii="Cambria Math" w:hAnsi="Cambria Math"/>
                        <w:i/>
                      </w:rPr>
                    </m:ctrlPr>
                  </m:sSubPr>
                  <m:e>
                    <m:r>
                      <w:rPr>
                        <w:rFonts w:ascii="Cambria Math" w:hAnsi="Cambria Math"/>
                      </w:rPr>
                      <m:t>ζ</m:t>
                    </m:r>
                  </m:e>
                  <m:sub>
                    <m:r>
                      <w:rPr>
                        <w:rFonts w:ascii="Cambria Math" w:hAnsi="Cambria Math"/>
                      </w:rPr>
                      <m:t>p</m:t>
                    </m:r>
                  </m:sub>
                </m:sSub>
                <m:d>
                  <m:dPr>
                    <m:ctrlPr>
                      <w:rPr>
                        <w:rFonts w:ascii="Cambria Math" w:hAnsi="Cambria Math"/>
                        <w:i/>
                      </w:rPr>
                    </m:ctrlPr>
                  </m:dPr>
                  <m:e>
                    <m:r>
                      <w:rPr>
                        <w:rFonts w:ascii="Cambria Math" w:hAnsi="Cambria Math"/>
                      </w:rPr>
                      <m:t>t</m:t>
                    </m:r>
                  </m:e>
                </m:d>
              </m:oMath>
            </m:oMathPara>
          </w:p>
        </w:tc>
        <w:tc>
          <w:tcPr>
            <w:tcW w:w="4239" w:type="pct"/>
            <w:tcBorders>
              <w:top w:val="single" w:sz="4" w:space="0" w:color="808080" w:themeColor="background1" w:themeShade="80"/>
              <w:bottom w:val="single" w:sz="6" w:space="0" w:color="auto"/>
            </w:tcBorders>
            <w:shd w:val="clear" w:color="auto" w:fill="auto"/>
          </w:tcPr>
          <w:p w14:paraId="580BDC83" w14:textId="5F9095D4" w:rsidR="00626348" w:rsidRPr="00783571" w:rsidRDefault="00626348" w:rsidP="00741472">
            <w:pPr>
              <w:pStyle w:val="TableText"/>
              <w:spacing w:before="50" w:after="50"/>
              <w:rPr>
                <w:sz w:val="20"/>
              </w:rPr>
            </w:pPr>
            <w:r w:rsidRPr="00783571">
              <w:rPr>
                <w:sz w:val="20"/>
              </w:rPr>
              <w:t xml:space="preserve">Annual rate of becoming VLS if ART-not-VLS, by demographic subpopulation </w:t>
            </w:r>
            <w:r w:rsidRPr="00783571">
              <w:rPr>
                <w:i/>
                <w:sz w:val="20"/>
              </w:rPr>
              <w:t>p</w:t>
            </w:r>
            <w:r w:rsidRPr="00783571">
              <w:rPr>
                <w:sz w:val="20"/>
              </w:rPr>
              <w:t xml:space="preserve"> at time </w:t>
            </w:r>
            <w:r w:rsidRPr="00783571">
              <w:rPr>
                <w:i/>
                <w:sz w:val="20"/>
              </w:rPr>
              <w:t>t</w:t>
            </w:r>
          </w:p>
        </w:tc>
      </w:tr>
    </w:tbl>
    <w:p w14:paraId="759A56FB" w14:textId="77777777" w:rsidR="004A1C14" w:rsidRPr="00783571" w:rsidRDefault="004A1C14" w:rsidP="004A1C14">
      <w:pPr>
        <w:pStyle w:val="Tablecont"/>
        <w:rPr>
          <w:sz w:val="20"/>
        </w:rPr>
      </w:pPr>
      <w:r w:rsidRPr="00783571">
        <w:rPr>
          <w:sz w:val="20"/>
        </w:rPr>
        <w:t>(continued)</w:t>
      </w:r>
    </w:p>
    <w:p w14:paraId="3D07D4B8" w14:textId="77777777" w:rsidR="004A1C14" w:rsidRPr="00783571" w:rsidRDefault="004A1C14" w:rsidP="004A1C14">
      <w:pPr>
        <w:pStyle w:val="TableTitlecont"/>
      </w:pPr>
      <w:r w:rsidRPr="00783571">
        <w:t>Table A.1.</w:t>
      </w:r>
      <w:r w:rsidRPr="00783571">
        <w:tab/>
        <w:t>Definitions of Symbols Applied in This Document (continued)</w:t>
      </w:r>
    </w:p>
    <w:tbl>
      <w:tblPr>
        <w:tblW w:w="5000" w:type="pct"/>
        <w:tblInd w:w="86" w:type="dxa"/>
        <w:tblBorders>
          <w:top w:val="single" w:sz="12" w:space="0" w:color="auto"/>
          <w:bottom w:val="single" w:sz="12" w:space="0" w:color="auto"/>
          <w:insideH w:val="single" w:sz="4" w:space="0" w:color="808080" w:themeColor="background1" w:themeShade="80"/>
        </w:tblBorders>
        <w:tblLayout w:type="fixed"/>
        <w:tblCellMar>
          <w:left w:w="115" w:type="dxa"/>
          <w:right w:w="115" w:type="dxa"/>
        </w:tblCellMar>
        <w:tblLook w:val="04A0" w:firstRow="1" w:lastRow="0" w:firstColumn="1" w:lastColumn="0" w:noHBand="0" w:noVBand="1"/>
      </w:tblPr>
      <w:tblGrid>
        <w:gridCol w:w="1970"/>
        <w:gridCol w:w="10990"/>
      </w:tblGrid>
      <w:tr w:rsidR="004A1C14" w:rsidRPr="00783571" w14:paraId="5857CE6B" w14:textId="77777777" w:rsidTr="00F52C23">
        <w:trPr>
          <w:cantSplit/>
          <w:tblHeader/>
        </w:trPr>
        <w:tc>
          <w:tcPr>
            <w:tcW w:w="760" w:type="pct"/>
            <w:tcBorders>
              <w:top w:val="single" w:sz="12" w:space="0" w:color="auto"/>
              <w:bottom w:val="single" w:sz="6" w:space="0" w:color="auto"/>
            </w:tcBorders>
            <w:shd w:val="clear" w:color="auto" w:fill="auto"/>
          </w:tcPr>
          <w:p w14:paraId="7078624B" w14:textId="77777777" w:rsidR="004A1C14" w:rsidRPr="00783571" w:rsidRDefault="004A1C14" w:rsidP="00F52C23">
            <w:pPr>
              <w:pStyle w:val="TableHeaders"/>
              <w:spacing w:before="50" w:after="50"/>
              <w:rPr>
                <w:sz w:val="20"/>
              </w:rPr>
            </w:pPr>
            <w:r w:rsidRPr="00783571">
              <w:rPr>
                <w:sz w:val="20"/>
              </w:rPr>
              <w:t>Symbol</w:t>
            </w:r>
          </w:p>
        </w:tc>
        <w:tc>
          <w:tcPr>
            <w:tcW w:w="4240" w:type="pct"/>
            <w:tcBorders>
              <w:top w:val="single" w:sz="12" w:space="0" w:color="auto"/>
              <w:bottom w:val="single" w:sz="6" w:space="0" w:color="auto"/>
            </w:tcBorders>
            <w:shd w:val="clear" w:color="auto" w:fill="auto"/>
          </w:tcPr>
          <w:p w14:paraId="555FD413" w14:textId="77777777" w:rsidR="004A1C14" w:rsidRPr="00783571" w:rsidRDefault="004A1C14" w:rsidP="00F52C23">
            <w:pPr>
              <w:pStyle w:val="TableHeaders"/>
              <w:spacing w:before="50" w:after="50"/>
              <w:jc w:val="left"/>
              <w:rPr>
                <w:sz w:val="20"/>
              </w:rPr>
            </w:pPr>
            <w:r w:rsidRPr="00783571">
              <w:rPr>
                <w:sz w:val="20"/>
              </w:rPr>
              <w:t>Definition</w:t>
            </w:r>
          </w:p>
        </w:tc>
      </w:tr>
      <w:tr w:rsidR="00E1242D" w:rsidRPr="00783571" w14:paraId="146E5069" w14:textId="77777777" w:rsidTr="00D40CDC">
        <w:trPr>
          <w:cantSplit/>
        </w:trPr>
        <w:tc>
          <w:tcPr>
            <w:tcW w:w="5000" w:type="pct"/>
            <w:gridSpan w:val="2"/>
            <w:shd w:val="clear" w:color="auto" w:fill="D9D9D9" w:themeFill="background1" w:themeFillShade="D9"/>
          </w:tcPr>
          <w:p w14:paraId="356F932F" w14:textId="406CFCEB" w:rsidR="00E1242D" w:rsidRPr="00783571" w:rsidRDefault="00E1242D" w:rsidP="00D40CDC">
            <w:pPr>
              <w:pStyle w:val="TableText"/>
              <w:spacing w:before="50" w:after="50"/>
              <w:rPr>
                <w:b/>
                <w:sz w:val="20"/>
              </w:rPr>
            </w:pPr>
            <w:r w:rsidRPr="00783571">
              <w:rPr>
                <w:b/>
                <w:sz w:val="20"/>
              </w:rPr>
              <w:t>Other Symbols</w:t>
            </w:r>
          </w:p>
        </w:tc>
      </w:tr>
      <w:tr w:rsidR="00B17C55" w:rsidRPr="00783571" w14:paraId="3603E163" w14:textId="77777777" w:rsidTr="00D40CDC">
        <w:trPr>
          <w:cantSplit/>
        </w:trPr>
        <w:tc>
          <w:tcPr>
            <w:tcW w:w="760" w:type="pct"/>
            <w:shd w:val="clear" w:color="auto" w:fill="auto"/>
          </w:tcPr>
          <w:p w14:paraId="1BF8E393" w14:textId="77777777" w:rsidR="00B17C55" w:rsidRPr="00783571" w:rsidRDefault="000F17E7" w:rsidP="00D40CDC">
            <w:pPr>
              <w:pStyle w:val="TableText"/>
              <w:spacing w:before="50" w:after="50"/>
              <w:jc w:val="center"/>
              <w:rPr>
                <w:sz w:val="20"/>
              </w:rPr>
            </w:pPr>
            <m:oMathPara>
              <m:oMath>
                <m:sSubSup>
                  <m:sSubSupPr>
                    <m:ctrlPr>
                      <w:rPr>
                        <w:rFonts w:ascii="Cambria Math" w:eastAsiaTheme="minorEastAsia" w:hAnsi="Cambria Math"/>
                        <w:sz w:val="20"/>
                      </w:rPr>
                    </m:ctrlPr>
                  </m:sSubSupPr>
                  <m:e>
                    <m:r>
                      <m:rPr>
                        <m:sty m:val="p"/>
                      </m:rPr>
                      <w:rPr>
                        <w:rFonts w:ascii="Cambria Math" w:eastAsiaTheme="minorEastAsia" w:hAnsi="Cambria Math"/>
                        <w:sz w:val="20"/>
                      </w:rPr>
                      <m:t>ℶ</m:t>
                    </m:r>
                  </m:e>
                  <m:sub>
                    <m:r>
                      <w:rPr>
                        <w:rFonts w:ascii="Cambria Math" w:eastAsiaTheme="minorEastAsia" w:hAnsi="Cambria Math"/>
                        <w:sz w:val="20"/>
                      </w:rPr>
                      <m:t>c,p</m:t>
                    </m:r>
                  </m:sub>
                  <m:sup>
                    <m:r>
                      <w:rPr>
                        <w:rFonts w:ascii="Cambria Math" w:eastAsiaTheme="minorEastAsia" w:hAnsi="Cambria Math"/>
                        <w:sz w:val="20"/>
                      </w:rPr>
                      <m:t>j*</m:t>
                    </m:r>
                  </m:sup>
                </m:sSubSup>
                <m:r>
                  <w:rPr>
                    <w:rFonts w:ascii="Cambria Math" w:eastAsiaTheme="minorEastAsia" w:hAnsi="Cambria Math"/>
                    <w:sz w:val="20"/>
                  </w:rPr>
                  <m:t>(t)</m:t>
                </m:r>
              </m:oMath>
            </m:oMathPara>
          </w:p>
        </w:tc>
        <w:tc>
          <w:tcPr>
            <w:tcW w:w="4240" w:type="pct"/>
            <w:shd w:val="clear" w:color="auto" w:fill="auto"/>
          </w:tcPr>
          <w:p w14:paraId="363F5099" w14:textId="7D260470" w:rsidR="00B17C55" w:rsidRPr="00783571" w:rsidRDefault="00B17C55" w:rsidP="00152441">
            <w:pPr>
              <w:pStyle w:val="TableText"/>
              <w:spacing w:before="50" w:after="50"/>
              <w:rPr>
                <w:sz w:val="20"/>
              </w:rPr>
            </w:pPr>
            <w:r w:rsidRPr="00783571">
              <w:rPr>
                <w:sz w:val="20"/>
              </w:rPr>
              <w:t>Rate (j*</w:t>
            </w:r>
            <w:r w:rsidR="00E628BE" w:rsidRPr="00783571">
              <w:rPr>
                <w:sz w:val="20"/>
              </w:rPr>
              <w:t> = </w:t>
            </w:r>
            <w:r w:rsidR="00152441" w:rsidRPr="00783571">
              <w:rPr>
                <w:sz w:val="20"/>
              </w:rPr>
              <w:t>{1,…5,7,…10}</w:t>
            </w:r>
            <w:r w:rsidRPr="00783571">
              <w:rPr>
                <w:sz w:val="20"/>
              </w:rPr>
              <w:t>) or probability (j*</w:t>
            </w:r>
            <w:r w:rsidR="00E628BE" w:rsidRPr="00783571">
              <w:rPr>
                <w:sz w:val="20"/>
              </w:rPr>
              <w:t> = </w:t>
            </w:r>
            <w:r w:rsidR="00152441" w:rsidRPr="00783571">
              <w:rPr>
                <w:sz w:val="20"/>
              </w:rPr>
              <w:t>6</w:t>
            </w:r>
            <w:r w:rsidRPr="00783571">
              <w:rPr>
                <w:sz w:val="20"/>
              </w:rPr>
              <w:t>) of progression for the transition targeted by intervention j* in subpopulation p in compartment c at time t</w:t>
            </w:r>
            <w:r w:rsidR="002F5F01" w:rsidRPr="00783571">
              <w:rPr>
                <w:sz w:val="20"/>
              </w:rPr>
              <w:t>,</w:t>
            </w:r>
            <w:r w:rsidRPr="00783571">
              <w:rPr>
                <w:sz w:val="20"/>
              </w:rPr>
              <w:t xml:space="preserve"> given no allocated funding from CDC</w:t>
            </w:r>
          </w:p>
        </w:tc>
      </w:tr>
      <w:tr w:rsidR="00E1242D" w:rsidRPr="00783571" w14:paraId="47893918" w14:textId="77777777" w:rsidTr="00D40CDC">
        <w:trPr>
          <w:cantSplit/>
        </w:trPr>
        <w:tc>
          <w:tcPr>
            <w:tcW w:w="760" w:type="pct"/>
            <w:shd w:val="clear" w:color="auto" w:fill="auto"/>
          </w:tcPr>
          <w:p w14:paraId="729FA636" w14:textId="583BF137" w:rsidR="00E1242D" w:rsidRPr="00783571" w:rsidRDefault="000F17E7" w:rsidP="00D40CDC">
            <w:pPr>
              <w:pStyle w:val="TableText"/>
              <w:spacing w:before="50" w:after="50"/>
              <w:jc w:val="center"/>
              <w:rPr>
                <w:sz w:val="20"/>
              </w:rPr>
            </w:pPr>
            <m:oMathPara>
              <m:oMath>
                <m:sSubSup>
                  <m:sSubSupPr>
                    <m:ctrlPr>
                      <w:rPr>
                        <w:rFonts w:ascii="Cambria Math" w:eastAsiaTheme="minorEastAsia" w:hAnsi="Cambria Math"/>
                        <w:sz w:val="20"/>
                      </w:rPr>
                    </m:ctrlPr>
                  </m:sSubSupPr>
                  <m:e>
                    <m:r>
                      <m:rPr>
                        <m:sty m:val="p"/>
                      </m:rPr>
                      <w:rPr>
                        <w:rFonts w:ascii="Cambria Math" w:eastAsiaTheme="minorEastAsia" w:hAnsi="Cambria Math"/>
                        <w:sz w:val="20"/>
                      </w:rPr>
                      <m:t>ℷ</m:t>
                    </m:r>
                  </m:e>
                  <m:sub>
                    <m:r>
                      <w:rPr>
                        <w:rFonts w:ascii="Cambria Math" w:eastAsiaTheme="minorEastAsia" w:hAnsi="Cambria Math"/>
                        <w:sz w:val="20"/>
                      </w:rPr>
                      <m:t>c,p</m:t>
                    </m:r>
                  </m:sub>
                  <m:sup>
                    <m:r>
                      <w:rPr>
                        <w:rFonts w:ascii="Cambria Math" w:eastAsiaTheme="minorEastAsia" w:hAnsi="Cambria Math"/>
                        <w:sz w:val="20"/>
                      </w:rPr>
                      <m:t>j*</m:t>
                    </m:r>
                  </m:sup>
                </m:sSubSup>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x</m:t>
                    </m:r>
                  </m:e>
                  <m:sup>
                    <m:r>
                      <w:rPr>
                        <w:rFonts w:ascii="Cambria Math" w:eastAsiaTheme="minorEastAsia" w:hAnsi="Cambria Math"/>
                        <w:sz w:val="20"/>
                      </w:rPr>
                      <m:t>*</m:t>
                    </m:r>
                  </m:sup>
                </m:sSup>
                <m:r>
                  <w:rPr>
                    <w:rFonts w:ascii="Cambria Math" w:eastAsiaTheme="minorEastAsia" w:hAnsi="Cambria Math"/>
                    <w:sz w:val="20"/>
                  </w:rPr>
                  <m:t>,t)</m:t>
                </m:r>
              </m:oMath>
            </m:oMathPara>
          </w:p>
        </w:tc>
        <w:tc>
          <w:tcPr>
            <w:tcW w:w="4240" w:type="pct"/>
            <w:shd w:val="clear" w:color="auto" w:fill="auto"/>
          </w:tcPr>
          <w:p w14:paraId="71B8545C" w14:textId="185B7563" w:rsidR="00E1242D" w:rsidRPr="00783571" w:rsidRDefault="002F5F01" w:rsidP="00D40CDC">
            <w:pPr>
              <w:pStyle w:val="TableText"/>
              <w:spacing w:before="50" w:after="50"/>
              <w:rPr>
                <w:sz w:val="20"/>
              </w:rPr>
            </w:pPr>
            <w:r w:rsidRPr="00783571">
              <w:rPr>
                <w:sz w:val="20"/>
              </w:rPr>
              <w:t xml:space="preserve">Rate (j* = {1,…5,7,…10}) or probability (j* = 6) </w:t>
            </w:r>
            <w:r w:rsidR="00B17C55" w:rsidRPr="00783571">
              <w:rPr>
                <w:sz w:val="20"/>
              </w:rPr>
              <w:t>of progression targeted by intervention j* for subpopulation p in compartment c</w:t>
            </w:r>
            <w:r w:rsidRPr="00783571">
              <w:rPr>
                <w:sz w:val="20"/>
              </w:rPr>
              <w:t xml:space="preserve"> at time t</w:t>
            </w:r>
            <w:r w:rsidR="00B17C55" w:rsidRPr="00783571">
              <w:rPr>
                <w:sz w:val="20"/>
              </w:rPr>
              <w:t xml:space="preserve">, given allocated funding </w:t>
            </w:r>
            <w:r w:rsidR="00972E3C" w:rsidRPr="00783571">
              <w:rPr>
                <w:rFonts w:ascii="Arial" w:hAnsi="Arial" w:cs="Arial"/>
                <w:sz w:val="20"/>
              </w:rPr>
              <w:t>ṅ</w:t>
            </w:r>
            <w:r w:rsidR="00972E3C" w:rsidRPr="00783571">
              <w:rPr>
                <w:rFonts w:ascii="Arial" w:hAnsi="Arial" w:cs="Arial"/>
                <w:sz w:val="20"/>
                <w:vertAlign w:val="subscript"/>
              </w:rPr>
              <w:t>j*</w:t>
            </w:r>
            <w:r w:rsidR="00B17C55" w:rsidRPr="00783571">
              <w:rPr>
                <w:sz w:val="20"/>
              </w:rPr>
              <w:t xml:space="preserve"> </w:t>
            </w:r>
            <w:r w:rsidR="00C03EBD" w:rsidRPr="00783571">
              <w:rPr>
                <w:sz w:val="20"/>
              </w:rPr>
              <w:t xml:space="preserve">for </w:t>
            </w:r>
            <w:r w:rsidR="00B17C55" w:rsidRPr="00783571">
              <w:rPr>
                <w:sz w:val="20"/>
              </w:rPr>
              <w:t>intervention j* from budget under consideration</w:t>
            </w:r>
          </w:p>
        </w:tc>
      </w:tr>
      <w:tr w:rsidR="00E748ED" w:rsidRPr="00783571" w14:paraId="0D3802E2" w14:textId="77777777" w:rsidTr="00D40CDC">
        <w:trPr>
          <w:cantSplit/>
        </w:trPr>
        <w:tc>
          <w:tcPr>
            <w:tcW w:w="760" w:type="pct"/>
            <w:shd w:val="clear" w:color="auto" w:fill="auto"/>
          </w:tcPr>
          <w:p w14:paraId="22658292" w14:textId="4F89255E" w:rsidR="00E748ED" w:rsidRPr="00783571" w:rsidRDefault="0034605D" w:rsidP="00D40CDC">
            <w:pPr>
              <w:pStyle w:val="TableText"/>
              <w:spacing w:before="50" w:after="50"/>
              <w:jc w:val="center"/>
              <w:rPr>
                <w:sz w:val="20"/>
              </w:rPr>
            </w:pPr>
            <w:r w:rsidRPr="00783571">
              <w:rPr>
                <w:i/>
                <w:iCs/>
              </w:rPr>
              <w:t>Л</w:t>
            </w:r>
          </w:p>
        </w:tc>
        <w:tc>
          <w:tcPr>
            <w:tcW w:w="4240" w:type="pct"/>
            <w:shd w:val="clear" w:color="auto" w:fill="auto"/>
          </w:tcPr>
          <w:p w14:paraId="2B4EE871" w14:textId="303FC1F1" w:rsidR="00E748ED" w:rsidRPr="00783571" w:rsidRDefault="0034605D" w:rsidP="00D40CDC">
            <w:pPr>
              <w:pStyle w:val="TableText"/>
              <w:spacing w:before="50" w:after="50"/>
              <w:rPr>
                <w:sz w:val="20"/>
              </w:rPr>
            </w:pPr>
            <w:r w:rsidRPr="00783571">
              <w:rPr>
                <w:sz w:val="20"/>
              </w:rPr>
              <w:t>Number of iterations performed using the elementary effects method</w:t>
            </w:r>
          </w:p>
        </w:tc>
      </w:tr>
      <w:tr w:rsidR="00E748ED" w:rsidRPr="00783571" w14:paraId="6E5422C5" w14:textId="77777777" w:rsidTr="00D40CDC">
        <w:trPr>
          <w:cantSplit/>
        </w:trPr>
        <w:tc>
          <w:tcPr>
            <w:tcW w:w="760" w:type="pct"/>
            <w:shd w:val="clear" w:color="auto" w:fill="auto"/>
          </w:tcPr>
          <w:p w14:paraId="2DA1C9EF" w14:textId="101F3A8F" w:rsidR="00E748ED" w:rsidRPr="00783571" w:rsidRDefault="0034605D" w:rsidP="00D40CDC">
            <w:pPr>
              <w:pStyle w:val="TableText"/>
              <w:spacing w:before="50" w:after="50"/>
              <w:jc w:val="center"/>
              <w:rPr>
                <w:sz w:val="20"/>
              </w:rPr>
            </w:pPr>
            <w:r w:rsidRPr="00783571">
              <w:rPr>
                <w:rFonts w:ascii="Calibri" w:hAnsi="Calibri"/>
                <w:sz w:val="20"/>
              </w:rPr>
              <w:t>Њ</w:t>
            </w:r>
          </w:p>
        </w:tc>
        <w:tc>
          <w:tcPr>
            <w:tcW w:w="4240" w:type="pct"/>
            <w:shd w:val="clear" w:color="auto" w:fill="auto"/>
          </w:tcPr>
          <w:p w14:paraId="32CC9A9C" w14:textId="0783E9E1" w:rsidR="00E748ED" w:rsidRPr="00783571" w:rsidRDefault="0034605D" w:rsidP="00D40CDC">
            <w:pPr>
              <w:pStyle w:val="TableText"/>
              <w:spacing w:before="50" w:after="50"/>
              <w:rPr>
                <w:sz w:val="20"/>
              </w:rPr>
            </w:pPr>
            <w:r w:rsidRPr="00783571">
              <w:rPr>
                <w:sz w:val="20"/>
              </w:rPr>
              <w:t>Input number being sampled or varied in elementary effects method</w:t>
            </w:r>
          </w:p>
        </w:tc>
      </w:tr>
      <w:tr w:rsidR="00E748ED" w:rsidRPr="00783571" w14:paraId="2FC388A8" w14:textId="77777777" w:rsidTr="00D40CDC">
        <w:trPr>
          <w:cantSplit/>
        </w:trPr>
        <w:tc>
          <w:tcPr>
            <w:tcW w:w="760" w:type="pct"/>
            <w:shd w:val="clear" w:color="auto" w:fill="auto"/>
          </w:tcPr>
          <w:p w14:paraId="6A528099" w14:textId="4E50945E" w:rsidR="00E748ED" w:rsidRPr="00783571" w:rsidRDefault="0034605D" w:rsidP="00D40CDC">
            <w:pPr>
              <w:pStyle w:val="TableText"/>
              <w:spacing w:before="50" w:after="50"/>
              <w:jc w:val="center"/>
              <w:rPr>
                <w:sz w:val="20"/>
              </w:rPr>
            </w:pPr>
            <w:r w:rsidRPr="00783571">
              <w:rPr>
                <w:rFonts w:ascii="Calibri" w:hAnsi="Calibri"/>
                <w:sz w:val="20"/>
              </w:rPr>
              <w:t>ш</w:t>
            </w:r>
          </w:p>
        </w:tc>
        <w:tc>
          <w:tcPr>
            <w:tcW w:w="4240" w:type="pct"/>
            <w:shd w:val="clear" w:color="auto" w:fill="auto"/>
          </w:tcPr>
          <w:p w14:paraId="7A1C6E61" w14:textId="70E1E36A" w:rsidR="00E748ED" w:rsidRPr="00783571" w:rsidRDefault="0034605D" w:rsidP="00D40CDC">
            <w:pPr>
              <w:pStyle w:val="TableText"/>
              <w:spacing w:before="50" w:after="50"/>
              <w:rPr>
                <w:sz w:val="20"/>
              </w:rPr>
            </w:pPr>
            <w:r w:rsidRPr="00783571">
              <w:rPr>
                <w:sz w:val="20"/>
              </w:rPr>
              <w:t>Iteration number in the elementary effects method</w:t>
            </w:r>
          </w:p>
        </w:tc>
      </w:tr>
      <w:tr w:rsidR="00E748ED" w:rsidRPr="00783571" w14:paraId="40235CD0" w14:textId="77777777" w:rsidTr="00D40CDC">
        <w:trPr>
          <w:cantSplit/>
        </w:trPr>
        <w:tc>
          <w:tcPr>
            <w:tcW w:w="760" w:type="pct"/>
            <w:shd w:val="clear" w:color="auto" w:fill="auto"/>
          </w:tcPr>
          <w:p w14:paraId="3927247C" w14:textId="74C513AB" w:rsidR="00E748ED" w:rsidRPr="00783571" w:rsidRDefault="0034605D" w:rsidP="00D40CDC">
            <w:pPr>
              <w:pStyle w:val="TableText"/>
              <w:spacing w:before="50" w:after="50"/>
              <w:jc w:val="center"/>
              <w:rPr>
                <w:sz w:val="20"/>
              </w:rPr>
            </w:pPr>
            <w:r w:rsidRPr="00783571">
              <w:rPr>
                <w:i/>
                <w:iCs/>
              </w:rPr>
              <w:t>й</w:t>
            </w:r>
            <w:r w:rsidRPr="00783571">
              <w:rPr>
                <w:rFonts w:ascii="Calibri" w:hAnsi="Calibri"/>
                <w:vertAlign w:val="subscript"/>
              </w:rPr>
              <w:t>Њ</w:t>
            </w:r>
            <w:r w:rsidRPr="00783571">
              <w:rPr>
                <w:i/>
                <w:iCs/>
                <w:vertAlign w:val="subscript"/>
              </w:rPr>
              <w:t>,ш</w:t>
            </w:r>
          </w:p>
        </w:tc>
        <w:tc>
          <w:tcPr>
            <w:tcW w:w="4240" w:type="pct"/>
            <w:shd w:val="clear" w:color="auto" w:fill="auto"/>
          </w:tcPr>
          <w:p w14:paraId="2DAF7B8B" w14:textId="33E9AAE7" w:rsidR="00E748ED" w:rsidRPr="00783571" w:rsidRDefault="0034605D" w:rsidP="00D40CDC">
            <w:pPr>
              <w:pStyle w:val="TableText"/>
              <w:spacing w:before="50" w:after="50"/>
              <w:rPr>
                <w:sz w:val="20"/>
              </w:rPr>
            </w:pPr>
            <w:r w:rsidRPr="00783571">
              <w:rPr>
                <w:sz w:val="20"/>
              </w:rPr>
              <w:t xml:space="preserve">The </w:t>
            </w:r>
            <w:r w:rsidRPr="00783571">
              <w:rPr>
                <w:i/>
                <w:iCs/>
                <w:sz w:val="20"/>
              </w:rPr>
              <w:t>ш</w:t>
            </w:r>
            <w:r w:rsidRPr="00783571">
              <w:rPr>
                <w:i/>
                <w:iCs/>
                <w:sz w:val="20"/>
                <w:vertAlign w:val="superscript"/>
              </w:rPr>
              <w:t>th</w:t>
            </w:r>
            <w:r w:rsidRPr="00783571">
              <w:rPr>
                <w:sz w:val="20"/>
              </w:rPr>
              <w:t xml:space="preserve"> sampled value of input </w:t>
            </w:r>
            <w:r w:rsidRPr="00783571">
              <w:rPr>
                <w:iCs/>
                <w:sz w:val="20"/>
              </w:rPr>
              <w:t>Њ in the elementary effects method</w:t>
            </w:r>
          </w:p>
        </w:tc>
      </w:tr>
      <w:tr w:rsidR="0034605D" w:rsidRPr="00783571" w14:paraId="1184AE4D" w14:textId="77777777" w:rsidTr="00D40CDC">
        <w:trPr>
          <w:cantSplit/>
        </w:trPr>
        <w:tc>
          <w:tcPr>
            <w:tcW w:w="760" w:type="pct"/>
            <w:shd w:val="clear" w:color="auto" w:fill="auto"/>
          </w:tcPr>
          <w:p w14:paraId="34A2786C" w14:textId="496DDE23" w:rsidR="0034605D" w:rsidRPr="00783571" w:rsidRDefault="0034605D" w:rsidP="00D40CDC">
            <w:pPr>
              <w:pStyle w:val="TableText"/>
              <w:spacing w:before="50" w:after="50"/>
              <w:jc w:val="center"/>
              <w:rPr>
                <w:rFonts w:ascii="Calibri" w:hAnsi="Calibri"/>
                <w:sz w:val="20"/>
              </w:rPr>
            </w:pPr>
            <w:r w:rsidRPr="00783571">
              <w:rPr>
                <w:rFonts w:ascii="Calibri" w:hAnsi="Calibri"/>
                <w:sz w:val="20"/>
              </w:rPr>
              <w:t>Ж</w:t>
            </w:r>
          </w:p>
        </w:tc>
        <w:tc>
          <w:tcPr>
            <w:tcW w:w="4240" w:type="pct"/>
            <w:shd w:val="clear" w:color="auto" w:fill="auto"/>
          </w:tcPr>
          <w:p w14:paraId="57F29D2D" w14:textId="16BCAD10" w:rsidR="0034605D" w:rsidRPr="00783571" w:rsidRDefault="0034605D" w:rsidP="00D40CDC">
            <w:pPr>
              <w:pStyle w:val="TableText"/>
              <w:spacing w:before="50" w:after="50"/>
              <w:rPr>
                <w:sz w:val="20"/>
              </w:rPr>
            </w:pPr>
            <w:r w:rsidRPr="00783571">
              <w:rPr>
                <w:sz w:val="20"/>
              </w:rPr>
              <w:t>Constant percentage of base parameter value used for parameter variation in the elementary effects method</w:t>
            </w:r>
          </w:p>
        </w:tc>
      </w:tr>
    </w:tbl>
    <w:p w14:paraId="527AB4B6" w14:textId="596024A5" w:rsidR="00F50352" w:rsidRPr="00783571" w:rsidRDefault="00112754" w:rsidP="00D4000F">
      <w:pPr>
        <w:pStyle w:val="Source1"/>
        <w:ind w:left="0" w:firstLine="0"/>
        <w:rPr>
          <w:sz w:val="20"/>
        </w:rPr>
      </w:pPr>
      <w:r w:rsidRPr="00783571">
        <w:rPr>
          <w:sz w:val="20"/>
        </w:rPr>
        <w:t xml:space="preserve">Note: </w:t>
      </w:r>
      <w:r w:rsidR="00F50352" w:rsidRPr="00783571">
        <w:rPr>
          <w:sz w:val="20"/>
        </w:rPr>
        <w:t>ART</w:t>
      </w:r>
      <w:r w:rsidR="00E628BE" w:rsidRPr="00783571">
        <w:rPr>
          <w:sz w:val="20"/>
        </w:rPr>
        <w:t> = </w:t>
      </w:r>
      <w:r w:rsidR="00F50352" w:rsidRPr="00783571">
        <w:rPr>
          <w:sz w:val="20"/>
        </w:rPr>
        <w:t xml:space="preserve">antiretroviral therapy; </w:t>
      </w:r>
      <w:r w:rsidR="00341EDC" w:rsidRPr="00783571">
        <w:rPr>
          <w:sz w:val="20"/>
        </w:rPr>
        <w:t>PrEP</w:t>
      </w:r>
      <w:r w:rsidR="00E628BE" w:rsidRPr="00783571">
        <w:rPr>
          <w:sz w:val="20"/>
        </w:rPr>
        <w:t> = </w:t>
      </w:r>
      <w:bookmarkStart w:id="156" w:name="_Hlk495319275"/>
      <w:r w:rsidR="00341EDC" w:rsidRPr="00783571">
        <w:rPr>
          <w:sz w:val="20"/>
        </w:rPr>
        <w:t>pre-exposure prophylaxis</w:t>
      </w:r>
      <w:bookmarkEnd w:id="156"/>
      <w:r w:rsidR="00AA5501" w:rsidRPr="00783571">
        <w:rPr>
          <w:sz w:val="20"/>
        </w:rPr>
        <w:t>; PWID</w:t>
      </w:r>
      <w:r w:rsidR="006015C3" w:rsidRPr="00783571">
        <w:rPr>
          <w:sz w:val="20"/>
        </w:rPr>
        <w:t xml:space="preserve"> =</w:t>
      </w:r>
      <w:r w:rsidR="00AA5501" w:rsidRPr="00783571">
        <w:rPr>
          <w:sz w:val="20"/>
        </w:rPr>
        <w:t xml:space="preserve"> people who inject drugs</w:t>
      </w:r>
      <w:r w:rsidR="006015C3" w:rsidRPr="00783571">
        <w:rPr>
          <w:sz w:val="20"/>
        </w:rPr>
        <w:t>.</w:t>
      </w:r>
    </w:p>
    <w:p w14:paraId="534B644B" w14:textId="77777777" w:rsidR="00C80F5B" w:rsidRPr="00783571" w:rsidRDefault="00C80F5B">
      <w:pPr>
        <w:rPr>
          <w:b/>
        </w:rPr>
      </w:pPr>
      <w:r w:rsidRPr="00783571">
        <w:br w:type="page"/>
      </w:r>
    </w:p>
    <w:p w14:paraId="04A461AE" w14:textId="6EDDEFF4" w:rsidR="00F50352" w:rsidRPr="00783571" w:rsidRDefault="00F50352" w:rsidP="00551FA4">
      <w:pPr>
        <w:pStyle w:val="TableTitlecont"/>
        <w:tabs>
          <w:tab w:val="left" w:pos="2520"/>
        </w:tabs>
      </w:pPr>
      <w:r w:rsidRPr="00783571">
        <w:t xml:space="preserve">Table </w:t>
      </w:r>
      <w:r w:rsidR="00052E04" w:rsidRPr="00783571">
        <w:t>A.</w:t>
      </w:r>
      <w:r w:rsidRPr="00783571">
        <w:t>2.</w:t>
      </w:r>
      <w:r w:rsidRPr="00783571">
        <w:tab/>
        <w:t>Definitions of Indices Applied in This Document</w:t>
      </w:r>
    </w:p>
    <w:tbl>
      <w:tblPr>
        <w:tblW w:w="5035"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902"/>
        <w:gridCol w:w="1778"/>
        <w:gridCol w:w="1522"/>
        <w:gridCol w:w="8849"/>
      </w:tblGrid>
      <w:tr w:rsidR="00F50352" w:rsidRPr="00783571" w14:paraId="7C63E7CF" w14:textId="77777777" w:rsidTr="00F46463">
        <w:trPr>
          <w:cantSplit/>
          <w:tblHeader/>
        </w:trPr>
        <w:tc>
          <w:tcPr>
            <w:tcW w:w="346" w:type="pct"/>
            <w:tcBorders>
              <w:top w:val="single" w:sz="12" w:space="0" w:color="000000"/>
              <w:bottom w:val="single" w:sz="6" w:space="0" w:color="auto"/>
            </w:tcBorders>
            <w:shd w:val="clear" w:color="auto" w:fill="auto"/>
            <w:vAlign w:val="bottom"/>
          </w:tcPr>
          <w:p w14:paraId="3143F693" w14:textId="77777777" w:rsidR="00F50352" w:rsidRPr="00783571" w:rsidRDefault="00F50352" w:rsidP="00D40CDC">
            <w:pPr>
              <w:pStyle w:val="TableHeaders"/>
              <w:rPr>
                <w:sz w:val="20"/>
              </w:rPr>
            </w:pPr>
            <w:r w:rsidRPr="00783571">
              <w:rPr>
                <w:sz w:val="20"/>
              </w:rPr>
              <w:t>Index</w:t>
            </w:r>
          </w:p>
        </w:tc>
        <w:tc>
          <w:tcPr>
            <w:tcW w:w="681" w:type="pct"/>
            <w:tcBorders>
              <w:top w:val="single" w:sz="12" w:space="0" w:color="000000"/>
              <w:bottom w:val="single" w:sz="6" w:space="0" w:color="auto"/>
            </w:tcBorders>
            <w:shd w:val="clear" w:color="auto" w:fill="auto"/>
            <w:vAlign w:val="bottom"/>
          </w:tcPr>
          <w:p w14:paraId="17573F3F" w14:textId="77777777" w:rsidR="00F50352" w:rsidRPr="00783571" w:rsidRDefault="00F50352" w:rsidP="00F50352">
            <w:pPr>
              <w:pStyle w:val="TableHeaders"/>
              <w:rPr>
                <w:sz w:val="20"/>
              </w:rPr>
            </w:pPr>
            <w:r w:rsidRPr="00783571">
              <w:rPr>
                <w:sz w:val="20"/>
              </w:rPr>
              <w:t>Definition</w:t>
            </w:r>
          </w:p>
        </w:tc>
        <w:tc>
          <w:tcPr>
            <w:tcW w:w="583" w:type="pct"/>
            <w:tcBorders>
              <w:top w:val="single" w:sz="12" w:space="0" w:color="000000"/>
              <w:bottom w:val="single" w:sz="6" w:space="0" w:color="auto"/>
            </w:tcBorders>
            <w:shd w:val="clear" w:color="auto" w:fill="auto"/>
            <w:vAlign w:val="bottom"/>
          </w:tcPr>
          <w:p w14:paraId="0921FF33" w14:textId="77777777" w:rsidR="00F50352" w:rsidRPr="00783571" w:rsidRDefault="00F50352" w:rsidP="00F50352">
            <w:pPr>
              <w:pStyle w:val="TableHeaders"/>
              <w:rPr>
                <w:sz w:val="20"/>
              </w:rPr>
            </w:pPr>
            <w:r w:rsidRPr="00783571">
              <w:rPr>
                <w:sz w:val="20"/>
              </w:rPr>
              <w:t>Number of Categories</w:t>
            </w:r>
          </w:p>
        </w:tc>
        <w:tc>
          <w:tcPr>
            <w:tcW w:w="3389" w:type="pct"/>
            <w:tcBorders>
              <w:top w:val="single" w:sz="12" w:space="0" w:color="000000"/>
              <w:bottom w:val="single" w:sz="6" w:space="0" w:color="auto"/>
            </w:tcBorders>
            <w:shd w:val="clear" w:color="auto" w:fill="auto"/>
            <w:vAlign w:val="bottom"/>
          </w:tcPr>
          <w:p w14:paraId="7847FA8D" w14:textId="77777777" w:rsidR="00F50352" w:rsidRPr="00783571" w:rsidRDefault="00F50352" w:rsidP="00F50352">
            <w:pPr>
              <w:pStyle w:val="TableHeaders"/>
              <w:rPr>
                <w:sz w:val="20"/>
              </w:rPr>
            </w:pPr>
            <w:r w:rsidRPr="00783571">
              <w:rPr>
                <w:sz w:val="20"/>
              </w:rPr>
              <w:t>Categories (Represented by)</w:t>
            </w:r>
          </w:p>
        </w:tc>
      </w:tr>
      <w:tr w:rsidR="00F50352" w:rsidRPr="00783571" w14:paraId="5034A240" w14:textId="77777777" w:rsidTr="00F46463">
        <w:tc>
          <w:tcPr>
            <w:tcW w:w="346" w:type="pct"/>
            <w:tcBorders>
              <w:top w:val="single" w:sz="6" w:space="0" w:color="auto"/>
              <w:bottom w:val="single" w:sz="6" w:space="0" w:color="808080" w:themeColor="background1" w:themeShade="80"/>
            </w:tcBorders>
            <w:shd w:val="clear" w:color="auto" w:fill="auto"/>
          </w:tcPr>
          <w:p w14:paraId="1FC0E251" w14:textId="77777777" w:rsidR="00F50352" w:rsidRPr="00783571" w:rsidRDefault="00F50352" w:rsidP="00D40CDC">
            <w:pPr>
              <w:pStyle w:val="TableText"/>
              <w:jc w:val="center"/>
              <w:rPr>
                <w:sz w:val="20"/>
              </w:rPr>
            </w:pPr>
            <w:r w:rsidRPr="00783571">
              <w:rPr>
                <w:sz w:val="20"/>
              </w:rPr>
              <w:t>c</w:t>
            </w:r>
          </w:p>
        </w:tc>
        <w:tc>
          <w:tcPr>
            <w:tcW w:w="681" w:type="pct"/>
            <w:tcBorders>
              <w:top w:val="single" w:sz="6" w:space="0" w:color="auto"/>
              <w:bottom w:val="single" w:sz="6" w:space="0" w:color="808080" w:themeColor="background1" w:themeShade="80"/>
            </w:tcBorders>
            <w:shd w:val="clear" w:color="auto" w:fill="auto"/>
          </w:tcPr>
          <w:p w14:paraId="45B7097A" w14:textId="77777777" w:rsidR="00F50352" w:rsidRPr="00783571" w:rsidRDefault="00F50352" w:rsidP="00F50352">
            <w:pPr>
              <w:pStyle w:val="TableText"/>
              <w:rPr>
                <w:sz w:val="20"/>
              </w:rPr>
            </w:pPr>
            <w:r w:rsidRPr="00783571">
              <w:rPr>
                <w:sz w:val="20"/>
              </w:rPr>
              <w:t>Compartment</w:t>
            </w:r>
          </w:p>
        </w:tc>
        <w:tc>
          <w:tcPr>
            <w:tcW w:w="583" w:type="pct"/>
            <w:tcBorders>
              <w:top w:val="single" w:sz="6" w:space="0" w:color="auto"/>
              <w:bottom w:val="single" w:sz="6" w:space="0" w:color="808080" w:themeColor="background1" w:themeShade="80"/>
            </w:tcBorders>
          </w:tcPr>
          <w:p w14:paraId="19F3752C" w14:textId="77777777" w:rsidR="00F50352" w:rsidRPr="00783571" w:rsidRDefault="00710F65" w:rsidP="002739EC">
            <w:pPr>
              <w:pStyle w:val="TableText"/>
              <w:jc w:val="center"/>
              <w:rPr>
                <w:sz w:val="20"/>
              </w:rPr>
            </w:pPr>
            <w:r w:rsidRPr="00783571">
              <w:rPr>
                <w:sz w:val="20"/>
              </w:rPr>
              <w:t>2</w:t>
            </w:r>
            <w:r w:rsidR="002739EC" w:rsidRPr="00783571">
              <w:rPr>
                <w:sz w:val="20"/>
              </w:rPr>
              <w:t>8</w:t>
            </w:r>
          </w:p>
        </w:tc>
        <w:tc>
          <w:tcPr>
            <w:tcW w:w="3389" w:type="pct"/>
            <w:tcBorders>
              <w:top w:val="single" w:sz="6" w:space="0" w:color="auto"/>
              <w:bottom w:val="single" w:sz="6" w:space="0" w:color="808080" w:themeColor="background1" w:themeShade="80"/>
            </w:tcBorders>
          </w:tcPr>
          <w:p w14:paraId="2BE2E962" w14:textId="77777777" w:rsidR="000F420A" w:rsidRPr="00783571" w:rsidRDefault="00F50352" w:rsidP="002739EC">
            <w:pPr>
              <w:pStyle w:val="TableText"/>
              <w:rPr>
                <w:sz w:val="20"/>
              </w:rPr>
            </w:pPr>
            <w:r w:rsidRPr="00783571">
              <w:rPr>
                <w:sz w:val="20"/>
              </w:rPr>
              <w:t>2</w:t>
            </w:r>
            <w:r w:rsidR="002739EC" w:rsidRPr="00783571">
              <w:rPr>
                <w:sz w:val="20"/>
              </w:rPr>
              <w:t>5</w:t>
            </w:r>
            <w:r w:rsidRPr="00783571">
              <w:rPr>
                <w:sz w:val="20"/>
              </w:rPr>
              <w:t xml:space="preserve"> main compartments for individuals actively moving through the model (further defined by disease stage [</w:t>
            </w:r>
            <w:r w:rsidRPr="00783571">
              <w:rPr>
                <w:i/>
                <w:sz w:val="20"/>
              </w:rPr>
              <w:t>h</w:t>
            </w:r>
            <w:r w:rsidRPr="00783571">
              <w:rPr>
                <w:sz w:val="20"/>
              </w:rPr>
              <w:t>] and continuum-of-care stage [</w:t>
            </w:r>
            <w:r w:rsidRPr="00783571">
              <w:rPr>
                <w:i/>
                <w:sz w:val="20"/>
              </w:rPr>
              <w:t>r</w:t>
            </w:r>
            <w:r w:rsidRPr="00783571">
              <w:rPr>
                <w:sz w:val="20"/>
              </w:rPr>
              <w:t xml:space="preserve">]) and </w:t>
            </w:r>
            <w:r w:rsidR="00710F65" w:rsidRPr="00783571">
              <w:rPr>
                <w:sz w:val="20"/>
              </w:rPr>
              <w:t xml:space="preserve">3 </w:t>
            </w:r>
            <w:r w:rsidRPr="00783571">
              <w:rPr>
                <w:sz w:val="20"/>
              </w:rPr>
              <w:t>compartments for individuals who were no longer actively followed in the model due to death due to causes other than AIDS, death due to AIDS, and aging out.</w:t>
            </w:r>
          </w:p>
          <w:p w14:paraId="3B202A9F" w14:textId="77777777" w:rsidR="00710F65" w:rsidRPr="00783571" w:rsidRDefault="002F71EB" w:rsidP="00710F65">
            <w:pPr>
              <w:pStyle w:val="TableText"/>
              <w:rPr>
                <w:sz w:val="20"/>
              </w:rPr>
            </w:pPr>
            <w:r w:rsidRPr="00783571">
              <w:rPr>
                <w:sz w:val="20"/>
              </w:rPr>
              <w:t>1: Susceptible</w:t>
            </w:r>
            <w:r w:rsidR="002739EC" w:rsidRPr="00783571">
              <w:rPr>
                <w:sz w:val="20"/>
              </w:rPr>
              <w:t xml:space="preserve"> / not on PrEP</w:t>
            </w:r>
            <w:r w:rsidR="00710F65" w:rsidRPr="00783571">
              <w:rPr>
                <w:sz w:val="20"/>
              </w:rPr>
              <w:t xml:space="preserve"> (</w:t>
            </w:r>
            <w:r w:rsidRPr="00783571">
              <w:rPr>
                <w:sz w:val="20"/>
              </w:rPr>
              <w:t>A</w:t>
            </w:r>
            <w:r w:rsidR="00710F65" w:rsidRPr="00783571">
              <w:rPr>
                <w:sz w:val="20"/>
              </w:rPr>
              <w:t>1)</w:t>
            </w:r>
          </w:p>
          <w:p w14:paraId="5C0FDD51" w14:textId="77777777" w:rsidR="002739EC" w:rsidRPr="00783571" w:rsidRDefault="002739EC" w:rsidP="00710F65">
            <w:pPr>
              <w:pStyle w:val="TableText"/>
              <w:rPr>
                <w:sz w:val="20"/>
              </w:rPr>
            </w:pPr>
            <w:r w:rsidRPr="00783571">
              <w:rPr>
                <w:sz w:val="20"/>
              </w:rPr>
              <w:t>2: Susceptible / on PrEP (A6)</w:t>
            </w:r>
          </w:p>
          <w:p w14:paraId="67AA582C" w14:textId="7AC5C685" w:rsidR="00710F65" w:rsidRPr="00783571" w:rsidRDefault="002739EC" w:rsidP="002F71EB">
            <w:pPr>
              <w:pStyle w:val="TableText"/>
              <w:rPr>
                <w:sz w:val="20"/>
              </w:rPr>
            </w:pPr>
            <w:r w:rsidRPr="00783571">
              <w:rPr>
                <w:sz w:val="20"/>
              </w:rPr>
              <w:t>3</w:t>
            </w:r>
            <w:r w:rsidR="002F71EB" w:rsidRPr="00783571">
              <w:rPr>
                <w:sz w:val="20"/>
              </w:rPr>
              <w:t xml:space="preserve">: </w:t>
            </w:r>
            <w:r w:rsidR="005F5C70" w:rsidRPr="00783571">
              <w:rPr>
                <w:sz w:val="20"/>
              </w:rPr>
              <w:t>HIV-infected</w:t>
            </w:r>
            <w:r w:rsidR="00710F65" w:rsidRPr="00783571">
              <w:rPr>
                <w:sz w:val="20"/>
              </w:rPr>
              <w:t xml:space="preserve"> / acute stage / unaware of </w:t>
            </w:r>
            <w:r w:rsidR="000965E6" w:rsidRPr="00783571">
              <w:rPr>
                <w:sz w:val="20"/>
              </w:rPr>
              <w:t>infection</w:t>
            </w:r>
            <w:r w:rsidR="00710F65" w:rsidRPr="00783571">
              <w:rPr>
                <w:sz w:val="20"/>
              </w:rPr>
              <w:t xml:space="preserve"> (</w:t>
            </w:r>
            <w:r w:rsidR="002F71EB" w:rsidRPr="00783571">
              <w:rPr>
                <w:sz w:val="20"/>
              </w:rPr>
              <w:t>B1</w:t>
            </w:r>
            <w:r w:rsidR="00710F65" w:rsidRPr="00783571">
              <w:rPr>
                <w:sz w:val="20"/>
              </w:rPr>
              <w:t>)</w:t>
            </w:r>
          </w:p>
          <w:p w14:paraId="0D057178" w14:textId="59776191" w:rsidR="00710F65" w:rsidRPr="00783571" w:rsidRDefault="002739EC" w:rsidP="002F71EB">
            <w:pPr>
              <w:pStyle w:val="TableText"/>
              <w:rPr>
                <w:sz w:val="20"/>
              </w:rPr>
            </w:pPr>
            <w:r w:rsidRPr="00783571">
              <w:rPr>
                <w:sz w:val="20"/>
              </w:rPr>
              <w:t>4</w:t>
            </w:r>
            <w:r w:rsidR="002F71EB" w:rsidRPr="00783571">
              <w:rPr>
                <w:sz w:val="20"/>
              </w:rPr>
              <w:t xml:space="preserve">: </w:t>
            </w:r>
            <w:r w:rsidR="005F5C70" w:rsidRPr="00783571">
              <w:rPr>
                <w:sz w:val="20"/>
              </w:rPr>
              <w:t>HIV-infected</w:t>
            </w:r>
            <w:r w:rsidR="00710F65" w:rsidRPr="00783571">
              <w:rPr>
                <w:sz w:val="20"/>
              </w:rPr>
              <w:t xml:space="preserve"> / acute stage / </w:t>
            </w:r>
            <w:r w:rsidR="000965E6" w:rsidRPr="00783571">
              <w:rPr>
                <w:sz w:val="20"/>
              </w:rPr>
              <w:t>aware, but not linked to HIV care</w:t>
            </w:r>
            <w:r w:rsidR="00710F65" w:rsidRPr="00783571">
              <w:rPr>
                <w:sz w:val="20"/>
              </w:rPr>
              <w:t xml:space="preserve"> (</w:t>
            </w:r>
            <w:r w:rsidR="002F71EB" w:rsidRPr="00783571">
              <w:rPr>
                <w:sz w:val="20"/>
              </w:rPr>
              <w:t>B2</w:t>
            </w:r>
            <w:r w:rsidR="00710F65" w:rsidRPr="00783571">
              <w:rPr>
                <w:sz w:val="20"/>
              </w:rPr>
              <w:t>)</w:t>
            </w:r>
          </w:p>
          <w:p w14:paraId="24DEC823" w14:textId="7728EAA7" w:rsidR="00710F65" w:rsidRPr="00783571" w:rsidRDefault="002739EC" w:rsidP="002F71EB">
            <w:pPr>
              <w:pStyle w:val="TableText"/>
              <w:rPr>
                <w:sz w:val="20"/>
              </w:rPr>
            </w:pPr>
            <w:r w:rsidRPr="00783571">
              <w:rPr>
                <w:sz w:val="20"/>
              </w:rPr>
              <w:t>5</w:t>
            </w:r>
            <w:r w:rsidR="002F71EB" w:rsidRPr="00783571">
              <w:rPr>
                <w:sz w:val="20"/>
              </w:rPr>
              <w:t xml:space="preserve">: </w:t>
            </w:r>
            <w:r w:rsidR="005F5C70" w:rsidRPr="00783571">
              <w:rPr>
                <w:sz w:val="20"/>
              </w:rPr>
              <w:t>HIV-infected</w:t>
            </w:r>
            <w:r w:rsidR="00710F65" w:rsidRPr="00783571">
              <w:rPr>
                <w:sz w:val="20"/>
              </w:rPr>
              <w:t xml:space="preserve"> / acute stage / </w:t>
            </w:r>
            <w:r w:rsidR="000965E6" w:rsidRPr="00783571">
              <w:rPr>
                <w:sz w:val="20"/>
              </w:rPr>
              <w:t>linked to HIV care, but not prescribed ART</w:t>
            </w:r>
            <w:r w:rsidR="00710F65" w:rsidRPr="00783571">
              <w:rPr>
                <w:sz w:val="20"/>
              </w:rPr>
              <w:t xml:space="preserve"> (</w:t>
            </w:r>
            <w:r w:rsidR="002F71EB" w:rsidRPr="00783571">
              <w:rPr>
                <w:sz w:val="20"/>
              </w:rPr>
              <w:t>B3</w:t>
            </w:r>
            <w:r w:rsidR="00710F65" w:rsidRPr="00783571">
              <w:rPr>
                <w:sz w:val="20"/>
              </w:rPr>
              <w:t>)</w:t>
            </w:r>
          </w:p>
          <w:p w14:paraId="11B09B65" w14:textId="1B530B64" w:rsidR="00710F65" w:rsidRPr="00783571" w:rsidRDefault="002739EC" w:rsidP="002F71EB">
            <w:pPr>
              <w:pStyle w:val="TableText"/>
              <w:rPr>
                <w:sz w:val="20"/>
              </w:rPr>
            </w:pPr>
            <w:r w:rsidRPr="00783571">
              <w:rPr>
                <w:sz w:val="20"/>
              </w:rPr>
              <w:t>6</w:t>
            </w:r>
            <w:r w:rsidR="002F71EB" w:rsidRPr="00783571">
              <w:rPr>
                <w:sz w:val="20"/>
              </w:rPr>
              <w:t xml:space="preserve">: </w:t>
            </w:r>
            <w:r w:rsidR="005F5C70" w:rsidRPr="00783571">
              <w:rPr>
                <w:sz w:val="20"/>
              </w:rPr>
              <w:t>HIV-infected</w:t>
            </w:r>
            <w:r w:rsidR="00710F65" w:rsidRPr="00783571">
              <w:rPr>
                <w:sz w:val="20"/>
              </w:rPr>
              <w:t xml:space="preserve"> / CD4&gt;500 / </w:t>
            </w:r>
            <w:r w:rsidR="000965E6" w:rsidRPr="00783571">
              <w:rPr>
                <w:sz w:val="20"/>
              </w:rPr>
              <w:t xml:space="preserve">unaware of infection </w:t>
            </w:r>
            <w:r w:rsidR="00710F65" w:rsidRPr="00783571">
              <w:rPr>
                <w:sz w:val="20"/>
              </w:rPr>
              <w:t>(</w:t>
            </w:r>
            <w:r w:rsidR="002F71EB" w:rsidRPr="00783571">
              <w:rPr>
                <w:sz w:val="20"/>
              </w:rPr>
              <w:t>C1</w:t>
            </w:r>
            <w:r w:rsidR="00710F65" w:rsidRPr="00783571">
              <w:rPr>
                <w:sz w:val="20"/>
              </w:rPr>
              <w:t>)</w:t>
            </w:r>
          </w:p>
          <w:p w14:paraId="3F461967" w14:textId="24AD1FA7" w:rsidR="00710F65" w:rsidRPr="00783571" w:rsidRDefault="002739EC" w:rsidP="002F71EB">
            <w:pPr>
              <w:pStyle w:val="TableText"/>
              <w:rPr>
                <w:sz w:val="20"/>
              </w:rPr>
            </w:pPr>
            <w:r w:rsidRPr="00783571">
              <w:rPr>
                <w:sz w:val="20"/>
              </w:rPr>
              <w:t>7</w:t>
            </w:r>
            <w:r w:rsidR="002F71EB" w:rsidRPr="00783571">
              <w:rPr>
                <w:sz w:val="20"/>
              </w:rPr>
              <w:t xml:space="preserve">: </w:t>
            </w:r>
            <w:r w:rsidR="005F5C70" w:rsidRPr="00783571">
              <w:rPr>
                <w:sz w:val="20"/>
              </w:rPr>
              <w:t>HIV-infected</w:t>
            </w:r>
            <w:r w:rsidR="00710F65" w:rsidRPr="00783571">
              <w:rPr>
                <w:sz w:val="20"/>
              </w:rPr>
              <w:t xml:space="preserve"> / CD4&gt;500 / </w:t>
            </w:r>
            <w:r w:rsidR="000965E6" w:rsidRPr="00783571">
              <w:rPr>
                <w:sz w:val="20"/>
              </w:rPr>
              <w:t>aware, but not linked to HIV care</w:t>
            </w:r>
            <w:r w:rsidR="000965E6" w:rsidRPr="00783571" w:rsidDel="000965E6">
              <w:rPr>
                <w:sz w:val="20"/>
              </w:rPr>
              <w:t xml:space="preserve"> </w:t>
            </w:r>
            <w:r w:rsidR="00710F65" w:rsidRPr="00783571">
              <w:rPr>
                <w:sz w:val="20"/>
              </w:rPr>
              <w:t>(</w:t>
            </w:r>
            <w:r w:rsidR="002F71EB" w:rsidRPr="00783571">
              <w:rPr>
                <w:sz w:val="20"/>
              </w:rPr>
              <w:t>C2</w:t>
            </w:r>
            <w:r w:rsidR="00710F65" w:rsidRPr="00783571">
              <w:rPr>
                <w:sz w:val="20"/>
              </w:rPr>
              <w:t>)</w:t>
            </w:r>
          </w:p>
          <w:p w14:paraId="7F496898" w14:textId="3BC9BB8F" w:rsidR="00710F65" w:rsidRPr="00783571" w:rsidRDefault="002739EC" w:rsidP="002F71EB">
            <w:pPr>
              <w:pStyle w:val="TableText"/>
              <w:rPr>
                <w:sz w:val="20"/>
              </w:rPr>
            </w:pPr>
            <w:r w:rsidRPr="00783571">
              <w:rPr>
                <w:sz w:val="20"/>
              </w:rPr>
              <w:t>8</w:t>
            </w:r>
            <w:r w:rsidR="002F71EB" w:rsidRPr="00783571">
              <w:rPr>
                <w:sz w:val="20"/>
              </w:rPr>
              <w:t xml:space="preserve">: </w:t>
            </w:r>
            <w:r w:rsidR="005F5C70" w:rsidRPr="00783571">
              <w:rPr>
                <w:sz w:val="20"/>
              </w:rPr>
              <w:t>HIV-infected</w:t>
            </w:r>
            <w:r w:rsidR="00710F65" w:rsidRPr="00783571">
              <w:rPr>
                <w:sz w:val="20"/>
              </w:rPr>
              <w:t xml:space="preserve"> / CD4&gt;500 / </w:t>
            </w:r>
            <w:r w:rsidR="000965E6" w:rsidRPr="00783571">
              <w:rPr>
                <w:sz w:val="20"/>
              </w:rPr>
              <w:t>linked to HIV care, but not prescribed ART</w:t>
            </w:r>
            <w:r w:rsidR="000965E6" w:rsidRPr="00783571" w:rsidDel="000965E6">
              <w:rPr>
                <w:sz w:val="20"/>
              </w:rPr>
              <w:t xml:space="preserve"> </w:t>
            </w:r>
            <w:r w:rsidR="00710F65" w:rsidRPr="00783571">
              <w:rPr>
                <w:sz w:val="20"/>
              </w:rPr>
              <w:t>(</w:t>
            </w:r>
            <w:r w:rsidR="002F71EB" w:rsidRPr="00783571">
              <w:rPr>
                <w:sz w:val="20"/>
              </w:rPr>
              <w:t>C3</w:t>
            </w:r>
            <w:r w:rsidR="00710F65" w:rsidRPr="00783571">
              <w:rPr>
                <w:sz w:val="20"/>
              </w:rPr>
              <w:t>)</w:t>
            </w:r>
          </w:p>
          <w:p w14:paraId="3E3E89CD" w14:textId="51691E19" w:rsidR="00710F65" w:rsidRPr="00783571" w:rsidRDefault="002739EC" w:rsidP="002F71EB">
            <w:pPr>
              <w:pStyle w:val="TableText"/>
              <w:rPr>
                <w:sz w:val="20"/>
              </w:rPr>
            </w:pPr>
            <w:r w:rsidRPr="00783571">
              <w:rPr>
                <w:sz w:val="20"/>
              </w:rPr>
              <w:t>9</w:t>
            </w:r>
            <w:r w:rsidR="002F71EB" w:rsidRPr="00783571">
              <w:rPr>
                <w:sz w:val="20"/>
              </w:rPr>
              <w:t xml:space="preserve">: </w:t>
            </w:r>
            <w:r w:rsidR="005F5C70" w:rsidRPr="00783571">
              <w:rPr>
                <w:sz w:val="20"/>
              </w:rPr>
              <w:t>HIV-infected</w:t>
            </w:r>
            <w:r w:rsidR="00710F65" w:rsidRPr="00783571">
              <w:rPr>
                <w:sz w:val="20"/>
              </w:rPr>
              <w:t xml:space="preserve"> / CD4&gt;500 / </w:t>
            </w:r>
            <w:r w:rsidR="000965E6" w:rsidRPr="00783571">
              <w:rPr>
                <w:sz w:val="20"/>
              </w:rPr>
              <w:t>prescribed ART</w:t>
            </w:r>
            <w:r w:rsidR="00710F65" w:rsidRPr="00783571">
              <w:rPr>
                <w:sz w:val="20"/>
              </w:rPr>
              <w:t>, not VLS (</w:t>
            </w:r>
            <w:r w:rsidR="002F71EB" w:rsidRPr="00783571">
              <w:rPr>
                <w:sz w:val="20"/>
              </w:rPr>
              <w:t>C4</w:t>
            </w:r>
            <w:r w:rsidR="00710F65" w:rsidRPr="00783571">
              <w:rPr>
                <w:sz w:val="20"/>
              </w:rPr>
              <w:t>)</w:t>
            </w:r>
          </w:p>
          <w:p w14:paraId="00395D9C" w14:textId="67D0120A" w:rsidR="00710F65" w:rsidRPr="00783571" w:rsidRDefault="002739EC" w:rsidP="002F71EB">
            <w:pPr>
              <w:pStyle w:val="TableText"/>
              <w:rPr>
                <w:sz w:val="20"/>
              </w:rPr>
            </w:pPr>
            <w:r w:rsidRPr="00783571">
              <w:rPr>
                <w:sz w:val="20"/>
              </w:rPr>
              <w:t>10</w:t>
            </w:r>
            <w:r w:rsidR="002F71EB" w:rsidRPr="00783571">
              <w:rPr>
                <w:sz w:val="20"/>
              </w:rPr>
              <w:t xml:space="preserve">: </w:t>
            </w:r>
            <w:r w:rsidR="005F5C70" w:rsidRPr="00783571">
              <w:rPr>
                <w:sz w:val="20"/>
              </w:rPr>
              <w:t>HIV-infected</w:t>
            </w:r>
            <w:r w:rsidR="00710F65" w:rsidRPr="00783571">
              <w:rPr>
                <w:sz w:val="20"/>
              </w:rPr>
              <w:t xml:space="preserve"> / CD4&gt;500 / VLS (</w:t>
            </w:r>
            <w:r w:rsidR="002F71EB" w:rsidRPr="00783571">
              <w:rPr>
                <w:sz w:val="20"/>
              </w:rPr>
              <w:t>C5</w:t>
            </w:r>
            <w:r w:rsidR="00710F65" w:rsidRPr="00783571">
              <w:rPr>
                <w:sz w:val="20"/>
              </w:rPr>
              <w:t>)</w:t>
            </w:r>
          </w:p>
          <w:p w14:paraId="33C8DEDF" w14:textId="7BDB97AB" w:rsidR="00710F65" w:rsidRPr="00783571" w:rsidRDefault="002F71EB" w:rsidP="002739EC">
            <w:pPr>
              <w:pStyle w:val="TableText"/>
              <w:rPr>
                <w:sz w:val="20"/>
              </w:rPr>
            </w:pPr>
            <w:r w:rsidRPr="00783571">
              <w:rPr>
                <w:sz w:val="20"/>
              </w:rPr>
              <w:t>1</w:t>
            </w:r>
            <w:r w:rsidR="002739EC" w:rsidRPr="00783571">
              <w:rPr>
                <w:sz w:val="20"/>
              </w:rPr>
              <w:t>1</w:t>
            </w:r>
            <w:r w:rsidRPr="00783571">
              <w:rPr>
                <w:sz w:val="20"/>
              </w:rPr>
              <w:t xml:space="preserve">: </w:t>
            </w:r>
            <w:r w:rsidR="005F5C70" w:rsidRPr="00783571">
              <w:rPr>
                <w:sz w:val="20"/>
              </w:rPr>
              <w:t>HIV-infected</w:t>
            </w:r>
            <w:r w:rsidR="00710F65" w:rsidRPr="00783571">
              <w:rPr>
                <w:sz w:val="20"/>
              </w:rPr>
              <w:t xml:space="preserve"> / CD4 350–500 / </w:t>
            </w:r>
            <w:r w:rsidR="000965E6" w:rsidRPr="00783571">
              <w:rPr>
                <w:sz w:val="20"/>
              </w:rPr>
              <w:t xml:space="preserve">unaware of infection </w:t>
            </w:r>
            <w:r w:rsidR="00710F65" w:rsidRPr="00783571">
              <w:rPr>
                <w:sz w:val="20"/>
              </w:rPr>
              <w:t>(</w:t>
            </w:r>
            <w:r w:rsidRPr="00783571">
              <w:rPr>
                <w:sz w:val="20"/>
              </w:rPr>
              <w:t>D1</w:t>
            </w:r>
            <w:r w:rsidR="00710F65" w:rsidRPr="00783571">
              <w:rPr>
                <w:sz w:val="20"/>
              </w:rPr>
              <w:t>)</w:t>
            </w:r>
          </w:p>
          <w:p w14:paraId="3C1AE981" w14:textId="0799F0AA" w:rsidR="00710F65" w:rsidRPr="00783571" w:rsidRDefault="002F71EB" w:rsidP="002739EC">
            <w:pPr>
              <w:pStyle w:val="TableText"/>
              <w:rPr>
                <w:sz w:val="20"/>
              </w:rPr>
            </w:pPr>
            <w:r w:rsidRPr="00783571">
              <w:rPr>
                <w:sz w:val="20"/>
              </w:rPr>
              <w:t>1</w:t>
            </w:r>
            <w:r w:rsidR="002739EC" w:rsidRPr="00783571">
              <w:rPr>
                <w:sz w:val="20"/>
              </w:rPr>
              <w:t>2</w:t>
            </w:r>
            <w:r w:rsidRPr="00783571">
              <w:rPr>
                <w:sz w:val="20"/>
              </w:rPr>
              <w:t xml:space="preserve">: </w:t>
            </w:r>
            <w:r w:rsidR="005F5C70" w:rsidRPr="00783571">
              <w:rPr>
                <w:sz w:val="20"/>
              </w:rPr>
              <w:t>HIV-infected</w:t>
            </w:r>
            <w:r w:rsidR="00710F65" w:rsidRPr="00783571">
              <w:rPr>
                <w:sz w:val="20"/>
              </w:rPr>
              <w:t xml:space="preserve"> / CD4 350–500 / </w:t>
            </w:r>
            <w:r w:rsidR="000965E6" w:rsidRPr="00783571">
              <w:rPr>
                <w:sz w:val="20"/>
              </w:rPr>
              <w:t>aware, but not linked to HIV care</w:t>
            </w:r>
            <w:r w:rsidR="00710F65" w:rsidRPr="00783571">
              <w:rPr>
                <w:sz w:val="20"/>
              </w:rPr>
              <w:t xml:space="preserve"> (</w:t>
            </w:r>
            <w:r w:rsidRPr="00783571">
              <w:rPr>
                <w:sz w:val="20"/>
              </w:rPr>
              <w:t>D2</w:t>
            </w:r>
            <w:r w:rsidR="00710F65" w:rsidRPr="00783571">
              <w:rPr>
                <w:sz w:val="20"/>
              </w:rPr>
              <w:t>)</w:t>
            </w:r>
          </w:p>
          <w:p w14:paraId="6F7CCF94" w14:textId="797952CB" w:rsidR="00710F65" w:rsidRPr="00783571" w:rsidRDefault="002F71EB" w:rsidP="002739EC">
            <w:pPr>
              <w:pStyle w:val="TableText"/>
              <w:rPr>
                <w:sz w:val="20"/>
              </w:rPr>
            </w:pPr>
            <w:r w:rsidRPr="00783571">
              <w:rPr>
                <w:sz w:val="20"/>
              </w:rPr>
              <w:t>1</w:t>
            </w:r>
            <w:r w:rsidR="002739EC" w:rsidRPr="00783571">
              <w:rPr>
                <w:sz w:val="20"/>
              </w:rPr>
              <w:t>3</w:t>
            </w:r>
            <w:r w:rsidRPr="00783571">
              <w:rPr>
                <w:sz w:val="20"/>
              </w:rPr>
              <w:t xml:space="preserve">: </w:t>
            </w:r>
            <w:r w:rsidR="005F5C70" w:rsidRPr="00783571">
              <w:rPr>
                <w:sz w:val="20"/>
              </w:rPr>
              <w:t>HIV-infected</w:t>
            </w:r>
            <w:r w:rsidR="00710F65" w:rsidRPr="00783571">
              <w:rPr>
                <w:sz w:val="20"/>
              </w:rPr>
              <w:t xml:space="preserve"> / CD4 350–500 / </w:t>
            </w:r>
            <w:r w:rsidR="000965E6" w:rsidRPr="00783571">
              <w:rPr>
                <w:sz w:val="20"/>
              </w:rPr>
              <w:t>linked to HIV care, but not prescribed ART</w:t>
            </w:r>
            <w:r w:rsidR="000965E6" w:rsidRPr="00783571" w:rsidDel="000965E6">
              <w:rPr>
                <w:sz w:val="20"/>
              </w:rPr>
              <w:t xml:space="preserve"> </w:t>
            </w:r>
            <w:r w:rsidR="00710F65" w:rsidRPr="00783571">
              <w:rPr>
                <w:sz w:val="20"/>
              </w:rPr>
              <w:t>(</w:t>
            </w:r>
            <w:r w:rsidRPr="00783571">
              <w:rPr>
                <w:sz w:val="20"/>
              </w:rPr>
              <w:t>D3</w:t>
            </w:r>
            <w:r w:rsidR="00710F65" w:rsidRPr="00783571">
              <w:rPr>
                <w:sz w:val="20"/>
              </w:rPr>
              <w:t>)</w:t>
            </w:r>
          </w:p>
          <w:p w14:paraId="2234592D" w14:textId="123B90C6" w:rsidR="00710F65" w:rsidRPr="00783571" w:rsidRDefault="002F71EB" w:rsidP="002739EC">
            <w:pPr>
              <w:pStyle w:val="TableText"/>
              <w:rPr>
                <w:sz w:val="20"/>
              </w:rPr>
            </w:pPr>
            <w:r w:rsidRPr="00783571">
              <w:rPr>
                <w:sz w:val="20"/>
              </w:rPr>
              <w:t>1</w:t>
            </w:r>
            <w:r w:rsidR="002739EC" w:rsidRPr="00783571">
              <w:rPr>
                <w:sz w:val="20"/>
              </w:rPr>
              <w:t>4</w:t>
            </w:r>
            <w:r w:rsidRPr="00783571">
              <w:rPr>
                <w:sz w:val="20"/>
              </w:rPr>
              <w:t xml:space="preserve">: </w:t>
            </w:r>
            <w:r w:rsidR="005F5C70" w:rsidRPr="00783571">
              <w:rPr>
                <w:sz w:val="20"/>
              </w:rPr>
              <w:t>HIV-infected</w:t>
            </w:r>
            <w:r w:rsidR="00710F65" w:rsidRPr="00783571">
              <w:rPr>
                <w:sz w:val="20"/>
              </w:rPr>
              <w:t xml:space="preserve"> / CD4 350–500 / </w:t>
            </w:r>
            <w:r w:rsidR="000965E6" w:rsidRPr="00783571">
              <w:rPr>
                <w:sz w:val="20"/>
              </w:rPr>
              <w:t>prescribed ART</w:t>
            </w:r>
            <w:r w:rsidR="00710F65" w:rsidRPr="00783571">
              <w:rPr>
                <w:sz w:val="20"/>
              </w:rPr>
              <w:t>, not VLS (</w:t>
            </w:r>
            <w:r w:rsidRPr="00783571">
              <w:rPr>
                <w:sz w:val="20"/>
              </w:rPr>
              <w:t>D4</w:t>
            </w:r>
            <w:r w:rsidR="00710F65" w:rsidRPr="00783571">
              <w:rPr>
                <w:sz w:val="20"/>
              </w:rPr>
              <w:t>)</w:t>
            </w:r>
          </w:p>
          <w:p w14:paraId="4D4DE94A" w14:textId="47E29020" w:rsidR="00710F65" w:rsidRPr="00783571" w:rsidRDefault="002F71EB" w:rsidP="002739EC">
            <w:pPr>
              <w:pStyle w:val="TableText"/>
              <w:rPr>
                <w:sz w:val="20"/>
              </w:rPr>
            </w:pPr>
            <w:r w:rsidRPr="00783571">
              <w:rPr>
                <w:sz w:val="20"/>
              </w:rPr>
              <w:t>1</w:t>
            </w:r>
            <w:r w:rsidR="002739EC" w:rsidRPr="00783571">
              <w:rPr>
                <w:sz w:val="20"/>
              </w:rPr>
              <w:t>5</w:t>
            </w:r>
            <w:r w:rsidRPr="00783571">
              <w:rPr>
                <w:sz w:val="20"/>
              </w:rPr>
              <w:t xml:space="preserve">: </w:t>
            </w:r>
            <w:r w:rsidR="005F5C70" w:rsidRPr="00783571">
              <w:rPr>
                <w:sz w:val="20"/>
              </w:rPr>
              <w:t>HIV-infected</w:t>
            </w:r>
            <w:r w:rsidR="00710F65" w:rsidRPr="00783571">
              <w:rPr>
                <w:sz w:val="20"/>
              </w:rPr>
              <w:t xml:space="preserve"> / CD4 350–500 / VLS (</w:t>
            </w:r>
            <w:r w:rsidRPr="00783571">
              <w:rPr>
                <w:sz w:val="20"/>
              </w:rPr>
              <w:t>D5</w:t>
            </w:r>
            <w:r w:rsidR="00710F65" w:rsidRPr="00783571">
              <w:rPr>
                <w:sz w:val="20"/>
              </w:rPr>
              <w:t>)</w:t>
            </w:r>
          </w:p>
          <w:p w14:paraId="40FBA2D6" w14:textId="06634AD2" w:rsidR="00710F65" w:rsidRPr="00783571" w:rsidRDefault="002F71EB" w:rsidP="002739EC">
            <w:pPr>
              <w:pStyle w:val="TableText"/>
              <w:rPr>
                <w:sz w:val="20"/>
              </w:rPr>
            </w:pPr>
            <w:r w:rsidRPr="00783571">
              <w:rPr>
                <w:sz w:val="20"/>
              </w:rPr>
              <w:t>1</w:t>
            </w:r>
            <w:r w:rsidR="002739EC" w:rsidRPr="00783571">
              <w:rPr>
                <w:sz w:val="20"/>
              </w:rPr>
              <w:t>6</w:t>
            </w:r>
            <w:r w:rsidRPr="00783571">
              <w:rPr>
                <w:sz w:val="20"/>
              </w:rPr>
              <w:t xml:space="preserve">: </w:t>
            </w:r>
            <w:r w:rsidR="005F5C70" w:rsidRPr="00783571">
              <w:rPr>
                <w:sz w:val="20"/>
              </w:rPr>
              <w:t>HIV-infected</w:t>
            </w:r>
            <w:r w:rsidR="00710F65" w:rsidRPr="00783571">
              <w:rPr>
                <w:sz w:val="20"/>
              </w:rPr>
              <w:t xml:space="preserve"> / CD4 200–350 / </w:t>
            </w:r>
            <w:r w:rsidR="000965E6" w:rsidRPr="00783571">
              <w:rPr>
                <w:sz w:val="20"/>
              </w:rPr>
              <w:t xml:space="preserve">unaware of infection </w:t>
            </w:r>
            <w:r w:rsidR="00710F65" w:rsidRPr="00783571">
              <w:rPr>
                <w:sz w:val="20"/>
              </w:rPr>
              <w:t>(</w:t>
            </w:r>
            <w:r w:rsidRPr="00783571">
              <w:rPr>
                <w:sz w:val="20"/>
              </w:rPr>
              <w:t>E1</w:t>
            </w:r>
            <w:r w:rsidR="00710F65" w:rsidRPr="00783571">
              <w:rPr>
                <w:sz w:val="20"/>
              </w:rPr>
              <w:t>)</w:t>
            </w:r>
          </w:p>
          <w:p w14:paraId="10A2B540" w14:textId="491BA212" w:rsidR="00710F65" w:rsidRPr="00783571" w:rsidRDefault="002F71EB" w:rsidP="002739EC">
            <w:pPr>
              <w:pStyle w:val="TableText"/>
              <w:rPr>
                <w:sz w:val="20"/>
              </w:rPr>
            </w:pPr>
            <w:r w:rsidRPr="00783571">
              <w:rPr>
                <w:sz w:val="20"/>
              </w:rPr>
              <w:t>1</w:t>
            </w:r>
            <w:r w:rsidR="002739EC" w:rsidRPr="00783571">
              <w:rPr>
                <w:sz w:val="20"/>
              </w:rPr>
              <w:t>7</w:t>
            </w:r>
            <w:r w:rsidRPr="00783571">
              <w:rPr>
                <w:sz w:val="20"/>
              </w:rPr>
              <w:t xml:space="preserve">: </w:t>
            </w:r>
            <w:r w:rsidR="005F5C70" w:rsidRPr="00783571">
              <w:rPr>
                <w:sz w:val="20"/>
              </w:rPr>
              <w:t>HIV-infected</w:t>
            </w:r>
            <w:r w:rsidR="00710F65" w:rsidRPr="00783571">
              <w:rPr>
                <w:sz w:val="20"/>
              </w:rPr>
              <w:t xml:space="preserve"> / CD4 200–350 / </w:t>
            </w:r>
            <w:r w:rsidR="000965E6" w:rsidRPr="00783571">
              <w:rPr>
                <w:sz w:val="20"/>
              </w:rPr>
              <w:t>aware, but not linked to HIV care</w:t>
            </w:r>
            <w:r w:rsidR="000965E6" w:rsidRPr="00783571" w:rsidDel="000965E6">
              <w:rPr>
                <w:sz w:val="20"/>
              </w:rPr>
              <w:t xml:space="preserve"> </w:t>
            </w:r>
            <w:r w:rsidR="00710F65" w:rsidRPr="00783571">
              <w:rPr>
                <w:sz w:val="20"/>
              </w:rPr>
              <w:t>(</w:t>
            </w:r>
            <w:r w:rsidRPr="00783571">
              <w:rPr>
                <w:sz w:val="20"/>
              </w:rPr>
              <w:t>E2</w:t>
            </w:r>
            <w:r w:rsidR="00710F65" w:rsidRPr="00783571">
              <w:rPr>
                <w:sz w:val="20"/>
              </w:rPr>
              <w:t>)</w:t>
            </w:r>
          </w:p>
          <w:p w14:paraId="4D1012FE" w14:textId="13A3F91E" w:rsidR="00710F65" w:rsidRPr="00783571" w:rsidRDefault="002F71EB" w:rsidP="002739EC">
            <w:pPr>
              <w:pStyle w:val="TableText"/>
              <w:rPr>
                <w:sz w:val="20"/>
              </w:rPr>
            </w:pPr>
            <w:r w:rsidRPr="00783571">
              <w:rPr>
                <w:sz w:val="20"/>
              </w:rPr>
              <w:t>1</w:t>
            </w:r>
            <w:r w:rsidR="002739EC" w:rsidRPr="00783571">
              <w:rPr>
                <w:sz w:val="20"/>
              </w:rPr>
              <w:t>8</w:t>
            </w:r>
            <w:r w:rsidRPr="00783571">
              <w:rPr>
                <w:sz w:val="20"/>
              </w:rPr>
              <w:t xml:space="preserve">: </w:t>
            </w:r>
            <w:r w:rsidR="005F5C70" w:rsidRPr="00783571">
              <w:rPr>
                <w:sz w:val="20"/>
              </w:rPr>
              <w:t>HIV-infected</w:t>
            </w:r>
            <w:r w:rsidR="00710F65" w:rsidRPr="00783571">
              <w:rPr>
                <w:sz w:val="20"/>
              </w:rPr>
              <w:t xml:space="preserve"> / CD4 200–350 / </w:t>
            </w:r>
            <w:r w:rsidR="000965E6" w:rsidRPr="00783571">
              <w:rPr>
                <w:sz w:val="20"/>
              </w:rPr>
              <w:t>linked to HIV care, but not prescribed ART</w:t>
            </w:r>
            <w:r w:rsidR="000965E6" w:rsidRPr="00783571" w:rsidDel="000965E6">
              <w:rPr>
                <w:sz w:val="20"/>
              </w:rPr>
              <w:t xml:space="preserve"> </w:t>
            </w:r>
            <w:r w:rsidR="00710F65" w:rsidRPr="00783571">
              <w:rPr>
                <w:sz w:val="20"/>
              </w:rPr>
              <w:t>(</w:t>
            </w:r>
            <w:r w:rsidRPr="00783571">
              <w:rPr>
                <w:sz w:val="20"/>
              </w:rPr>
              <w:t>E3</w:t>
            </w:r>
            <w:r w:rsidR="00710F65" w:rsidRPr="00783571">
              <w:rPr>
                <w:sz w:val="20"/>
              </w:rPr>
              <w:t>)</w:t>
            </w:r>
          </w:p>
          <w:p w14:paraId="7CB583B2" w14:textId="536E5BD7" w:rsidR="00710F65" w:rsidRPr="00783571" w:rsidRDefault="002F71EB" w:rsidP="002739EC">
            <w:pPr>
              <w:pStyle w:val="TableText"/>
              <w:rPr>
                <w:sz w:val="20"/>
              </w:rPr>
            </w:pPr>
            <w:r w:rsidRPr="00783571">
              <w:rPr>
                <w:sz w:val="20"/>
              </w:rPr>
              <w:t>1</w:t>
            </w:r>
            <w:r w:rsidR="002739EC" w:rsidRPr="00783571">
              <w:rPr>
                <w:sz w:val="20"/>
              </w:rPr>
              <w:t>9</w:t>
            </w:r>
            <w:r w:rsidRPr="00783571">
              <w:rPr>
                <w:sz w:val="20"/>
              </w:rPr>
              <w:t xml:space="preserve">: </w:t>
            </w:r>
            <w:r w:rsidR="005F5C70" w:rsidRPr="00783571">
              <w:rPr>
                <w:sz w:val="20"/>
              </w:rPr>
              <w:t>HIV-infected</w:t>
            </w:r>
            <w:r w:rsidR="00710F65" w:rsidRPr="00783571">
              <w:rPr>
                <w:sz w:val="20"/>
              </w:rPr>
              <w:t xml:space="preserve"> / CD4 200–350 / </w:t>
            </w:r>
            <w:r w:rsidR="000965E6" w:rsidRPr="00783571">
              <w:rPr>
                <w:sz w:val="20"/>
              </w:rPr>
              <w:t>prescribed ART</w:t>
            </w:r>
            <w:r w:rsidR="00710F65" w:rsidRPr="00783571">
              <w:rPr>
                <w:sz w:val="20"/>
              </w:rPr>
              <w:t>, not VLS (</w:t>
            </w:r>
            <w:r w:rsidRPr="00783571">
              <w:rPr>
                <w:sz w:val="20"/>
              </w:rPr>
              <w:t>E4</w:t>
            </w:r>
            <w:r w:rsidR="00710F65" w:rsidRPr="00783571">
              <w:rPr>
                <w:sz w:val="20"/>
              </w:rPr>
              <w:t>)</w:t>
            </w:r>
          </w:p>
          <w:p w14:paraId="5A8A334E" w14:textId="54322197" w:rsidR="00710F65" w:rsidRPr="00783571" w:rsidRDefault="002739EC" w:rsidP="002F71EB">
            <w:pPr>
              <w:pStyle w:val="TableText"/>
              <w:rPr>
                <w:sz w:val="20"/>
              </w:rPr>
            </w:pPr>
            <w:r w:rsidRPr="00783571">
              <w:rPr>
                <w:sz w:val="20"/>
              </w:rPr>
              <w:t>20</w:t>
            </w:r>
            <w:r w:rsidR="002F71EB" w:rsidRPr="00783571">
              <w:rPr>
                <w:sz w:val="20"/>
              </w:rPr>
              <w:t xml:space="preserve">: </w:t>
            </w:r>
            <w:r w:rsidR="005F5C70" w:rsidRPr="00783571">
              <w:rPr>
                <w:sz w:val="20"/>
              </w:rPr>
              <w:t>HIV-infected</w:t>
            </w:r>
            <w:r w:rsidR="00710F65" w:rsidRPr="00783571">
              <w:rPr>
                <w:sz w:val="20"/>
              </w:rPr>
              <w:t xml:space="preserve"> / CD4 200–350 / VLS (</w:t>
            </w:r>
            <w:r w:rsidR="002F71EB" w:rsidRPr="00783571">
              <w:rPr>
                <w:sz w:val="20"/>
              </w:rPr>
              <w:t>E5</w:t>
            </w:r>
            <w:r w:rsidR="00710F65" w:rsidRPr="00783571">
              <w:rPr>
                <w:sz w:val="20"/>
              </w:rPr>
              <w:t>)</w:t>
            </w:r>
          </w:p>
          <w:p w14:paraId="02DF2A0E" w14:textId="7ADC0298" w:rsidR="00710F65" w:rsidRPr="00783571" w:rsidRDefault="002F71EB" w:rsidP="002739EC">
            <w:pPr>
              <w:pStyle w:val="TableText"/>
              <w:rPr>
                <w:sz w:val="20"/>
              </w:rPr>
            </w:pPr>
            <w:r w:rsidRPr="00783571">
              <w:rPr>
                <w:sz w:val="20"/>
              </w:rPr>
              <w:t>2</w:t>
            </w:r>
            <w:r w:rsidR="002739EC" w:rsidRPr="00783571">
              <w:rPr>
                <w:sz w:val="20"/>
              </w:rPr>
              <w:t>1</w:t>
            </w:r>
            <w:r w:rsidRPr="00783571">
              <w:rPr>
                <w:sz w:val="20"/>
              </w:rPr>
              <w:t xml:space="preserve">: </w:t>
            </w:r>
            <w:r w:rsidR="005F5C70" w:rsidRPr="00783571">
              <w:rPr>
                <w:sz w:val="20"/>
              </w:rPr>
              <w:t>HIV-infected</w:t>
            </w:r>
            <w:r w:rsidR="00710F65" w:rsidRPr="00783571">
              <w:rPr>
                <w:sz w:val="20"/>
              </w:rPr>
              <w:t xml:space="preserve"> / CD4 &lt; 200 / </w:t>
            </w:r>
            <w:r w:rsidR="000965E6" w:rsidRPr="00783571">
              <w:rPr>
                <w:sz w:val="20"/>
              </w:rPr>
              <w:t xml:space="preserve">unaware of infection </w:t>
            </w:r>
            <w:r w:rsidR="00710F65" w:rsidRPr="00783571">
              <w:rPr>
                <w:sz w:val="20"/>
              </w:rPr>
              <w:t>(</w:t>
            </w:r>
            <w:r w:rsidRPr="00783571">
              <w:rPr>
                <w:sz w:val="20"/>
              </w:rPr>
              <w:t>F1</w:t>
            </w:r>
            <w:r w:rsidR="00710F65" w:rsidRPr="00783571">
              <w:rPr>
                <w:sz w:val="20"/>
              </w:rPr>
              <w:t>)</w:t>
            </w:r>
          </w:p>
          <w:p w14:paraId="068C520E" w14:textId="6797BFE8" w:rsidR="00D37A76" w:rsidRPr="00783571" w:rsidRDefault="002F71EB" w:rsidP="00732A1D">
            <w:pPr>
              <w:pStyle w:val="TableText"/>
              <w:rPr>
                <w:sz w:val="20"/>
              </w:rPr>
            </w:pPr>
            <w:r w:rsidRPr="00783571">
              <w:rPr>
                <w:sz w:val="20"/>
              </w:rPr>
              <w:t>2</w:t>
            </w:r>
            <w:r w:rsidR="002739EC" w:rsidRPr="00783571">
              <w:rPr>
                <w:sz w:val="20"/>
              </w:rPr>
              <w:t>2</w:t>
            </w:r>
            <w:r w:rsidRPr="00783571">
              <w:rPr>
                <w:sz w:val="20"/>
              </w:rPr>
              <w:t xml:space="preserve">: </w:t>
            </w:r>
            <w:r w:rsidR="005F5C70" w:rsidRPr="00783571">
              <w:rPr>
                <w:sz w:val="20"/>
              </w:rPr>
              <w:t>HIV-infected</w:t>
            </w:r>
            <w:r w:rsidR="00710F65" w:rsidRPr="00783571">
              <w:rPr>
                <w:sz w:val="20"/>
              </w:rPr>
              <w:t xml:space="preserve"> / CD4 &lt; 200 (AIDS) / </w:t>
            </w:r>
            <w:r w:rsidR="000965E6" w:rsidRPr="00783571">
              <w:rPr>
                <w:sz w:val="20"/>
              </w:rPr>
              <w:t>aware, but not linked to HIV care</w:t>
            </w:r>
            <w:r w:rsidR="000965E6" w:rsidRPr="00783571" w:rsidDel="000965E6">
              <w:rPr>
                <w:sz w:val="20"/>
              </w:rPr>
              <w:t xml:space="preserve"> </w:t>
            </w:r>
            <w:r w:rsidR="00710F65" w:rsidRPr="00783571">
              <w:rPr>
                <w:sz w:val="20"/>
              </w:rPr>
              <w:t>(</w:t>
            </w:r>
            <w:r w:rsidRPr="00783571">
              <w:rPr>
                <w:sz w:val="20"/>
              </w:rPr>
              <w:t>F2</w:t>
            </w:r>
            <w:r w:rsidR="00D40CDC" w:rsidRPr="00783571">
              <w:rPr>
                <w:sz w:val="20"/>
              </w:rPr>
              <w:t>)</w:t>
            </w:r>
          </w:p>
        </w:tc>
      </w:tr>
    </w:tbl>
    <w:p w14:paraId="6ECE841A" w14:textId="77777777" w:rsidR="00D40CDC" w:rsidRPr="00783571" w:rsidRDefault="00D40CDC" w:rsidP="00D40CDC">
      <w:pPr>
        <w:pStyle w:val="Tablecont"/>
        <w:rPr>
          <w:sz w:val="20"/>
        </w:rPr>
      </w:pPr>
      <w:r w:rsidRPr="00783571">
        <w:rPr>
          <w:sz w:val="20"/>
        </w:rPr>
        <w:t>(continued)</w:t>
      </w:r>
    </w:p>
    <w:p w14:paraId="4E9B342E" w14:textId="5F9D4208" w:rsidR="00D40CDC" w:rsidRPr="00783571" w:rsidRDefault="00D40CDC" w:rsidP="00D40CDC">
      <w:pPr>
        <w:pStyle w:val="TableTitlecont"/>
        <w:tabs>
          <w:tab w:val="left" w:pos="2520"/>
        </w:tabs>
      </w:pPr>
      <w:r w:rsidRPr="00783571">
        <w:t>Table A.2.</w:t>
      </w:r>
      <w:r w:rsidRPr="00783571">
        <w:tab/>
        <w:t>Definitions of Indices Applied in This Document (continued)</w:t>
      </w:r>
    </w:p>
    <w:tbl>
      <w:tblPr>
        <w:tblW w:w="5035"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902"/>
        <w:gridCol w:w="1778"/>
        <w:gridCol w:w="1522"/>
        <w:gridCol w:w="8849"/>
      </w:tblGrid>
      <w:tr w:rsidR="00D40CDC" w:rsidRPr="00783571" w14:paraId="5BAEE53D" w14:textId="77777777" w:rsidTr="002A4EE6">
        <w:trPr>
          <w:cantSplit/>
          <w:tblHeader/>
        </w:trPr>
        <w:tc>
          <w:tcPr>
            <w:tcW w:w="346" w:type="pct"/>
            <w:tcBorders>
              <w:top w:val="single" w:sz="12" w:space="0" w:color="000000"/>
              <w:bottom w:val="single" w:sz="6" w:space="0" w:color="auto"/>
            </w:tcBorders>
            <w:shd w:val="clear" w:color="auto" w:fill="auto"/>
            <w:vAlign w:val="bottom"/>
          </w:tcPr>
          <w:p w14:paraId="332DB79B" w14:textId="77777777" w:rsidR="00D40CDC" w:rsidRPr="00783571" w:rsidRDefault="00D40CDC" w:rsidP="00D40CDC">
            <w:pPr>
              <w:pStyle w:val="TableHeaders"/>
              <w:spacing w:before="50" w:after="50"/>
              <w:rPr>
                <w:sz w:val="20"/>
              </w:rPr>
            </w:pPr>
            <w:r w:rsidRPr="00783571">
              <w:rPr>
                <w:sz w:val="20"/>
              </w:rPr>
              <w:t>Index</w:t>
            </w:r>
          </w:p>
        </w:tc>
        <w:tc>
          <w:tcPr>
            <w:tcW w:w="681" w:type="pct"/>
            <w:tcBorders>
              <w:top w:val="single" w:sz="12" w:space="0" w:color="000000"/>
              <w:bottom w:val="single" w:sz="6" w:space="0" w:color="auto"/>
            </w:tcBorders>
            <w:shd w:val="clear" w:color="auto" w:fill="auto"/>
            <w:vAlign w:val="bottom"/>
          </w:tcPr>
          <w:p w14:paraId="7BE9888D" w14:textId="77777777" w:rsidR="00D40CDC" w:rsidRPr="00783571" w:rsidRDefault="00D40CDC" w:rsidP="00D40CDC">
            <w:pPr>
              <w:pStyle w:val="TableHeaders"/>
              <w:spacing w:before="50" w:after="50"/>
              <w:rPr>
                <w:sz w:val="20"/>
              </w:rPr>
            </w:pPr>
            <w:r w:rsidRPr="00783571">
              <w:rPr>
                <w:sz w:val="20"/>
              </w:rPr>
              <w:t>Definition</w:t>
            </w:r>
          </w:p>
        </w:tc>
        <w:tc>
          <w:tcPr>
            <w:tcW w:w="583" w:type="pct"/>
            <w:tcBorders>
              <w:top w:val="single" w:sz="12" w:space="0" w:color="000000"/>
              <w:bottom w:val="single" w:sz="6" w:space="0" w:color="auto"/>
            </w:tcBorders>
            <w:shd w:val="clear" w:color="auto" w:fill="auto"/>
            <w:vAlign w:val="bottom"/>
          </w:tcPr>
          <w:p w14:paraId="492881DB" w14:textId="77777777" w:rsidR="00D40CDC" w:rsidRPr="00783571" w:rsidRDefault="00D40CDC" w:rsidP="00D40CDC">
            <w:pPr>
              <w:pStyle w:val="TableHeaders"/>
              <w:spacing w:before="50" w:after="50"/>
              <w:rPr>
                <w:sz w:val="20"/>
              </w:rPr>
            </w:pPr>
            <w:r w:rsidRPr="00783571">
              <w:rPr>
                <w:sz w:val="20"/>
              </w:rPr>
              <w:t>Number of Categories</w:t>
            </w:r>
          </w:p>
        </w:tc>
        <w:tc>
          <w:tcPr>
            <w:tcW w:w="3390" w:type="pct"/>
            <w:tcBorders>
              <w:top w:val="single" w:sz="12" w:space="0" w:color="000000"/>
              <w:bottom w:val="single" w:sz="6" w:space="0" w:color="auto"/>
            </w:tcBorders>
            <w:shd w:val="clear" w:color="auto" w:fill="auto"/>
            <w:vAlign w:val="bottom"/>
          </w:tcPr>
          <w:p w14:paraId="320A997C" w14:textId="77777777" w:rsidR="00D40CDC" w:rsidRPr="00783571" w:rsidRDefault="00D40CDC" w:rsidP="00D40CDC">
            <w:pPr>
              <w:pStyle w:val="TableHeaders"/>
              <w:spacing w:before="50" w:after="50"/>
              <w:rPr>
                <w:sz w:val="20"/>
              </w:rPr>
            </w:pPr>
            <w:r w:rsidRPr="00783571">
              <w:rPr>
                <w:sz w:val="20"/>
              </w:rPr>
              <w:t>Categories (Represented by)</w:t>
            </w:r>
          </w:p>
        </w:tc>
      </w:tr>
      <w:tr w:rsidR="00D40CDC" w:rsidRPr="00783571" w14:paraId="6199E93C" w14:textId="77777777" w:rsidTr="002A4EE6">
        <w:tc>
          <w:tcPr>
            <w:tcW w:w="346" w:type="pct"/>
            <w:tcBorders>
              <w:top w:val="single" w:sz="6" w:space="0" w:color="auto"/>
              <w:bottom w:val="single" w:sz="6" w:space="0" w:color="808080" w:themeColor="background1" w:themeShade="80"/>
            </w:tcBorders>
            <w:shd w:val="clear" w:color="auto" w:fill="auto"/>
          </w:tcPr>
          <w:p w14:paraId="0E06DDA4" w14:textId="77777777" w:rsidR="00D40CDC" w:rsidRPr="00783571" w:rsidRDefault="00D40CDC" w:rsidP="00D40CDC">
            <w:pPr>
              <w:pStyle w:val="TableText"/>
              <w:spacing w:before="50" w:after="50"/>
              <w:jc w:val="center"/>
              <w:rPr>
                <w:sz w:val="20"/>
              </w:rPr>
            </w:pPr>
          </w:p>
        </w:tc>
        <w:tc>
          <w:tcPr>
            <w:tcW w:w="681" w:type="pct"/>
            <w:tcBorders>
              <w:top w:val="single" w:sz="6" w:space="0" w:color="auto"/>
              <w:bottom w:val="single" w:sz="6" w:space="0" w:color="808080" w:themeColor="background1" w:themeShade="80"/>
            </w:tcBorders>
            <w:shd w:val="clear" w:color="auto" w:fill="auto"/>
          </w:tcPr>
          <w:p w14:paraId="38718F15" w14:textId="77777777" w:rsidR="00D40CDC" w:rsidRPr="00783571" w:rsidRDefault="00D40CDC" w:rsidP="00D40CDC">
            <w:pPr>
              <w:pStyle w:val="TableText"/>
              <w:spacing w:before="50" w:after="50"/>
              <w:rPr>
                <w:sz w:val="20"/>
              </w:rPr>
            </w:pPr>
          </w:p>
        </w:tc>
        <w:tc>
          <w:tcPr>
            <w:tcW w:w="583" w:type="pct"/>
            <w:tcBorders>
              <w:top w:val="single" w:sz="6" w:space="0" w:color="auto"/>
              <w:bottom w:val="single" w:sz="6" w:space="0" w:color="808080" w:themeColor="background1" w:themeShade="80"/>
            </w:tcBorders>
          </w:tcPr>
          <w:p w14:paraId="778ADC70" w14:textId="77777777" w:rsidR="00D40CDC" w:rsidRPr="00783571" w:rsidRDefault="00D40CDC" w:rsidP="00D40CDC">
            <w:pPr>
              <w:pStyle w:val="TableText"/>
              <w:spacing w:before="50" w:after="50"/>
              <w:jc w:val="center"/>
              <w:rPr>
                <w:sz w:val="20"/>
              </w:rPr>
            </w:pPr>
          </w:p>
        </w:tc>
        <w:tc>
          <w:tcPr>
            <w:tcW w:w="3390" w:type="pct"/>
            <w:tcBorders>
              <w:top w:val="single" w:sz="6" w:space="0" w:color="auto"/>
              <w:bottom w:val="single" w:sz="6" w:space="0" w:color="808080" w:themeColor="background1" w:themeShade="80"/>
            </w:tcBorders>
          </w:tcPr>
          <w:p w14:paraId="0AD461B6" w14:textId="65C9867D" w:rsidR="00D40CDC" w:rsidRPr="00783571" w:rsidRDefault="00D40CDC" w:rsidP="00D40CDC">
            <w:pPr>
              <w:pStyle w:val="TableText"/>
              <w:spacing w:before="50" w:after="50"/>
              <w:rPr>
                <w:sz w:val="20"/>
              </w:rPr>
            </w:pPr>
            <w:r w:rsidRPr="00783571">
              <w:rPr>
                <w:sz w:val="20"/>
              </w:rPr>
              <w:t xml:space="preserve">23: </w:t>
            </w:r>
            <w:r w:rsidR="005F5C70" w:rsidRPr="00783571">
              <w:rPr>
                <w:sz w:val="20"/>
              </w:rPr>
              <w:t>HIV-infected</w:t>
            </w:r>
            <w:r w:rsidRPr="00783571">
              <w:rPr>
                <w:sz w:val="20"/>
              </w:rPr>
              <w:t xml:space="preserve"> / CD4 &lt; 200 (AIDS) / </w:t>
            </w:r>
            <w:r w:rsidR="000965E6" w:rsidRPr="00783571">
              <w:rPr>
                <w:sz w:val="20"/>
              </w:rPr>
              <w:t>linked to HIV care, but not prescribed ART</w:t>
            </w:r>
            <w:r w:rsidR="000965E6" w:rsidRPr="00783571" w:rsidDel="000965E6">
              <w:rPr>
                <w:sz w:val="20"/>
              </w:rPr>
              <w:t xml:space="preserve"> </w:t>
            </w:r>
            <w:r w:rsidRPr="00783571">
              <w:rPr>
                <w:sz w:val="20"/>
              </w:rPr>
              <w:t>(F3)</w:t>
            </w:r>
          </w:p>
          <w:p w14:paraId="10B526C9" w14:textId="7CCB3B7D" w:rsidR="00D40CDC" w:rsidRPr="00783571" w:rsidRDefault="00D40CDC" w:rsidP="00D40CDC">
            <w:pPr>
              <w:pStyle w:val="TableText"/>
              <w:spacing w:before="50" w:after="50"/>
              <w:rPr>
                <w:sz w:val="20"/>
              </w:rPr>
            </w:pPr>
            <w:r w:rsidRPr="00783571">
              <w:rPr>
                <w:sz w:val="20"/>
              </w:rPr>
              <w:t xml:space="preserve">24: </w:t>
            </w:r>
            <w:r w:rsidR="005F5C70" w:rsidRPr="00783571">
              <w:rPr>
                <w:sz w:val="20"/>
              </w:rPr>
              <w:t>HIV-infected</w:t>
            </w:r>
            <w:r w:rsidRPr="00783571">
              <w:rPr>
                <w:sz w:val="20"/>
              </w:rPr>
              <w:t xml:space="preserve"> / CD4 &lt; 200 (AIDS) / </w:t>
            </w:r>
            <w:r w:rsidR="000965E6" w:rsidRPr="00783571">
              <w:rPr>
                <w:sz w:val="20"/>
              </w:rPr>
              <w:t>prescribed ART</w:t>
            </w:r>
            <w:r w:rsidRPr="00783571">
              <w:rPr>
                <w:sz w:val="20"/>
              </w:rPr>
              <w:t>, not VLS (F4)</w:t>
            </w:r>
          </w:p>
          <w:p w14:paraId="109DB22E" w14:textId="2EB197EA" w:rsidR="00D40CDC" w:rsidRPr="00783571" w:rsidRDefault="00D40CDC" w:rsidP="00D40CDC">
            <w:pPr>
              <w:pStyle w:val="TableText"/>
              <w:spacing w:before="50" w:after="50"/>
              <w:rPr>
                <w:sz w:val="20"/>
              </w:rPr>
            </w:pPr>
            <w:r w:rsidRPr="00783571">
              <w:rPr>
                <w:sz w:val="20"/>
              </w:rPr>
              <w:t xml:space="preserve">25: </w:t>
            </w:r>
            <w:r w:rsidR="005F5C70" w:rsidRPr="00783571">
              <w:rPr>
                <w:sz w:val="20"/>
              </w:rPr>
              <w:t>HIV-infected</w:t>
            </w:r>
            <w:r w:rsidRPr="00783571">
              <w:rPr>
                <w:sz w:val="20"/>
              </w:rPr>
              <w:t xml:space="preserve"> / CD4 &lt; 200 (AIDS) / VLS (F5)</w:t>
            </w:r>
          </w:p>
          <w:p w14:paraId="0CC95B4B" w14:textId="77777777" w:rsidR="00D40CDC" w:rsidRPr="00783571" w:rsidRDefault="00D40CDC" w:rsidP="00D40CDC">
            <w:pPr>
              <w:pStyle w:val="TableText"/>
              <w:spacing w:before="50" w:after="50"/>
              <w:rPr>
                <w:sz w:val="20"/>
              </w:rPr>
            </w:pPr>
            <w:r w:rsidRPr="00783571">
              <w:rPr>
                <w:sz w:val="20"/>
              </w:rPr>
              <w:t>26: Non-AIDS death-related cause</w:t>
            </w:r>
          </w:p>
          <w:p w14:paraId="23BFF1CA" w14:textId="77777777" w:rsidR="00D40CDC" w:rsidRPr="00783571" w:rsidRDefault="00D40CDC" w:rsidP="00D40CDC">
            <w:pPr>
              <w:pStyle w:val="TableText"/>
              <w:spacing w:before="50" w:after="50"/>
              <w:rPr>
                <w:sz w:val="20"/>
              </w:rPr>
            </w:pPr>
            <w:r w:rsidRPr="00783571">
              <w:rPr>
                <w:sz w:val="20"/>
              </w:rPr>
              <w:t>27: AIDS death</w:t>
            </w:r>
          </w:p>
          <w:p w14:paraId="25379D4A" w14:textId="15AB85F0" w:rsidR="00D40CDC" w:rsidRPr="00783571" w:rsidRDefault="00D40CDC" w:rsidP="00D40CDC">
            <w:pPr>
              <w:pStyle w:val="TableText"/>
              <w:spacing w:before="50" w:after="50"/>
              <w:rPr>
                <w:sz w:val="20"/>
              </w:rPr>
            </w:pPr>
            <w:r w:rsidRPr="00783571">
              <w:rPr>
                <w:sz w:val="20"/>
              </w:rPr>
              <w:t>28: Aged out of the population</w:t>
            </w:r>
          </w:p>
        </w:tc>
      </w:tr>
      <w:tr w:rsidR="00E12D6A" w:rsidRPr="00783571" w14:paraId="6C56083B"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5ED2FD72" w14:textId="77777777" w:rsidR="00E12D6A" w:rsidRPr="00783571" w:rsidRDefault="00E12D6A" w:rsidP="00D40CDC">
            <w:pPr>
              <w:pStyle w:val="TableText"/>
              <w:spacing w:before="50" w:after="50"/>
              <w:jc w:val="center"/>
              <w:rPr>
                <w:sz w:val="20"/>
              </w:rPr>
            </w:pPr>
            <w:r w:rsidRPr="00783571">
              <w:rPr>
                <w:sz w:val="20"/>
              </w:rPr>
              <w:t>g</w:t>
            </w:r>
          </w:p>
        </w:tc>
        <w:tc>
          <w:tcPr>
            <w:tcW w:w="681" w:type="pct"/>
            <w:tcBorders>
              <w:top w:val="single" w:sz="6" w:space="0" w:color="808080" w:themeColor="background1" w:themeShade="80"/>
              <w:bottom w:val="single" w:sz="6" w:space="0" w:color="808080" w:themeColor="background1" w:themeShade="80"/>
            </w:tcBorders>
            <w:shd w:val="clear" w:color="auto" w:fill="auto"/>
          </w:tcPr>
          <w:p w14:paraId="5F51F327" w14:textId="77777777" w:rsidR="00E12D6A" w:rsidRPr="00783571" w:rsidRDefault="00E12D6A" w:rsidP="00D40CDC">
            <w:pPr>
              <w:pStyle w:val="TableText"/>
              <w:spacing w:before="50" w:after="50"/>
              <w:rPr>
                <w:sz w:val="20"/>
              </w:rPr>
            </w:pPr>
            <w:r w:rsidRPr="00783571">
              <w:rPr>
                <w:sz w:val="20"/>
              </w:rPr>
              <w:t>Test type</w:t>
            </w:r>
          </w:p>
        </w:tc>
        <w:tc>
          <w:tcPr>
            <w:tcW w:w="583" w:type="pct"/>
            <w:tcBorders>
              <w:top w:val="single" w:sz="6" w:space="0" w:color="808080" w:themeColor="background1" w:themeShade="80"/>
              <w:bottom w:val="single" w:sz="6" w:space="0" w:color="808080" w:themeColor="background1" w:themeShade="80"/>
            </w:tcBorders>
          </w:tcPr>
          <w:p w14:paraId="65E9F8DB" w14:textId="77777777" w:rsidR="00E12D6A" w:rsidRPr="00783571" w:rsidRDefault="00E12D6A" w:rsidP="00D40CDC">
            <w:pPr>
              <w:pStyle w:val="TableText"/>
              <w:spacing w:before="50" w:after="50"/>
              <w:jc w:val="center"/>
              <w:rPr>
                <w:sz w:val="20"/>
              </w:rPr>
            </w:pPr>
            <w:r w:rsidRPr="00783571">
              <w:rPr>
                <w:sz w:val="20"/>
              </w:rPr>
              <w:t>2</w:t>
            </w:r>
          </w:p>
        </w:tc>
        <w:tc>
          <w:tcPr>
            <w:tcW w:w="3390" w:type="pct"/>
            <w:tcBorders>
              <w:top w:val="single" w:sz="6" w:space="0" w:color="808080" w:themeColor="background1" w:themeShade="80"/>
              <w:bottom w:val="single" w:sz="6" w:space="0" w:color="808080" w:themeColor="background1" w:themeShade="80"/>
            </w:tcBorders>
          </w:tcPr>
          <w:p w14:paraId="5BFCD3A8" w14:textId="77777777" w:rsidR="00E12D6A" w:rsidRPr="00783571" w:rsidRDefault="00E12D6A" w:rsidP="00D40CDC">
            <w:pPr>
              <w:pStyle w:val="TableText"/>
              <w:spacing w:before="50" w:after="50"/>
              <w:rPr>
                <w:sz w:val="20"/>
              </w:rPr>
            </w:pPr>
            <w:r w:rsidRPr="00783571">
              <w:rPr>
                <w:sz w:val="20"/>
              </w:rPr>
              <w:t>Rapid screen (1)</w:t>
            </w:r>
          </w:p>
          <w:p w14:paraId="0D50B5AB" w14:textId="77777777" w:rsidR="00E12D6A" w:rsidRPr="00783571" w:rsidRDefault="00E12D6A" w:rsidP="00D40CDC">
            <w:pPr>
              <w:pStyle w:val="TableText"/>
              <w:spacing w:before="50" w:after="50"/>
              <w:rPr>
                <w:sz w:val="20"/>
              </w:rPr>
            </w:pPr>
            <w:r w:rsidRPr="00783571">
              <w:rPr>
                <w:sz w:val="20"/>
              </w:rPr>
              <w:t>Conventional screen (2)</w:t>
            </w:r>
          </w:p>
        </w:tc>
      </w:tr>
      <w:tr w:rsidR="00F50352" w:rsidRPr="00783571" w14:paraId="730DCAAA"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3B86B898" w14:textId="77777777" w:rsidR="00F50352" w:rsidRPr="00783571" w:rsidRDefault="00F50352" w:rsidP="00D40CDC">
            <w:pPr>
              <w:pStyle w:val="TableText"/>
              <w:spacing w:before="50" w:after="50"/>
              <w:jc w:val="center"/>
              <w:rPr>
                <w:sz w:val="20"/>
              </w:rPr>
            </w:pPr>
            <w:r w:rsidRPr="00783571">
              <w:rPr>
                <w:sz w:val="20"/>
              </w:rPr>
              <w:t>h</w:t>
            </w:r>
          </w:p>
        </w:tc>
        <w:tc>
          <w:tcPr>
            <w:tcW w:w="681" w:type="pct"/>
            <w:tcBorders>
              <w:top w:val="single" w:sz="6" w:space="0" w:color="808080" w:themeColor="background1" w:themeShade="80"/>
              <w:bottom w:val="single" w:sz="6" w:space="0" w:color="808080" w:themeColor="background1" w:themeShade="80"/>
            </w:tcBorders>
            <w:shd w:val="clear" w:color="auto" w:fill="auto"/>
          </w:tcPr>
          <w:p w14:paraId="3A646E1E" w14:textId="77777777" w:rsidR="00F50352" w:rsidRPr="00783571" w:rsidRDefault="00F50352" w:rsidP="00D40CDC">
            <w:pPr>
              <w:pStyle w:val="TableText"/>
              <w:spacing w:before="50" w:after="50"/>
              <w:rPr>
                <w:sz w:val="20"/>
              </w:rPr>
            </w:pPr>
            <w:r w:rsidRPr="00783571">
              <w:rPr>
                <w:sz w:val="20"/>
              </w:rPr>
              <w:t xml:space="preserve">Disease </w:t>
            </w:r>
            <w:r w:rsidR="00202678" w:rsidRPr="00783571">
              <w:rPr>
                <w:sz w:val="20"/>
              </w:rPr>
              <w:t>status</w:t>
            </w:r>
          </w:p>
        </w:tc>
        <w:tc>
          <w:tcPr>
            <w:tcW w:w="583" w:type="pct"/>
            <w:tcBorders>
              <w:top w:val="single" w:sz="6" w:space="0" w:color="808080" w:themeColor="background1" w:themeShade="80"/>
              <w:bottom w:val="single" w:sz="6" w:space="0" w:color="808080" w:themeColor="background1" w:themeShade="80"/>
            </w:tcBorders>
          </w:tcPr>
          <w:p w14:paraId="39E15901" w14:textId="77777777" w:rsidR="00F50352" w:rsidRPr="00783571" w:rsidRDefault="00726346" w:rsidP="00D40CDC">
            <w:pPr>
              <w:pStyle w:val="TableText"/>
              <w:spacing w:before="50" w:after="50"/>
              <w:jc w:val="center"/>
              <w:rPr>
                <w:sz w:val="20"/>
              </w:rPr>
            </w:pPr>
            <w:r w:rsidRPr="00783571">
              <w:rPr>
                <w:sz w:val="20"/>
              </w:rPr>
              <w:t>6</w:t>
            </w:r>
          </w:p>
        </w:tc>
        <w:tc>
          <w:tcPr>
            <w:tcW w:w="3390" w:type="pct"/>
            <w:tcBorders>
              <w:top w:val="single" w:sz="6" w:space="0" w:color="808080" w:themeColor="background1" w:themeShade="80"/>
              <w:bottom w:val="single" w:sz="6" w:space="0" w:color="808080" w:themeColor="background1" w:themeShade="80"/>
            </w:tcBorders>
          </w:tcPr>
          <w:p w14:paraId="1520489E" w14:textId="77777777" w:rsidR="00E33B48" w:rsidRPr="00783571" w:rsidRDefault="00E33B48" w:rsidP="00D40CDC">
            <w:pPr>
              <w:pStyle w:val="TableText"/>
              <w:spacing w:before="50" w:after="50"/>
              <w:rPr>
                <w:sz w:val="20"/>
              </w:rPr>
            </w:pPr>
            <w:r w:rsidRPr="00783571">
              <w:rPr>
                <w:sz w:val="20"/>
              </w:rPr>
              <w:t>No HIV infection (0)</w:t>
            </w:r>
          </w:p>
          <w:p w14:paraId="128E934B" w14:textId="77777777" w:rsidR="00E33B48" w:rsidRPr="00783571" w:rsidRDefault="00E33B48" w:rsidP="00D40CDC">
            <w:pPr>
              <w:pStyle w:val="TableText"/>
              <w:spacing w:before="50" w:after="50"/>
              <w:rPr>
                <w:sz w:val="20"/>
              </w:rPr>
            </w:pPr>
            <w:r w:rsidRPr="00783571">
              <w:rPr>
                <w:sz w:val="20"/>
              </w:rPr>
              <w:t>Acute HIV infection (1)</w:t>
            </w:r>
          </w:p>
          <w:p w14:paraId="02B55913" w14:textId="77777777" w:rsidR="00E33B48" w:rsidRPr="00783571" w:rsidRDefault="00E33B48" w:rsidP="00D40CDC">
            <w:pPr>
              <w:pStyle w:val="TableText"/>
              <w:spacing w:before="50" w:after="50"/>
              <w:rPr>
                <w:sz w:val="20"/>
              </w:rPr>
            </w:pPr>
            <w:r w:rsidRPr="00783571">
              <w:rPr>
                <w:sz w:val="20"/>
              </w:rPr>
              <w:t>HIV infection with CD4 count greater than 500 cells/mm</w:t>
            </w:r>
            <w:r w:rsidRPr="00783571">
              <w:rPr>
                <w:sz w:val="20"/>
                <w:vertAlign w:val="superscript"/>
              </w:rPr>
              <w:t>3</w:t>
            </w:r>
            <w:r w:rsidRPr="00783571">
              <w:rPr>
                <w:sz w:val="20"/>
              </w:rPr>
              <w:t xml:space="preserve"> (2)</w:t>
            </w:r>
          </w:p>
          <w:p w14:paraId="0226E38E" w14:textId="77777777" w:rsidR="00E33B48" w:rsidRPr="00783571" w:rsidRDefault="00E33B48" w:rsidP="00D40CDC">
            <w:pPr>
              <w:pStyle w:val="TableText"/>
              <w:spacing w:before="50" w:after="50"/>
              <w:rPr>
                <w:sz w:val="20"/>
              </w:rPr>
            </w:pPr>
            <w:r w:rsidRPr="00783571">
              <w:rPr>
                <w:sz w:val="20"/>
              </w:rPr>
              <w:t>HIV infection with CD4 count between 350 cells/mm</w:t>
            </w:r>
            <w:r w:rsidRPr="00783571">
              <w:rPr>
                <w:sz w:val="20"/>
                <w:vertAlign w:val="superscript"/>
              </w:rPr>
              <w:t>3</w:t>
            </w:r>
            <w:r w:rsidRPr="00783571">
              <w:rPr>
                <w:sz w:val="20"/>
              </w:rPr>
              <w:t xml:space="preserve"> and 500 cells/mm3 (3)</w:t>
            </w:r>
          </w:p>
          <w:p w14:paraId="28F4742A" w14:textId="77777777" w:rsidR="00E33B48" w:rsidRPr="00783571" w:rsidRDefault="00E33B48" w:rsidP="00D40CDC">
            <w:pPr>
              <w:pStyle w:val="TableText"/>
              <w:spacing w:before="50" w:after="50"/>
              <w:rPr>
                <w:sz w:val="20"/>
              </w:rPr>
            </w:pPr>
            <w:r w:rsidRPr="00783571">
              <w:rPr>
                <w:sz w:val="20"/>
              </w:rPr>
              <w:t>HIV infection with CD4 count between 200 cells/mm</w:t>
            </w:r>
            <w:r w:rsidRPr="00783571">
              <w:rPr>
                <w:sz w:val="20"/>
                <w:vertAlign w:val="superscript"/>
              </w:rPr>
              <w:t>3</w:t>
            </w:r>
            <w:r w:rsidRPr="00783571">
              <w:rPr>
                <w:sz w:val="20"/>
              </w:rPr>
              <w:t xml:space="preserve"> and 350 cells/mm3 (4)</w:t>
            </w:r>
          </w:p>
          <w:p w14:paraId="451934DD" w14:textId="77777777" w:rsidR="00E33B48" w:rsidRPr="00783571" w:rsidRDefault="00E33B48" w:rsidP="00D40CDC">
            <w:pPr>
              <w:pStyle w:val="TableText"/>
              <w:spacing w:before="50" w:after="50"/>
              <w:rPr>
                <w:sz w:val="20"/>
              </w:rPr>
            </w:pPr>
            <w:r w:rsidRPr="00783571">
              <w:rPr>
                <w:sz w:val="20"/>
              </w:rPr>
              <w:t>AIDS with CD4 less than 200 cells/mm</w:t>
            </w:r>
            <w:r w:rsidRPr="00783571">
              <w:rPr>
                <w:sz w:val="20"/>
                <w:vertAlign w:val="superscript"/>
              </w:rPr>
              <w:t>3</w:t>
            </w:r>
            <w:r w:rsidRPr="00783571">
              <w:rPr>
                <w:sz w:val="20"/>
              </w:rPr>
              <w:t xml:space="preserve"> (5)</w:t>
            </w:r>
          </w:p>
        </w:tc>
      </w:tr>
      <w:tr w:rsidR="00F50352" w:rsidRPr="00783571" w14:paraId="670D229B"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7324C76D" w14:textId="77777777" w:rsidR="00F50352" w:rsidRPr="00783571" w:rsidRDefault="00F50352" w:rsidP="00D40CDC">
            <w:pPr>
              <w:pStyle w:val="TableText"/>
              <w:spacing w:before="50" w:after="50"/>
              <w:jc w:val="center"/>
              <w:rPr>
                <w:sz w:val="20"/>
              </w:rPr>
            </w:pPr>
            <w:r w:rsidRPr="00783571">
              <w:rPr>
                <w:sz w:val="20"/>
              </w:rPr>
              <w:t>j</w:t>
            </w:r>
          </w:p>
        </w:tc>
        <w:tc>
          <w:tcPr>
            <w:tcW w:w="681" w:type="pct"/>
            <w:tcBorders>
              <w:top w:val="single" w:sz="6" w:space="0" w:color="808080" w:themeColor="background1" w:themeShade="80"/>
              <w:bottom w:val="single" w:sz="6" w:space="0" w:color="808080" w:themeColor="background1" w:themeShade="80"/>
            </w:tcBorders>
            <w:shd w:val="clear" w:color="auto" w:fill="auto"/>
          </w:tcPr>
          <w:p w14:paraId="6503A18C" w14:textId="77777777" w:rsidR="00F50352" w:rsidRPr="00783571" w:rsidRDefault="00F50352" w:rsidP="00D40CDC">
            <w:pPr>
              <w:pStyle w:val="TableText"/>
              <w:spacing w:before="50" w:after="50"/>
              <w:rPr>
                <w:sz w:val="20"/>
              </w:rPr>
            </w:pPr>
            <w:r w:rsidRPr="00783571">
              <w:rPr>
                <w:sz w:val="20"/>
              </w:rPr>
              <w:t xml:space="preserve">Age group </w:t>
            </w:r>
          </w:p>
        </w:tc>
        <w:tc>
          <w:tcPr>
            <w:tcW w:w="583" w:type="pct"/>
            <w:tcBorders>
              <w:top w:val="single" w:sz="6" w:space="0" w:color="808080" w:themeColor="background1" w:themeShade="80"/>
              <w:bottom w:val="single" w:sz="6" w:space="0" w:color="808080" w:themeColor="background1" w:themeShade="80"/>
            </w:tcBorders>
          </w:tcPr>
          <w:p w14:paraId="575968ED" w14:textId="77777777" w:rsidR="00F50352" w:rsidRPr="00783571" w:rsidRDefault="00F50352" w:rsidP="00D40CDC">
            <w:pPr>
              <w:pStyle w:val="TableText"/>
              <w:spacing w:before="50" w:after="50"/>
              <w:jc w:val="center"/>
              <w:rPr>
                <w:sz w:val="20"/>
              </w:rPr>
            </w:pPr>
            <w:r w:rsidRPr="00783571">
              <w:rPr>
                <w:sz w:val="20"/>
              </w:rPr>
              <w:t>5</w:t>
            </w:r>
          </w:p>
        </w:tc>
        <w:tc>
          <w:tcPr>
            <w:tcW w:w="3390" w:type="pct"/>
            <w:tcBorders>
              <w:top w:val="single" w:sz="6" w:space="0" w:color="808080" w:themeColor="background1" w:themeShade="80"/>
              <w:bottom w:val="single" w:sz="6" w:space="0" w:color="808080" w:themeColor="background1" w:themeShade="80"/>
            </w:tcBorders>
          </w:tcPr>
          <w:p w14:paraId="1C1B299C" w14:textId="77777777" w:rsidR="004138EB" w:rsidRPr="00783571" w:rsidRDefault="00F50352" w:rsidP="00D40CDC">
            <w:pPr>
              <w:pStyle w:val="TableText"/>
              <w:spacing w:before="50" w:after="50"/>
              <w:rPr>
                <w:sz w:val="20"/>
              </w:rPr>
            </w:pPr>
            <w:r w:rsidRPr="00783571">
              <w:rPr>
                <w:sz w:val="20"/>
              </w:rPr>
              <w:t>13</w:t>
            </w:r>
            <w:r w:rsidR="008E0A3C" w:rsidRPr="00783571">
              <w:rPr>
                <w:sz w:val="20"/>
              </w:rPr>
              <w:t>–</w:t>
            </w:r>
            <w:r w:rsidRPr="00783571">
              <w:rPr>
                <w:sz w:val="20"/>
              </w:rPr>
              <w:t>17</w:t>
            </w:r>
            <w:r w:rsidR="004138EB" w:rsidRPr="00783571">
              <w:rPr>
                <w:sz w:val="20"/>
              </w:rPr>
              <w:t xml:space="preserve"> years (1)</w:t>
            </w:r>
          </w:p>
          <w:p w14:paraId="59181385" w14:textId="77777777" w:rsidR="004138EB" w:rsidRPr="00783571" w:rsidRDefault="00F50352" w:rsidP="00D40CDC">
            <w:pPr>
              <w:pStyle w:val="TableText"/>
              <w:spacing w:before="50" w:after="50"/>
              <w:rPr>
                <w:sz w:val="20"/>
              </w:rPr>
            </w:pPr>
            <w:r w:rsidRPr="00783571">
              <w:rPr>
                <w:sz w:val="20"/>
              </w:rPr>
              <w:t>18</w:t>
            </w:r>
            <w:r w:rsidR="008E0A3C" w:rsidRPr="00783571">
              <w:rPr>
                <w:sz w:val="20"/>
              </w:rPr>
              <w:t>–</w:t>
            </w:r>
            <w:r w:rsidRPr="00783571">
              <w:rPr>
                <w:sz w:val="20"/>
              </w:rPr>
              <w:t>24</w:t>
            </w:r>
            <w:r w:rsidR="004138EB" w:rsidRPr="00783571">
              <w:rPr>
                <w:sz w:val="20"/>
              </w:rPr>
              <w:t xml:space="preserve"> years (2)</w:t>
            </w:r>
          </w:p>
          <w:p w14:paraId="0BB1CAF5" w14:textId="77777777" w:rsidR="004138EB" w:rsidRPr="00783571" w:rsidRDefault="00F50352" w:rsidP="00D40CDC">
            <w:pPr>
              <w:pStyle w:val="TableText"/>
              <w:spacing w:before="50" w:after="50"/>
              <w:rPr>
                <w:sz w:val="20"/>
              </w:rPr>
            </w:pPr>
            <w:r w:rsidRPr="00783571">
              <w:rPr>
                <w:sz w:val="20"/>
              </w:rPr>
              <w:t>25</w:t>
            </w:r>
            <w:r w:rsidR="008E0A3C" w:rsidRPr="00783571">
              <w:rPr>
                <w:sz w:val="20"/>
              </w:rPr>
              <w:t>–</w:t>
            </w:r>
            <w:r w:rsidRPr="00783571">
              <w:rPr>
                <w:sz w:val="20"/>
              </w:rPr>
              <w:t>34</w:t>
            </w:r>
            <w:r w:rsidR="004138EB" w:rsidRPr="00783571">
              <w:rPr>
                <w:sz w:val="20"/>
              </w:rPr>
              <w:t xml:space="preserve"> years (3)</w:t>
            </w:r>
          </w:p>
          <w:p w14:paraId="3EC3D339" w14:textId="77777777" w:rsidR="004138EB" w:rsidRPr="00783571" w:rsidRDefault="00F50352" w:rsidP="00D40CDC">
            <w:pPr>
              <w:pStyle w:val="TableText"/>
              <w:spacing w:before="50" w:after="50"/>
              <w:rPr>
                <w:sz w:val="20"/>
              </w:rPr>
            </w:pPr>
            <w:r w:rsidRPr="00783571">
              <w:rPr>
                <w:sz w:val="20"/>
              </w:rPr>
              <w:t>35</w:t>
            </w:r>
            <w:r w:rsidR="008E0A3C" w:rsidRPr="00783571">
              <w:rPr>
                <w:sz w:val="20"/>
              </w:rPr>
              <w:t>–</w:t>
            </w:r>
            <w:r w:rsidRPr="00783571">
              <w:rPr>
                <w:sz w:val="20"/>
              </w:rPr>
              <w:t>44</w:t>
            </w:r>
            <w:r w:rsidR="004138EB" w:rsidRPr="00783571">
              <w:rPr>
                <w:sz w:val="20"/>
              </w:rPr>
              <w:t xml:space="preserve"> years (4)</w:t>
            </w:r>
          </w:p>
          <w:p w14:paraId="798B10B7" w14:textId="77777777" w:rsidR="00F50352" w:rsidRPr="00783571" w:rsidRDefault="00F50352" w:rsidP="00D40CDC">
            <w:pPr>
              <w:pStyle w:val="TableText"/>
              <w:spacing w:before="50" w:after="50"/>
              <w:rPr>
                <w:sz w:val="20"/>
              </w:rPr>
            </w:pPr>
            <w:r w:rsidRPr="00783571">
              <w:rPr>
                <w:sz w:val="20"/>
              </w:rPr>
              <w:t>45</w:t>
            </w:r>
            <w:r w:rsidR="008E0A3C" w:rsidRPr="00783571">
              <w:rPr>
                <w:sz w:val="20"/>
              </w:rPr>
              <w:t>–</w:t>
            </w:r>
            <w:r w:rsidRPr="00783571">
              <w:rPr>
                <w:sz w:val="20"/>
              </w:rPr>
              <w:t>64 years</w:t>
            </w:r>
            <w:r w:rsidR="004138EB" w:rsidRPr="00783571">
              <w:rPr>
                <w:sz w:val="20"/>
              </w:rPr>
              <w:t xml:space="preserve"> (5)</w:t>
            </w:r>
          </w:p>
        </w:tc>
      </w:tr>
    </w:tbl>
    <w:p w14:paraId="0195A211" w14:textId="77777777" w:rsidR="00741472" w:rsidRPr="00783571" w:rsidRDefault="00741472" w:rsidP="00741472">
      <w:pPr>
        <w:pStyle w:val="Tablecont"/>
        <w:rPr>
          <w:sz w:val="20"/>
        </w:rPr>
      </w:pPr>
      <w:r w:rsidRPr="00783571">
        <w:rPr>
          <w:sz w:val="20"/>
        </w:rPr>
        <w:t>(continued)</w:t>
      </w:r>
    </w:p>
    <w:p w14:paraId="6477068B" w14:textId="77777777" w:rsidR="00741472" w:rsidRPr="00783571" w:rsidRDefault="00741472" w:rsidP="00741472">
      <w:pPr>
        <w:pStyle w:val="TableTitlecont"/>
        <w:tabs>
          <w:tab w:val="left" w:pos="2520"/>
        </w:tabs>
      </w:pPr>
      <w:r w:rsidRPr="00783571">
        <w:t>Table A.2.</w:t>
      </w:r>
      <w:r w:rsidRPr="00783571">
        <w:tab/>
        <w:t>Definitions of Indices Applied in This Document (continued)</w:t>
      </w:r>
    </w:p>
    <w:tbl>
      <w:tblPr>
        <w:tblW w:w="5035"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903"/>
        <w:gridCol w:w="1887"/>
        <w:gridCol w:w="1530"/>
        <w:gridCol w:w="8731"/>
      </w:tblGrid>
      <w:tr w:rsidR="00741472" w:rsidRPr="00783571" w14:paraId="07B6A27F" w14:textId="77777777" w:rsidTr="002A4EE6">
        <w:trPr>
          <w:cantSplit/>
          <w:tblHeader/>
        </w:trPr>
        <w:tc>
          <w:tcPr>
            <w:tcW w:w="346" w:type="pct"/>
            <w:tcBorders>
              <w:top w:val="single" w:sz="12" w:space="0" w:color="000000"/>
              <w:bottom w:val="single" w:sz="6" w:space="0" w:color="auto"/>
            </w:tcBorders>
            <w:shd w:val="clear" w:color="auto" w:fill="auto"/>
            <w:vAlign w:val="bottom"/>
          </w:tcPr>
          <w:p w14:paraId="4542EE52" w14:textId="77777777" w:rsidR="00741472" w:rsidRPr="00783571" w:rsidRDefault="00741472" w:rsidP="00741472">
            <w:pPr>
              <w:pStyle w:val="TableHeaders"/>
              <w:spacing w:before="50" w:after="50"/>
              <w:rPr>
                <w:sz w:val="20"/>
              </w:rPr>
            </w:pPr>
            <w:r w:rsidRPr="00783571">
              <w:rPr>
                <w:sz w:val="20"/>
              </w:rPr>
              <w:t>Index</w:t>
            </w:r>
          </w:p>
        </w:tc>
        <w:tc>
          <w:tcPr>
            <w:tcW w:w="723" w:type="pct"/>
            <w:tcBorders>
              <w:top w:val="single" w:sz="12" w:space="0" w:color="000000"/>
              <w:bottom w:val="single" w:sz="6" w:space="0" w:color="auto"/>
            </w:tcBorders>
            <w:shd w:val="clear" w:color="auto" w:fill="auto"/>
            <w:vAlign w:val="bottom"/>
          </w:tcPr>
          <w:p w14:paraId="33BD8D57" w14:textId="77777777" w:rsidR="00741472" w:rsidRPr="00783571" w:rsidRDefault="00741472" w:rsidP="00741472">
            <w:pPr>
              <w:pStyle w:val="TableHeaders"/>
              <w:spacing w:before="50" w:after="50"/>
              <w:rPr>
                <w:sz w:val="20"/>
              </w:rPr>
            </w:pPr>
            <w:r w:rsidRPr="00783571">
              <w:rPr>
                <w:sz w:val="20"/>
              </w:rPr>
              <w:t>Definition</w:t>
            </w:r>
          </w:p>
        </w:tc>
        <w:tc>
          <w:tcPr>
            <w:tcW w:w="586" w:type="pct"/>
            <w:tcBorders>
              <w:top w:val="single" w:sz="12" w:space="0" w:color="000000"/>
              <w:bottom w:val="single" w:sz="6" w:space="0" w:color="auto"/>
            </w:tcBorders>
            <w:shd w:val="clear" w:color="auto" w:fill="auto"/>
            <w:vAlign w:val="bottom"/>
          </w:tcPr>
          <w:p w14:paraId="09E41C60" w14:textId="77777777" w:rsidR="00741472" w:rsidRPr="00783571" w:rsidRDefault="00741472" w:rsidP="00741472">
            <w:pPr>
              <w:pStyle w:val="TableHeaders"/>
              <w:spacing w:before="50" w:after="50"/>
              <w:rPr>
                <w:sz w:val="20"/>
              </w:rPr>
            </w:pPr>
            <w:r w:rsidRPr="00783571">
              <w:rPr>
                <w:sz w:val="20"/>
              </w:rPr>
              <w:t>Number of Categories</w:t>
            </w:r>
          </w:p>
        </w:tc>
        <w:tc>
          <w:tcPr>
            <w:tcW w:w="3345" w:type="pct"/>
            <w:tcBorders>
              <w:top w:val="single" w:sz="12" w:space="0" w:color="000000"/>
              <w:bottom w:val="single" w:sz="6" w:space="0" w:color="auto"/>
            </w:tcBorders>
            <w:shd w:val="clear" w:color="auto" w:fill="auto"/>
            <w:vAlign w:val="bottom"/>
          </w:tcPr>
          <w:p w14:paraId="0F213338" w14:textId="77777777" w:rsidR="00741472" w:rsidRPr="00783571" w:rsidRDefault="00741472" w:rsidP="00741472">
            <w:pPr>
              <w:pStyle w:val="TableHeaders"/>
              <w:spacing w:before="50" w:after="50"/>
              <w:rPr>
                <w:sz w:val="20"/>
              </w:rPr>
            </w:pPr>
            <w:r w:rsidRPr="00783571">
              <w:rPr>
                <w:sz w:val="20"/>
              </w:rPr>
              <w:t>Categories (Represented by)</w:t>
            </w:r>
          </w:p>
        </w:tc>
      </w:tr>
      <w:tr w:rsidR="002A4EE6" w:rsidRPr="00783571" w14:paraId="29C32861"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7A894F87" w14:textId="77777777" w:rsidR="002A4EE6" w:rsidRPr="00783571" w:rsidRDefault="002A4EE6" w:rsidP="00260D8A">
            <w:pPr>
              <w:pStyle w:val="TableText"/>
              <w:spacing w:before="50" w:after="50"/>
              <w:jc w:val="center"/>
              <w:rPr>
                <w:sz w:val="20"/>
              </w:rPr>
            </w:pPr>
            <w:r w:rsidRPr="00783571">
              <w:rPr>
                <w:sz w:val="20"/>
              </w:rPr>
              <w:t>j*</w:t>
            </w:r>
          </w:p>
        </w:tc>
        <w:tc>
          <w:tcPr>
            <w:tcW w:w="723" w:type="pct"/>
            <w:tcBorders>
              <w:top w:val="single" w:sz="6" w:space="0" w:color="808080" w:themeColor="background1" w:themeShade="80"/>
              <w:bottom w:val="single" w:sz="6" w:space="0" w:color="808080" w:themeColor="background1" w:themeShade="80"/>
            </w:tcBorders>
            <w:shd w:val="clear" w:color="auto" w:fill="auto"/>
          </w:tcPr>
          <w:p w14:paraId="00BCE82E" w14:textId="77777777" w:rsidR="002A4EE6" w:rsidRPr="00783571" w:rsidRDefault="002A4EE6" w:rsidP="00260D8A">
            <w:pPr>
              <w:pStyle w:val="TableText"/>
              <w:spacing w:before="50" w:after="50"/>
              <w:rPr>
                <w:sz w:val="20"/>
              </w:rPr>
            </w:pPr>
            <w:r w:rsidRPr="00783571">
              <w:rPr>
                <w:sz w:val="20"/>
              </w:rPr>
              <w:t>Interventions aimed at increasing progression along the continuum of HIV care</w:t>
            </w:r>
          </w:p>
        </w:tc>
        <w:tc>
          <w:tcPr>
            <w:tcW w:w="586" w:type="pct"/>
            <w:tcBorders>
              <w:top w:val="single" w:sz="6" w:space="0" w:color="808080" w:themeColor="background1" w:themeShade="80"/>
              <w:bottom w:val="single" w:sz="6" w:space="0" w:color="808080" w:themeColor="background1" w:themeShade="80"/>
            </w:tcBorders>
          </w:tcPr>
          <w:p w14:paraId="6A23E32E" w14:textId="3854307F" w:rsidR="002A4EE6" w:rsidRPr="00783571" w:rsidRDefault="002A4EE6" w:rsidP="00260D8A">
            <w:pPr>
              <w:pStyle w:val="TableText"/>
              <w:spacing w:before="50" w:after="50"/>
              <w:jc w:val="center"/>
              <w:rPr>
                <w:sz w:val="20"/>
              </w:rPr>
            </w:pPr>
            <w:r w:rsidRPr="00783571">
              <w:rPr>
                <w:sz w:val="20"/>
              </w:rPr>
              <w:t>13</w:t>
            </w:r>
          </w:p>
        </w:tc>
        <w:tc>
          <w:tcPr>
            <w:tcW w:w="3345" w:type="pct"/>
            <w:tcBorders>
              <w:top w:val="single" w:sz="6" w:space="0" w:color="808080" w:themeColor="background1" w:themeShade="80"/>
              <w:bottom w:val="single" w:sz="6" w:space="0" w:color="808080" w:themeColor="background1" w:themeShade="80"/>
            </w:tcBorders>
          </w:tcPr>
          <w:p w14:paraId="7DCF5DEF" w14:textId="77777777" w:rsidR="002A4EE6" w:rsidRPr="00783571" w:rsidRDefault="002A4EE6" w:rsidP="00260D8A">
            <w:pPr>
              <w:pStyle w:val="TableText"/>
              <w:spacing w:before="50" w:after="50"/>
              <w:rPr>
                <w:sz w:val="20"/>
              </w:rPr>
            </w:pPr>
            <w:r w:rsidRPr="00783571">
              <w:rPr>
                <w:sz w:val="20"/>
              </w:rPr>
              <w:t>Testing intervention targeted to low-risk HETs (1), high-risk HETs (2), low-risk MSM (3), high-risk MSM (4), PWIDs (5)</w:t>
            </w:r>
          </w:p>
          <w:p w14:paraId="175399A8" w14:textId="4C95768F" w:rsidR="002A4EE6" w:rsidRPr="00783571" w:rsidRDefault="002A4EE6" w:rsidP="00260D8A">
            <w:pPr>
              <w:pStyle w:val="TableText"/>
              <w:spacing w:before="50" w:after="50"/>
              <w:rPr>
                <w:sz w:val="20"/>
              </w:rPr>
            </w:pPr>
            <w:r w:rsidRPr="00783571">
              <w:rPr>
                <w:sz w:val="20"/>
              </w:rPr>
              <w:t>Linkage to HIV care at diagnosis intervention (6)</w:t>
            </w:r>
          </w:p>
          <w:p w14:paraId="7D3A7102" w14:textId="77777777" w:rsidR="002A4EE6" w:rsidRPr="00783571" w:rsidRDefault="002A4EE6" w:rsidP="00260D8A">
            <w:pPr>
              <w:pStyle w:val="TableText"/>
              <w:spacing w:before="50" w:after="50"/>
              <w:rPr>
                <w:sz w:val="20"/>
              </w:rPr>
            </w:pPr>
            <w:r w:rsidRPr="00783571">
              <w:rPr>
                <w:sz w:val="20"/>
              </w:rPr>
              <w:t>Linkage to HIV care later after diagnosis intervention (7)</w:t>
            </w:r>
          </w:p>
          <w:p w14:paraId="460E55A8" w14:textId="77777777" w:rsidR="002A4EE6" w:rsidRPr="00783571" w:rsidRDefault="002A4EE6" w:rsidP="00260D8A">
            <w:pPr>
              <w:pStyle w:val="TableText"/>
              <w:spacing w:before="50" w:after="50"/>
              <w:rPr>
                <w:sz w:val="20"/>
              </w:rPr>
            </w:pPr>
            <w:r w:rsidRPr="00783571">
              <w:rPr>
                <w:sz w:val="20"/>
              </w:rPr>
              <w:t>ART prescription intervention (8)</w:t>
            </w:r>
          </w:p>
          <w:p w14:paraId="2EF8F8A8" w14:textId="77777777" w:rsidR="002A4EE6" w:rsidRPr="00783571" w:rsidRDefault="002A4EE6" w:rsidP="00260D8A">
            <w:pPr>
              <w:pStyle w:val="TableText"/>
              <w:spacing w:before="50" w:after="50"/>
              <w:rPr>
                <w:sz w:val="20"/>
              </w:rPr>
            </w:pPr>
            <w:r w:rsidRPr="00783571">
              <w:rPr>
                <w:sz w:val="20"/>
              </w:rPr>
              <w:t>ART adherence (to move from ART-not-VLS to VLS) intervention (9)</w:t>
            </w:r>
          </w:p>
          <w:p w14:paraId="20680AB8" w14:textId="77777777" w:rsidR="002A4EE6" w:rsidRPr="00783571" w:rsidRDefault="002A4EE6" w:rsidP="00260D8A">
            <w:pPr>
              <w:pStyle w:val="TableText"/>
              <w:spacing w:before="50" w:after="50"/>
              <w:rPr>
                <w:sz w:val="20"/>
              </w:rPr>
            </w:pPr>
            <w:r w:rsidRPr="00783571">
              <w:rPr>
                <w:sz w:val="20"/>
              </w:rPr>
              <w:t>ART adherence (to remain VLS) intervention (10)</w:t>
            </w:r>
          </w:p>
          <w:p w14:paraId="526FE579" w14:textId="77777777" w:rsidR="002A4EE6" w:rsidRPr="00783571" w:rsidRDefault="002A4EE6" w:rsidP="00260D8A">
            <w:pPr>
              <w:pStyle w:val="TableText"/>
              <w:spacing w:before="50" w:after="50"/>
              <w:rPr>
                <w:sz w:val="20"/>
              </w:rPr>
            </w:pPr>
            <w:r w:rsidRPr="00783571">
              <w:rPr>
                <w:sz w:val="20"/>
              </w:rPr>
              <w:t>PrEP initiation intervention targeted to high-risk HETs (11), high-risk MSM (12), PWIDs (13)</w:t>
            </w:r>
          </w:p>
        </w:tc>
      </w:tr>
      <w:tr w:rsidR="002A4EE6" w:rsidRPr="00783571" w14:paraId="4C7BDF0E"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3EF0C769" w14:textId="77777777" w:rsidR="002A4EE6" w:rsidRPr="00783571" w:rsidRDefault="002A4EE6" w:rsidP="00260D8A">
            <w:pPr>
              <w:pStyle w:val="TableText"/>
              <w:spacing w:before="50" w:after="50"/>
              <w:jc w:val="center"/>
              <w:rPr>
                <w:sz w:val="20"/>
              </w:rPr>
            </w:pPr>
            <w:r w:rsidRPr="00783571">
              <w:rPr>
                <w:sz w:val="20"/>
              </w:rPr>
              <w:t>k</w:t>
            </w:r>
          </w:p>
        </w:tc>
        <w:tc>
          <w:tcPr>
            <w:tcW w:w="723" w:type="pct"/>
            <w:tcBorders>
              <w:top w:val="single" w:sz="6" w:space="0" w:color="808080" w:themeColor="background1" w:themeShade="80"/>
              <w:bottom w:val="single" w:sz="6" w:space="0" w:color="808080" w:themeColor="background1" w:themeShade="80"/>
            </w:tcBorders>
            <w:shd w:val="clear" w:color="auto" w:fill="auto"/>
          </w:tcPr>
          <w:p w14:paraId="361EED7F" w14:textId="77777777" w:rsidR="002A4EE6" w:rsidRPr="00783571" w:rsidRDefault="002A4EE6" w:rsidP="00260D8A">
            <w:pPr>
              <w:pStyle w:val="TableText"/>
              <w:spacing w:before="50" w:after="50"/>
              <w:rPr>
                <w:sz w:val="20"/>
              </w:rPr>
            </w:pPr>
            <w:r w:rsidRPr="00783571">
              <w:rPr>
                <w:sz w:val="20"/>
              </w:rPr>
              <w:t>Risk level</w:t>
            </w:r>
          </w:p>
        </w:tc>
        <w:tc>
          <w:tcPr>
            <w:tcW w:w="586" w:type="pct"/>
            <w:tcBorders>
              <w:top w:val="single" w:sz="6" w:space="0" w:color="808080" w:themeColor="background1" w:themeShade="80"/>
              <w:bottom w:val="single" w:sz="6" w:space="0" w:color="808080" w:themeColor="background1" w:themeShade="80"/>
            </w:tcBorders>
          </w:tcPr>
          <w:p w14:paraId="5B89FF9F" w14:textId="77777777" w:rsidR="002A4EE6" w:rsidRPr="00783571" w:rsidRDefault="002A4EE6" w:rsidP="00260D8A">
            <w:pPr>
              <w:pStyle w:val="TableText"/>
              <w:spacing w:before="50" w:after="50"/>
              <w:jc w:val="center"/>
              <w:rPr>
                <w:sz w:val="20"/>
              </w:rPr>
            </w:pPr>
            <w:r w:rsidRPr="00783571">
              <w:rPr>
                <w:sz w:val="20"/>
              </w:rPr>
              <w:t>2</w:t>
            </w:r>
          </w:p>
        </w:tc>
        <w:tc>
          <w:tcPr>
            <w:tcW w:w="3345" w:type="pct"/>
            <w:tcBorders>
              <w:top w:val="single" w:sz="6" w:space="0" w:color="808080" w:themeColor="background1" w:themeShade="80"/>
              <w:bottom w:val="single" w:sz="6" w:space="0" w:color="808080" w:themeColor="background1" w:themeShade="80"/>
            </w:tcBorders>
          </w:tcPr>
          <w:p w14:paraId="58205279" w14:textId="77777777" w:rsidR="002A4EE6" w:rsidRPr="00783571" w:rsidRDefault="002A4EE6" w:rsidP="00260D8A">
            <w:pPr>
              <w:pStyle w:val="TableText"/>
              <w:spacing w:before="50" w:after="50"/>
              <w:rPr>
                <w:sz w:val="20"/>
              </w:rPr>
            </w:pPr>
            <w:r w:rsidRPr="00783571">
              <w:rPr>
                <w:sz w:val="20"/>
              </w:rPr>
              <w:t>Low (1)</w:t>
            </w:r>
          </w:p>
          <w:p w14:paraId="6B08D262" w14:textId="77777777" w:rsidR="002A4EE6" w:rsidRPr="00783571" w:rsidRDefault="002A4EE6" w:rsidP="00260D8A">
            <w:pPr>
              <w:pStyle w:val="TableText"/>
              <w:spacing w:before="50" w:after="50"/>
              <w:rPr>
                <w:sz w:val="20"/>
              </w:rPr>
            </w:pPr>
            <w:r w:rsidRPr="00783571">
              <w:rPr>
                <w:sz w:val="20"/>
              </w:rPr>
              <w:t>High (2)</w:t>
            </w:r>
          </w:p>
        </w:tc>
      </w:tr>
      <w:tr w:rsidR="00D40CDC" w:rsidRPr="00783571" w14:paraId="2A22C4E7" w14:textId="77777777" w:rsidTr="002A4EE6">
        <w:trPr>
          <w:cantSplit/>
        </w:trPr>
        <w:tc>
          <w:tcPr>
            <w:tcW w:w="346" w:type="pct"/>
            <w:tcBorders>
              <w:top w:val="single" w:sz="6" w:space="0" w:color="808080" w:themeColor="background1" w:themeShade="80"/>
              <w:bottom w:val="single" w:sz="4" w:space="0" w:color="808080" w:themeColor="background1" w:themeShade="80"/>
            </w:tcBorders>
            <w:shd w:val="clear" w:color="auto" w:fill="auto"/>
          </w:tcPr>
          <w:p w14:paraId="24A45088" w14:textId="243599F2" w:rsidR="00D40CDC" w:rsidRPr="00783571" w:rsidRDefault="00D40CDC" w:rsidP="00D40CDC">
            <w:pPr>
              <w:pStyle w:val="TableText"/>
              <w:spacing w:before="50" w:after="50"/>
              <w:jc w:val="center"/>
              <w:rPr>
                <w:sz w:val="20"/>
              </w:rPr>
            </w:pPr>
            <w:r w:rsidRPr="00783571">
              <w:rPr>
                <w:sz w:val="20"/>
              </w:rPr>
              <w:t>l</w:t>
            </w:r>
          </w:p>
        </w:tc>
        <w:tc>
          <w:tcPr>
            <w:tcW w:w="723" w:type="pct"/>
            <w:tcBorders>
              <w:top w:val="single" w:sz="6" w:space="0" w:color="808080" w:themeColor="background1" w:themeShade="80"/>
              <w:bottom w:val="single" w:sz="4" w:space="0" w:color="808080" w:themeColor="background1" w:themeShade="80"/>
            </w:tcBorders>
            <w:shd w:val="clear" w:color="auto" w:fill="auto"/>
          </w:tcPr>
          <w:p w14:paraId="4EB23CDC" w14:textId="375FB0BB" w:rsidR="00D40CDC" w:rsidRPr="00783571" w:rsidRDefault="00D40CDC" w:rsidP="00D40CDC">
            <w:pPr>
              <w:pStyle w:val="TableText"/>
              <w:spacing w:before="50" w:after="50"/>
              <w:rPr>
                <w:sz w:val="20"/>
              </w:rPr>
            </w:pPr>
            <w:r w:rsidRPr="00783571">
              <w:rPr>
                <w:sz w:val="20"/>
              </w:rPr>
              <w:t>Transmission group</w:t>
            </w:r>
          </w:p>
        </w:tc>
        <w:tc>
          <w:tcPr>
            <w:tcW w:w="586" w:type="pct"/>
            <w:tcBorders>
              <w:top w:val="single" w:sz="6" w:space="0" w:color="808080" w:themeColor="background1" w:themeShade="80"/>
              <w:bottom w:val="single" w:sz="4" w:space="0" w:color="808080" w:themeColor="background1" w:themeShade="80"/>
            </w:tcBorders>
          </w:tcPr>
          <w:p w14:paraId="26D59A64" w14:textId="6D0BCB46" w:rsidR="00D40CDC" w:rsidRPr="00783571" w:rsidRDefault="00D40CDC" w:rsidP="00D40CDC">
            <w:pPr>
              <w:pStyle w:val="TableText"/>
              <w:spacing w:before="50" w:after="50"/>
              <w:jc w:val="center"/>
              <w:rPr>
                <w:sz w:val="20"/>
              </w:rPr>
            </w:pPr>
            <w:r w:rsidRPr="00783571">
              <w:rPr>
                <w:sz w:val="20"/>
              </w:rPr>
              <w:t>3</w:t>
            </w:r>
          </w:p>
        </w:tc>
        <w:tc>
          <w:tcPr>
            <w:tcW w:w="3345" w:type="pct"/>
            <w:tcBorders>
              <w:top w:val="single" w:sz="6" w:space="0" w:color="808080" w:themeColor="background1" w:themeShade="80"/>
              <w:bottom w:val="single" w:sz="4" w:space="0" w:color="808080" w:themeColor="background1" w:themeShade="80"/>
            </w:tcBorders>
          </w:tcPr>
          <w:p w14:paraId="7882385C" w14:textId="77777777" w:rsidR="00D40CDC" w:rsidRPr="00783571" w:rsidRDefault="00D40CDC" w:rsidP="00D40CDC">
            <w:pPr>
              <w:pStyle w:val="TableText"/>
              <w:spacing w:before="50" w:after="50"/>
              <w:rPr>
                <w:sz w:val="20"/>
              </w:rPr>
            </w:pPr>
            <w:r w:rsidRPr="00783571">
              <w:rPr>
                <w:sz w:val="20"/>
              </w:rPr>
              <w:t>HETs (1)</w:t>
            </w:r>
          </w:p>
          <w:p w14:paraId="36B90C0C" w14:textId="77777777" w:rsidR="00D40CDC" w:rsidRPr="00783571" w:rsidRDefault="00D40CDC" w:rsidP="00D40CDC">
            <w:pPr>
              <w:pStyle w:val="TableText"/>
              <w:spacing w:before="50" w:after="50"/>
              <w:rPr>
                <w:sz w:val="20"/>
              </w:rPr>
            </w:pPr>
            <w:r w:rsidRPr="00783571">
              <w:rPr>
                <w:sz w:val="20"/>
              </w:rPr>
              <w:t>MSM (2)</w:t>
            </w:r>
          </w:p>
          <w:p w14:paraId="6B90B954" w14:textId="740FEE1D" w:rsidR="00D40CDC" w:rsidRPr="00783571" w:rsidRDefault="00D40CDC" w:rsidP="00D40CDC">
            <w:pPr>
              <w:pStyle w:val="TableText"/>
              <w:spacing w:before="50" w:after="50"/>
              <w:rPr>
                <w:sz w:val="20"/>
              </w:rPr>
            </w:pPr>
            <w:r w:rsidRPr="00783571">
              <w:rPr>
                <w:sz w:val="20"/>
              </w:rPr>
              <w:t xml:space="preserve">PWID (3) </w:t>
            </w:r>
          </w:p>
        </w:tc>
      </w:tr>
      <w:tr w:rsidR="00D37A76" w:rsidRPr="00783571" w14:paraId="30D17946" w14:textId="77777777" w:rsidTr="002A4EE6">
        <w:trPr>
          <w:cantSplit/>
        </w:trPr>
        <w:tc>
          <w:tcPr>
            <w:tcW w:w="346" w:type="pct"/>
            <w:tcBorders>
              <w:top w:val="single" w:sz="4" w:space="0" w:color="808080" w:themeColor="background1" w:themeShade="80"/>
              <w:bottom w:val="single" w:sz="6" w:space="0" w:color="808080" w:themeColor="background1" w:themeShade="80"/>
            </w:tcBorders>
            <w:shd w:val="clear" w:color="auto" w:fill="auto"/>
          </w:tcPr>
          <w:p w14:paraId="2C7BDB2C" w14:textId="77777777" w:rsidR="00D37A76" w:rsidRPr="00783571" w:rsidRDefault="00D37A76" w:rsidP="00D40CDC">
            <w:pPr>
              <w:pStyle w:val="TableText"/>
              <w:spacing w:before="50" w:after="50"/>
              <w:jc w:val="center"/>
              <w:rPr>
                <w:sz w:val="20"/>
              </w:rPr>
            </w:pPr>
            <w:r w:rsidRPr="00783571">
              <w:rPr>
                <w:sz w:val="20"/>
              </w:rPr>
              <w:t>m</w:t>
            </w:r>
          </w:p>
        </w:tc>
        <w:tc>
          <w:tcPr>
            <w:tcW w:w="723" w:type="pct"/>
            <w:tcBorders>
              <w:top w:val="single" w:sz="4" w:space="0" w:color="808080" w:themeColor="background1" w:themeShade="80"/>
              <w:bottom w:val="single" w:sz="6" w:space="0" w:color="808080" w:themeColor="background1" w:themeShade="80"/>
            </w:tcBorders>
            <w:shd w:val="clear" w:color="auto" w:fill="auto"/>
          </w:tcPr>
          <w:p w14:paraId="2693EBC5" w14:textId="77777777" w:rsidR="00D37A76" w:rsidRPr="00783571" w:rsidRDefault="00D37A76" w:rsidP="00D40CDC">
            <w:pPr>
              <w:pStyle w:val="TableText"/>
              <w:spacing w:before="50" w:after="50"/>
              <w:rPr>
                <w:sz w:val="20"/>
              </w:rPr>
            </w:pPr>
            <w:r w:rsidRPr="00783571">
              <w:rPr>
                <w:sz w:val="20"/>
              </w:rPr>
              <w:t>Sex</w:t>
            </w:r>
          </w:p>
        </w:tc>
        <w:tc>
          <w:tcPr>
            <w:tcW w:w="586" w:type="pct"/>
            <w:tcBorders>
              <w:top w:val="single" w:sz="4" w:space="0" w:color="808080" w:themeColor="background1" w:themeShade="80"/>
              <w:bottom w:val="single" w:sz="6" w:space="0" w:color="808080" w:themeColor="background1" w:themeShade="80"/>
            </w:tcBorders>
          </w:tcPr>
          <w:p w14:paraId="13C8B4AB" w14:textId="77777777" w:rsidR="00D37A76" w:rsidRPr="00783571" w:rsidRDefault="00D37A76" w:rsidP="00D40CDC">
            <w:pPr>
              <w:pStyle w:val="TableText"/>
              <w:tabs>
                <w:tab w:val="decimal" w:pos="-27"/>
              </w:tabs>
              <w:spacing w:before="50" w:after="50"/>
              <w:jc w:val="center"/>
              <w:rPr>
                <w:sz w:val="20"/>
              </w:rPr>
            </w:pPr>
            <w:r w:rsidRPr="00783571">
              <w:rPr>
                <w:sz w:val="20"/>
              </w:rPr>
              <w:t>2</w:t>
            </w:r>
          </w:p>
        </w:tc>
        <w:tc>
          <w:tcPr>
            <w:tcW w:w="3345" w:type="pct"/>
            <w:tcBorders>
              <w:top w:val="single" w:sz="4" w:space="0" w:color="808080" w:themeColor="background1" w:themeShade="80"/>
              <w:bottom w:val="single" w:sz="6" w:space="0" w:color="808080" w:themeColor="background1" w:themeShade="80"/>
            </w:tcBorders>
          </w:tcPr>
          <w:p w14:paraId="15C7BE45" w14:textId="77777777" w:rsidR="00D37A76" w:rsidRPr="00783571" w:rsidRDefault="00D37A76" w:rsidP="00D40CDC">
            <w:pPr>
              <w:pStyle w:val="TableText"/>
              <w:spacing w:before="50" w:after="50"/>
              <w:rPr>
                <w:sz w:val="20"/>
              </w:rPr>
            </w:pPr>
            <w:r w:rsidRPr="00783571">
              <w:rPr>
                <w:sz w:val="20"/>
              </w:rPr>
              <w:t>Male (1)</w:t>
            </w:r>
          </w:p>
          <w:p w14:paraId="2ADB0EBF" w14:textId="77777777" w:rsidR="00D37A76" w:rsidRPr="00783571" w:rsidRDefault="00D37A76" w:rsidP="00D40CDC">
            <w:pPr>
              <w:pStyle w:val="TableText"/>
              <w:spacing w:before="50" w:after="50"/>
              <w:rPr>
                <w:sz w:val="20"/>
              </w:rPr>
            </w:pPr>
            <w:r w:rsidRPr="00783571">
              <w:rPr>
                <w:sz w:val="20"/>
              </w:rPr>
              <w:t>Female (2)</w:t>
            </w:r>
          </w:p>
        </w:tc>
      </w:tr>
      <w:tr w:rsidR="00551FA4" w:rsidRPr="00783571" w14:paraId="7A5A4565"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00BE4378" w14:textId="77777777" w:rsidR="00551FA4" w:rsidRPr="00783571" w:rsidRDefault="00551FA4" w:rsidP="00D40CDC">
            <w:pPr>
              <w:pStyle w:val="TableText"/>
              <w:spacing w:before="50" w:after="50"/>
              <w:jc w:val="center"/>
              <w:rPr>
                <w:sz w:val="20"/>
              </w:rPr>
            </w:pPr>
            <w:r w:rsidRPr="00783571">
              <w:rPr>
                <w:sz w:val="20"/>
              </w:rPr>
              <w:t>n</w:t>
            </w:r>
          </w:p>
        </w:tc>
        <w:tc>
          <w:tcPr>
            <w:tcW w:w="723" w:type="pct"/>
            <w:tcBorders>
              <w:top w:val="single" w:sz="6" w:space="0" w:color="808080" w:themeColor="background1" w:themeShade="80"/>
              <w:bottom w:val="single" w:sz="6" w:space="0" w:color="808080" w:themeColor="background1" w:themeShade="80"/>
            </w:tcBorders>
            <w:shd w:val="clear" w:color="auto" w:fill="auto"/>
          </w:tcPr>
          <w:p w14:paraId="1E2F13A2" w14:textId="77777777" w:rsidR="00551FA4" w:rsidRPr="00783571" w:rsidRDefault="00551FA4" w:rsidP="00D40CDC">
            <w:pPr>
              <w:pStyle w:val="TableText"/>
              <w:spacing w:before="50" w:after="50"/>
              <w:rPr>
                <w:sz w:val="20"/>
              </w:rPr>
            </w:pPr>
            <w:r w:rsidRPr="00783571">
              <w:rPr>
                <w:sz w:val="20"/>
              </w:rPr>
              <w:t>Circumcision status</w:t>
            </w:r>
          </w:p>
        </w:tc>
        <w:tc>
          <w:tcPr>
            <w:tcW w:w="586" w:type="pct"/>
            <w:tcBorders>
              <w:top w:val="single" w:sz="6" w:space="0" w:color="808080" w:themeColor="background1" w:themeShade="80"/>
              <w:bottom w:val="single" w:sz="6" w:space="0" w:color="808080" w:themeColor="background1" w:themeShade="80"/>
            </w:tcBorders>
          </w:tcPr>
          <w:p w14:paraId="0F10FACF" w14:textId="77777777" w:rsidR="00551FA4" w:rsidRPr="00783571" w:rsidRDefault="00551FA4" w:rsidP="00D40CDC">
            <w:pPr>
              <w:pStyle w:val="TableText"/>
              <w:tabs>
                <w:tab w:val="decimal" w:pos="693"/>
              </w:tabs>
              <w:spacing w:before="50" w:after="50"/>
              <w:rPr>
                <w:sz w:val="20"/>
              </w:rPr>
            </w:pPr>
            <w:r w:rsidRPr="00783571">
              <w:rPr>
                <w:sz w:val="20"/>
              </w:rPr>
              <w:t>2</w:t>
            </w:r>
          </w:p>
        </w:tc>
        <w:tc>
          <w:tcPr>
            <w:tcW w:w="3345" w:type="pct"/>
            <w:tcBorders>
              <w:top w:val="single" w:sz="6" w:space="0" w:color="808080" w:themeColor="background1" w:themeShade="80"/>
              <w:bottom w:val="single" w:sz="6" w:space="0" w:color="808080" w:themeColor="background1" w:themeShade="80"/>
            </w:tcBorders>
          </w:tcPr>
          <w:p w14:paraId="197284B9" w14:textId="77777777" w:rsidR="00551FA4" w:rsidRPr="00783571" w:rsidRDefault="00551FA4" w:rsidP="00D40CDC">
            <w:pPr>
              <w:pStyle w:val="TableText"/>
              <w:spacing w:before="50" w:after="50"/>
              <w:rPr>
                <w:sz w:val="20"/>
              </w:rPr>
            </w:pPr>
            <w:r w:rsidRPr="00783571">
              <w:rPr>
                <w:sz w:val="20"/>
              </w:rPr>
              <w:t>Uncircumcised (1)</w:t>
            </w:r>
          </w:p>
          <w:p w14:paraId="595A5ACD" w14:textId="77777777" w:rsidR="00551FA4" w:rsidRPr="00783571" w:rsidRDefault="00551FA4" w:rsidP="00D40CDC">
            <w:pPr>
              <w:pStyle w:val="TableText"/>
              <w:spacing w:before="50" w:after="50"/>
              <w:rPr>
                <w:sz w:val="20"/>
              </w:rPr>
            </w:pPr>
            <w:r w:rsidRPr="00783571">
              <w:rPr>
                <w:sz w:val="20"/>
              </w:rPr>
              <w:t>Circumcised (2)</w:t>
            </w:r>
          </w:p>
        </w:tc>
      </w:tr>
      <w:tr w:rsidR="00551FA4" w:rsidRPr="00783571" w14:paraId="10B2D777"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742530D2" w14:textId="77777777" w:rsidR="00551FA4" w:rsidRPr="00783571" w:rsidRDefault="00551FA4" w:rsidP="00D40CDC">
            <w:pPr>
              <w:pStyle w:val="TableText"/>
              <w:spacing w:before="50" w:after="50"/>
              <w:jc w:val="center"/>
              <w:rPr>
                <w:sz w:val="20"/>
              </w:rPr>
            </w:pPr>
            <w:r w:rsidRPr="00783571">
              <w:rPr>
                <w:sz w:val="20"/>
              </w:rPr>
              <w:t>o</w:t>
            </w:r>
          </w:p>
        </w:tc>
        <w:tc>
          <w:tcPr>
            <w:tcW w:w="723" w:type="pct"/>
            <w:tcBorders>
              <w:top w:val="single" w:sz="6" w:space="0" w:color="808080" w:themeColor="background1" w:themeShade="80"/>
              <w:bottom w:val="single" w:sz="6" w:space="0" w:color="808080" w:themeColor="background1" w:themeShade="80"/>
            </w:tcBorders>
            <w:shd w:val="clear" w:color="auto" w:fill="auto"/>
          </w:tcPr>
          <w:p w14:paraId="51CECF51" w14:textId="77777777" w:rsidR="00551FA4" w:rsidRPr="00783571" w:rsidRDefault="00551FA4" w:rsidP="00D40CDC">
            <w:pPr>
              <w:pStyle w:val="TableText"/>
              <w:spacing w:before="50" w:after="50"/>
              <w:rPr>
                <w:sz w:val="20"/>
              </w:rPr>
            </w:pPr>
            <w:r w:rsidRPr="00783571">
              <w:rPr>
                <w:sz w:val="20"/>
              </w:rPr>
              <w:t>Race</w:t>
            </w:r>
            <w:r w:rsidR="00710F65" w:rsidRPr="00783571">
              <w:rPr>
                <w:sz w:val="20"/>
              </w:rPr>
              <w:t>/ethnicity</w:t>
            </w:r>
          </w:p>
        </w:tc>
        <w:tc>
          <w:tcPr>
            <w:tcW w:w="586" w:type="pct"/>
            <w:tcBorders>
              <w:top w:val="single" w:sz="6" w:space="0" w:color="808080" w:themeColor="background1" w:themeShade="80"/>
              <w:bottom w:val="single" w:sz="6" w:space="0" w:color="808080" w:themeColor="background1" w:themeShade="80"/>
            </w:tcBorders>
          </w:tcPr>
          <w:p w14:paraId="05F426FA" w14:textId="77777777" w:rsidR="00551FA4" w:rsidRPr="00783571" w:rsidRDefault="00551FA4" w:rsidP="00D40CDC">
            <w:pPr>
              <w:pStyle w:val="TableText"/>
              <w:tabs>
                <w:tab w:val="decimal" w:pos="693"/>
              </w:tabs>
              <w:spacing w:before="50" w:after="50"/>
              <w:rPr>
                <w:sz w:val="20"/>
              </w:rPr>
            </w:pPr>
            <w:r w:rsidRPr="00783571">
              <w:rPr>
                <w:sz w:val="20"/>
              </w:rPr>
              <w:t>3</w:t>
            </w:r>
          </w:p>
        </w:tc>
        <w:tc>
          <w:tcPr>
            <w:tcW w:w="3345" w:type="pct"/>
            <w:tcBorders>
              <w:top w:val="single" w:sz="6" w:space="0" w:color="808080" w:themeColor="background1" w:themeShade="80"/>
              <w:bottom w:val="single" w:sz="6" w:space="0" w:color="808080" w:themeColor="background1" w:themeShade="80"/>
            </w:tcBorders>
          </w:tcPr>
          <w:p w14:paraId="0288026A" w14:textId="77777777" w:rsidR="00551FA4" w:rsidRPr="00783571" w:rsidRDefault="00551FA4" w:rsidP="00D40CDC">
            <w:pPr>
              <w:pStyle w:val="TableText"/>
              <w:spacing w:before="50" w:after="50"/>
              <w:rPr>
                <w:sz w:val="20"/>
              </w:rPr>
            </w:pPr>
            <w:r w:rsidRPr="00783571">
              <w:rPr>
                <w:sz w:val="20"/>
              </w:rPr>
              <w:t>Black (1)</w:t>
            </w:r>
          </w:p>
          <w:p w14:paraId="36D15BD3" w14:textId="77777777" w:rsidR="00551FA4" w:rsidRPr="00783571" w:rsidRDefault="00551FA4" w:rsidP="00D40CDC">
            <w:pPr>
              <w:pStyle w:val="TableText"/>
              <w:spacing w:before="50" w:after="50"/>
              <w:rPr>
                <w:sz w:val="20"/>
              </w:rPr>
            </w:pPr>
            <w:r w:rsidRPr="00783571">
              <w:rPr>
                <w:sz w:val="20"/>
              </w:rPr>
              <w:t>Hispanic/Latino (2)</w:t>
            </w:r>
          </w:p>
          <w:p w14:paraId="18BC73CA" w14:textId="77777777" w:rsidR="00551FA4" w:rsidRPr="00783571" w:rsidRDefault="00551FA4" w:rsidP="00D40CDC">
            <w:pPr>
              <w:pStyle w:val="TableText"/>
              <w:spacing w:before="50" w:after="50"/>
              <w:rPr>
                <w:sz w:val="20"/>
              </w:rPr>
            </w:pPr>
            <w:r w:rsidRPr="00783571">
              <w:rPr>
                <w:sz w:val="20"/>
              </w:rPr>
              <w:t>Other (3)</w:t>
            </w:r>
          </w:p>
        </w:tc>
      </w:tr>
      <w:tr w:rsidR="00551FA4" w:rsidRPr="00783571" w14:paraId="71197734"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3800A3DB" w14:textId="77777777" w:rsidR="00551FA4" w:rsidRPr="00783571" w:rsidRDefault="00551FA4" w:rsidP="00D40CDC">
            <w:pPr>
              <w:pStyle w:val="TableText"/>
              <w:spacing w:before="50" w:after="50"/>
              <w:jc w:val="center"/>
              <w:rPr>
                <w:sz w:val="20"/>
              </w:rPr>
            </w:pPr>
            <w:r w:rsidRPr="00783571">
              <w:rPr>
                <w:sz w:val="20"/>
              </w:rPr>
              <w:t>p</w:t>
            </w:r>
          </w:p>
        </w:tc>
        <w:tc>
          <w:tcPr>
            <w:tcW w:w="723" w:type="pct"/>
            <w:tcBorders>
              <w:top w:val="single" w:sz="6" w:space="0" w:color="808080" w:themeColor="background1" w:themeShade="80"/>
              <w:bottom w:val="single" w:sz="6" w:space="0" w:color="808080" w:themeColor="background1" w:themeShade="80"/>
            </w:tcBorders>
            <w:shd w:val="clear" w:color="auto" w:fill="auto"/>
          </w:tcPr>
          <w:p w14:paraId="0B9AE82C" w14:textId="77777777" w:rsidR="00551FA4" w:rsidRPr="00783571" w:rsidRDefault="00551FA4" w:rsidP="00D40CDC">
            <w:pPr>
              <w:pStyle w:val="TableText"/>
              <w:spacing w:before="50" w:after="50"/>
              <w:rPr>
                <w:sz w:val="20"/>
              </w:rPr>
            </w:pPr>
            <w:r w:rsidRPr="00783571">
              <w:rPr>
                <w:sz w:val="20"/>
              </w:rPr>
              <w:t>Subpopulation</w:t>
            </w:r>
          </w:p>
        </w:tc>
        <w:tc>
          <w:tcPr>
            <w:tcW w:w="586" w:type="pct"/>
            <w:tcBorders>
              <w:top w:val="single" w:sz="6" w:space="0" w:color="808080" w:themeColor="background1" w:themeShade="80"/>
              <w:bottom w:val="single" w:sz="6" w:space="0" w:color="808080" w:themeColor="background1" w:themeShade="80"/>
            </w:tcBorders>
          </w:tcPr>
          <w:p w14:paraId="50C98AC5" w14:textId="77777777" w:rsidR="00551FA4" w:rsidRPr="00783571" w:rsidRDefault="00551FA4" w:rsidP="00D40CDC">
            <w:pPr>
              <w:pStyle w:val="TableText"/>
              <w:tabs>
                <w:tab w:val="decimal" w:pos="693"/>
              </w:tabs>
              <w:spacing w:before="50" w:after="50"/>
              <w:rPr>
                <w:sz w:val="20"/>
              </w:rPr>
            </w:pPr>
            <w:r w:rsidRPr="00783571">
              <w:rPr>
                <w:sz w:val="20"/>
              </w:rPr>
              <w:t>195</w:t>
            </w:r>
          </w:p>
        </w:tc>
        <w:tc>
          <w:tcPr>
            <w:tcW w:w="3345" w:type="pct"/>
            <w:tcBorders>
              <w:top w:val="single" w:sz="6" w:space="0" w:color="808080" w:themeColor="background1" w:themeShade="80"/>
              <w:bottom w:val="single" w:sz="6" w:space="0" w:color="808080" w:themeColor="background1" w:themeShade="80"/>
            </w:tcBorders>
          </w:tcPr>
          <w:p w14:paraId="5EDD768A" w14:textId="034495D1" w:rsidR="00551FA4" w:rsidRPr="00783571" w:rsidRDefault="00551FA4" w:rsidP="00D40CDC">
            <w:pPr>
              <w:pStyle w:val="TableText"/>
              <w:spacing w:before="50" w:after="50"/>
              <w:rPr>
                <w:sz w:val="20"/>
              </w:rPr>
            </w:pPr>
            <w:r w:rsidRPr="00783571">
              <w:rPr>
                <w:sz w:val="20"/>
              </w:rPr>
              <w:t xml:space="preserve">Combinations defined by age group (j), risk level (k), transmission group (l), sex (m), circumcision status (n), and race/ethnicity (o). </w:t>
            </w:r>
            <w:r w:rsidR="00341EDC" w:rsidRPr="00783571">
              <w:rPr>
                <w:sz w:val="20"/>
              </w:rPr>
              <w:t>PWID</w:t>
            </w:r>
            <w:r w:rsidRPr="00783571">
              <w:rPr>
                <w:sz w:val="20"/>
              </w:rPr>
              <w:t xml:space="preserve"> are all high-risk, MSM are all male, and only males are stratified by circumcision status, therefore not all combinations of these stratifications are represented.</w:t>
            </w:r>
          </w:p>
        </w:tc>
      </w:tr>
    </w:tbl>
    <w:p w14:paraId="77EA052F" w14:textId="77777777" w:rsidR="002A4EE6" w:rsidRPr="00783571" w:rsidRDefault="002A4EE6" w:rsidP="002A4EE6">
      <w:pPr>
        <w:pStyle w:val="Tablecont"/>
        <w:rPr>
          <w:sz w:val="20"/>
        </w:rPr>
      </w:pPr>
      <w:r w:rsidRPr="00783571">
        <w:rPr>
          <w:sz w:val="20"/>
        </w:rPr>
        <w:t>(continued)</w:t>
      </w:r>
    </w:p>
    <w:p w14:paraId="66B8D52D" w14:textId="77777777" w:rsidR="002A4EE6" w:rsidRPr="00783571" w:rsidRDefault="002A4EE6" w:rsidP="002A4EE6">
      <w:pPr>
        <w:pStyle w:val="TableTitlecont"/>
        <w:tabs>
          <w:tab w:val="left" w:pos="2520"/>
        </w:tabs>
      </w:pPr>
      <w:r w:rsidRPr="00783571">
        <w:br w:type="page"/>
        <w:t>Table A.2.</w:t>
      </w:r>
      <w:r w:rsidRPr="00783571">
        <w:tab/>
        <w:t>Definitions of Indices Applied in This Document (continued)</w:t>
      </w:r>
    </w:p>
    <w:tbl>
      <w:tblPr>
        <w:tblW w:w="5035" w:type="pct"/>
        <w:tblBorders>
          <w:top w:val="single" w:sz="12" w:space="0" w:color="000000"/>
          <w:bottom w:val="single" w:sz="12" w:space="0" w:color="000000"/>
          <w:insideH w:val="single" w:sz="2" w:space="0" w:color="DDDDDD"/>
        </w:tblBorders>
        <w:tblLayout w:type="fixed"/>
        <w:tblCellMar>
          <w:left w:w="115" w:type="dxa"/>
          <w:right w:w="115" w:type="dxa"/>
        </w:tblCellMar>
        <w:tblLook w:val="04A0" w:firstRow="1" w:lastRow="0" w:firstColumn="1" w:lastColumn="0" w:noHBand="0" w:noVBand="1"/>
      </w:tblPr>
      <w:tblGrid>
        <w:gridCol w:w="903"/>
        <w:gridCol w:w="1887"/>
        <w:gridCol w:w="1530"/>
        <w:gridCol w:w="8731"/>
      </w:tblGrid>
      <w:tr w:rsidR="002A4EE6" w:rsidRPr="00783571" w14:paraId="334A294A" w14:textId="77777777" w:rsidTr="00260D8A">
        <w:trPr>
          <w:cantSplit/>
          <w:tblHeader/>
        </w:trPr>
        <w:tc>
          <w:tcPr>
            <w:tcW w:w="346" w:type="pct"/>
            <w:tcBorders>
              <w:top w:val="single" w:sz="12" w:space="0" w:color="000000"/>
              <w:bottom w:val="single" w:sz="6" w:space="0" w:color="auto"/>
            </w:tcBorders>
            <w:shd w:val="clear" w:color="auto" w:fill="auto"/>
            <w:vAlign w:val="bottom"/>
          </w:tcPr>
          <w:p w14:paraId="5BD71FD9" w14:textId="77777777" w:rsidR="002A4EE6" w:rsidRPr="00783571" w:rsidRDefault="002A4EE6" w:rsidP="00260D8A">
            <w:pPr>
              <w:pStyle w:val="TableHeaders"/>
              <w:spacing w:before="50" w:after="50"/>
              <w:rPr>
                <w:sz w:val="20"/>
              </w:rPr>
            </w:pPr>
            <w:r w:rsidRPr="00783571">
              <w:rPr>
                <w:sz w:val="20"/>
              </w:rPr>
              <w:t>Index</w:t>
            </w:r>
          </w:p>
        </w:tc>
        <w:tc>
          <w:tcPr>
            <w:tcW w:w="723" w:type="pct"/>
            <w:tcBorders>
              <w:top w:val="single" w:sz="12" w:space="0" w:color="000000"/>
              <w:bottom w:val="single" w:sz="6" w:space="0" w:color="auto"/>
            </w:tcBorders>
            <w:shd w:val="clear" w:color="auto" w:fill="auto"/>
            <w:vAlign w:val="bottom"/>
          </w:tcPr>
          <w:p w14:paraId="66EDB560" w14:textId="77777777" w:rsidR="002A4EE6" w:rsidRPr="00783571" w:rsidRDefault="002A4EE6" w:rsidP="00260D8A">
            <w:pPr>
              <w:pStyle w:val="TableHeaders"/>
              <w:spacing w:before="50" w:after="50"/>
              <w:rPr>
                <w:sz w:val="20"/>
              </w:rPr>
            </w:pPr>
            <w:r w:rsidRPr="00783571">
              <w:rPr>
                <w:sz w:val="20"/>
              </w:rPr>
              <w:t>Definition</w:t>
            </w:r>
          </w:p>
        </w:tc>
        <w:tc>
          <w:tcPr>
            <w:tcW w:w="586" w:type="pct"/>
            <w:tcBorders>
              <w:top w:val="single" w:sz="12" w:space="0" w:color="000000"/>
              <w:bottom w:val="single" w:sz="6" w:space="0" w:color="auto"/>
            </w:tcBorders>
            <w:shd w:val="clear" w:color="auto" w:fill="auto"/>
            <w:vAlign w:val="bottom"/>
          </w:tcPr>
          <w:p w14:paraId="48541325" w14:textId="77777777" w:rsidR="002A4EE6" w:rsidRPr="00783571" w:rsidRDefault="002A4EE6" w:rsidP="00260D8A">
            <w:pPr>
              <w:pStyle w:val="TableHeaders"/>
              <w:spacing w:before="50" w:after="50"/>
              <w:rPr>
                <w:sz w:val="20"/>
              </w:rPr>
            </w:pPr>
            <w:r w:rsidRPr="00783571">
              <w:rPr>
                <w:sz w:val="20"/>
              </w:rPr>
              <w:t>Number of Categories</w:t>
            </w:r>
          </w:p>
        </w:tc>
        <w:tc>
          <w:tcPr>
            <w:tcW w:w="3345" w:type="pct"/>
            <w:tcBorders>
              <w:top w:val="single" w:sz="12" w:space="0" w:color="000000"/>
              <w:bottom w:val="single" w:sz="6" w:space="0" w:color="auto"/>
            </w:tcBorders>
            <w:shd w:val="clear" w:color="auto" w:fill="auto"/>
            <w:vAlign w:val="bottom"/>
          </w:tcPr>
          <w:p w14:paraId="5C6F422A" w14:textId="77777777" w:rsidR="002A4EE6" w:rsidRPr="00783571" w:rsidRDefault="002A4EE6" w:rsidP="00260D8A">
            <w:pPr>
              <w:pStyle w:val="TableHeaders"/>
              <w:spacing w:before="50" w:after="50"/>
              <w:rPr>
                <w:sz w:val="20"/>
              </w:rPr>
            </w:pPr>
            <w:r w:rsidRPr="00783571">
              <w:rPr>
                <w:sz w:val="20"/>
              </w:rPr>
              <w:t>Categories (Represented by)</w:t>
            </w:r>
          </w:p>
        </w:tc>
      </w:tr>
      <w:tr w:rsidR="00F50352" w:rsidRPr="00783571" w14:paraId="7C126CC1"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78FEF561" w14:textId="69BD2045" w:rsidR="00F50352" w:rsidRPr="00783571" w:rsidRDefault="00F50352" w:rsidP="00D40CDC">
            <w:pPr>
              <w:pStyle w:val="TableText"/>
              <w:spacing w:before="50" w:after="50"/>
              <w:jc w:val="center"/>
              <w:rPr>
                <w:sz w:val="20"/>
              </w:rPr>
            </w:pPr>
            <w:r w:rsidRPr="00783571">
              <w:rPr>
                <w:sz w:val="20"/>
              </w:rPr>
              <w:t>r</w:t>
            </w:r>
          </w:p>
        </w:tc>
        <w:tc>
          <w:tcPr>
            <w:tcW w:w="723" w:type="pct"/>
            <w:tcBorders>
              <w:top w:val="single" w:sz="6" w:space="0" w:color="808080" w:themeColor="background1" w:themeShade="80"/>
              <w:bottom w:val="single" w:sz="6" w:space="0" w:color="808080" w:themeColor="background1" w:themeShade="80"/>
            </w:tcBorders>
            <w:shd w:val="clear" w:color="auto" w:fill="auto"/>
          </w:tcPr>
          <w:p w14:paraId="6818953A" w14:textId="6A603268" w:rsidR="00F50352" w:rsidRPr="00783571" w:rsidRDefault="006015C3" w:rsidP="00D40CDC">
            <w:pPr>
              <w:pStyle w:val="TableText"/>
              <w:spacing w:before="50" w:after="50"/>
              <w:rPr>
                <w:sz w:val="20"/>
              </w:rPr>
            </w:pPr>
            <w:r w:rsidRPr="00783571">
              <w:rPr>
                <w:sz w:val="20"/>
              </w:rPr>
              <w:t xml:space="preserve">Care </w:t>
            </w:r>
            <w:r w:rsidR="00F50352" w:rsidRPr="00783571">
              <w:rPr>
                <w:sz w:val="20"/>
              </w:rPr>
              <w:t>Continuum stage</w:t>
            </w:r>
          </w:p>
        </w:tc>
        <w:tc>
          <w:tcPr>
            <w:tcW w:w="586" w:type="pct"/>
            <w:tcBorders>
              <w:top w:val="single" w:sz="6" w:space="0" w:color="808080" w:themeColor="background1" w:themeShade="80"/>
              <w:bottom w:val="single" w:sz="6" w:space="0" w:color="808080" w:themeColor="background1" w:themeShade="80"/>
            </w:tcBorders>
          </w:tcPr>
          <w:p w14:paraId="1221D02E" w14:textId="77777777" w:rsidR="00F50352" w:rsidRPr="00783571" w:rsidRDefault="00726346" w:rsidP="00D40CDC">
            <w:pPr>
              <w:pStyle w:val="TableText"/>
              <w:tabs>
                <w:tab w:val="decimal" w:pos="693"/>
              </w:tabs>
              <w:spacing w:before="50" w:after="50"/>
              <w:rPr>
                <w:sz w:val="20"/>
              </w:rPr>
            </w:pPr>
            <w:r w:rsidRPr="00783571">
              <w:rPr>
                <w:sz w:val="20"/>
              </w:rPr>
              <w:t>5</w:t>
            </w:r>
          </w:p>
        </w:tc>
        <w:tc>
          <w:tcPr>
            <w:tcW w:w="3345" w:type="pct"/>
            <w:tcBorders>
              <w:top w:val="single" w:sz="6" w:space="0" w:color="808080" w:themeColor="background1" w:themeShade="80"/>
              <w:bottom w:val="single" w:sz="6" w:space="0" w:color="808080" w:themeColor="background1" w:themeShade="80"/>
            </w:tcBorders>
          </w:tcPr>
          <w:p w14:paraId="363C1CB9" w14:textId="77777777" w:rsidR="00F50352" w:rsidRPr="00783571" w:rsidRDefault="00FE21DC" w:rsidP="00D40CDC">
            <w:pPr>
              <w:pStyle w:val="TableText"/>
              <w:spacing w:before="50" w:after="50"/>
              <w:rPr>
                <w:rFonts w:cs="Arial"/>
                <w:sz w:val="20"/>
              </w:rPr>
            </w:pPr>
            <w:r w:rsidRPr="00783571">
              <w:rPr>
                <w:rFonts w:cs="Arial"/>
                <w:sz w:val="20"/>
              </w:rPr>
              <w:t xml:space="preserve">Uninfected or unaware </w:t>
            </w:r>
            <w:r w:rsidR="00F50352" w:rsidRPr="00783571">
              <w:rPr>
                <w:rFonts w:cs="Arial"/>
                <w:sz w:val="20"/>
              </w:rPr>
              <w:t>of infection (1)</w:t>
            </w:r>
          </w:p>
          <w:p w14:paraId="3B26BEE6" w14:textId="1EAD10FD" w:rsidR="00F50352" w:rsidRPr="00783571" w:rsidRDefault="0052684D" w:rsidP="00D40CDC">
            <w:pPr>
              <w:pStyle w:val="TableText"/>
              <w:spacing w:before="50" w:after="50"/>
              <w:rPr>
                <w:rFonts w:cs="Arial"/>
                <w:sz w:val="20"/>
              </w:rPr>
            </w:pPr>
            <w:r w:rsidRPr="00783571">
              <w:rPr>
                <w:rFonts w:cs="Arial"/>
                <w:sz w:val="20"/>
              </w:rPr>
              <w:t>A</w:t>
            </w:r>
            <w:r w:rsidR="00F50352" w:rsidRPr="00783571">
              <w:rPr>
                <w:rFonts w:cs="Arial"/>
                <w:sz w:val="20"/>
              </w:rPr>
              <w:t xml:space="preserve">ware of infection, not </w:t>
            </w:r>
            <w:r w:rsidR="000965E6" w:rsidRPr="00783571">
              <w:rPr>
                <w:rFonts w:cs="Arial"/>
                <w:sz w:val="20"/>
              </w:rPr>
              <w:t>prescribed ART</w:t>
            </w:r>
            <w:r w:rsidR="00FE21DC" w:rsidRPr="00783571">
              <w:rPr>
                <w:rFonts w:cs="Arial"/>
                <w:sz w:val="20"/>
              </w:rPr>
              <w:t xml:space="preserve"> or </w:t>
            </w:r>
            <w:r w:rsidR="00F50352" w:rsidRPr="00783571">
              <w:rPr>
                <w:rFonts w:cs="Arial"/>
                <w:sz w:val="20"/>
              </w:rPr>
              <w:t>in HIV care (2)</w:t>
            </w:r>
          </w:p>
          <w:p w14:paraId="5876414A" w14:textId="5504B6FE" w:rsidR="00F50352" w:rsidRPr="00783571" w:rsidRDefault="00710F65" w:rsidP="00D40CDC">
            <w:pPr>
              <w:pStyle w:val="TableText"/>
              <w:spacing w:before="50" w:after="50"/>
              <w:rPr>
                <w:rFonts w:cs="Arial"/>
                <w:sz w:val="20"/>
              </w:rPr>
            </w:pPr>
            <w:r w:rsidRPr="00783571">
              <w:rPr>
                <w:rFonts w:cs="Arial"/>
                <w:sz w:val="20"/>
              </w:rPr>
              <w:t xml:space="preserve">Linked to </w:t>
            </w:r>
            <w:r w:rsidR="00F50352" w:rsidRPr="00783571">
              <w:rPr>
                <w:rFonts w:cs="Arial"/>
                <w:sz w:val="20"/>
              </w:rPr>
              <w:t>HIV care, not</w:t>
            </w:r>
            <w:r w:rsidR="00FE21DC" w:rsidRPr="00783571">
              <w:rPr>
                <w:rFonts w:cs="Arial"/>
                <w:sz w:val="20"/>
              </w:rPr>
              <w:t xml:space="preserve"> </w:t>
            </w:r>
            <w:r w:rsidR="000965E6" w:rsidRPr="00783571">
              <w:rPr>
                <w:rFonts w:cs="Arial"/>
                <w:sz w:val="20"/>
              </w:rPr>
              <w:t>prescribed ART</w:t>
            </w:r>
            <w:r w:rsidR="00F50352" w:rsidRPr="00783571">
              <w:rPr>
                <w:rFonts w:cs="Arial"/>
                <w:sz w:val="20"/>
              </w:rPr>
              <w:t xml:space="preserve"> (3)</w:t>
            </w:r>
          </w:p>
          <w:p w14:paraId="4BB39584" w14:textId="2092D2C3" w:rsidR="00F50352" w:rsidRPr="00783571" w:rsidRDefault="000965E6" w:rsidP="00D40CDC">
            <w:pPr>
              <w:pStyle w:val="TableText"/>
              <w:spacing w:before="50" w:after="50"/>
              <w:rPr>
                <w:rFonts w:cs="Arial"/>
                <w:sz w:val="20"/>
              </w:rPr>
            </w:pPr>
            <w:r w:rsidRPr="00783571">
              <w:rPr>
                <w:rFonts w:cs="Arial"/>
                <w:sz w:val="20"/>
              </w:rPr>
              <w:t xml:space="preserve">Prescribed </w:t>
            </w:r>
            <w:r w:rsidR="00F50352" w:rsidRPr="00783571">
              <w:rPr>
                <w:rFonts w:cs="Arial"/>
                <w:sz w:val="20"/>
              </w:rPr>
              <w:t>ART</w:t>
            </w:r>
            <w:r w:rsidR="00FE21DC" w:rsidRPr="00783571">
              <w:rPr>
                <w:rFonts w:cs="Arial"/>
                <w:sz w:val="20"/>
              </w:rPr>
              <w:t>, not VLS</w:t>
            </w:r>
            <w:r w:rsidR="00F50352" w:rsidRPr="00783571">
              <w:rPr>
                <w:rFonts w:cs="Arial"/>
                <w:sz w:val="20"/>
              </w:rPr>
              <w:t xml:space="preserve"> (4)</w:t>
            </w:r>
          </w:p>
          <w:p w14:paraId="437BB66E" w14:textId="77777777" w:rsidR="00FE21DC" w:rsidRPr="00783571" w:rsidRDefault="00FE21DC" w:rsidP="00D40CDC">
            <w:pPr>
              <w:pStyle w:val="TableText"/>
              <w:spacing w:before="50" w:after="50"/>
              <w:rPr>
                <w:sz w:val="20"/>
              </w:rPr>
            </w:pPr>
            <w:r w:rsidRPr="00783571">
              <w:rPr>
                <w:rFonts w:cs="Arial"/>
                <w:sz w:val="20"/>
              </w:rPr>
              <w:t>VLS (5)</w:t>
            </w:r>
          </w:p>
        </w:tc>
      </w:tr>
      <w:tr w:rsidR="00220142" w:rsidRPr="00783571" w14:paraId="7A1B2110"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12673FDD" w14:textId="7DD06F13" w:rsidR="00220142" w:rsidRPr="00783571" w:rsidRDefault="00220142" w:rsidP="00D40CDC">
            <w:pPr>
              <w:pStyle w:val="TableText"/>
              <w:spacing w:before="50" w:after="50"/>
              <w:jc w:val="center"/>
              <w:rPr>
                <w:sz w:val="20"/>
              </w:rPr>
            </w:pPr>
            <w:r w:rsidRPr="00783571">
              <w:rPr>
                <w:sz w:val="20"/>
              </w:rPr>
              <w:t>t</w:t>
            </w:r>
          </w:p>
        </w:tc>
        <w:tc>
          <w:tcPr>
            <w:tcW w:w="723" w:type="pct"/>
            <w:tcBorders>
              <w:top w:val="single" w:sz="6" w:space="0" w:color="808080" w:themeColor="background1" w:themeShade="80"/>
              <w:bottom w:val="single" w:sz="6" w:space="0" w:color="808080" w:themeColor="background1" w:themeShade="80"/>
            </w:tcBorders>
            <w:shd w:val="clear" w:color="auto" w:fill="auto"/>
          </w:tcPr>
          <w:p w14:paraId="1E09B0F1" w14:textId="12A40A18" w:rsidR="00220142" w:rsidRPr="00783571" w:rsidRDefault="006C2B53" w:rsidP="00D40CDC">
            <w:pPr>
              <w:pStyle w:val="TableText"/>
              <w:spacing w:before="50" w:after="50"/>
              <w:rPr>
                <w:sz w:val="20"/>
              </w:rPr>
            </w:pPr>
            <w:r w:rsidRPr="00783571">
              <w:rPr>
                <w:sz w:val="20"/>
              </w:rPr>
              <w:t>T</w:t>
            </w:r>
            <w:r w:rsidR="00220142" w:rsidRPr="00783571">
              <w:rPr>
                <w:sz w:val="20"/>
              </w:rPr>
              <w:t>ime</w:t>
            </w:r>
            <w:r w:rsidRPr="00783571">
              <w:rPr>
                <w:sz w:val="20"/>
              </w:rPr>
              <w:t>/timestep</w:t>
            </w:r>
          </w:p>
        </w:tc>
        <w:tc>
          <w:tcPr>
            <w:tcW w:w="586" w:type="pct"/>
            <w:tcBorders>
              <w:top w:val="single" w:sz="6" w:space="0" w:color="808080" w:themeColor="background1" w:themeShade="80"/>
              <w:bottom w:val="single" w:sz="6" w:space="0" w:color="808080" w:themeColor="background1" w:themeShade="80"/>
            </w:tcBorders>
          </w:tcPr>
          <w:p w14:paraId="74D5D51B" w14:textId="45D0D77C" w:rsidR="00220142" w:rsidRPr="00783571" w:rsidRDefault="00220142" w:rsidP="00D40CDC">
            <w:pPr>
              <w:pStyle w:val="TableText"/>
              <w:tabs>
                <w:tab w:val="decimal" w:pos="693"/>
              </w:tabs>
              <w:spacing w:before="50" w:after="50"/>
              <w:rPr>
                <w:sz w:val="20"/>
              </w:rPr>
            </w:pPr>
            <w:r w:rsidRPr="00783571">
              <w:rPr>
                <w:sz w:val="20"/>
              </w:rPr>
              <w:t>1</w:t>
            </w:r>
          </w:p>
        </w:tc>
        <w:tc>
          <w:tcPr>
            <w:tcW w:w="3345" w:type="pct"/>
            <w:tcBorders>
              <w:top w:val="single" w:sz="6" w:space="0" w:color="808080" w:themeColor="background1" w:themeShade="80"/>
              <w:bottom w:val="single" w:sz="6" w:space="0" w:color="808080" w:themeColor="background1" w:themeShade="80"/>
            </w:tcBorders>
          </w:tcPr>
          <w:p w14:paraId="4A5D588E" w14:textId="77E79B31" w:rsidR="00220142" w:rsidRPr="00783571" w:rsidRDefault="00220142" w:rsidP="00D40CDC">
            <w:pPr>
              <w:pStyle w:val="TableText"/>
              <w:spacing w:before="50" w:after="50"/>
              <w:rPr>
                <w:rFonts w:cs="Arial"/>
                <w:sz w:val="20"/>
              </w:rPr>
            </w:pPr>
            <w:r w:rsidRPr="00783571">
              <w:rPr>
                <w:rFonts w:cs="Arial"/>
                <w:sz w:val="20"/>
              </w:rPr>
              <w:t>--</w:t>
            </w:r>
          </w:p>
        </w:tc>
      </w:tr>
      <w:tr w:rsidR="00F50352" w:rsidRPr="00783571" w14:paraId="64EE7D10"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69E31D4D" w14:textId="77777777" w:rsidR="00F50352" w:rsidRPr="00783571" w:rsidRDefault="00F50352" w:rsidP="00D40CDC">
            <w:pPr>
              <w:pStyle w:val="TableText"/>
              <w:spacing w:before="50" w:after="50"/>
              <w:jc w:val="center"/>
              <w:rPr>
                <w:sz w:val="20"/>
                <w:lang w:eastAsia="ja-JP"/>
              </w:rPr>
            </w:pPr>
            <w:r w:rsidRPr="00783571">
              <w:rPr>
                <w:sz w:val="20"/>
              </w:rPr>
              <w:t>x</w:t>
            </w:r>
          </w:p>
        </w:tc>
        <w:tc>
          <w:tcPr>
            <w:tcW w:w="723" w:type="pct"/>
            <w:tcBorders>
              <w:top w:val="single" w:sz="6" w:space="0" w:color="808080" w:themeColor="background1" w:themeShade="80"/>
              <w:bottom w:val="single" w:sz="6" w:space="0" w:color="808080" w:themeColor="background1" w:themeShade="80"/>
            </w:tcBorders>
            <w:shd w:val="clear" w:color="auto" w:fill="auto"/>
          </w:tcPr>
          <w:p w14:paraId="48E7F01C" w14:textId="77777777" w:rsidR="00F50352" w:rsidRPr="00783571" w:rsidRDefault="00F50352" w:rsidP="00D40CDC">
            <w:pPr>
              <w:pStyle w:val="TableText"/>
              <w:spacing w:before="50" w:after="50"/>
              <w:rPr>
                <w:sz w:val="20"/>
              </w:rPr>
            </w:pPr>
            <w:r w:rsidRPr="00783571">
              <w:rPr>
                <w:sz w:val="20"/>
              </w:rPr>
              <w:t>Sexual transmission risk participation type</w:t>
            </w:r>
          </w:p>
        </w:tc>
        <w:tc>
          <w:tcPr>
            <w:tcW w:w="586" w:type="pct"/>
            <w:tcBorders>
              <w:top w:val="single" w:sz="6" w:space="0" w:color="808080" w:themeColor="background1" w:themeShade="80"/>
              <w:bottom w:val="single" w:sz="6" w:space="0" w:color="808080" w:themeColor="background1" w:themeShade="80"/>
            </w:tcBorders>
          </w:tcPr>
          <w:p w14:paraId="04F3338C" w14:textId="77777777" w:rsidR="00F50352" w:rsidRPr="00783571" w:rsidRDefault="00F50352" w:rsidP="00D40CDC">
            <w:pPr>
              <w:pStyle w:val="TableText"/>
              <w:tabs>
                <w:tab w:val="decimal" w:pos="693"/>
              </w:tabs>
              <w:spacing w:before="50" w:after="50"/>
              <w:rPr>
                <w:sz w:val="20"/>
              </w:rPr>
            </w:pPr>
            <w:r w:rsidRPr="00783571">
              <w:rPr>
                <w:sz w:val="20"/>
              </w:rPr>
              <w:t>3</w:t>
            </w:r>
          </w:p>
        </w:tc>
        <w:tc>
          <w:tcPr>
            <w:tcW w:w="3345" w:type="pct"/>
            <w:tcBorders>
              <w:top w:val="single" w:sz="6" w:space="0" w:color="808080" w:themeColor="background1" w:themeShade="80"/>
              <w:bottom w:val="single" w:sz="6" w:space="0" w:color="808080" w:themeColor="background1" w:themeShade="80"/>
            </w:tcBorders>
          </w:tcPr>
          <w:p w14:paraId="010D3F61" w14:textId="77777777" w:rsidR="00E33B48" w:rsidRPr="00783571" w:rsidRDefault="00F50352" w:rsidP="00D40CDC">
            <w:pPr>
              <w:pStyle w:val="TableText"/>
              <w:spacing w:before="50" w:after="50"/>
              <w:rPr>
                <w:sz w:val="20"/>
              </w:rPr>
            </w:pPr>
            <w:r w:rsidRPr="00783571">
              <w:rPr>
                <w:sz w:val="20"/>
              </w:rPr>
              <w:t>Vaginal intercourse only</w:t>
            </w:r>
            <w:r w:rsidR="00E33B48" w:rsidRPr="00783571">
              <w:rPr>
                <w:sz w:val="20"/>
              </w:rPr>
              <w:t xml:space="preserve"> </w:t>
            </w:r>
            <w:r w:rsidR="0007469E" w:rsidRPr="00783571">
              <w:rPr>
                <w:sz w:val="20"/>
              </w:rPr>
              <w:t xml:space="preserve">in male-female partnerships </w:t>
            </w:r>
            <w:r w:rsidR="00E33B48" w:rsidRPr="00783571">
              <w:rPr>
                <w:sz w:val="20"/>
              </w:rPr>
              <w:t>(1)</w:t>
            </w:r>
          </w:p>
          <w:p w14:paraId="74452495" w14:textId="77777777" w:rsidR="00E33B48" w:rsidRPr="00783571" w:rsidRDefault="00E33B48" w:rsidP="00D40CDC">
            <w:pPr>
              <w:pStyle w:val="TableText"/>
              <w:spacing w:before="50" w:after="50"/>
              <w:rPr>
                <w:sz w:val="20"/>
              </w:rPr>
            </w:pPr>
            <w:r w:rsidRPr="00783571">
              <w:rPr>
                <w:sz w:val="20"/>
              </w:rPr>
              <w:t>A</w:t>
            </w:r>
            <w:r w:rsidR="00F50352" w:rsidRPr="00783571">
              <w:rPr>
                <w:sz w:val="20"/>
              </w:rPr>
              <w:t>nal intercourse only</w:t>
            </w:r>
            <w:r w:rsidR="0007469E" w:rsidRPr="00783571">
              <w:rPr>
                <w:sz w:val="20"/>
              </w:rPr>
              <w:t xml:space="preserve"> in male-male partnerships</w:t>
            </w:r>
            <w:r w:rsidRPr="00783571">
              <w:rPr>
                <w:sz w:val="20"/>
              </w:rPr>
              <w:t xml:space="preserve"> (2)</w:t>
            </w:r>
          </w:p>
          <w:p w14:paraId="1B9958C0" w14:textId="77777777" w:rsidR="00F50352" w:rsidRPr="00783571" w:rsidRDefault="0007469E" w:rsidP="00D40CDC">
            <w:pPr>
              <w:pStyle w:val="TableText"/>
              <w:spacing w:before="50" w:after="50"/>
              <w:rPr>
                <w:sz w:val="20"/>
              </w:rPr>
            </w:pPr>
            <w:r w:rsidRPr="00783571">
              <w:rPr>
                <w:sz w:val="20"/>
              </w:rPr>
              <w:t>A</w:t>
            </w:r>
            <w:r w:rsidR="00F50352" w:rsidRPr="00783571">
              <w:rPr>
                <w:sz w:val="20"/>
              </w:rPr>
              <w:t>nal intercourse</w:t>
            </w:r>
            <w:r w:rsidR="00E33B48" w:rsidRPr="00783571">
              <w:rPr>
                <w:sz w:val="20"/>
              </w:rPr>
              <w:t xml:space="preserve"> </w:t>
            </w:r>
            <w:r w:rsidRPr="00783571">
              <w:rPr>
                <w:sz w:val="20"/>
              </w:rPr>
              <w:t xml:space="preserve">in male-female partnerships </w:t>
            </w:r>
            <w:r w:rsidR="00E33B48" w:rsidRPr="00783571">
              <w:rPr>
                <w:sz w:val="20"/>
              </w:rPr>
              <w:t>(3)</w:t>
            </w:r>
          </w:p>
        </w:tc>
      </w:tr>
      <w:tr w:rsidR="00F50352" w:rsidRPr="00783571" w14:paraId="0408BDF6" w14:textId="77777777" w:rsidTr="002A4EE6">
        <w:trPr>
          <w:cantSplit/>
        </w:trPr>
        <w:tc>
          <w:tcPr>
            <w:tcW w:w="346" w:type="pct"/>
            <w:tcBorders>
              <w:top w:val="single" w:sz="6" w:space="0" w:color="808080" w:themeColor="background1" w:themeShade="80"/>
              <w:bottom w:val="single" w:sz="6" w:space="0" w:color="808080" w:themeColor="background1" w:themeShade="80"/>
            </w:tcBorders>
            <w:shd w:val="clear" w:color="auto" w:fill="auto"/>
          </w:tcPr>
          <w:p w14:paraId="2C40BB4F" w14:textId="77777777" w:rsidR="00F50352" w:rsidRPr="00783571" w:rsidRDefault="00F50352" w:rsidP="00D40CDC">
            <w:pPr>
              <w:pStyle w:val="TableText"/>
              <w:spacing w:before="50" w:after="50"/>
              <w:jc w:val="center"/>
              <w:rPr>
                <w:sz w:val="20"/>
              </w:rPr>
            </w:pPr>
            <w:r w:rsidRPr="00783571">
              <w:rPr>
                <w:sz w:val="20"/>
              </w:rPr>
              <w:t>y</w:t>
            </w:r>
          </w:p>
        </w:tc>
        <w:tc>
          <w:tcPr>
            <w:tcW w:w="723" w:type="pct"/>
            <w:tcBorders>
              <w:top w:val="single" w:sz="6" w:space="0" w:color="808080" w:themeColor="background1" w:themeShade="80"/>
              <w:bottom w:val="single" w:sz="6" w:space="0" w:color="808080" w:themeColor="background1" w:themeShade="80"/>
            </w:tcBorders>
            <w:shd w:val="clear" w:color="auto" w:fill="auto"/>
          </w:tcPr>
          <w:p w14:paraId="4A5EA023" w14:textId="77777777" w:rsidR="00F50352" w:rsidRPr="00783571" w:rsidRDefault="00F50352" w:rsidP="00D40CDC">
            <w:pPr>
              <w:pStyle w:val="TableText"/>
              <w:spacing w:before="50" w:after="50"/>
              <w:rPr>
                <w:sz w:val="20"/>
              </w:rPr>
            </w:pPr>
            <w:r w:rsidRPr="00783571">
              <w:rPr>
                <w:sz w:val="20"/>
              </w:rPr>
              <w:t>Partnership type</w:t>
            </w:r>
          </w:p>
        </w:tc>
        <w:tc>
          <w:tcPr>
            <w:tcW w:w="586" w:type="pct"/>
            <w:tcBorders>
              <w:top w:val="single" w:sz="6" w:space="0" w:color="808080" w:themeColor="background1" w:themeShade="80"/>
              <w:bottom w:val="single" w:sz="6" w:space="0" w:color="808080" w:themeColor="background1" w:themeShade="80"/>
            </w:tcBorders>
          </w:tcPr>
          <w:p w14:paraId="2B3241C6" w14:textId="77777777" w:rsidR="00F50352" w:rsidRPr="00783571" w:rsidRDefault="00F50352" w:rsidP="00D40CDC">
            <w:pPr>
              <w:pStyle w:val="TableText"/>
              <w:tabs>
                <w:tab w:val="decimal" w:pos="693"/>
              </w:tabs>
              <w:spacing w:before="50" w:after="50"/>
              <w:rPr>
                <w:sz w:val="20"/>
              </w:rPr>
            </w:pPr>
            <w:r w:rsidRPr="00783571">
              <w:rPr>
                <w:sz w:val="20"/>
              </w:rPr>
              <w:t>4</w:t>
            </w:r>
          </w:p>
        </w:tc>
        <w:tc>
          <w:tcPr>
            <w:tcW w:w="3345" w:type="pct"/>
            <w:tcBorders>
              <w:top w:val="single" w:sz="6" w:space="0" w:color="808080" w:themeColor="background1" w:themeShade="80"/>
              <w:bottom w:val="single" w:sz="6" w:space="0" w:color="808080" w:themeColor="background1" w:themeShade="80"/>
            </w:tcBorders>
          </w:tcPr>
          <w:p w14:paraId="4212015A" w14:textId="77777777" w:rsidR="00E33B48" w:rsidRPr="00783571" w:rsidRDefault="00B47D1E" w:rsidP="00D40CDC">
            <w:pPr>
              <w:pStyle w:val="TableText"/>
              <w:spacing w:before="50" w:after="50"/>
              <w:rPr>
                <w:sz w:val="20"/>
              </w:rPr>
            </w:pPr>
            <w:r w:rsidRPr="00783571">
              <w:rPr>
                <w:sz w:val="20"/>
              </w:rPr>
              <w:t>Male-female partnership that only includes v</w:t>
            </w:r>
            <w:r w:rsidR="00E33B48" w:rsidRPr="00783571">
              <w:rPr>
                <w:sz w:val="20"/>
              </w:rPr>
              <w:t>aginal intercourse (1)</w:t>
            </w:r>
          </w:p>
          <w:p w14:paraId="47CAAAEB" w14:textId="77777777" w:rsidR="00E33B48" w:rsidRPr="00783571" w:rsidRDefault="00B47D1E" w:rsidP="00D40CDC">
            <w:pPr>
              <w:pStyle w:val="TableText"/>
              <w:spacing w:before="50" w:after="50"/>
              <w:rPr>
                <w:sz w:val="20"/>
              </w:rPr>
            </w:pPr>
            <w:r w:rsidRPr="00783571">
              <w:rPr>
                <w:sz w:val="20"/>
              </w:rPr>
              <w:t>Male-male partnership that only includes a</w:t>
            </w:r>
            <w:r w:rsidR="00E33B48" w:rsidRPr="00783571">
              <w:rPr>
                <w:sz w:val="20"/>
              </w:rPr>
              <w:t>nal intercourse (2)</w:t>
            </w:r>
          </w:p>
          <w:p w14:paraId="450BCF50" w14:textId="77777777" w:rsidR="00E33B48" w:rsidRPr="00783571" w:rsidRDefault="00B47D1E" w:rsidP="00D40CDC">
            <w:pPr>
              <w:pStyle w:val="TableText"/>
              <w:spacing w:before="50" w:after="50"/>
              <w:rPr>
                <w:sz w:val="20"/>
              </w:rPr>
            </w:pPr>
            <w:r w:rsidRPr="00783571">
              <w:rPr>
                <w:sz w:val="20"/>
              </w:rPr>
              <w:t xml:space="preserve">Male-female partnership that includes </w:t>
            </w:r>
            <w:r w:rsidR="00E33B48" w:rsidRPr="00783571">
              <w:rPr>
                <w:sz w:val="20"/>
              </w:rPr>
              <w:t>anal intercourse (3)</w:t>
            </w:r>
          </w:p>
          <w:p w14:paraId="711D1703" w14:textId="77777777" w:rsidR="00F50352" w:rsidRPr="00783571" w:rsidRDefault="00E33B48" w:rsidP="00D40CDC">
            <w:pPr>
              <w:pStyle w:val="TableText"/>
              <w:spacing w:before="50" w:after="50"/>
              <w:rPr>
                <w:sz w:val="20"/>
              </w:rPr>
            </w:pPr>
            <w:r w:rsidRPr="00783571">
              <w:rPr>
                <w:sz w:val="20"/>
              </w:rPr>
              <w:t>N</w:t>
            </w:r>
            <w:r w:rsidR="00F50352" w:rsidRPr="00783571">
              <w:rPr>
                <w:sz w:val="20"/>
              </w:rPr>
              <w:t>eedle-sharing</w:t>
            </w:r>
            <w:r w:rsidRPr="00783571">
              <w:rPr>
                <w:sz w:val="20"/>
              </w:rPr>
              <w:t xml:space="preserve"> (4)</w:t>
            </w:r>
          </w:p>
        </w:tc>
      </w:tr>
      <w:tr w:rsidR="00F50352" w:rsidRPr="00783571" w14:paraId="10207793" w14:textId="77777777" w:rsidTr="002A4EE6">
        <w:trPr>
          <w:cantSplit/>
        </w:trPr>
        <w:tc>
          <w:tcPr>
            <w:tcW w:w="346" w:type="pct"/>
            <w:tcBorders>
              <w:top w:val="single" w:sz="6" w:space="0" w:color="808080" w:themeColor="background1" w:themeShade="80"/>
              <w:bottom w:val="single" w:sz="12" w:space="0" w:color="000000"/>
            </w:tcBorders>
            <w:shd w:val="clear" w:color="auto" w:fill="auto"/>
          </w:tcPr>
          <w:p w14:paraId="5E6C412F" w14:textId="77777777" w:rsidR="00F50352" w:rsidRPr="00783571" w:rsidRDefault="00F50352" w:rsidP="00D40CDC">
            <w:pPr>
              <w:pStyle w:val="TableText"/>
              <w:spacing w:before="50" w:after="50"/>
              <w:jc w:val="center"/>
              <w:rPr>
                <w:sz w:val="20"/>
              </w:rPr>
            </w:pPr>
            <w:r w:rsidRPr="00783571">
              <w:rPr>
                <w:sz w:val="20"/>
              </w:rPr>
              <w:t>z</w:t>
            </w:r>
          </w:p>
        </w:tc>
        <w:tc>
          <w:tcPr>
            <w:tcW w:w="723" w:type="pct"/>
            <w:tcBorders>
              <w:top w:val="single" w:sz="6" w:space="0" w:color="808080" w:themeColor="background1" w:themeShade="80"/>
              <w:bottom w:val="single" w:sz="12" w:space="0" w:color="000000"/>
            </w:tcBorders>
            <w:shd w:val="clear" w:color="auto" w:fill="auto"/>
          </w:tcPr>
          <w:p w14:paraId="7A0D9877" w14:textId="77777777" w:rsidR="00F50352" w:rsidRPr="00783571" w:rsidRDefault="00F50352" w:rsidP="00D40CDC">
            <w:pPr>
              <w:pStyle w:val="TableText"/>
              <w:spacing w:before="50" w:after="50"/>
              <w:rPr>
                <w:sz w:val="20"/>
              </w:rPr>
            </w:pPr>
            <w:r w:rsidRPr="00783571">
              <w:rPr>
                <w:sz w:val="20"/>
              </w:rPr>
              <w:t>Transmission risk type</w:t>
            </w:r>
          </w:p>
        </w:tc>
        <w:tc>
          <w:tcPr>
            <w:tcW w:w="586" w:type="pct"/>
            <w:tcBorders>
              <w:top w:val="single" w:sz="6" w:space="0" w:color="808080" w:themeColor="background1" w:themeShade="80"/>
              <w:bottom w:val="single" w:sz="12" w:space="0" w:color="000000"/>
            </w:tcBorders>
          </w:tcPr>
          <w:p w14:paraId="769EF8C0" w14:textId="77777777" w:rsidR="00F50352" w:rsidRPr="00783571" w:rsidRDefault="00F50352" w:rsidP="00D40CDC">
            <w:pPr>
              <w:pStyle w:val="TableText"/>
              <w:tabs>
                <w:tab w:val="decimal" w:pos="693"/>
              </w:tabs>
              <w:spacing w:before="50" w:after="50"/>
              <w:rPr>
                <w:sz w:val="20"/>
              </w:rPr>
            </w:pPr>
            <w:r w:rsidRPr="00783571">
              <w:rPr>
                <w:sz w:val="20"/>
              </w:rPr>
              <w:t>3</w:t>
            </w:r>
          </w:p>
        </w:tc>
        <w:tc>
          <w:tcPr>
            <w:tcW w:w="3345" w:type="pct"/>
            <w:tcBorders>
              <w:top w:val="single" w:sz="6" w:space="0" w:color="808080" w:themeColor="background1" w:themeShade="80"/>
              <w:bottom w:val="single" w:sz="12" w:space="0" w:color="000000"/>
            </w:tcBorders>
          </w:tcPr>
          <w:p w14:paraId="4BB9D0C4" w14:textId="77777777" w:rsidR="00E33B48" w:rsidRPr="00783571" w:rsidRDefault="00E33B48" w:rsidP="00D40CDC">
            <w:pPr>
              <w:pStyle w:val="TableText"/>
              <w:spacing w:before="50" w:after="50"/>
              <w:rPr>
                <w:sz w:val="20"/>
              </w:rPr>
            </w:pPr>
            <w:r w:rsidRPr="00783571">
              <w:rPr>
                <w:sz w:val="20"/>
              </w:rPr>
              <w:t xml:space="preserve">Vaginal </w:t>
            </w:r>
            <w:r w:rsidR="00112754" w:rsidRPr="00783571">
              <w:rPr>
                <w:sz w:val="20"/>
              </w:rPr>
              <w:t>intercourse</w:t>
            </w:r>
            <w:r w:rsidRPr="00783571">
              <w:rPr>
                <w:sz w:val="20"/>
              </w:rPr>
              <w:t xml:space="preserve"> (1)</w:t>
            </w:r>
          </w:p>
          <w:p w14:paraId="328AC226" w14:textId="77777777" w:rsidR="00E33B48" w:rsidRPr="00783571" w:rsidRDefault="00E33B48" w:rsidP="00D40CDC">
            <w:pPr>
              <w:pStyle w:val="TableText"/>
              <w:spacing w:before="50" w:after="50"/>
              <w:rPr>
                <w:sz w:val="20"/>
              </w:rPr>
            </w:pPr>
            <w:r w:rsidRPr="00783571">
              <w:rPr>
                <w:sz w:val="20"/>
              </w:rPr>
              <w:t xml:space="preserve">Anal </w:t>
            </w:r>
            <w:r w:rsidR="00112754" w:rsidRPr="00783571">
              <w:rPr>
                <w:sz w:val="20"/>
              </w:rPr>
              <w:t>intercourse</w:t>
            </w:r>
            <w:r w:rsidRPr="00783571">
              <w:rPr>
                <w:sz w:val="20"/>
              </w:rPr>
              <w:t xml:space="preserve"> (2)</w:t>
            </w:r>
          </w:p>
          <w:p w14:paraId="10470892" w14:textId="77777777" w:rsidR="00F50352" w:rsidRPr="00783571" w:rsidRDefault="00F50352" w:rsidP="00D40CDC">
            <w:pPr>
              <w:pStyle w:val="TableText"/>
              <w:spacing w:before="50" w:after="50"/>
              <w:rPr>
                <w:sz w:val="20"/>
              </w:rPr>
            </w:pPr>
            <w:r w:rsidRPr="00783571">
              <w:rPr>
                <w:sz w:val="20"/>
              </w:rPr>
              <w:t>Needle-sharing</w:t>
            </w:r>
            <w:r w:rsidR="00E33B48" w:rsidRPr="00783571">
              <w:rPr>
                <w:sz w:val="20"/>
              </w:rPr>
              <w:t xml:space="preserve"> (3)</w:t>
            </w:r>
          </w:p>
        </w:tc>
      </w:tr>
    </w:tbl>
    <w:p w14:paraId="4601897A" w14:textId="375565AA" w:rsidR="001D7F8F" w:rsidRPr="00B9184A" w:rsidRDefault="00112754" w:rsidP="00112754">
      <w:pPr>
        <w:pStyle w:val="Source1"/>
        <w:rPr>
          <w:sz w:val="20"/>
        </w:rPr>
      </w:pPr>
      <w:r w:rsidRPr="00783571">
        <w:rPr>
          <w:sz w:val="20"/>
        </w:rPr>
        <w:t xml:space="preserve">Note: </w:t>
      </w:r>
      <w:r w:rsidR="00F50352" w:rsidRPr="00783571">
        <w:rPr>
          <w:sz w:val="20"/>
        </w:rPr>
        <w:t>ART</w:t>
      </w:r>
      <w:r w:rsidR="00E628BE" w:rsidRPr="00783571">
        <w:rPr>
          <w:sz w:val="20"/>
        </w:rPr>
        <w:t> = </w:t>
      </w:r>
      <w:r w:rsidR="00F50352" w:rsidRPr="00783571">
        <w:rPr>
          <w:sz w:val="20"/>
        </w:rPr>
        <w:t>antiretroviral therapy;</w:t>
      </w:r>
      <w:r w:rsidR="00341EDC" w:rsidRPr="00783571">
        <w:rPr>
          <w:sz w:val="20"/>
        </w:rPr>
        <w:t xml:space="preserve"> PrEP</w:t>
      </w:r>
      <w:r w:rsidR="00E628BE" w:rsidRPr="00783571">
        <w:rPr>
          <w:sz w:val="20"/>
        </w:rPr>
        <w:t> = </w:t>
      </w:r>
      <w:r w:rsidR="00341EDC" w:rsidRPr="00783571">
        <w:rPr>
          <w:sz w:val="20"/>
        </w:rPr>
        <w:t>pre-exposure prophylaxis; PWID</w:t>
      </w:r>
      <w:r w:rsidR="00E628BE" w:rsidRPr="00783571">
        <w:rPr>
          <w:sz w:val="20"/>
        </w:rPr>
        <w:t> = </w:t>
      </w:r>
      <w:r w:rsidR="00341EDC" w:rsidRPr="00783571">
        <w:rPr>
          <w:sz w:val="20"/>
        </w:rPr>
        <w:t>people who inject drugs</w:t>
      </w:r>
      <w:r w:rsidR="006015C3" w:rsidRPr="00783571">
        <w:rPr>
          <w:sz w:val="20"/>
        </w:rPr>
        <w:t>.</w:t>
      </w:r>
    </w:p>
    <w:sectPr w:rsidR="001D7F8F" w:rsidRPr="00B9184A" w:rsidSect="00786484">
      <w:headerReference w:type="even" r:id="rId229"/>
      <w:headerReference w:type="default" r:id="rId230"/>
      <w:footerReference w:type="even" r:id="rId231"/>
      <w:footerReference w:type="default" r:id="rId232"/>
      <w:endnotePr>
        <w:numFmt w:val="decimal"/>
      </w:endnotePr>
      <w:type w:val="oddPage"/>
      <w:pgSz w:w="15840" w:h="12240" w:orient="landscape"/>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96F39" w14:textId="77777777" w:rsidR="00D46135" w:rsidRDefault="00D46135">
      <w:r>
        <w:separator/>
      </w:r>
    </w:p>
  </w:endnote>
  <w:endnote w:type="continuationSeparator" w:id="0">
    <w:p w14:paraId="524C55E7" w14:textId="77777777" w:rsidR="00D46135" w:rsidRDefault="00D46135">
      <w:r>
        <w:continuationSeparator/>
      </w:r>
    </w:p>
  </w:endnote>
  <w:endnote w:type="continuationNotice" w:id="1">
    <w:p w14:paraId="6B405675" w14:textId="77777777" w:rsidR="00D46135" w:rsidRDefault="00D46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5ED1D" w14:textId="77777777" w:rsidR="00D46135" w:rsidRPr="00D071F2" w:rsidRDefault="00D46135" w:rsidP="00D071F2">
    <w:pPr>
      <w:pStyle w:val="Footer"/>
      <w:spacing w:line="240" w:lineRule="exact"/>
      <w:jc w:val="right"/>
      <w:rPr>
        <w:b w:val="0"/>
        <w:bCs/>
        <w:sz w:val="16"/>
        <w:szCs w:val="16"/>
      </w:rPr>
    </w:pPr>
    <w:r w:rsidRPr="00D071F2">
      <w:rPr>
        <w:b w:val="0"/>
        <w:bCs/>
        <w:sz w:val="16"/>
        <w:szCs w:val="16"/>
      </w:rPr>
      <w:t>_________________________________</w:t>
    </w:r>
    <w:r w:rsidRPr="00D071F2">
      <w:rPr>
        <w:b w:val="0"/>
        <w:bCs/>
        <w:sz w:val="16"/>
        <w:szCs w:val="16"/>
      </w:rPr>
      <w:br/>
      <w:t>RTI International is a trade name of Research Triangle Institute</w:t>
    </w:r>
    <w:r>
      <w:rPr>
        <w:b w:val="0"/>
        <w:bCs/>
        <w:sz w:val="16"/>
        <w:szCs w:val="16"/>
      </w:rPr>
      <w: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239F" w14:textId="68474A9F" w:rsidR="00D46135" w:rsidRPr="00F30D67" w:rsidRDefault="00D46135">
    <w:pPr>
      <w:pStyle w:val="Footer"/>
    </w:pPr>
    <w:r w:rsidRPr="00F30D67">
      <w:fldChar w:fldCharType="begin"/>
    </w:r>
    <w:r w:rsidRPr="00F30D67">
      <w:instrText xml:space="preserve"> PAGE </w:instrText>
    </w:r>
    <w:r w:rsidRPr="00F30D67">
      <w:fldChar w:fldCharType="separate"/>
    </w:r>
    <w:r w:rsidR="005E57FF">
      <w:rPr>
        <w:noProof/>
      </w:rPr>
      <w:t>3-4</w:t>
    </w:r>
    <w:r w:rsidRPr="00F30D67">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0C82" w14:textId="08DD18A9" w:rsidR="00D46135" w:rsidRPr="006471F0" w:rsidRDefault="00D46135" w:rsidP="006471F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2C63C" w14:textId="77777777" w:rsidR="00D46135" w:rsidRDefault="00D46135">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73CA2" w14:textId="77777777" w:rsidR="00D46135" w:rsidRPr="00686BDD" w:rsidRDefault="00D46135" w:rsidP="00ED02F2">
    <w:pPr>
      <w:pStyle w:val="Header"/>
      <w:pBdr>
        <w:bottom w:val="none" w:sz="0" w:space="0" w:color="auto"/>
      </w:pBdr>
      <w:ind w:right="360"/>
      <w:jc w:val="right"/>
      <w:rPr>
        <w:i w:val="0"/>
        <w:iCs/>
        <w:sz w:val="22"/>
        <w:szCs w:val="2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E4EF9" w14:textId="260EB1A5" w:rsidR="00D46135" w:rsidRDefault="00D46135">
    <w:pPr>
      <w:pStyle w:val="Footer"/>
    </w:pPr>
    <w:r>
      <w:fldChar w:fldCharType="begin"/>
    </w:r>
    <w:r>
      <w:instrText xml:space="preserve"> PAGE   \* MERGEFORMAT </w:instrText>
    </w:r>
    <w:r>
      <w:fldChar w:fldCharType="separate"/>
    </w:r>
    <w:r w:rsidR="000F17E7">
      <w:rPr>
        <w:noProof/>
      </w:rPr>
      <w:t>4-8</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9402" w14:textId="755A30C7" w:rsidR="00D46135" w:rsidRDefault="00D46135" w:rsidP="00395AB8">
    <w:pPr>
      <w:pStyle w:val="Footer"/>
      <w:jc w:val="right"/>
    </w:pPr>
    <w:r>
      <w:fldChar w:fldCharType="begin"/>
    </w:r>
    <w:r>
      <w:instrText xml:space="preserve"> PAGE   \* MERGEFORMAT </w:instrText>
    </w:r>
    <w:r>
      <w:fldChar w:fldCharType="separate"/>
    </w:r>
    <w:r w:rsidR="005E57FF">
      <w:rPr>
        <w:noProof/>
      </w:rPr>
      <w:t>4-7</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C9BD" w14:textId="77777777" w:rsidR="00D46135" w:rsidRDefault="00D46135" w:rsidP="00395AB8">
    <w:pPr>
      <w:pStyle w:val="Footer"/>
    </w:pPr>
    <w:r>
      <w:pgNum/>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BB736" w14:textId="77777777" w:rsidR="00D46135" w:rsidRDefault="00D46135" w:rsidP="00526BBA">
    <w:pPr>
      <w:pStyle w:val="Footer"/>
      <w:jc w:val="right"/>
    </w:pPr>
    <w:r>
      <w:fldChar w:fldCharType="begin"/>
    </w:r>
    <w:r>
      <w:instrText xml:space="preserve"> PAGE   \* MERGEFORMAT </w:instrText>
    </w:r>
    <w:r>
      <w:fldChar w:fldCharType="separate"/>
    </w:r>
    <w:r>
      <w:rPr>
        <w:noProof/>
      </w:rPr>
      <w:t>5-3</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5625" w14:textId="39A25680" w:rsidR="00D46135" w:rsidRDefault="00D46135" w:rsidP="00610AD9">
    <w:pPr>
      <w:pStyle w:val="Footer"/>
      <w:jc w:val="right"/>
    </w:pPr>
    <w:r>
      <w:fldChar w:fldCharType="begin"/>
    </w:r>
    <w:r>
      <w:instrText xml:space="preserve"> PAGE   \* MERGEFORMAT </w:instrText>
    </w:r>
    <w:r>
      <w:fldChar w:fldCharType="separate"/>
    </w:r>
    <w:r w:rsidR="005E57FF">
      <w:rPr>
        <w:noProof/>
      </w:rPr>
      <w:t>6-1</w:t>
    </w:r>
    <w:r>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F0E9" w14:textId="77777777" w:rsidR="00D46135" w:rsidRDefault="00D46135" w:rsidP="00610AD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C8A4F" w14:textId="77777777" w:rsidR="00D46135" w:rsidRDefault="00D46135">
    <w:pPr>
      <w:pStyle w:val="Footer"/>
      <w:jc w:val="righ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27AF" w14:textId="77777777" w:rsidR="00D46135" w:rsidRDefault="00D46135" w:rsidP="00526BBA">
    <w:pPr>
      <w:pStyle w:val="Footer"/>
      <w:jc w:val="righ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BC4D" w14:textId="577ED1D7" w:rsidR="00D46135" w:rsidRDefault="00D46135" w:rsidP="001A6C07">
    <w:pPr>
      <w:pStyle w:val="Footer"/>
    </w:pPr>
    <w:r>
      <w:fldChar w:fldCharType="begin"/>
    </w:r>
    <w:r>
      <w:instrText xml:space="preserve"> PAGE   \* MERGEFORMAT </w:instrText>
    </w:r>
    <w:r>
      <w:fldChar w:fldCharType="separate"/>
    </w:r>
    <w:r w:rsidR="000F17E7">
      <w:rPr>
        <w:noProof/>
      </w:rPr>
      <w:t>6-2</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4708" w14:textId="6E9348F6" w:rsidR="00D46135" w:rsidRDefault="00D46135" w:rsidP="001A6C07">
    <w:pPr>
      <w:pStyle w:val="Footer"/>
      <w:jc w:val="right"/>
    </w:pPr>
    <w:r>
      <w:fldChar w:fldCharType="begin"/>
    </w:r>
    <w:r>
      <w:instrText xml:space="preserve"> PAGE   \* MERGEFORMAT </w:instrText>
    </w:r>
    <w:r>
      <w:fldChar w:fldCharType="separate"/>
    </w:r>
    <w:r w:rsidR="000F17E7">
      <w:rPr>
        <w:noProof/>
      </w:rPr>
      <w:t>6-3</w:t>
    </w:r>
    <w:r>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2318" w14:textId="77777777" w:rsidR="00D46135" w:rsidRPr="00BD0512" w:rsidRDefault="00D46135" w:rsidP="00BD0512">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8B9B7" w14:textId="77777777" w:rsidR="00D46135" w:rsidRDefault="00D46135" w:rsidP="00526BBA">
    <w:pPr>
      <w:pStyle w:val="Footer"/>
      <w:jc w:val="righ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A171A" w14:textId="4C96BEBA" w:rsidR="00D46135" w:rsidRPr="00BD0512" w:rsidRDefault="00D46135" w:rsidP="00BD0512">
    <w:pPr>
      <w:pStyle w:val="Footer"/>
    </w:pPr>
    <w:r>
      <w:fldChar w:fldCharType="begin"/>
    </w:r>
    <w:r>
      <w:instrText xml:space="preserve"> PAGE   \* MERGEFORMAT </w:instrText>
    </w:r>
    <w:r>
      <w:fldChar w:fldCharType="separate"/>
    </w:r>
    <w:r w:rsidR="000F17E7">
      <w:rPr>
        <w:noProof/>
      </w:rPr>
      <w:t>6-8</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B6D6" w14:textId="7CEC6154" w:rsidR="00D46135" w:rsidRDefault="00D46135" w:rsidP="00526BBA">
    <w:pPr>
      <w:pStyle w:val="Footer"/>
      <w:jc w:val="right"/>
    </w:pPr>
    <w:r>
      <w:fldChar w:fldCharType="begin"/>
    </w:r>
    <w:r>
      <w:instrText xml:space="preserve"> PAGE   \* MERGEFORMAT </w:instrText>
    </w:r>
    <w:r>
      <w:fldChar w:fldCharType="separate"/>
    </w:r>
    <w:r>
      <w:rPr>
        <w:noProof/>
      </w:rPr>
      <w:t>6-7</w:t>
    </w:r>
    <w:r>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D46135" w:rsidRPr="00E1788E" w14:paraId="0E714652" w14:textId="77777777" w:rsidTr="00315F8D">
      <w:trPr>
        <w:cantSplit/>
        <w:trHeight w:hRule="exact" w:val="9216"/>
      </w:trPr>
      <w:tc>
        <w:tcPr>
          <w:tcW w:w="504" w:type="dxa"/>
          <w:tcMar>
            <w:left w:w="0" w:type="dxa"/>
            <w:right w:w="0" w:type="dxa"/>
          </w:tcMar>
          <w:textDirection w:val="tbRl"/>
        </w:tcPr>
        <w:p w14:paraId="58C81242" w14:textId="0CA73F57" w:rsidR="00D46135" w:rsidRPr="00E1788E" w:rsidRDefault="00D46135" w:rsidP="006A4DEA">
          <w:pPr>
            <w:rPr>
              <w:i/>
              <w:iCs/>
            </w:rPr>
          </w:pPr>
          <w:r w:rsidRPr="00A620EE">
            <w:rPr>
              <w:rStyle w:val="PageNumber"/>
            </w:rPr>
            <w:fldChar w:fldCharType="begin"/>
          </w:r>
          <w:r w:rsidRPr="00A620EE">
            <w:rPr>
              <w:rStyle w:val="PageNumber"/>
            </w:rPr>
            <w:instrText xml:space="preserve"> PAGE   \* MERGEFORMAT </w:instrText>
          </w:r>
          <w:r w:rsidRPr="00A620EE">
            <w:rPr>
              <w:rStyle w:val="PageNumber"/>
            </w:rPr>
            <w:fldChar w:fldCharType="separate"/>
          </w:r>
          <w:r>
            <w:rPr>
              <w:rStyle w:val="PageNumber"/>
              <w:noProof/>
            </w:rPr>
            <w:t>6-10</w:t>
          </w:r>
          <w:r w:rsidRPr="00A620EE">
            <w:rPr>
              <w:rStyle w:val="PageNumber"/>
            </w:rPr>
            <w:fldChar w:fldCharType="end"/>
          </w:r>
        </w:p>
      </w:tc>
    </w:tr>
  </w:tbl>
  <w:p w14:paraId="2AA37130" w14:textId="77777777" w:rsidR="00D46135" w:rsidRPr="00BD0512" w:rsidRDefault="00D46135" w:rsidP="00BD051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D46135" w:rsidRPr="00E1788E" w14:paraId="1161D06F" w14:textId="77777777" w:rsidTr="00F259E1">
      <w:trPr>
        <w:cantSplit/>
        <w:trHeight w:hRule="exact" w:val="9216"/>
      </w:trPr>
      <w:tc>
        <w:tcPr>
          <w:tcW w:w="504" w:type="dxa"/>
          <w:tcMar>
            <w:left w:w="0" w:type="dxa"/>
            <w:right w:w="0" w:type="dxa"/>
          </w:tcMar>
          <w:textDirection w:val="tbRl"/>
        </w:tcPr>
        <w:p w14:paraId="2192A21C" w14:textId="6E4B19C6" w:rsidR="00D46135" w:rsidRPr="00E1788E" w:rsidRDefault="00D46135" w:rsidP="00F259E1">
          <w:pPr>
            <w:jc w:val="right"/>
            <w:rPr>
              <w:i/>
              <w:iCs/>
            </w:rPr>
          </w:pPr>
          <w:r w:rsidRPr="00A620EE">
            <w:rPr>
              <w:rStyle w:val="PageNumber"/>
            </w:rPr>
            <w:fldChar w:fldCharType="begin"/>
          </w:r>
          <w:r w:rsidRPr="00A620EE">
            <w:rPr>
              <w:rStyle w:val="PageNumber"/>
            </w:rPr>
            <w:instrText xml:space="preserve"> PAGE   \* MERGEFORMAT </w:instrText>
          </w:r>
          <w:r w:rsidRPr="00A620EE">
            <w:rPr>
              <w:rStyle w:val="PageNumber"/>
            </w:rPr>
            <w:fldChar w:fldCharType="separate"/>
          </w:r>
          <w:r w:rsidR="000F17E7">
            <w:rPr>
              <w:rStyle w:val="PageNumber"/>
              <w:noProof/>
            </w:rPr>
            <w:t>6-9</w:t>
          </w:r>
          <w:r w:rsidRPr="00A620EE">
            <w:rPr>
              <w:rStyle w:val="PageNumber"/>
            </w:rPr>
            <w:fldChar w:fldCharType="end"/>
          </w:r>
        </w:p>
      </w:tc>
    </w:tr>
  </w:tbl>
  <w:p w14:paraId="7085F801" w14:textId="77777777" w:rsidR="00D46135" w:rsidRDefault="00D46135" w:rsidP="00526BBA">
    <w:pPr>
      <w:pStyle w:val="Footer"/>
      <w:jc w:val="right"/>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3C75F" w14:textId="60F9873A" w:rsidR="00D46135" w:rsidRDefault="00D46135" w:rsidP="00610AD9">
    <w:pPr>
      <w:pStyle w:val="Footer"/>
      <w:jc w:val="right"/>
    </w:pPr>
    <w:r>
      <w:fldChar w:fldCharType="begin"/>
    </w:r>
    <w:r>
      <w:instrText xml:space="preserve"> PAGE   \* MERGEFORMAT </w:instrText>
    </w:r>
    <w:r>
      <w:fldChar w:fldCharType="separate"/>
    </w:r>
    <w:r w:rsidR="005E57FF">
      <w:rPr>
        <w:noProof/>
      </w:rPr>
      <w:t>10-1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C3D59" w14:textId="77777777" w:rsidR="00D46135" w:rsidRDefault="00D46135" w:rsidP="00A0143E">
    <w:pPr>
      <w:pStyle w:val="Footer"/>
      <w:jc w:val="righ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222C" w14:textId="68FA8E4C" w:rsidR="00D46135" w:rsidRPr="00BD0512" w:rsidRDefault="00D46135" w:rsidP="00315F8D">
    <w:r w:rsidRPr="00A620EE">
      <w:rPr>
        <w:rStyle w:val="PageNumber"/>
      </w:rPr>
      <w:fldChar w:fldCharType="begin"/>
    </w:r>
    <w:r w:rsidRPr="00A620EE">
      <w:rPr>
        <w:rStyle w:val="PageNumber"/>
      </w:rPr>
      <w:instrText xml:space="preserve"> PAGE   \* MERGEFORMAT </w:instrText>
    </w:r>
    <w:r w:rsidRPr="00A620EE">
      <w:rPr>
        <w:rStyle w:val="PageNumber"/>
      </w:rPr>
      <w:fldChar w:fldCharType="separate"/>
    </w:r>
    <w:r w:rsidR="005E57FF">
      <w:rPr>
        <w:rStyle w:val="PageNumber"/>
        <w:noProof/>
      </w:rPr>
      <w:t>6-14</w:t>
    </w:r>
    <w:r w:rsidRPr="00A620EE">
      <w:rPr>
        <w:rStyle w:val="PageNumber"/>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9D39" w14:textId="69EDAD58" w:rsidR="00D46135" w:rsidRDefault="00D46135" w:rsidP="00315F8D">
    <w:pPr>
      <w:jc w:val="right"/>
    </w:pPr>
    <w:r w:rsidRPr="00A620EE">
      <w:rPr>
        <w:rStyle w:val="PageNumber"/>
      </w:rPr>
      <w:fldChar w:fldCharType="begin"/>
    </w:r>
    <w:r w:rsidRPr="00A620EE">
      <w:rPr>
        <w:rStyle w:val="PageNumber"/>
      </w:rPr>
      <w:instrText xml:space="preserve"> PAGE   \* MERGEFORMAT </w:instrText>
    </w:r>
    <w:r w:rsidRPr="00A620EE">
      <w:rPr>
        <w:rStyle w:val="PageNumber"/>
      </w:rPr>
      <w:fldChar w:fldCharType="separate"/>
    </w:r>
    <w:r w:rsidR="005E57FF">
      <w:rPr>
        <w:rStyle w:val="PageNumber"/>
        <w:noProof/>
      </w:rPr>
      <w:t>6-15</w:t>
    </w:r>
    <w:r w:rsidRPr="00A620EE">
      <w:rPr>
        <w:rStyle w:val="PageNumber"/>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EB89" w14:textId="16223E90" w:rsidR="00D46135" w:rsidRPr="00BD0512" w:rsidRDefault="00D46135" w:rsidP="00BD0512">
    <w:pPr>
      <w:pStyle w:val="Footer"/>
    </w:pPr>
    <w:r>
      <w:fldChar w:fldCharType="begin"/>
    </w:r>
    <w:r>
      <w:instrText xml:space="preserve"> PAGE   \* MERGEFORMAT </w:instrText>
    </w:r>
    <w:r>
      <w:fldChar w:fldCharType="separate"/>
    </w:r>
    <w:r w:rsidR="000F17E7">
      <w:rPr>
        <w:noProof/>
      </w:rPr>
      <w:t>12-12</w:t>
    </w:r>
    <w:r>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5CDE" w14:textId="26DC4921" w:rsidR="00D46135" w:rsidRDefault="00D46135" w:rsidP="00526BBA">
    <w:pPr>
      <w:pStyle w:val="Footer"/>
      <w:jc w:val="right"/>
    </w:pPr>
    <w:r>
      <w:fldChar w:fldCharType="begin"/>
    </w:r>
    <w:r>
      <w:instrText xml:space="preserve"> PAGE   \* MERGEFORMAT </w:instrText>
    </w:r>
    <w:r>
      <w:fldChar w:fldCharType="separate"/>
    </w:r>
    <w:r w:rsidR="000F17E7">
      <w:rPr>
        <w:noProof/>
      </w:rPr>
      <w:t>12-5</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494F4" w14:textId="691BA398" w:rsidR="00D46135" w:rsidRPr="00FC1821" w:rsidRDefault="00D46135" w:rsidP="00FC1821">
    <w:pPr>
      <w:pStyle w:val="Footer"/>
      <w:rPr>
        <w:bCs/>
      </w:rPr>
    </w:pPr>
    <w:r w:rsidRPr="00FC1821">
      <w:rPr>
        <w:bCs/>
      </w:rPr>
      <w:t>R-</w:t>
    </w:r>
    <w:r w:rsidRPr="00FC1821">
      <w:rPr>
        <w:bCs/>
      </w:rPr>
      <w:fldChar w:fldCharType="begin"/>
    </w:r>
    <w:r w:rsidRPr="00FC1821">
      <w:rPr>
        <w:bCs/>
      </w:rPr>
      <w:instrText xml:space="preserve"> PAGE </w:instrText>
    </w:r>
    <w:r w:rsidRPr="00FC1821">
      <w:rPr>
        <w:bCs/>
      </w:rPr>
      <w:fldChar w:fldCharType="separate"/>
    </w:r>
    <w:r w:rsidR="005E57FF">
      <w:rPr>
        <w:bCs/>
        <w:noProof/>
      </w:rPr>
      <w:t>10</w:t>
    </w:r>
    <w:r w:rsidRPr="00FC1821">
      <w:rPr>
        <w:bCs/>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DF7B" w14:textId="049E0F73" w:rsidR="00D46135" w:rsidRDefault="00D46135">
    <w:pPr>
      <w:pStyle w:val="Footer"/>
      <w:jc w:val="right"/>
    </w:pPr>
    <w:r>
      <w:t>R-</w:t>
    </w:r>
    <w:r>
      <w:fldChar w:fldCharType="begin"/>
    </w:r>
    <w:r>
      <w:instrText xml:space="preserve"> PAGE   \* MERGEFORMAT </w:instrText>
    </w:r>
    <w:r>
      <w:fldChar w:fldCharType="separate"/>
    </w:r>
    <w:r w:rsidR="005E57FF">
      <w:rPr>
        <w:noProof/>
      </w:rPr>
      <w:t>9</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29B86" w14:textId="3FAE493A" w:rsidR="00D46135" w:rsidRDefault="00D46135">
    <w:pPr>
      <w:pStyle w:val="Footer"/>
      <w:jc w:val="right"/>
    </w:pPr>
    <w:r>
      <w:t>R-</w:t>
    </w:r>
    <w:r>
      <w:fldChar w:fldCharType="begin"/>
    </w:r>
    <w:r>
      <w:instrText xml:space="preserve"> PAGE   \* MERGEFORMAT </w:instrText>
    </w:r>
    <w:r>
      <w:fldChar w:fldCharType="separate"/>
    </w:r>
    <w:r w:rsidR="005E57FF">
      <w:rPr>
        <w:noProof/>
      </w:rPr>
      <w:t>1</w:t>
    </w:r>
    <w:r>
      <w:rPr>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24F3" w14:textId="77777777" w:rsidR="00D46135" w:rsidRPr="00467D83" w:rsidRDefault="00D46135" w:rsidP="00B91CDB">
    <w:pPr>
      <w:pStyle w:val="Footer"/>
      <w:rPr>
        <w:b w:val="0"/>
        <w:bCs/>
      </w:rPr>
    </w:pPr>
    <w:r w:rsidRPr="00467D83">
      <w:rPr>
        <w:rStyle w:val="PageNumber"/>
        <w:b/>
        <w:bCs/>
      </w:rPr>
      <w:t>A-</w:t>
    </w:r>
    <w:r w:rsidRPr="00467D83">
      <w:rPr>
        <w:rStyle w:val="PageNumber"/>
        <w:b/>
        <w:bCs/>
      </w:rPr>
      <w:fldChar w:fldCharType="begin"/>
    </w:r>
    <w:r w:rsidRPr="00467D83">
      <w:rPr>
        <w:rStyle w:val="PageNumber"/>
        <w:b/>
        <w:bCs/>
      </w:rPr>
      <w:instrText xml:space="preserve"> PAGE </w:instrText>
    </w:r>
    <w:r w:rsidRPr="00467D83">
      <w:rPr>
        <w:rStyle w:val="PageNumber"/>
        <w:b/>
        <w:bCs/>
      </w:rPr>
      <w:fldChar w:fldCharType="separate"/>
    </w:r>
    <w:r>
      <w:rPr>
        <w:rStyle w:val="PageNumber"/>
        <w:b/>
        <w:bCs/>
        <w:noProof/>
      </w:rPr>
      <w:t>2</w:t>
    </w:r>
    <w:r w:rsidRPr="00467D83">
      <w:rPr>
        <w:rStyle w:val="PageNumber"/>
        <w:b/>
        <w:bCs/>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0F8E" w14:textId="77777777" w:rsidR="00D46135" w:rsidRDefault="00D46135">
    <w:pPr>
      <w:pStyle w:val="Footer"/>
      <w:jc w:val="right"/>
    </w:pPr>
    <w:r>
      <w:t>A-</w:t>
    </w:r>
    <w:r>
      <w:fldChar w:fldCharType="begin"/>
    </w:r>
    <w:r>
      <w:instrText xml:space="preserve"> PAGE   \* MERGEFORMAT </w:instrText>
    </w:r>
    <w:r>
      <w:fldChar w:fldCharType="separate"/>
    </w:r>
    <w:r>
      <w:rPr>
        <w:noProof/>
      </w:rPr>
      <w:t>3</w:t>
    </w:r>
    <w:r>
      <w:rPr>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7793D" w14:textId="7E801AFB" w:rsidR="00D46135" w:rsidRDefault="00D46135">
    <w:pPr>
      <w:pStyle w:val="Footer"/>
      <w:jc w:val="right"/>
    </w:pPr>
    <w:r w:rsidRPr="00467D83">
      <w:rPr>
        <w:rStyle w:val="PageNumber"/>
        <w:b/>
        <w:bCs/>
      </w:rPr>
      <w:t>A-</w:t>
    </w:r>
    <w:r w:rsidRPr="00467D83">
      <w:rPr>
        <w:rStyle w:val="PageNumber"/>
        <w:b/>
        <w:bCs/>
      </w:rPr>
      <w:fldChar w:fldCharType="begin"/>
    </w:r>
    <w:r w:rsidRPr="00467D83">
      <w:rPr>
        <w:rStyle w:val="PageNumber"/>
        <w:b/>
        <w:bCs/>
      </w:rPr>
      <w:instrText xml:space="preserve"> PAGE </w:instrText>
    </w:r>
    <w:r w:rsidRPr="00467D83">
      <w:rPr>
        <w:rStyle w:val="PageNumber"/>
        <w:b/>
        <w:bCs/>
      </w:rPr>
      <w:fldChar w:fldCharType="separate"/>
    </w:r>
    <w:r w:rsidR="005E57FF">
      <w:rPr>
        <w:rStyle w:val="PageNumber"/>
        <w:b/>
        <w:bCs/>
        <w:noProof/>
      </w:rPr>
      <w:t>1</w:t>
    </w:r>
    <w:r w:rsidRPr="00467D83">
      <w:rPr>
        <w:rStyle w:val="PageNumbe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83D4" w14:textId="31899351" w:rsidR="00D46135" w:rsidRPr="00CB73F1" w:rsidRDefault="00D46135">
    <w:pPr>
      <w:pStyle w:val="Footer"/>
    </w:pPr>
    <w:r w:rsidRPr="00CB73F1">
      <w:fldChar w:fldCharType="begin"/>
    </w:r>
    <w:r w:rsidRPr="00CB73F1">
      <w:instrText xml:space="preserve"> PAGE </w:instrText>
    </w:r>
    <w:r w:rsidRPr="00CB73F1">
      <w:fldChar w:fldCharType="separate"/>
    </w:r>
    <w:r w:rsidR="000F17E7">
      <w:rPr>
        <w:noProof/>
      </w:rPr>
      <w:t>viii</w:t>
    </w:r>
    <w:r w:rsidRPr="00CB73F1">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43C9" w14:textId="77777777" w:rsidR="00D46135" w:rsidRPr="005A22AE" w:rsidRDefault="00D46135" w:rsidP="005A22AE">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3863" w14:textId="77777777" w:rsidR="00D46135" w:rsidRPr="005A22AE" w:rsidRDefault="00D46135" w:rsidP="005A22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EB5B" w14:textId="4C193850" w:rsidR="00D46135" w:rsidRPr="00CB73F1" w:rsidRDefault="00D46135">
    <w:pPr>
      <w:pStyle w:val="Footer"/>
      <w:jc w:val="right"/>
    </w:pPr>
    <w:r w:rsidRPr="00CB73F1">
      <w:fldChar w:fldCharType="begin"/>
    </w:r>
    <w:r w:rsidRPr="00CB73F1">
      <w:instrText xml:space="preserve"> PAGE </w:instrText>
    </w:r>
    <w:r w:rsidRPr="00CB73F1">
      <w:fldChar w:fldCharType="separate"/>
    </w:r>
    <w:r w:rsidR="000F17E7">
      <w:rPr>
        <w:noProof/>
      </w:rPr>
      <w:t>ix</w:t>
    </w:r>
    <w:r w:rsidRPr="00CB73F1">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501A" w14:textId="18ACBFA4" w:rsidR="00D46135" w:rsidRPr="00CB73F1" w:rsidRDefault="00D46135">
    <w:pPr>
      <w:pStyle w:val="Footer"/>
      <w:jc w:val="right"/>
    </w:pPr>
    <w:r w:rsidRPr="00CB73F1">
      <w:fldChar w:fldCharType="begin"/>
    </w:r>
    <w:r w:rsidRPr="00CB73F1">
      <w:instrText xml:space="preserve"> PAGE </w:instrText>
    </w:r>
    <w:r w:rsidRPr="00CB73F1">
      <w:fldChar w:fldCharType="separate"/>
    </w:r>
    <w:r w:rsidR="005E57FF">
      <w:rPr>
        <w:noProof/>
      </w:rPr>
      <w:t>iii</w:t>
    </w:r>
    <w:r w:rsidRPr="00CB73F1">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12E96" w14:textId="64F5BA0B" w:rsidR="00D46135" w:rsidRPr="00F30D67" w:rsidRDefault="00D46135">
    <w:pPr>
      <w:pStyle w:val="Footer"/>
    </w:pPr>
    <w:r w:rsidRPr="00F30D67">
      <w:fldChar w:fldCharType="begin"/>
    </w:r>
    <w:r w:rsidRPr="00F30D67">
      <w:instrText xml:space="preserve"> PAGE </w:instrText>
    </w:r>
    <w:r w:rsidRPr="00F30D67">
      <w:fldChar w:fldCharType="separate"/>
    </w:r>
    <w:r w:rsidR="000F17E7">
      <w:rPr>
        <w:noProof/>
      </w:rPr>
      <w:t>1-2</w:t>
    </w:r>
    <w:r w:rsidRPr="00F30D67">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7C44" w14:textId="012E164E" w:rsidR="00D46135" w:rsidRDefault="00D46135">
    <w:pPr>
      <w:pStyle w:val="Footer"/>
      <w:jc w:val="right"/>
    </w:pPr>
    <w:r>
      <w:fldChar w:fldCharType="begin"/>
    </w:r>
    <w:r>
      <w:instrText xml:space="preserve"> PAGE   \* MERGEFORMAT </w:instrText>
    </w:r>
    <w:r>
      <w:fldChar w:fldCharType="separate"/>
    </w:r>
    <w:r w:rsidR="005E57FF">
      <w:rPr>
        <w:noProof/>
      </w:rPr>
      <w:t>3-3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79EE1" w14:textId="3D207150" w:rsidR="00D46135" w:rsidRDefault="00D46135">
    <w:pPr>
      <w:pStyle w:val="Footer"/>
      <w:jc w:val="right"/>
    </w:pPr>
    <w:r>
      <w:fldChar w:fldCharType="begin"/>
    </w:r>
    <w:r>
      <w:instrText xml:space="preserve"> PAGE   \* MERGEFORMAT </w:instrText>
    </w:r>
    <w:r>
      <w:fldChar w:fldCharType="separate"/>
    </w:r>
    <w:r w:rsidR="000F17E7">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A595" w14:textId="77777777" w:rsidR="00D46135" w:rsidRDefault="00D46135">
      <w:r>
        <w:separator/>
      </w:r>
    </w:p>
  </w:footnote>
  <w:footnote w:type="continuationSeparator" w:id="0">
    <w:p w14:paraId="3C326563" w14:textId="77777777" w:rsidR="00D46135" w:rsidRDefault="00D46135">
      <w:r>
        <w:continuationSeparator/>
      </w:r>
    </w:p>
  </w:footnote>
  <w:footnote w:type="continuationNotice" w:id="1">
    <w:p w14:paraId="6350D0C4" w14:textId="77777777" w:rsidR="00D46135" w:rsidRDefault="00D461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6B37" w14:textId="77777777" w:rsidR="00D46135" w:rsidRDefault="00D46135" w:rsidP="00D071F2">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4" w:rightFromText="144" w:horzAnchor="page" w:tblpX="14905" w:tblpY="1"/>
      <w:tblOverlap w:val="never"/>
      <w:tblW w:w="0" w:type="auto"/>
      <w:tblLayout w:type="fixed"/>
      <w:tblCellMar>
        <w:left w:w="72" w:type="dxa"/>
        <w:right w:w="72" w:type="dxa"/>
      </w:tblCellMar>
      <w:tblLook w:val="01E0" w:firstRow="1" w:lastRow="1" w:firstColumn="1" w:lastColumn="1" w:noHBand="0" w:noVBand="0"/>
    </w:tblPr>
    <w:tblGrid>
      <w:gridCol w:w="504"/>
    </w:tblGrid>
    <w:tr w:rsidR="00D46135" w:rsidRPr="00E1788E" w14:paraId="7F673BD5" w14:textId="77777777" w:rsidTr="00F31D98">
      <w:trPr>
        <w:cantSplit/>
        <w:trHeight w:val="9216"/>
      </w:trPr>
      <w:tc>
        <w:tcPr>
          <w:tcW w:w="504" w:type="dxa"/>
          <w:tcMar>
            <w:left w:w="0" w:type="dxa"/>
            <w:right w:w="0" w:type="dxa"/>
          </w:tcMar>
          <w:textDirection w:val="tbRl"/>
          <w:vAlign w:val="bottom"/>
        </w:tcPr>
        <w:p w14:paraId="22A71898" w14:textId="4E7055A5" w:rsidR="00D46135" w:rsidRPr="008D74EC" w:rsidRDefault="00D46135" w:rsidP="00CA2896">
          <w:pPr>
            <w:pStyle w:val="Header"/>
            <w:jc w:val="right"/>
            <w:rPr>
              <w:iCs/>
              <w:sz w:val="22"/>
              <w:szCs w:val="22"/>
            </w:rPr>
          </w:pPr>
          <w:r w:rsidRPr="006471F0">
            <w:t>Section 3 — Model Population and Compartments</w:t>
          </w:r>
        </w:p>
      </w:tc>
    </w:tr>
  </w:tbl>
  <w:tbl>
    <w:tblPr>
      <w:tblpPr w:leftFromText="72" w:rightFromText="72" w:horzAnchor="page" w:tblpX="519" w:tblpY="1"/>
      <w:tblOverlap w:val="never"/>
      <w:tblW w:w="0" w:type="auto"/>
      <w:tblBorders>
        <w:right w:val="single" w:sz="2" w:space="0" w:color="auto"/>
      </w:tblBorders>
      <w:tblLayout w:type="fixed"/>
      <w:tblCellMar>
        <w:left w:w="0" w:type="dxa"/>
        <w:right w:w="0" w:type="dxa"/>
      </w:tblCellMar>
      <w:tblLook w:val="01E0" w:firstRow="1" w:lastRow="1" w:firstColumn="1" w:lastColumn="1" w:noHBand="0" w:noVBand="0"/>
    </w:tblPr>
    <w:tblGrid>
      <w:gridCol w:w="504"/>
    </w:tblGrid>
    <w:tr w:rsidR="00D46135" w:rsidRPr="00E1788E" w14:paraId="39A2F728" w14:textId="77777777" w:rsidTr="00F31D98">
      <w:trPr>
        <w:cantSplit/>
        <w:trHeight w:val="9216"/>
      </w:trPr>
      <w:tc>
        <w:tcPr>
          <w:tcW w:w="504" w:type="dxa"/>
          <w:tcMar>
            <w:left w:w="0" w:type="dxa"/>
            <w:right w:w="0" w:type="dxa"/>
          </w:tcMar>
          <w:textDirection w:val="tbRl"/>
        </w:tcPr>
        <w:p w14:paraId="7F1A93BF" w14:textId="1D6DAF59" w:rsidR="00D46135" w:rsidRPr="00E1788E" w:rsidRDefault="00D46135" w:rsidP="00DF1AFE">
          <w:pPr>
            <w:jc w:val="right"/>
            <w:rPr>
              <w:i/>
              <w:iCs/>
            </w:rPr>
          </w:pPr>
          <w:r w:rsidRPr="006471F0">
            <w:rPr>
              <w:rStyle w:val="PageNumber"/>
              <w:rFonts w:cs="Arial"/>
            </w:rPr>
            <w:fldChar w:fldCharType="begin"/>
          </w:r>
          <w:r w:rsidRPr="006471F0">
            <w:rPr>
              <w:rStyle w:val="PageNumber"/>
              <w:rFonts w:cs="Arial"/>
            </w:rPr>
            <w:instrText xml:space="preserve"> PAGE   \* MERGEFORMAT </w:instrText>
          </w:r>
          <w:r w:rsidRPr="006471F0">
            <w:rPr>
              <w:rStyle w:val="PageNumber"/>
              <w:rFonts w:cs="Arial"/>
            </w:rPr>
            <w:fldChar w:fldCharType="separate"/>
          </w:r>
          <w:r w:rsidR="005E57FF">
            <w:rPr>
              <w:rStyle w:val="PageNumber"/>
              <w:rFonts w:cs="Arial"/>
              <w:noProof/>
            </w:rPr>
            <w:t>3-5</w:t>
          </w:r>
          <w:r w:rsidRPr="006471F0">
            <w:rPr>
              <w:rStyle w:val="PageNumber"/>
              <w:rFonts w:cs="Arial"/>
            </w:rPr>
            <w:fldChar w:fldCharType="end"/>
          </w:r>
        </w:p>
      </w:tc>
    </w:tr>
  </w:tbl>
  <w:p w14:paraId="6839B3EE" w14:textId="4196842C" w:rsidR="00D46135" w:rsidRDefault="00D46135" w:rsidP="006471F0">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61817" w14:textId="77777777" w:rsidR="00D46135" w:rsidRDefault="00D46135" w:rsidP="00C47A13">
    <w:pPr>
      <w:pStyle w:val="Header"/>
      <w:jc w:val="right"/>
    </w:pPr>
    <w:r>
      <w:t>Section 4 —</w:t>
    </w:r>
    <w:r w:rsidRPr="005A22AE">
      <w:t>Initial Population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D46135" w:rsidRPr="00E1788E" w14:paraId="29814EFC" w14:textId="77777777" w:rsidTr="003B19DD">
      <w:trPr>
        <w:cantSplit/>
        <w:trHeight w:hRule="exact" w:val="9216"/>
      </w:trPr>
      <w:tc>
        <w:tcPr>
          <w:tcW w:w="504" w:type="dxa"/>
          <w:tcMar>
            <w:left w:w="0" w:type="dxa"/>
            <w:right w:w="0" w:type="dxa"/>
          </w:tcMar>
          <w:textDirection w:val="tbRl"/>
        </w:tcPr>
        <w:p w14:paraId="1F1FFEDE" w14:textId="0ED57954" w:rsidR="00D46135" w:rsidRPr="00E1788E" w:rsidRDefault="00D46135" w:rsidP="00526BBA">
          <w:pPr>
            <w:rPr>
              <w:i/>
              <w:iCs/>
            </w:rPr>
          </w:pPr>
          <w:r w:rsidRPr="00A620EE">
            <w:rPr>
              <w:rStyle w:val="PageNumber"/>
            </w:rPr>
            <w:fldChar w:fldCharType="begin"/>
          </w:r>
          <w:r w:rsidRPr="00A620EE">
            <w:rPr>
              <w:rStyle w:val="PageNumber"/>
            </w:rPr>
            <w:instrText xml:space="preserve"> PAGE   \* MERGEFORMAT </w:instrText>
          </w:r>
          <w:r w:rsidRPr="00A620EE">
            <w:rPr>
              <w:rStyle w:val="PageNumber"/>
            </w:rPr>
            <w:fldChar w:fldCharType="separate"/>
          </w:r>
          <w:r w:rsidR="000F17E7">
            <w:rPr>
              <w:rStyle w:val="PageNumber"/>
              <w:noProof/>
            </w:rPr>
            <w:t>4-4</w:t>
          </w:r>
          <w:r w:rsidRPr="00A620EE">
            <w:rPr>
              <w:rStyle w:val="PageNumber"/>
            </w:rPr>
            <w:fldChar w:fldCharType="end"/>
          </w:r>
        </w:p>
      </w:tc>
    </w:tr>
  </w:tbl>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D46135" w:rsidRPr="00E1788E" w14:paraId="3CEF0566" w14:textId="77777777" w:rsidTr="005F5498">
      <w:trPr>
        <w:cantSplit/>
        <w:trHeight w:hRule="exact" w:val="9216"/>
      </w:trPr>
      <w:tc>
        <w:tcPr>
          <w:tcW w:w="504" w:type="dxa"/>
          <w:tcMar>
            <w:left w:w="0" w:type="dxa"/>
            <w:right w:w="0" w:type="dxa"/>
          </w:tcMar>
          <w:textDirection w:val="tbRl"/>
          <w:vAlign w:val="bottom"/>
        </w:tcPr>
        <w:p w14:paraId="60BFE632" w14:textId="13CF78BB" w:rsidR="00D46135" w:rsidRPr="00E1788E" w:rsidRDefault="00D46135" w:rsidP="005F5498">
          <w:pPr>
            <w:pStyle w:val="Header"/>
          </w:pPr>
          <w:r w:rsidRPr="001B1470">
            <w:t>Technical Report for the HIV Optimization and Prevention Effectiveness (HOPE) Model</w:t>
          </w:r>
        </w:p>
      </w:tc>
    </w:tr>
  </w:tbl>
  <w:p w14:paraId="38AEEFD9" w14:textId="77777777" w:rsidR="00D46135" w:rsidRDefault="00D46135" w:rsidP="00526BBA">
    <w:pPr>
      <w:pStyle w:val="Header"/>
      <w:pBdr>
        <w:bottom w:val="none" w:sz="0" w:space="0" w:color="auto"/>
      </w:pBdr>
      <w:ind w:right="36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D46135" w:rsidRPr="00E1788E" w14:paraId="2FC8FC20" w14:textId="77777777" w:rsidTr="003B19DD">
      <w:trPr>
        <w:cantSplit/>
        <w:trHeight w:hRule="exact" w:val="9216"/>
      </w:trPr>
      <w:tc>
        <w:tcPr>
          <w:tcW w:w="504" w:type="dxa"/>
          <w:tcMar>
            <w:left w:w="0" w:type="dxa"/>
            <w:right w:w="0" w:type="dxa"/>
          </w:tcMar>
          <w:textDirection w:val="tbRl"/>
        </w:tcPr>
        <w:p w14:paraId="2F42C695" w14:textId="67C3FA9A" w:rsidR="00D46135" w:rsidRPr="00E1788E" w:rsidRDefault="00D46135" w:rsidP="00526BBA">
          <w:pPr>
            <w:jc w:val="right"/>
            <w:rPr>
              <w:i/>
              <w:iCs/>
            </w:rPr>
          </w:pPr>
          <w:r w:rsidRPr="00A620EE">
            <w:rPr>
              <w:rStyle w:val="PageNumber"/>
            </w:rPr>
            <w:fldChar w:fldCharType="begin"/>
          </w:r>
          <w:r w:rsidRPr="00A620EE">
            <w:rPr>
              <w:rStyle w:val="PageNumber"/>
            </w:rPr>
            <w:instrText xml:space="preserve"> PAGE   \* MERGEFORMAT </w:instrText>
          </w:r>
          <w:r w:rsidRPr="00A620EE">
            <w:rPr>
              <w:rStyle w:val="PageNumber"/>
            </w:rPr>
            <w:fldChar w:fldCharType="separate"/>
          </w:r>
          <w:r w:rsidR="000F17E7">
            <w:rPr>
              <w:rStyle w:val="PageNumber"/>
              <w:noProof/>
            </w:rPr>
            <w:t>4-3</w:t>
          </w:r>
          <w:r w:rsidRPr="00A620EE">
            <w:rPr>
              <w:rStyle w:val="PageNumber"/>
            </w:rPr>
            <w:fldChar w:fldCharType="end"/>
          </w:r>
        </w:p>
      </w:tc>
    </w:tr>
  </w:tbl>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D46135" w:rsidRPr="00E1788E" w14:paraId="7783CF0F" w14:textId="77777777" w:rsidTr="005F5498">
      <w:trPr>
        <w:cantSplit/>
        <w:trHeight w:hRule="exact" w:val="9216"/>
      </w:trPr>
      <w:tc>
        <w:tcPr>
          <w:tcW w:w="504" w:type="dxa"/>
          <w:tcMar>
            <w:left w:w="0" w:type="dxa"/>
            <w:right w:w="0" w:type="dxa"/>
          </w:tcMar>
          <w:textDirection w:val="tbRl"/>
          <w:vAlign w:val="bottom"/>
        </w:tcPr>
        <w:p w14:paraId="4C7D21BB" w14:textId="77777777" w:rsidR="00D46135" w:rsidRPr="00E1788E" w:rsidRDefault="00D46135" w:rsidP="00395AB8">
          <w:pPr>
            <w:pStyle w:val="Header"/>
            <w:jc w:val="right"/>
          </w:pPr>
          <w:r>
            <w:t xml:space="preserve">Section 4 — </w:t>
          </w:r>
          <w:r w:rsidRPr="00987319">
            <w:t>Initial Population</w:t>
          </w:r>
        </w:p>
      </w:tc>
    </w:tr>
  </w:tbl>
  <w:p w14:paraId="16AB6145" w14:textId="77777777" w:rsidR="00D46135" w:rsidRPr="002B7803" w:rsidRDefault="00D46135" w:rsidP="00ED02F2">
    <w:pPr>
      <w:pStyle w:val="Header"/>
      <w:pBdr>
        <w:bottom w:val="none" w:sz="0" w:space="0" w:color="auto"/>
      </w:pBdr>
      <w:rPr>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09B4" w14:textId="16F7CA89" w:rsidR="00D46135" w:rsidRPr="00E1788E" w:rsidRDefault="00D46135" w:rsidP="00072F57">
    <w:pPr>
      <w:pStyle w:val="Header"/>
    </w:pPr>
    <w:r w:rsidRPr="001B1470">
      <w:t>Technical Report for the HIV Optimization and Prevention Effectiveness (HOPE) Model</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A8AC" w14:textId="77777777" w:rsidR="00D46135" w:rsidRDefault="00D46135" w:rsidP="00395AB8">
    <w:pPr>
      <w:pStyle w:val="Header"/>
      <w:jc w:val="right"/>
    </w:pPr>
    <w:r>
      <w:t xml:space="preserve">Section 4 — </w:t>
    </w:r>
    <w:r w:rsidRPr="00987319">
      <w:t>Initial Population</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32ABE" w14:textId="77777777" w:rsidR="00D46135" w:rsidRDefault="00D46135" w:rsidP="00EA6FDC">
    <w:pPr>
      <w:pStyle w:val="Header"/>
    </w:pPr>
    <w:r>
      <w:t>Technical Report</w:t>
    </w:r>
    <w:r w:rsidRPr="00987319">
      <w:t xml:space="preserve"> for the CDC-RTI National HIV Epidemic Model</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8BEF" w14:textId="0EFAE8BA" w:rsidR="00D46135" w:rsidRDefault="00D46135" w:rsidP="00395AB8">
    <w:pPr>
      <w:pStyle w:val="Header"/>
      <w:jc w:val="right"/>
    </w:pPr>
    <w:r>
      <w:t xml:space="preserve">Section 5 — </w:t>
    </w:r>
    <w:r w:rsidRPr="005A22AE">
      <w:t xml:space="preserve">Movement into and out of Model, Between Subpopulations, </w:t>
    </w:r>
    <w:r>
      <w:br/>
    </w:r>
    <w:r w:rsidRPr="005A22AE">
      <w:t>Between Compartments (Except Due to Infection), and Within Compartments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F376" w14:textId="77777777" w:rsidR="00D46135" w:rsidRPr="00610AD9" w:rsidRDefault="00D46135" w:rsidP="00610AD9">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D46135" w:rsidRPr="00E1788E" w14:paraId="7DF972E9" w14:textId="77777777" w:rsidTr="003B19DD">
      <w:trPr>
        <w:cantSplit/>
        <w:trHeight w:hRule="exact" w:val="9216"/>
      </w:trPr>
      <w:tc>
        <w:tcPr>
          <w:tcW w:w="504" w:type="dxa"/>
          <w:tcMar>
            <w:left w:w="0" w:type="dxa"/>
            <w:right w:w="0" w:type="dxa"/>
          </w:tcMar>
          <w:textDirection w:val="tbRl"/>
        </w:tcPr>
        <w:p w14:paraId="40CFC65B" w14:textId="6CE3A3CD" w:rsidR="00D46135" w:rsidRPr="00E1788E" w:rsidRDefault="00D46135" w:rsidP="00610AD9">
          <w:pPr>
            <w:rPr>
              <w:i/>
              <w:iCs/>
            </w:rPr>
          </w:pPr>
          <w:r w:rsidRPr="00A620EE">
            <w:rPr>
              <w:rStyle w:val="PageNumber"/>
            </w:rPr>
            <w:fldChar w:fldCharType="begin"/>
          </w:r>
          <w:r w:rsidRPr="00A620EE">
            <w:rPr>
              <w:rStyle w:val="PageNumber"/>
            </w:rPr>
            <w:instrText xml:space="preserve"> PAGE   \* MERGEFORMAT </w:instrText>
          </w:r>
          <w:r w:rsidRPr="00A620EE">
            <w:rPr>
              <w:rStyle w:val="PageNumber"/>
            </w:rPr>
            <w:fldChar w:fldCharType="separate"/>
          </w:r>
          <w:r w:rsidR="000F17E7">
            <w:rPr>
              <w:rStyle w:val="PageNumber"/>
              <w:noProof/>
            </w:rPr>
            <w:t>5-10</w:t>
          </w:r>
          <w:r w:rsidRPr="00A620EE">
            <w:rPr>
              <w:rStyle w:val="PageNumber"/>
            </w:rPr>
            <w:fldChar w:fldCharType="end"/>
          </w:r>
        </w:p>
      </w:tc>
    </w:tr>
  </w:tbl>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D46135" w:rsidRPr="00E1788E" w14:paraId="399D8BD6" w14:textId="77777777" w:rsidTr="005F5498">
      <w:trPr>
        <w:cantSplit/>
        <w:trHeight w:hRule="exact" w:val="9216"/>
      </w:trPr>
      <w:tc>
        <w:tcPr>
          <w:tcW w:w="504" w:type="dxa"/>
          <w:tcMar>
            <w:left w:w="0" w:type="dxa"/>
            <w:right w:w="0" w:type="dxa"/>
          </w:tcMar>
          <w:textDirection w:val="tbRl"/>
          <w:vAlign w:val="bottom"/>
        </w:tcPr>
        <w:p w14:paraId="65BA5D63" w14:textId="404F46DF" w:rsidR="00D46135" w:rsidRPr="00E1788E" w:rsidRDefault="00D46135" w:rsidP="005F5498">
          <w:pPr>
            <w:pStyle w:val="Header"/>
          </w:pPr>
          <w:r w:rsidRPr="001B1470">
            <w:t>Technical Report for the HIV Optimization and Prevention Effectiveness (HOPE) Model</w:t>
          </w:r>
        </w:p>
      </w:tc>
    </w:tr>
  </w:tbl>
  <w:p w14:paraId="6C0A67A8" w14:textId="77777777" w:rsidR="00D46135" w:rsidRDefault="00D46135" w:rsidP="00526BBA">
    <w:pPr>
      <w:pStyle w:val="Header"/>
      <w:pBdr>
        <w:bottom w:val="none" w:sz="0" w:space="0" w:color="auto"/>
      </w:pBdr>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1E22" w14:textId="77777777" w:rsidR="00D46135" w:rsidRDefault="00D46135">
    <w:pPr>
      <w:pStyle w:val="Header"/>
      <w:pBdr>
        <w:bottom w:val="none" w:sz="0" w:space="0" w:color="auto"/>
      </w:pBd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D46135" w:rsidRPr="00E1788E" w14:paraId="69D76079" w14:textId="77777777" w:rsidTr="003B19DD">
      <w:trPr>
        <w:cantSplit/>
        <w:trHeight w:hRule="exact" w:val="9216"/>
      </w:trPr>
      <w:tc>
        <w:tcPr>
          <w:tcW w:w="504" w:type="dxa"/>
          <w:tcMar>
            <w:left w:w="0" w:type="dxa"/>
            <w:right w:w="0" w:type="dxa"/>
          </w:tcMar>
          <w:textDirection w:val="tbRl"/>
        </w:tcPr>
        <w:p w14:paraId="7C231B33" w14:textId="3F6A85D8" w:rsidR="00D46135" w:rsidRPr="00E1788E" w:rsidRDefault="00D46135" w:rsidP="00610AD9">
          <w:pPr>
            <w:jc w:val="right"/>
            <w:rPr>
              <w:i/>
              <w:iCs/>
            </w:rPr>
          </w:pPr>
          <w:r w:rsidRPr="00A620EE">
            <w:rPr>
              <w:rStyle w:val="PageNumber"/>
            </w:rPr>
            <w:fldChar w:fldCharType="begin"/>
          </w:r>
          <w:r w:rsidRPr="00A620EE">
            <w:rPr>
              <w:rStyle w:val="PageNumber"/>
            </w:rPr>
            <w:instrText xml:space="preserve"> PAGE   \* MERGEFORMAT </w:instrText>
          </w:r>
          <w:r w:rsidRPr="00A620EE">
            <w:rPr>
              <w:rStyle w:val="PageNumber"/>
            </w:rPr>
            <w:fldChar w:fldCharType="separate"/>
          </w:r>
          <w:r w:rsidR="000F17E7">
            <w:rPr>
              <w:rStyle w:val="PageNumber"/>
              <w:noProof/>
            </w:rPr>
            <w:t>5-11</w:t>
          </w:r>
          <w:r w:rsidRPr="00A620EE">
            <w:rPr>
              <w:rStyle w:val="PageNumber"/>
            </w:rPr>
            <w:fldChar w:fldCharType="end"/>
          </w:r>
        </w:p>
      </w:tc>
    </w:tr>
  </w:tbl>
  <w:tbl>
    <w:tblPr>
      <w:tblpPr w:leftFromText="72" w:rightFromText="72" w:horzAnchor="page" w:tblpX="14905" w:tblpY="1"/>
      <w:tblOverlap w:val="never"/>
      <w:tblW w:w="0" w:type="auto"/>
      <w:tblBorders>
        <w:left w:val="single" w:sz="4" w:space="0" w:color="auto"/>
      </w:tblBorders>
      <w:tblLayout w:type="fixed"/>
      <w:tblCellMar>
        <w:top w:w="72" w:type="dxa"/>
        <w:left w:w="0" w:type="dxa"/>
        <w:bottom w:w="72" w:type="dxa"/>
        <w:right w:w="0" w:type="dxa"/>
      </w:tblCellMar>
      <w:tblLook w:val="01E0" w:firstRow="1" w:lastRow="1" w:firstColumn="1" w:lastColumn="1" w:noHBand="0" w:noVBand="0"/>
    </w:tblPr>
    <w:tblGrid>
      <w:gridCol w:w="504"/>
    </w:tblGrid>
    <w:tr w:rsidR="00D46135" w:rsidRPr="00E1788E" w14:paraId="4B49EB8A" w14:textId="77777777" w:rsidTr="005B3C7F">
      <w:trPr>
        <w:cantSplit/>
        <w:trHeight w:hRule="exact" w:val="9216"/>
      </w:trPr>
      <w:tc>
        <w:tcPr>
          <w:tcW w:w="504" w:type="dxa"/>
          <w:tcMar>
            <w:left w:w="0" w:type="dxa"/>
            <w:right w:w="0" w:type="dxa"/>
          </w:tcMar>
          <w:textDirection w:val="tbRl"/>
          <w:vAlign w:val="bottom"/>
        </w:tcPr>
        <w:p w14:paraId="069CDFFF" w14:textId="076526E6" w:rsidR="00D46135" w:rsidRPr="00E1788E" w:rsidRDefault="00D46135" w:rsidP="00610AD9">
          <w:pPr>
            <w:pStyle w:val="Header"/>
            <w:jc w:val="right"/>
          </w:pPr>
          <w:r>
            <w:t xml:space="preserve">Section 5 — </w:t>
          </w:r>
          <w:r w:rsidRPr="009D5AF4">
            <w:t xml:space="preserve">Movement into and out of </w:t>
          </w:r>
          <w:r>
            <w:t>the Model, b</w:t>
          </w:r>
          <w:r w:rsidRPr="009D5AF4">
            <w:t xml:space="preserve">etween Subpopulations, </w:t>
          </w:r>
          <w:r>
            <w:br/>
            <w:t>b</w:t>
          </w:r>
          <w:r w:rsidRPr="009D5AF4">
            <w:t xml:space="preserve">etween Compartments </w:t>
          </w:r>
          <w:r>
            <w:t>(Except Due to Infection), and w</w:t>
          </w:r>
          <w:r w:rsidRPr="009D5AF4">
            <w:t>ithin Compartments</w:t>
          </w:r>
        </w:p>
      </w:tc>
    </w:tr>
  </w:tbl>
  <w:p w14:paraId="6DDDE5EC" w14:textId="77777777" w:rsidR="00D46135" w:rsidRPr="002B7803" w:rsidRDefault="00D46135" w:rsidP="00ED02F2">
    <w:pPr>
      <w:pStyle w:val="Header"/>
      <w:pBdr>
        <w:bottom w:val="none" w:sz="0" w:space="0" w:color="auto"/>
      </w:pBdr>
      <w:rPr>
        <w:szCs w:val="2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F81A" w14:textId="56330EFA" w:rsidR="00D46135" w:rsidRDefault="00D46135" w:rsidP="001A6C07">
    <w:pPr>
      <w:pStyle w:val="Header"/>
    </w:pPr>
    <w:r w:rsidRPr="001B1470">
      <w:t>Technical Report for the HIV Optimization and Prevention Effectiveness (HOPE) Model</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B4AD" w14:textId="55296A46" w:rsidR="00D46135" w:rsidRPr="009508BA" w:rsidRDefault="00D46135" w:rsidP="009508BA">
    <w:pPr>
      <w:pStyle w:val="Header"/>
      <w:jc w:val="right"/>
    </w:pPr>
    <w:r>
      <w:t xml:space="preserve">Section 5 — </w:t>
    </w:r>
    <w:r w:rsidRPr="009D5AF4">
      <w:t xml:space="preserve">Movement into and out of </w:t>
    </w:r>
    <w:r>
      <w:t>the Model, b</w:t>
    </w:r>
    <w:r w:rsidRPr="009D5AF4">
      <w:t xml:space="preserve">etween Subpopulations, </w:t>
    </w:r>
    <w:r>
      <w:br/>
      <w:t>b</w:t>
    </w:r>
    <w:r w:rsidRPr="009D5AF4">
      <w:t xml:space="preserve">etween Compartments </w:t>
    </w:r>
    <w:r>
      <w:t>(Except Due to Infection), and w</w:t>
    </w:r>
    <w:r w:rsidRPr="009D5AF4">
      <w:t>ithin Compartments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1610A" w14:textId="63213B8E" w:rsidR="00D46135" w:rsidRPr="009508BA" w:rsidRDefault="00D46135" w:rsidP="009508BA">
    <w:pPr>
      <w:pStyle w:val="Header"/>
      <w:jc w:val="right"/>
    </w:pPr>
    <w:r>
      <w:t xml:space="preserve">Section 6 — </w:t>
    </w:r>
    <w:r w:rsidRPr="005A22AE">
      <w:t>Force of Infection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D46135" w:rsidRPr="00E1788E" w14:paraId="356AD5F6" w14:textId="77777777" w:rsidTr="005F5498">
      <w:trPr>
        <w:cantSplit/>
        <w:trHeight w:hRule="exact" w:val="9216"/>
      </w:trPr>
      <w:tc>
        <w:tcPr>
          <w:tcW w:w="504" w:type="dxa"/>
          <w:tcMar>
            <w:left w:w="0" w:type="dxa"/>
            <w:right w:w="0" w:type="dxa"/>
          </w:tcMar>
          <w:textDirection w:val="tbRl"/>
          <w:vAlign w:val="bottom"/>
        </w:tcPr>
        <w:p w14:paraId="16A43AA7" w14:textId="362A0C1E" w:rsidR="00D46135" w:rsidRPr="00E1788E" w:rsidRDefault="00D46135" w:rsidP="005F5498">
          <w:pPr>
            <w:pStyle w:val="Header"/>
          </w:pPr>
          <w:r w:rsidRPr="001B1470">
            <w:t>Technical Report for the HIV Optimization and Prevention Effectiveness (HOPE) Model</w:t>
          </w:r>
        </w:p>
      </w:tc>
    </w:tr>
  </w:tbl>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D46135" w:rsidRPr="00E1788E" w14:paraId="1609569B" w14:textId="77777777" w:rsidTr="005F5498">
      <w:trPr>
        <w:cantSplit/>
        <w:trHeight w:hRule="exact" w:val="9216"/>
      </w:trPr>
      <w:tc>
        <w:tcPr>
          <w:tcW w:w="504" w:type="dxa"/>
          <w:tcMar>
            <w:left w:w="0" w:type="dxa"/>
            <w:right w:w="0" w:type="dxa"/>
          </w:tcMar>
          <w:textDirection w:val="tbRl"/>
        </w:tcPr>
        <w:p w14:paraId="5E9F082C" w14:textId="54CC4574" w:rsidR="00D46135" w:rsidRPr="00E1788E" w:rsidRDefault="00D46135" w:rsidP="00BD0512">
          <w:pPr>
            <w:rPr>
              <w:i/>
              <w:iCs/>
            </w:rPr>
          </w:pPr>
          <w:r w:rsidRPr="00A620EE">
            <w:rPr>
              <w:rStyle w:val="PageNumber"/>
            </w:rPr>
            <w:fldChar w:fldCharType="begin"/>
          </w:r>
          <w:r w:rsidRPr="00A620EE">
            <w:rPr>
              <w:rStyle w:val="PageNumber"/>
            </w:rPr>
            <w:instrText xml:space="preserve"> PAGE   \* MERGEFORMAT </w:instrText>
          </w:r>
          <w:r w:rsidRPr="00A620EE">
            <w:rPr>
              <w:rStyle w:val="PageNumber"/>
            </w:rPr>
            <w:fldChar w:fldCharType="separate"/>
          </w:r>
          <w:r w:rsidR="000F17E7">
            <w:rPr>
              <w:rStyle w:val="PageNumber"/>
              <w:noProof/>
            </w:rPr>
            <w:t>6-6</w:t>
          </w:r>
          <w:r w:rsidRPr="00A620EE">
            <w:rPr>
              <w:rStyle w:val="PageNumber"/>
            </w:rPr>
            <w:fldChar w:fldCharType="end"/>
          </w:r>
        </w:p>
      </w:tc>
    </w:tr>
  </w:tbl>
  <w:p w14:paraId="7F4C2AE2" w14:textId="77777777" w:rsidR="00D46135" w:rsidRDefault="00D46135" w:rsidP="00526BBA">
    <w:pPr>
      <w:pStyle w:val="Header"/>
      <w:pBdr>
        <w:bottom w:val="none" w:sz="0" w:space="0" w:color="auto"/>
      </w:pBdr>
      <w:ind w:right="360"/>
      <w:jc w:val="cent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519" w:tblpY="1"/>
      <w:tblOverlap w:val="never"/>
      <w:tblW w:w="0" w:type="auto"/>
      <w:tblLayout w:type="fixed"/>
      <w:tblCellMar>
        <w:left w:w="0" w:type="dxa"/>
        <w:right w:w="0" w:type="dxa"/>
      </w:tblCellMar>
      <w:tblLook w:val="01E0" w:firstRow="1" w:lastRow="1" w:firstColumn="1" w:lastColumn="1" w:noHBand="0" w:noVBand="0"/>
    </w:tblPr>
    <w:tblGrid>
      <w:gridCol w:w="504"/>
    </w:tblGrid>
    <w:tr w:rsidR="00D46135" w:rsidRPr="00E1788E" w14:paraId="2FFC1BD6" w14:textId="77777777" w:rsidTr="005F5498">
      <w:trPr>
        <w:cantSplit/>
        <w:trHeight w:hRule="exact" w:val="9216"/>
      </w:trPr>
      <w:tc>
        <w:tcPr>
          <w:tcW w:w="504" w:type="dxa"/>
          <w:tcMar>
            <w:left w:w="0" w:type="dxa"/>
            <w:right w:w="0" w:type="dxa"/>
          </w:tcMar>
          <w:textDirection w:val="tbRl"/>
        </w:tcPr>
        <w:p w14:paraId="71A05C26" w14:textId="3BA90C69" w:rsidR="00D46135" w:rsidRPr="00E1788E" w:rsidRDefault="00D46135" w:rsidP="00BD0512">
          <w:pPr>
            <w:jc w:val="right"/>
            <w:rPr>
              <w:i/>
              <w:iCs/>
            </w:rPr>
          </w:pPr>
          <w:r w:rsidRPr="00A620EE">
            <w:rPr>
              <w:rStyle w:val="PageNumber"/>
            </w:rPr>
            <w:fldChar w:fldCharType="begin"/>
          </w:r>
          <w:r w:rsidRPr="00A620EE">
            <w:rPr>
              <w:rStyle w:val="PageNumber"/>
            </w:rPr>
            <w:instrText xml:space="preserve"> PAGE   \* MERGEFORMAT </w:instrText>
          </w:r>
          <w:r w:rsidRPr="00A620EE">
            <w:rPr>
              <w:rStyle w:val="PageNumber"/>
            </w:rPr>
            <w:fldChar w:fldCharType="separate"/>
          </w:r>
          <w:r w:rsidR="000F17E7">
            <w:rPr>
              <w:rStyle w:val="PageNumber"/>
              <w:noProof/>
            </w:rPr>
            <w:t>6-7</w:t>
          </w:r>
          <w:r w:rsidRPr="00A620EE">
            <w:rPr>
              <w:rStyle w:val="PageNumber"/>
            </w:rPr>
            <w:fldChar w:fldCharType="end"/>
          </w:r>
        </w:p>
      </w:tc>
    </w:tr>
  </w:tbl>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D46135" w:rsidRPr="00E1788E" w14:paraId="1479575C" w14:textId="77777777" w:rsidTr="005F5498">
      <w:trPr>
        <w:cantSplit/>
        <w:trHeight w:hRule="exact" w:val="9216"/>
      </w:trPr>
      <w:tc>
        <w:tcPr>
          <w:tcW w:w="504" w:type="dxa"/>
          <w:tcMar>
            <w:left w:w="0" w:type="dxa"/>
            <w:right w:w="0" w:type="dxa"/>
          </w:tcMar>
          <w:textDirection w:val="tbRl"/>
          <w:vAlign w:val="bottom"/>
        </w:tcPr>
        <w:p w14:paraId="75C4A84C" w14:textId="77777777" w:rsidR="00D46135" w:rsidRPr="00E1788E" w:rsidRDefault="00D46135" w:rsidP="00BD0512">
          <w:pPr>
            <w:pStyle w:val="Header"/>
            <w:jc w:val="right"/>
          </w:pPr>
          <w:r>
            <w:t xml:space="preserve">Section 6 — </w:t>
          </w:r>
          <w:r w:rsidRPr="005F623A">
            <w:t>Force of Infection</w:t>
          </w:r>
        </w:p>
      </w:tc>
    </w:tr>
  </w:tbl>
  <w:p w14:paraId="0E191FB2" w14:textId="77777777" w:rsidR="00D46135" w:rsidRPr="002B7803" w:rsidRDefault="00D46135" w:rsidP="00BD0512">
    <w:pPr>
      <w:pStyle w:val="Header"/>
      <w:pBdr>
        <w:bottom w:val="none" w:sz="0" w:space="0" w:color="auto"/>
      </w:pBdr>
      <w:jc w:val="right"/>
      <w:rPr>
        <w:szCs w:val="22"/>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99E0D" w14:textId="77777777" w:rsidR="00D46135" w:rsidRDefault="00D46135" w:rsidP="00D444C0">
    <w:pPr>
      <w:pStyle w:val="Header"/>
    </w:pPr>
    <w:r>
      <w:t>Technical Report</w:t>
    </w:r>
    <w:r w:rsidRPr="00987319">
      <w:t xml:space="preserve"> for the CDC-RTI National HIV Epidemic Model</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E3D8" w14:textId="77777777" w:rsidR="00D46135" w:rsidRPr="00D444C0" w:rsidRDefault="00D46135" w:rsidP="00D444C0">
    <w:pPr>
      <w:pStyle w:val="Header"/>
      <w:jc w:val="right"/>
    </w:pPr>
    <w:r>
      <w:t xml:space="preserve">Section 6 — </w:t>
    </w:r>
    <w:r w:rsidRPr="005F623A">
      <w:t>Force of Infection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D46135" w:rsidRPr="00E1788E" w14:paraId="63EA0BCF" w14:textId="77777777" w:rsidTr="005F5498">
      <w:trPr>
        <w:cantSplit/>
        <w:trHeight w:hRule="exact" w:val="9216"/>
      </w:trPr>
      <w:tc>
        <w:tcPr>
          <w:tcW w:w="504" w:type="dxa"/>
          <w:tcMar>
            <w:left w:w="0" w:type="dxa"/>
            <w:right w:w="0" w:type="dxa"/>
          </w:tcMar>
          <w:textDirection w:val="tbRl"/>
          <w:vAlign w:val="bottom"/>
        </w:tcPr>
        <w:p w14:paraId="6DBC17CD" w14:textId="40CEC10B" w:rsidR="00D46135" w:rsidRPr="00E1788E" w:rsidRDefault="00D46135" w:rsidP="005F5498">
          <w:pPr>
            <w:pStyle w:val="Header"/>
          </w:pPr>
          <w:r w:rsidRPr="001B1470">
            <w:t>Technical Report for the HIV Optimization and Prevention Effectiveness (HOPE) Model</w:t>
          </w:r>
        </w:p>
      </w:tc>
    </w:tr>
  </w:tbl>
  <w:p w14:paraId="24D3EA2E" w14:textId="77777777" w:rsidR="00D46135" w:rsidRDefault="00D46135" w:rsidP="005A22AE">
    <w:pPr>
      <w:pStyle w:val="Header"/>
      <w:pBdr>
        <w:bottom w:val="none" w:sz="0" w:space="0" w:color="auto"/>
      </w:pBdr>
      <w:ind w:right="360"/>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D46135" w:rsidRPr="00E1788E" w14:paraId="228BC073" w14:textId="77777777" w:rsidTr="00F259E1">
      <w:trPr>
        <w:cantSplit/>
        <w:trHeight w:hRule="exact" w:val="9216"/>
      </w:trPr>
      <w:tc>
        <w:tcPr>
          <w:tcW w:w="504" w:type="dxa"/>
          <w:tcMar>
            <w:left w:w="0" w:type="dxa"/>
            <w:right w:w="0" w:type="dxa"/>
          </w:tcMar>
          <w:textDirection w:val="tbRl"/>
          <w:vAlign w:val="bottom"/>
        </w:tcPr>
        <w:p w14:paraId="40589CFF" w14:textId="77777777" w:rsidR="00D46135" w:rsidRPr="00E1788E" w:rsidRDefault="00D46135" w:rsidP="00F259E1">
          <w:pPr>
            <w:pStyle w:val="Header"/>
            <w:jc w:val="right"/>
          </w:pPr>
          <w:r>
            <w:t xml:space="preserve">Section 6 — </w:t>
          </w:r>
          <w:r w:rsidRPr="005F623A">
            <w:t>Force of Infection</w:t>
          </w:r>
        </w:p>
      </w:tc>
    </w:tr>
  </w:tbl>
  <w:p w14:paraId="6662BF23" w14:textId="77777777" w:rsidR="00D46135" w:rsidRPr="00C277F4" w:rsidRDefault="00D46135" w:rsidP="00C277F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890CA" w14:textId="77777777" w:rsidR="00D46135" w:rsidRDefault="00D46135">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6941" w14:textId="77777777" w:rsidR="00D46135" w:rsidRPr="00E47989" w:rsidRDefault="00D46135" w:rsidP="00E47989">
    <w:pPr>
      <w:pStyle w:val="Header"/>
      <w:pBdr>
        <w:bottom w:val="none" w:sz="0" w:space="0" w:color="auto"/>
      </w:pBd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769F" w14:textId="6C1179B2" w:rsidR="00D46135" w:rsidRDefault="00D46135" w:rsidP="00315F8D">
    <w:pPr>
      <w:pStyle w:val="Header"/>
    </w:pPr>
    <w:r w:rsidRPr="001B1470">
      <w:t>Technical Report for the HIV Optimization and Prevention Effectiveness (HOPE) Model</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6D665" w14:textId="5CF29F40" w:rsidR="00D46135" w:rsidRPr="00C277F4" w:rsidRDefault="00D46135" w:rsidP="00315F8D">
    <w:pPr>
      <w:pStyle w:val="Header"/>
      <w:jc w:val="right"/>
    </w:pPr>
    <w:r>
      <w:t xml:space="preserve">Section 6 — </w:t>
    </w:r>
    <w:r w:rsidRPr="005F623A">
      <w:t>Force of Infection</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8C030" w14:textId="77AF23C1" w:rsidR="00D46135" w:rsidRPr="006A4DEA" w:rsidRDefault="00D46135" w:rsidP="006A4DEA">
    <w:pPr>
      <w:pStyle w:val="Header"/>
      <w:jc w:val="right"/>
    </w:pPr>
    <w:r>
      <w:t xml:space="preserve">Section 7 — </w:t>
    </w:r>
    <w:r w:rsidRPr="005A22AE">
      <w:t>Differential Equations that Define the Model</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01B7" w14:textId="442F315B" w:rsidR="00D46135" w:rsidRDefault="00D46135" w:rsidP="00FF381E">
    <w:pPr>
      <w:pStyle w:val="Header"/>
      <w:jc w:val="right"/>
    </w:pPr>
    <w:r>
      <w:t>Section 8 — Interventions and Optimization of Allocations to Interventions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3D22" w14:textId="1D78B507" w:rsidR="00D46135" w:rsidRDefault="00D46135" w:rsidP="00FF381E">
    <w:pPr>
      <w:pStyle w:val="Header"/>
      <w:jc w:val="right"/>
    </w:pPr>
    <w:r>
      <w:t>Section 9 — Additional Details Pertaining to the Analysis Conducted in this Manuscript</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4C1B" w14:textId="569D1FD6" w:rsidR="00D46135" w:rsidRDefault="00D46135" w:rsidP="00FF381E">
    <w:pPr>
      <w:pStyle w:val="Header"/>
      <w:jc w:val="right"/>
    </w:pPr>
    <w:r>
      <w:t xml:space="preserve">Section 10 — </w:t>
    </w:r>
    <w:r w:rsidRPr="006577DA">
      <w:t>Calculation of Model Outcomes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1964" w14:textId="33607B8C" w:rsidR="00D46135" w:rsidRDefault="00D46135" w:rsidP="00FF381E">
    <w:pPr>
      <w:pStyle w:val="Header"/>
      <w:jc w:val="right"/>
    </w:pPr>
    <w:r>
      <w:t xml:space="preserve">Section 11 — </w:t>
    </w:r>
    <w:r w:rsidRPr="00314E78">
      <w:t>Model Calibration and Validation</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FB7C" w14:textId="4FB05BC5" w:rsidR="00D46135" w:rsidRDefault="00D46135" w:rsidP="00FF381E">
    <w:pPr>
      <w:pStyle w:val="Header"/>
      <w:jc w:val="right"/>
    </w:pPr>
    <w:r>
      <w:t xml:space="preserve">Section 12 — </w:t>
    </w:r>
    <w:r w:rsidRPr="00752CC5">
      <w:t xml:space="preserve">Model </w:t>
    </w:r>
    <w:r>
      <w:t>Sensitivity and Uncertainty Analyses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B2F2B" w14:textId="77777777" w:rsidR="00D46135" w:rsidRDefault="00D46135" w:rsidP="00984B00">
    <w:pPr>
      <w:pStyle w:val="Header"/>
      <w:pBdr>
        <w:bottom w:val="single" w:sz="2" w:space="1" w:color="auto"/>
      </w:pBdr>
      <w:jc w:val="right"/>
    </w:pPr>
    <w:r>
      <w:t>References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2116F" w14:textId="77777777" w:rsidR="00D46135" w:rsidRDefault="00D46135">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34A1" w14:textId="77777777" w:rsidR="00D46135" w:rsidRDefault="00D46135" w:rsidP="00984B00">
    <w:pPr>
      <w:pStyle w:val="Header"/>
      <w:pBdr>
        <w:bottom w:val="single" w:sz="2" w:space="1" w:color="auto"/>
      </w:pBdr>
      <w:jc w:val="right"/>
    </w:pPr>
    <w:r>
      <w:t>Appendix A — Definitions</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519" w:tblpYSpec="top"/>
      <w:tblOverlap w:val="never"/>
      <w:tblW w:w="0" w:type="auto"/>
      <w:tblLayout w:type="fixed"/>
      <w:tblCellMar>
        <w:left w:w="0" w:type="dxa"/>
        <w:right w:w="0" w:type="dxa"/>
      </w:tblCellMar>
      <w:tblLook w:val="01E0" w:firstRow="1" w:lastRow="1" w:firstColumn="1" w:lastColumn="1" w:noHBand="0" w:noVBand="0"/>
    </w:tblPr>
    <w:tblGrid>
      <w:gridCol w:w="504"/>
    </w:tblGrid>
    <w:tr w:rsidR="00D46135" w:rsidRPr="00E1788E" w14:paraId="69097AD5" w14:textId="77777777" w:rsidTr="00F31D98">
      <w:trPr>
        <w:cantSplit/>
        <w:trHeight w:hRule="exact" w:val="9360"/>
      </w:trPr>
      <w:tc>
        <w:tcPr>
          <w:tcW w:w="504" w:type="dxa"/>
          <w:tcMar>
            <w:left w:w="0" w:type="dxa"/>
            <w:right w:w="0" w:type="dxa"/>
          </w:tcMar>
          <w:textDirection w:val="tbRl"/>
        </w:tcPr>
        <w:p w14:paraId="031573D6" w14:textId="797EF37A" w:rsidR="00D46135" w:rsidRPr="00551FA4" w:rsidRDefault="00D46135" w:rsidP="00F31D98">
          <w:pPr>
            <w:rPr>
              <w:b/>
              <w:bCs/>
              <w:i/>
              <w:iCs/>
            </w:rPr>
          </w:pPr>
          <w:r w:rsidRPr="00551FA4">
            <w:rPr>
              <w:b/>
              <w:bCs/>
            </w:rPr>
            <w:t>A-</w:t>
          </w:r>
          <w:r w:rsidRPr="00D74FFB">
            <w:rPr>
              <w:b/>
              <w:bCs/>
            </w:rPr>
            <w:fldChar w:fldCharType="begin"/>
          </w:r>
          <w:r w:rsidRPr="00D74FFB">
            <w:rPr>
              <w:b/>
              <w:bCs/>
            </w:rPr>
            <w:instrText xml:space="preserve"> PAGE   \* MERGEFORMAT </w:instrText>
          </w:r>
          <w:r w:rsidRPr="00D74FFB">
            <w:rPr>
              <w:b/>
              <w:bCs/>
            </w:rPr>
            <w:fldChar w:fldCharType="separate"/>
          </w:r>
          <w:r w:rsidR="000F17E7">
            <w:rPr>
              <w:b/>
              <w:bCs/>
              <w:noProof/>
            </w:rPr>
            <w:t>12</w:t>
          </w:r>
          <w:r w:rsidRPr="00D74FFB">
            <w:rPr>
              <w:b/>
              <w:bCs/>
              <w:noProof/>
            </w:rPr>
            <w:fldChar w:fldCharType="end"/>
          </w:r>
        </w:p>
      </w:tc>
    </w:tr>
  </w:tbl>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D46135" w:rsidRPr="00E1788E" w14:paraId="20D11D37" w14:textId="77777777" w:rsidTr="005F5498">
      <w:trPr>
        <w:cantSplit/>
        <w:trHeight w:hRule="exact" w:val="9216"/>
      </w:trPr>
      <w:tc>
        <w:tcPr>
          <w:tcW w:w="504" w:type="dxa"/>
          <w:tcMar>
            <w:left w:w="0" w:type="dxa"/>
            <w:right w:w="0" w:type="dxa"/>
          </w:tcMar>
          <w:textDirection w:val="tbRl"/>
          <w:vAlign w:val="bottom"/>
        </w:tcPr>
        <w:p w14:paraId="2BBA3006" w14:textId="66950356" w:rsidR="00D46135" w:rsidRPr="00E1788E" w:rsidRDefault="00D46135" w:rsidP="005F5498">
          <w:pPr>
            <w:pStyle w:val="Header"/>
          </w:pPr>
          <w:r w:rsidRPr="001B1470">
            <w:t>Technical Report for the HIV Optimization and Prevention Effectiveness (HOPE) Model</w:t>
          </w:r>
        </w:p>
      </w:tc>
    </w:tr>
  </w:tbl>
  <w:p w14:paraId="115A81F4" w14:textId="77777777" w:rsidR="00D46135" w:rsidRPr="005A22AE" w:rsidRDefault="00D46135" w:rsidP="005A22AE">
    <w:pPr>
      <w:pStyle w:val="Header"/>
      <w:pBdr>
        <w:bottom w:val="none" w:sz="0" w:space="0" w:color="auto"/>
      </w:pBd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72" w:rightFromText="72" w:horzAnchor="page" w:tblpX="519" w:tblpYSpec="top"/>
      <w:tblOverlap w:val="never"/>
      <w:tblW w:w="0" w:type="auto"/>
      <w:tblLayout w:type="fixed"/>
      <w:tblCellMar>
        <w:left w:w="0" w:type="dxa"/>
        <w:right w:w="0" w:type="dxa"/>
      </w:tblCellMar>
      <w:tblLook w:val="01E0" w:firstRow="1" w:lastRow="1" w:firstColumn="1" w:lastColumn="1" w:noHBand="0" w:noVBand="0"/>
    </w:tblPr>
    <w:tblGrid>
      <w:gridCol w:w="504"/>
    </w:tblGrid>
    <w:tr w:rsidR="00D46135" w:rsidRPr="00E1788E" w14:paraId="10DB5C2A" w14:textId="77777777" w:rsidTr="00F31D98">
      <w:trPr>
        <w:cantSplit/>
        <w:trHeight w:hRule="exact" w:val="9216"/>
      </w:trPr>
      <w:tc>
        <w:tcPr>
          <w:tcW w:w="504" w:type="dxa"/>
          <w:tcMar>
            <w:left w:w="0" w:type="dxa"/>
            <w:right w:w="0" w:type="dxa"/>
          </w:tcMar>
          <w:textDirection w:val="tbRl"/>
        </w:tcPr>
        <w:p w14:paraId="7C1370CD" w14:textId="22CA4D04" w:rsidR="00D46135" w:rsidRPr="00551FA4" w:rsidRDefault="00D46135" w:rsidP="00F31D98">
          <w:pPr>
            <w:jc w:val="right"/>
            <w:rPr>
              <w:b/>
              <w:bCs/>
              <w:i/>
              <w:iCs/>
            </w:rPr>
          </w:pPr>
          <w:r w:rsidRPr="00551FA4">
            <w:rPr>
              <w:b/>
              <w:bCs/>
            </w:rPr>
            <w:t>A-</w:t>
          </w:r>
          <w:r w:rsidRPr="00D74FFB">
            <w:rPr>
              <w:b/>
              <w:bCs/>
            </w:rPr>
            <w:fldChar w:fldCharType="begin"/>
          </w:r>
          <w:r w:rsidRPr="00D74FFB">
            <w:rPr>
              <w:b/>
              <w:bCs/>
            </w:rPr>
            <w:instrText xml:space="preserve"> PAGE   \* MERGEFORMAT </w:instrText>
          </w:r>
          <w:r w:rsidRPr="00D74FFB">
            <w:rPr>
              <w:b/>
              <w:bCs/>
            </w:rPr>
            <w:fldChar w:fldCharType="separate"/>
          </w:r>
          <w:r w:rsidR="000F17E7">
            <w:rPr>
              <w:b/>
              <w:bCs/>
              <w:noProof/>
            </w:rPr>
            <w:t>11</w:t>
          </w:r>
          <w:r w:rsidRPr="00D74FFB">
            <w:rPr>
              <w:b/>
              <w:bCs/>
              <w:noProof/>
            </w:rPr>
            <w:fldChar w:fldCharType="end"/>
          </w:r>
        </w:p>
      </w:tc>
    </w:tr>
  </w:tbl>
  <w:tbl>
    <w:tblPr>
      <w:tblpPr w:leftFromText="72" w:rightFromText="72" w:horzAnchor="page" w:tblpX="14905" w:tblpY="1"/>
      <w:tblOverlap w:val="never"/>
      <w:tblW w:w="0" w:type="auto"/>
      <w:tblLayout w:type="fixed"/>
      <w:tblCellMar>
        <w:top w:w="72" w:type="dxa"/>
        <w:left w:w="0" w:type="dxa"/>
        <w:bottom w:w="72" w:type="dxa"/>
        <w:right w:w="0" w:type="dxa"/>
      </w:tblCellMar>
      <w:tblLook w:val="01E0" w:firstRow="1" w:lastRow="1" w:firstColumn="1" w:lastColumn="1" w:noHBand="0" w:noVBand="0"/>
    </w:tblPr>
    <w:tblGrid>
      <w:gridCol w:w="504"/>
    </w:tblGrid>
    <w:tr w:rsidR="00D46135" w:rsidRPr="00E1788E" w14:paraId="188561F8" w14:textId="77777777" w:rsidTr="005F5498">
      <w:trPr>
        <w:cantSplit/>
        <w:trHeight w:hRule="exact" w:val="9216"/>
      </w:trPr>
      <w:tc>
        <w:tcPr>
          <w:tcW w:w="504" w:type="dxa"/>
          <w:tcMar>
            <w:left w:w="0" w:type="dxa"/>
            <w:right w:w="0" w:type="dxa"/>
          </w:tcMar>
          <w:textDirection w:val="tbRl"/>
          <w:vAlign w:val="bottom"/>
        </w:tcPr>
        <w:p w14:paraId="4A6B7C1E" w14:textId="77777777" w:rsidR="00D46135" w:rsidRPr="00E1788E" w:rsidRDefault="00D46135" w:rsidP="005A22AE">
          <w:pPr>
            <w:pStyle w:val="Header"/>
            <w:jc w:val="right"/>
          </w:pPr>
          <w:r>
            <w:t>Appendix A — Definitions</w:t>
          </w:r>
        </w:p>
      </w:tc>
    </w:tr>
  </w:tbl>
  <w:p w14:paraId="500C1D1E" w14:textId="77777777" w:rsidR="00D46135" w:rsidRDefault="00D46135" w:rsidP="005A22AE">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109" w14:textId="4BD3499B" w:rsidR="00D46135" w:rsidRDefault="00D46135">
    <w:pPr>
      <w:pStyle w:val="Header"/>
    </w:pPr>
    <w:r w:rsidRPr="001B1470">
      <w:t>Technical Report for the HIV Optimization and Prevention Effectiveness (HOPE) Model</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FB28" w14:textId="77777777" w:rsidR="00D46135" w:rsidRDefault="00D46135">
    <w:pPr>
      <w:pStyle w:val="Header"/>
      <w:jc w:val="right"/>
    </w:pPr>
    <w:r>
      <w:t xml:space="preserve">Section 1 — </w:t>
    </w:r>
    <w:r w:rsidRPr="005A22AE">
      <w:t>Introduction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0856" w14:textId="77777777" w:rsidR="00D46135" w:rsidRDefault="00D46135">
    <w:pPr>
      <w:pStyle w:val="Header"/>
      <w:jc w:val="right"/>
    </w:pPr>
    <w:r>
      <w:t xml:space="preserve">Section 2 — </w:t>
    </w:r>
    <w:r w:rsidRPr="005A22AE">
      <w:t>Model Overview and Purpose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7AA0E" w14:textId="77777777" w:rsidR="00D46135" w:rsidRDefault="00D46135" w:rsidP="00C47A13">
    <w:pPr>
      <w:pStyle w:val="Header"/>
      <w:jc w:val="right"/>
    </w:pPr>
    <w:r>
      <w:t>Section 3 — Model Population and Compartments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535E" w14:textId="77777777" w:rsidR="00D46135" w:rsidRDefault="00D46135">
    <w:pPr>
      <w:pStyle w:val="Header"/>
    </w:pPr>
    <w:r>
      <w:t>Technical Report</w:t>
    </w:r>
    <w:r w:rsidRPr="00987319">
      <w:t xml:space="preserve"> for the CDC-RTI National HIV Epidemic Model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AA16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101C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BA32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8E79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462B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408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E91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F23C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EA27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044792"/>
    <w:lvl w:ilvl="0">
      <w:start w:val="1"/>
      <w:numFmt w:val="bullet"/>
      <w:pStyle w:val="ListBullet"/>
      <w:lvlText w:val="▪"/>
      <w:lvlJc w:val="left"/>
      <w:pPr>
        <w:ind w:left="360" w:hanging="360"/>
      </w:pPr>
      <w:rPr>
        <w:rFonts w:ascii="Verdana" w:hAnsi="Verdana" w:hint="default"/>
        <w:sz w:val="22"/>
        <w:szCs w:val="22"/>
      </w:rPr>
    </w:lvl>
  </w:abstractNum>
  <w:abstractNum w:abstractNumId="10" w15:restartNumberingAfterBreak="0">
    <w:nsid w:val="0CF074DB"/>
    <w:multiLevelType w:val="hybridMultilevel"/>
    <w:tmpl w:val="AF34D43A"/>
    <w:lvl w:ilvl="0" w:tplc="35B23B00">
      <w:start w:val="1"/>
      <w:numFmt w:val="bullet"/>
      <w:pStyle w:val="Bullet2"/>
      <w:lvlText w:val="-"/>
      <w:lvlJc w:val="left"/>
      <w:pPr>
        <w:tabs>
          <w:tab w:val="num" w:pos="2520"/>
        </w:tabs>
        <w:ind w:left="2520" w:hanging="360"/>
      </w:pPr>
      <w:rPr>
        <w:rFonts w:ascii="Courier New" w:hAnsi="Courier New" w:hint="default"/>
      </w:rPr>
    </w:lvl>
    <w:lvl w:ilvl="1" w:tplc="0C486EFC">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0FBF3B62"/>
    <w:multiLevelType w:val="hybridMultilevel"/>
    <w:tmpl w:val="A950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06039"/>
    <w:multiLevelType w:val="multilevel"/>
    <w:tmpl w:val="154ED458"/>
    <w:numStyleLink w:val="Format4"/>
  </w:abstractNum>
  <w:abstractNum w:abstractNumId="13" w15:restartNumberingAfterBreak="0">
    <w:nsid w:val="199B0AED"/>
    <w:multiLevelType w:val="multilevel"/>
    <w:tmpl w:val="154ED458"/>
    <w:styleLink w:val="Format4"/>
    <w:lvl w:ilvl="0">
      <w:start w:val="1"/>
      <w:numFmt w:val="decimal"/>
      <w:pStyle w:val="Heading1"/>
      <w:lvlText w:val="%1."/>
      <w:lvlJc w:val="left"/>
      <w:pPr>
        <w:ind w:left="360" w:hanging="360"/>
      </w:pPr>
      <w:rPr>
        <w:rFonts w:ascii="Verdana" w:hAnsi="Verdana" w:hint="default"/>
        <w:b/>
        <w:i w:val="0"/>
        <w:sz w:val="26"/>
      </w:rPr>
    </w:lvl>
    <w:lvl w:ilvl="1">
      <w:start w:val="1"/>
      <w:numFmt w:val="decimal"/>
      <w:pStyle w:val="Heading2"/>
      <w:lvlText w:val="%1.%2"/>
      <w:lvlJc w:val="left"/>
      <w:pPr>
        <w:ind w:left="720" w:hanging="720"/>
      </w:pPr>
      <w:rPr>
        <w:rFonts w:ascii="Verdana" w:hAnsi="Verdana" w:hint="default"/>
        <w:b/>
        <w:i w:val="0"/>
        <w:sz w:val="24"/>
      </w:rPr>
    </w:lvl>
    <w:lvl w:ilvl="2">
      <w:start w:val="1"/>
      <w:numFmt w:val="decimal"/>
      <w:pStyle w:val="Heading3"/>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864D22"/>
    <w:multiLevelType w:val="hybridMultilevel"/>
    <w:tmpl w:val="A846282C"/>
    <w:lvl w:ilvl="0" w:tplc="83B2B4E8">
      <w:start w:val="1"/>
      <w:numFmt w:val="bullet"/>
      <w:lvlText w:val="–"/>
      <w:lvlJc w:val="left"/>
      <w:pPr>
        <w:tabs>
          <w:tab w:val="num" w:pos="720"/>
        </w:tabs>
        <w:ind w:left="720" w:hanging="360"/>
      </w:pPr>
      <w:rPr>
        <w:rFonts w:ascii="Arial" w:hAnsi="Arial" w:hint="default"/>
      </w:rPr>
    </w:lvl>
    <w:lvl w:ilvl="1" w:tplc="A51801FE">
      <w:start w:val="1"/>
      <w:numFmt w:val="bullet"/>
      <w:lvlText w:val="–"/>
      <w:lvlJc w:val="left"/>
      <w:pPr>
        <w:tabs>
          <w:tab w:val="num" w:pos="1440"/>
        </w:tabs>
        <w:ind w:left="1440" w:hanging="360"/>
      </w:pPr>
      <w:rPr>
        <w:rFonts w:ascii="Arial" w:hAnsi="Arial" w:hint="default"/>
      </w:rPr>
    </w:lvl>
    <w:lvl w:ilvl="2" w:tplc="E7B22F3C" w:tentative="1">
      <w:start w:val="1"/>
      <w:numFmt w:val="bullet"/>
      <w:lvlText w:val="–"/>
      <w:lvlJc w:val="left"/>
      <w:pPr>
        <w:tabs>
          <w:tab w:val="num" w:pos="2160"/>
        </w:tabs>
        <w:ind w:left="2160" w:hanging="360"/>
      </w:pPr>
      <w:rPr>
        <w:rFonts w:ascii="Arial" w:hAnsi="Arial" w:hint="default"/>
      </w:rPr>
    </w:lvl>
    <w:lvl w:ilvl="3" w:tplc="9A9AA618" w:tentative="1">
      <w:start w:val="1"/>
      <w:numFmt w:val="bullet"/>
      <w:lvlText w:val="–"/>
      <w:lvlJc w:val="left"/>
      <w:pPr>
        <w:tabs>
          <w:tab w:val="num" w:pos="2880"/>
        </w:tabs>
        <w:ind w:left="2880" w:hanging="360"/>
      </w:pPr>
      <w:rPr>
        <w:rFonts w:ascii="Arial" w:hAnsi="Arial" w:hint="default"/>
      </w:rPr>
    </w:lvl>
    <w:lvl w:ilvl="4" w:tplc="62E447BA" w:tentative="1">
      <w:start w:val="1"/>
      <w:numFmt w:val="bullet"/>
      <w:lvlText w:val="–"/>
      <w:lvlJc w:val="left"/>
      <w:pPr>
        <w:tabs>
          <w:tab w:val="num" w:pos="3600"/>
        </w:tabs>
        <w:ind w:left="3600" w:hanging="360"/>
      </w:pPr>
      <w:rPr>
        <w:rFonts w:ascii="Arial" w:hAnsi="Arial" w:hint="default"/>
      </w:rPr>
    </w:lvl>
    <w:lvl w:ilvl="5" w:tplc="3B72DA1C" w:tentative="1">
      <w:start w:val="1"/>
      <w:numFmt w:val="bullet"/>
      <w:lvlText w:val="–"/>
      <w:lvlJc w:val="left"/>
      <w:pPr>
        <w:tabs>
          <w:tab w:val="num" w:pos="4320"/>
        </w:tabs>
        <w:ind w:left="4320" w:hanging="360"/>
      </w:pPr>
      <w:rPr>
        <w:rFonts w:ascii="Arial" w:hAnsi="Arial" w:hint="default"/>
      </w:rPr>
    </w:lvl>
    <w:lvl w:ilvl="6" w:tplc="EBC8D8E0" w:tentative="1">
      <w:start w:val="1"/>
      <w:numFmt w:val="bullet"/>
      <w:lvlText w:val="–"/>
      <w:lvlJc w:val="left"/>
      <w:pPr>
        <w:tabs>
          <w:tab w:val="num" w:pos="5040"/>
        </w:tabs>
        <w:ind w:left="5040" w:hanging="360"/>
      </w:pPr>
      <w:rPr>
        <w:rFonts w:ascii="Arial" w:hAnsi="Arial" w:hint="default"/>
      </w:rPr>
    </w:lvl>
    <w:lvl w:ilvl="7" w:tplc="81C4DFC4" w:tentative="1">
      <w:start w:val="1"/>
      <w:numFmt w:val="bullet"/>
      <w:lvlText w:val="–"/>
      <w:lvlJc w:val="left"/>
      <w:pPr>
        <w:tabs>
          <w:tab w:val="num" w:pos="5760"/>
        </w:tabs>
        <w:ind w:left="5760" w:hanging="360"/>
      </w:pPr>
      <w:rPr>
        <w:rFonts w:ascii="Arial" w:hAnsi="Arial" w:hint="default"/>
      </w:rPr>
    </w:lvl>
    <w:lvl w:ilvl="8" w:tplc="FE5EEA3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7E68E0"/>
    <w:multiLevelType w:val="hybridMultilevel"/>
    <w:tmpl w:val="D9426786"/>
    <w:lvl w:ilvl="0" w:tplc="398C12D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51001"/>
    <w:multiLevelType w:val="hybridMultilevel"/>
    <w:tmpl w:val="CCF2F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DF15142"/>
    <w:multiLevelType w:val="hybridMultilevel"/>
    <w:tmpl w:val="4AF299A2"/>
    <w:lvl w:ilvl="0" w:tplc="FFFFFFFF">
      <w:numFmt w:val="bullet"/>
      <w:pStyle w:val="Tablebullet1"/>
      <w:lvlText w:val=""/>
      <w:lvlJc w:val="left"/>
      <w:pPr>
        <w:tabs>
          <w:tab w:val="num" w:pos="765"/>
        </w:tabs>
        <w:ind w:left="765" w:hanging="405"/>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B219E"/>
    <w:multiLevelType w:val="hybridMultilevel"/>
    <w:tmpl w:val="63925560"/>
    <w:lvl w:ilvl="0" w:tplc="B1EC28A8">
      <w:start w:val="1"/>
      <w:numFmt w:val="bullet"/>
      <w:lvlText w:val="■"/>
      <w:lvlJc w:val="left"/>
      <w:pPr>
        <w:tabs>
          <w:tab w:val="num" w:pos="720"/>
        </w:tabs>
        <w:ind w:left="720" w:hanging="360"/>
      </w:pPr>
      <w:rPr>
        <w:rFonts w:ascii="Times New Roman" w:hAnsi="Times New Roman" w:cs="Times New Roman" w:hint="default"/>
      </w:rPr>
    </w:lvl>
    <w:lvl w:ilvl="1" w:tplc="67687D5A">
      <w:start w:val="543"/>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70CBB"/>
    <w:multiLevelType w:val="hybridMultilevel"/>
    <w:tmpl w:val="4A98F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D114C"/>
    <w:multiLevelType w:val="hybridMultilevel"/>
    <w:tmpl w:val="698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A13D2"/>
    <w:multiLevelType w:val="hybridMultilevel"/>
    <w:tmpl w:val="2722B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4A6E71"/>
    <w:multiLevelType w:val="hybridMultilevel"/>
    <w:tmpl w:val="71CAF36C"/>
    <w:lvl w:ilvl="0" w:tplc="F61AC886">
      <w:start w:val="1"/>
      <w:numFmt w:val="bullet"/>
      <w:lvlText w:val="•"/>
      <w:lvlJc w:val="left"/>
      <w:pPr>
        <w:tabs>
          <w:tab w:val="num" w:pos="720"/>
        </w:tabs>
        <w:ind w:left="720" w:hanging="360"/>
      </w:pPr>
      <w:rPr>
        <w:rFonts w:ascii="Arial" w:hAnsi="Arial" w:hint="default"/>
      </w:rPr>
    </w:lvl>
    <w:lvl w:ilvl="1" w:tplc="48321DDC">
      <w:start w:val="5987"/>
      <w:numFmt w:val="bullet"/>
      <w:lvlText w:val="–"/>
      <w:lvlJc w:val="left"/>
      <w:pPr>
        <w:tabs>
          <w:tab w:val="num" w:pos="1440"/>
        </w:tabs>
        <w:ind w:left="1440" w:hanging="360"/>
      </w:pPr>
      <w:rPr>
        <w:rFonts w:ascii="Arial" w:hAnsi="Arial" w:hint="default"/>
      </w:rPr>
    </w:lvl>
    <w:lvl w:ilvl="2" w:tplc="E38C1D4C" w:tentative="1">
      <w:start w:val="1"/>
      <w:numFmt w:val="bullet"/>
      <w:lvlText w:val="•"/>
      <w:lvlJc w:val="left"/>
      <w:pPr>
        <w:tabs>
          <w:tab w:val="num" w:pos="2160"/>
        </w:tabs>
        <w:ind w:left="2160" w:hanging="360"/>
      </w:pPr>
      <w:rPr>
        <w:rFonts w:ascii="Arial" w:hAnsi="Arial" w:hint="default"/>
      </w:rPr>
    </w:lvl>
    <w:lvl w:ilvl="3" w:tplc="716A8504" w:tentative="1">
      <w:start w:val="1"/>
      <w:numFmt w:val="bullet"/>
      <w:lvlText w:val="•"/>
      <w:lvlJc w:val="left"/>
      <w:pPr>
        <w:tabs>
          <w:tab w:val="num" w:pos="2880"/>
        </w:tabs>
        <w:ind w:left="2880" w:hanging="360"/>
      </w:pPr>
      <w:rPr>
        <w:rFonts w:ascii="Arial" w:hAnsi="Arial" w:hint="default"/>
      </w:rPr>
    </w:lvl>
    <w:lvl w:ilvl="4" w:tplc="7052703A" w:tentative="1">
      <w:start w:val="1"/>
      <w:numFmt w:val="bullet"/>
      <w:lvlText w:val="•"/>
      <w:lvlJc w:val="left"/>
      <w:pPr>
        <w:tabs>
          <w:tab w:val="num" w:pos="3600"/>
        </w:tabs>
        <w:ind w:left="3600" w:hanging="360"/>
      </w:pPr>
      <w:rPr>
        <w:rFonts w:ascii="Arial" w:hAnsi="Arial" w:hint="default"/>
      </w:rPr>
    </w:lvl>
    <w:lvl w:ilvl="5" w:tplc="D0F60C4A" w:tentative="1">
      <w:start w:val="1"/>
      <w:numFmt w:val="bullet"/>
      <w:lvlText w:val="•"/>
      <w:lvlJc w:val="left"/>
      <w:pPr>
        <w:tabs>
          <w:tab w:val="num" w:pos="4320"/>
        </w:tabs>
        <w:ind w:left="4320" w:hanging="360"/>
      </w:pPr>
      <w:rPr>
        <w:rFonts w:ascii="Arial" w:hAnsi="Arial" w:hint="default"/>
      </w:rPr>
    </w:lvl>
    <w:lvl w:ilvl="6" w:tplc="E7B012A6" w:tentative="1">
      <w:start w:val="1"/>
      <w:numFmt w:val="bullet"/>
      <w:lvlText w:val="•"/>
      <w:lvlJc w:val="left"/>
      <w:pPr>
        <w:tabs>
          <w:tab w:val="num" w:pos="5040"/>
        </w:tabs>
        <w:ind w:left="5040" w:hanging="360"/>
      </w:pPr>
      <w:rPr>
        <w:rFonts w:ascii="Arial" w:hAnsi="Arial" w:hint="default"/>
      </w:rPr>
    </w:lvl>
    <w:lvl w:ilvl="7" w:tplc="ED06C812" w:tentative="1">
      <w:start w:val="1"/>
      <w:numFmt w:val="bullet"/>
      <w:lvlText w:val="•"/>
      <w:lvlJc w:val="left"/>
      <w:pPr>
        <w:tabs>
          <w:tab w:val="num" w:pos="5760"/>
        </w:tabs>
        <w:ind w:left="5760" w:hanging="360"/>
      </w:pPr>
      <w:rPr>
        <w:rFonts w:ascii="Arial" w:hAnsi="Arial" w:hint="default"/>
      </w:rPr>
    </w:lvl>
    <w:lvl w:ilvl="8" w:tplc="14F2FA4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A781B70"/>
    <w:multiLevelType w:val="hybridMultilevel"/>
    <w:tmpl w:val="BC6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D55CAA"/>
    <w:multiLevelType w:val="hybridMultilevel"/>
    <w:tmpl w:val="C276CE76"/>
    <w:lvl w:ilvl="0" w:tplc="D5D84D5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3024E"/>
    <w:multiLevelType w:val="hybridMultilevel"/>
    <w:tmpl w:val="3B604BD6"/>
    <w:lvl w:ilvl="0" w:tplc="E4AAFD7A">
      <w:start w:val="1"/>
      <w:numFmt w:val="decimal"/>
      <w:lvlText w:val="%1."/>
      <w:lvlJc w:val="left"/>
      <w:pPr>
        <w:ind w:left="720" w:hanging="360"/>
      </w:pPr>
      <w:rPr>
        <w:rFonts w:ascii="Verdana" w:hAnsi="Verdan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0185D"/>
    <w:multiLevelType w:val="hybridMultilevel"/>
    <w:tmpl w:val="12247560"/>
    <w:lvl w:ilvl="0" w:tplc="8722B4C4">
      <w:start w:val="1"/>
      <w:numFmt w:val="bullet"/>
      <w:pStyle w:val="TableBulletLM"/>
      <w:lvlText w:val="▪"/>
      <w:lvlJc w:val="left"/>
      <w:pPr>
        <w:ind w:left="720" w:hanging="360"/>
      </w:pPr>
      <w:rPr>
        <w:rFonts w:ascii="Verdana" w:hAnsi="Verdana"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643DE"/>
    <w:multiLevelType w:val="hybridMultilevel"/>
    <w:tmpl w:val="2E76F426"/>
    <w:lvl w:ilvl="0" w:tplc="00065B2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3470236"/>
    <w:multiLevelType w:val="multilevel"/>
    <w:tmpl w:val="ECD0A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3616A95"/>
    <w:multiLevelType w:val="hybridMultilevel"/>
    <w:tmpl w:val="8FECF0E4"/>
    <w:lvl w:ilvl="0" w:tplc="128CDC60">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92F17"/>
    <w:multiLevelType w:val="hybridMultilevel"/>
    <w:tmpl w:val="C20CD94C"/>
    <w:lvl w:ilvl="0" w:tplc="C93EE198">
      <w:start w:val="1"/>
      <w:numFmt w:val="bullet"/>
      <w:pStyle w:val="bullets"/>
      <w:lvlText w:val=""/>
      <w:lvlJc w:val="left"/>
      <w:pPr>
        <w:tabs>
          <w:tab w:val="num" w:pos="4500"/>
        </w:tabs>
        <w:ind w:left="4500" w:hanging="360"/>
      </w:pPr>
      <w:rPr>
        <w:rFonts w:ascii="Wingdings" w:hAnsi="Wingdings" w:hint="default"/>
      </w:rPr>
    </w:lvl>
    <w:lvl w:ilvl="1" w:tplc="13A64626">
      <w:start w:val="1"/>
      <w:numFmt w:val="bullet"/>
      <w:pStyle w:val="bullets-2ndlevel"/>
      <w:lvlText w:val="–"/>
      <w:lvlJc w:val="left"/>
      <w:pPr>
        <w:tabs>
          <w:tab w:val="num" w:pos="1440"/>
        </w:tabs>
        <w:ind w:left="1440" w:hanging="360"/>
      </w:pPr>
      <w:rPr>
        <w:rFonts w:ascii="Arial" w:hAnsi="Arial" w:hint="default"/>
      </w:rPr>
    </w:lvl>
    <w:lvl w:ilvl="2" w:tplc="95CC2F5C">
      <w:start w:val="1"/>
      <w:numFmt w:val="bullet"/>
      <w:pStyle w:val="bullets-3rdlevel"/>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4C72CC7"/>
    <w:multiLevelType w:val="hybridMultilevel"/>
    <w:tmpl w:val="2D462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B19AE"/>
    <w:multiLevelType w:val="hybridMultilevel"/>
    <w:tmpl w:val="964C7CE2"/>
    <w:lvl w:ilvl="0" w:tplc="7A86D1D6">
      <w:start w:val="1"/>
      <w:numFmt w:val="bullet"/>
      <w:lvlText w:val="–"/>
      <w:lvlJc w:val="left"/>
      <w:pPr>
        <w:tabs>
          <w:tab w:val="num" w:pos="720"/>
        </w:tabs>
        <w:ind w:left="720" w:hanging="360"/>
      </w:pPr>
      <w:rPr>
        <w:rFonts w:ascii="Arial" w:hAnsi="Arial" w:hint="default"/>
      </w:rPr>
    </w:lvl>
    <w:lvl w:ilvl="1" w:tplc="ACB40632">
      <w:start w:val="1"/>
      <w:numFmt w:val="bullet"/>
      <w:lvlText w:val="–"/>
      <w:lvlJc w:val="left"/>
      <w:pPr>
        <w:tabs>
          <w:tab w:val="num" w:pos="1440"/>
        </w:tabs>
        <w:ind w:left="1440" w:hanging="360"/>
      </w:pPr>
      <w:rPr>
        <w:rFonts w:ascii="Arial" w:hAnsi="Arial" w:hint="default"/>
      </w:rPr>
    </w:lvl>
    <w:lvl w:ilvl="2" w:tplc="06E2541E" w:tentative="1">
      <w:start w:val="1"/>
      <w:numFmt w:val="bullet"/>
      <w:lvlText w:val="–"/>
      <w:lvlJc w:val="left"/>
      <w:pPr>
        <w:tabs>
          <w:tab w:val="num" w:pos="2160"/>
        </w:tabs>
        <w:ind w:left="2160" w:hanging="360"/>
      </w:pPr>
      <w:rPr>
        <w:rFonts w:ascii="Arial" w:hAnsi="Arial" w:hint="default"/>
      </w:rPr>
    </w:lvl>
    <w:lvl w:ilvl="3" w:tplc="5374DDF2" w:tentative="1">
      <w:start w:val="1"/>
      <w:numFmt w:val="bullet"/>
      <w:lvlText w:val="–"/>
      <w:lvlJc w:val="left"/>
      <w:pPr>
        <w:tabs>
          <w:tab w:val="num" w:pos="2880"/>
        </w:tabs>
        <w:ind w:left="2880" w:hanging="360"/>
      </w:pPr>
      <w:rPr>
        <w:rFonts w:ascii="Arial" w:hAnsi="Arial" w:hint="default"/>
      </w:rPr>
    </w:lvl>
    <w:lvl w:ilvl="4" w:tplc="4AF89048" w:tentative="1">
      <w:start w:val="1"/>
      <w:numFmt w:val="bullet"/>
      <w:lvlText w:val="–"/>
      <w:lvlJc w:val="left"/>
      <w:pPr>
        <w:tabs>
          <w:tab w:val="num" w:pos="3600"/>
        </w:tabs>
        <w:ind w:left="3600" w:hanging="360"/>
      </w:pPr>
      <w:rPr>
        <w:rFonts w:ascii="Arial" w:hAnsi="Arial" w:hint="default"/>
      </w:rPr>
    </w:lvl>
    <w:lvl w:ilvl="5" w:tplc="9064D694" w:tentative="1">
      <w:start w:val="1"/>
      <w:numFmt w:val="bullet"/>
      <w:lvlText w:val="–"/>
      <w:lvlJc w:val="left"/>
      <w:pPr>
        <w:tabs>
          <w:tab w:val="num" w:pos="4320"/>
        </w:tabs>
        <w:ind w:left="4320" w:hanging="360"/>
      </w:pPr>
      <w:rPr>
        <w:rFonts w:ascii="Arial" w:hAnsi="Arial" w:hint="default"/>
      </w:rPr>
    </w:lvl>
    <w:lvl w:ilvl="6" w:tplc="66DA580A" w:tentative="1">
      <w:start w:val="1"/>
      <w:numFmt w:val="bullet"/>
      <w:lvlText w:val="–"/>
      <w:lvlJc w:val="left"/>
      <w:pPr>
        <w:tabs>
          <w:tab w:val="num" w:pos="5040"/>
        </w:tabs>
        <w:ind w:left="5040" w:hanging="360"/>
      </w:pPr>
      <w:rPr>
        <w:rFonts w:ascii="Arial" w:hAnsi="Arial" w:hint="default"/>
      </w:rPr>
    </w:lvl>
    <w:lvl w:ilvl="7" w:tplc="14C2BC9A" w:tentative="1">
      <w:start w:val="1"/>
      <w:numFmt w:val="bullet"/>
      <w:lvlText w:val="–"/>
      <w:lvlJc w:val="left"/>
      <w:pPr>
        <w:tabs>
          <w:tab w:val="num" w:pos="5760"/>
        </w:tabs>
        <w:ind w:left="5760" w:hanging="360"/>
      </w:pPr>
      <w:rPr>
        <w:rFonts w:ascii="Arial" w:hAnsi="Arial" w:hint="default"/>
      </w:rPr>
    </w:lvl>
    <w:lvl w:ilvl="8" w:tplc="F2A8B3A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4D57FF"/>
    <w:multiLevelType w:val="hybridMultilevel"/>
    <w:tmpl w:val="C276CE76"/>
    <w:lvl w:ilvl="0" w:tplc="D5D84D5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649F6"/>
    <w:multiLevelType w:val="multilevel"/>
    <w:tmpl w:val="41527928"/>
    <w:lvl w:ilvl="0">
      <w:start w:val="1"/>
      <w:numFmt w:val="decimal"/>
      <w:lvlText w:val="%1"/>
      <w:lvlJc w:val="left"/>
      <w:pPr>
        <w:tabs>
          <w:tab w:val="num" w:pos="432"/>
        </w:tabs>
        <w:ind w:left="43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180"/>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0"/>
        </w:tabs>
        <w:ind w:left="0" w:firstLine="0"/>
      </w:pPr>
      <w:rPr>
        <w:rFonts w:cs="Times New Roman" w:hint="default"/>
        <w:b w:val="0"/>
        <w:bCs w:val="0"/>
        <w:i/>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540"/>
        </w:tabs>
        <w:ind w:left="540" w:hanging="540"/>
      </w:pPr>
      <w:rPr>
        <w:rFonts w:ascii="Arial" w:hAnsi="Arial" w:cs="Franklin Gothic Demi" w:hint="default"/>
        <w:sz w:val="22"/>
        <w:szCs w:val="22"/>
      </w:rPr>
    </w:lvl>
    <w:lvl w:ilvl="4">
      <w:start w:val="1"/>
      <w:numFmt w:val="decimal"/>
      <w:lvlRestart w:val="0"/>
      <w:lvlText w:val="%1.%2.%3.%4.%5"/>
      <w:lvlJc w:val="left"/>
      <w:pPr>
        <w:tabs>
          <w:tab w:val="num" w:pos="-3402"/>
        </w:tabs>
        <w:ind w:left="-3402" w:hanging="1008"/>
      </w:pPr>
      <w:rPr>
        <w:rFonts w:ascii="Arial" w:hAnsi="Arial" w:cs="Franklin Gothic Demi" w:hint="default"/>
        <w:sz w:val="20"/>
      </w:rPr>
    </w:lvl>
    <w:lvl w:ilvl="5">
      <w:start w:val="1"/>
      <w:numFmt w:val="decimal"/>
      <w:lvlRestart w:val="0"/>
      <w:lvlText w:val="%1.%2.%3.%4.%5.%6"/>
      <w:lvlJc w:val="left"/>
      <w:pPr>
        <w:tabs>
          <w:tab w:val="num" w:pos="-3258"/>
        </w:tabs>
        <w:ind w:left="-3258" w:hanging="1152"/>
      </w:pPr>
      <w:rPr>
        <w:rFonts w:cs="Franklin Gothic Demi" w:hint="default"/>
      </w:rPr>
    </w:lvl>
    <w:lvl w:ilvl="6">
      <w:start w:val="1"/>
      <w:numFmt w:val="decimal"/>
      <w:lvlText w:val="%1.%2.%3.%4.%5.%6.%7"/>
      <w:lvlJc w:val="left"/>
      <w:pPr>
        <w:tabs>
          <w:tab w:val="num" w:pos="-3114"/>
        </w:tabs>
        <w:ind w:left="-3114" w:hanging="1296"/>
      </w:pPr>
      <w:rPr>
        <w:rFonts w:cs="Franklin Gothic Demi" w:hint="default"/>
      </w:rPr>
    </w:lvl>
    <w:lvl w:ilvl="7">
      <w:start w:val="1"/>
      <w:numFmt w:val="decimal"/>
      <w:lvlText w:val="%1.%2.%3.%4.%5.%6.%7.%8"/>
      <w:lvlJc w:val="left"/>
      <w:pPr>
        <w:tabs>
          <w:tab w:val="num" w:pos="-2970"/>
        </w:tabs>
        <w:ind w:left="-2970" w:hanging="1440"/>
      </w:pPr>
      <w:rPr>
        <w:rFonts w:cs="Franklin Gothic Demi" w:hint="default"/>
      </w:rPr>
    </w:lvl>
    <w:lvl w:ilvl="8">
      <w:start w:val="1"/>
      <w:numFmt w:val="decimal"/>
      <w:lvlText w:val="%1.%2.%3.%4.%5.%6.%7.%8.%9"/>
      <w:lvlJc w:val="left"/>
      <w:pPr>
        <w:tabs>
          <w:tab w:val="num" w:pos="-2826"/>
        </w:tabs>
        <w:ind w:left="-2826" w:hanging="1584"/>
      </w:pPr>
      <w:rPr>
        <w:rFonts w:cs="Franklin Gothic Demi" w:hint="default"/>
      </w:rPr>
    </w:lvl>
  </w:abstractNum>
  <w:abstractNum w:abstractNumId="35" w15:restartNumberingAfterBreak="0">
    <w:nsid w:val="601E2852"/>
    <w:multiLevelType w:val="hybridMultilevel"/>
    <w:tmpl w:val="66844334"/>
    <w:lvl w:ilvl="0" w:tplc="A3744B16">
      <w:start w:val="1"/>
      <w:numFmt w:val="bullet"/>
      <w:pStyle w:val="TableBulletInd"/>
      <w:lvlText w:val="▪"/>
      <w:lvlJc w:val="left"/>
      <w:pPr>
        <w:ind w:left="720" w:hanging="360"/>
      </w:pPr>
      <w:rPr>
        <w:rFonts w:ascii="Verdana" w:hAnsi="Verdana" w:cs="Tahoma"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FF384E"/>
    <w:multiLevelType w:val="hybridMultilevel"/>
    <w:tmpl w:val="7628620C"/>
    <w:lvl w:ilvl="0" w:tplc="D90A1194">
      <w:start w:val="1"/>
      <w:numFmt w:val="bullet"/>
      <w:lvlText w:val="•"/>
      <w:lvlJc w:val="left"/>
      <w:pPr>
        <w:tabs>
          <w:tab w:val="num" w:pos="720"/>
        </w:tabs>
        <w:ind w:left="720" w:hanging="360"/>
      </w:pPr>
      <w:rPr>
        <w:rFonts w:ascii="Arial" w:hAnsi="Arial" w:hint="default"/>
      </w:rPr>
    </w:lvl>
    <w:lvl w:ilvl="1" w:tplc="978661F0">
      <w:start w:val="3415"/>
      <w:numFmt w:val="bullet"/>
      <w:lvlText w:val="–"/>
      <w:lvlJc w:val="left"/>
      <w:pPr>
        <w:tabs>
          <w:tab w:val="num" w:pos="1440"/>
        </w:tabs>
        <w:ind w:left="1440" w:hanging="360"/>
      </w:pPr>
      <w:rPr>
        <w:rFonts w:ascii="Arial" w:hAnsi="Arial" w:hint="default"/>
      </w:rPr>
    </w:lvl>
    <w:lvl w:ilvl="2" w:tplc="C73AA3F4" w:tentative="1">
      <w:start w:val="1"/>
      <w:numFmt w:val="bullet"/>
      <w:lvlText w:val="•"/>
      <w:lvlJc w:val="left"/>
      <w:pPr>
        <w:tabs>
          <w:tab w:val="num" w:pos="2160"/>
        </w:tabs>
        <w:ind w:left="2160" w:hanging="360"/>
      </w:pPr>
      <w:rPr>
        <w:rFonts w:ascii="Arial" w:hAnsi="Arial" w:hint="default"/>
      </w:rPr>
    </w:lvl>
    <w:lvl w:ilvl="3" w:tplc="3FF28B40" w:tentative="1">
      <w:start w:val="1"/>
      <w:numFmt w:val="bullet"/>
      <w:lvlText w:val="•"/>
      <w:lvlJc w:val="left"/>
      <w:pPr>
        <w:tabs>
          <w:tab w:val="num" w:pos="2880"/>
        </w:tabs>
        <w:ind w:left="2880" w:hanging="360"/>
      </w:pPr>
      <w:rPr>
        <w:rFonts w:ascii="Arial" w:hAnsi="Arial" w:hint="default"/>
      </w:rPr>
    </w:lvl>
    <w:lvl w:ilvl="4" w:tplc="BE88FBC8" w:tentative="1">
      <w:start w:val="1"/>
      <w:numFmt w:val="bullet"/>
      <w:lvlText w:val="•"/>
      <w:lvlJc w:val="left"/>
      <w:pPr>
        <w:tabs>
          <w:tab w:val="num" w:pos="3600"/>
        </w:tabs>
        <w:ind w:left="3600" w:hanging="360"/>
      </w:pPr>
      <w:rPr>
        <w:rFonts w:ascii="Arial" w:hAnsi="Arial" w:hint="default"/>
      </w:rPr>
    </w:lvl>
    <w:lvl w:ilvl="5" w:tplc="E96A1E52" w:tentative="1">
      <w:start w:val="1"/>
      <w:numFmt w:val="bullet"/>
      <w:lvlText w:val="•"/>
      <w:lvlJc w:val="left"/>
      <w:pPr>
        <w:tabs>
          <w:tab w:val="num" w:pos="4320"/>
        </w:tabs>
        <w:ind w:left="4320" w:hanging="360"/>
      </w:pPr>
      <w:rPr>
        <w:rFonts w:ascii="Arial" w:hAnsi="Arial" w:hint="default"/>
      </w:rPr>
    </w:lvl>
    <w:lvl w:ilvl="6" w:tplc="B6148A14" w:tentative="1">
      <w:start w:val="1"/>
      <w:numFmt w:val="bullet"/>
      <w:lvlText w:val="•"/>
      <w:lvlJc w:val="left"/>
      <w:pPr>
        <w:tabs>
          <w:tab w:val="num" w:pos="5040"/>
        </w:tabs>
        <w:ind w:left="5040" w:hanging="360"/>
      </w:pPr>
      <w:rPr>
        <w:rFonts w:ascii="Arial" w:hAnsi="Arial" w:hint="default"/>
      </w:rPr>
    </w:lvl>
    <w:lvl w:ilvl="7" w:tplc="B87E5BDE" w:tentative="1">
      <w:start w:val="1"/>
      <w:numFmt w:val="bullet"/>
      <w:lvlText w:val="•"/>
      <w:lvlJc w:val="left"/>
      <w:pPr>
        <w:tabs>
          <w:tab w:val="num" w:pos="5760"/>
        </w:tabs>
        <w:ind w:left="5760" w:hanging="360"/>
      </w:pPr>
      <w:rPr>
        <w:rFonts w:ascii="Arial" w:hAnsi="Arial" w:hint="default"/>
      </w:rPr>
    </w:lvl>
    <w:lvl w:ilvl="8" w:tplc="CBB21A4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C54887"/>
    <w:multiLevelType w:val="hybridMultilevel"/>
    <w:tmpl w:val="3A0EB2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32FF7"/>
    <w:multiLevelType w:val="hybridMultilevel"/>
    <w:tmpl w:val="975C4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A7912"/>
    <w:multiLevelType w:val="hybridMultilevel"/>
    <w:tmpl w:val="FD2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B6198"/>
    <w:multiLevelType w:val="hybridMultilevel"/>
    <w:tmpl w:val="9258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13"/>
  </w:num>
  <w:num w:numId="4">
    <w:abstractNumId w:val="12"/>
  </w:num>
  <w:num w:numId="5">
    <w:abstractNumId w:val="26"/>
  </w:num>
  <w:num w:numId="6">
    <w:abstractNumId w:val="35"/>
  </w:num>
  <w:num w:numId="7">
    <w:abstractNumId w:val="29"/>
  </w:num>
  <w:num w:numId="8">
    <w:abstractNumId w:val="10"/>
  </w:num>
  <w:num w:numId="9">
    <w:abstractNumId w:val="17"/>
  </w:num>
  <w:num w:numId="10">
    <w:abstractNumId w:val="3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3"/>
  </w:num>
  <w:num w:numId="21">
    <w:abstractNumId w:val="24"/>
  </w:num>
  <w:num w:numId="22">
    <w:abstractNumId w:val="28"/>
  </w:num>
  <w:num w:numId="23">
    <w:abstractNumId w:val="15"/>
  </w:num>
  <w:num w:numId="24">
    <w:abstractNumId w:val="39"/>
  </w:num>
  <w:num w:numId="25">
    <w:abstractNumId w:val="11"/>
  </w:num>
  <w:num w:numId="2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1"/>
  </w:num>
  <w:num w:numId="29">
    <w:abstractNumId w:val="16"/>
  </w:num>
  <w:num w:numId="30">
    <w:abstractNumId w:val="37"/>
  </w:num>
  <w:num w:numId="31">
    <w:abstractNumId w:val="38"/>
  </w:num>
  <w:num w:numId="32">
    <w:abstractNumId w:val="19"/>
  </w:num>
  <w:num w:numId="33">
    <w:abstractNumId w:val="18"/>
  </w:num>
  <w:num w:numId="34">
    <w:abstractNumId w:val="40"/>
  </w:num>
  <w:num w:numId="35">
    <w:abstractNumId w:val="22"/>
  </w:num>
  <w:num w:numId="36">
    <w:abstractNumId w:val="14"/>
  </w:num>
  <w:num w:numId="37">
    <w:abstractNumId w:val="36"/>
  </w:num>
  <w:num w:numId="38">
    <w:abstractNumId w:val="32"/>
  </w:num>
  <w:num w:numId="39">
    <w:abstractNumId w:val="25"/>
  </w:num>
  <w:num w:numId="40">
    <w:abstractNumId w:val="31"/>
  </w:num>
  <w:num w:numId="41">
    <w:abstractNumId w:val="20"/>
  </w:num>
  <w:num w:numId="42">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evenAndOddHeaders/>
  <w:drawingGridHorizontalSpacing w:val="100"/>
  <w:drawingGridVerticalSpacing w:val="299"/>
  <w:displayHorizontalDrawingGridEvery w:val="2"/>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87"/>
    <w:rsid w:val="0000199B"/>
    <w:rsid w:val="000063C2"/>
    <w:rsid w:val="000066E8"/>
    <w:rsid w:val="000068ED"/>
    <w:rsid w:val="000078FB"/>
    <w:rsid w:val="00010216"/>
    <w:rsid w:val="00011204"/>
    <w:rsid w:val="000122E6"/>
    <w:rsid w:val="00012A37"/>
    <w:rsid w:val="000141DA"/>
    <w:rsid w:val="0001579D"/>
    <w:rsid w:val="00016965"/>
    <w:rsid w:val="00016D0E"/>
    <w:rsid w:val="00017038"/>
    <w:rsid w:val="0001709F"/>
    <w:rsid w:val="00017354"/>
    <w:rsid w:val="00021759"/>
    <w:rsid w:val="000219CA"/>
    <w:rsid w:val="00021B86"/>
    <w:rsid w:val="0002226E"/>
    <w:rsid w:val="00023B7D"/>
    <w:rsid w:val="00024DF3"/>
    <w:rsid w:val="00024FE5"/>
    <w:rsid w:val="00026CEB"/>
    <w:rsid w:val="00027013"/>
    <w:rsid w:val="000300BF"/>
    <w:rsid w:val="00030D01"/>
    <w:rsid w:val="00032AC9"/>
    <w:rsid w:val="00033702"/>
    <w:rsid w:val="00034290"/>
    <w:rsid w:val="00035DE7"/>
    <w:rsid w:val="00036684"/>
    <w:rsid w:val="000400FE"/>
    <w:rsid w:val="00040371"/>
    <w:rsid w:val="000404FF"/>
    <w:rsid w:val="000409A2"/>
    <w:rsid w:val="00041CE9"/>
    <w:rsid w:val="00043000"/>
    <w:rsid w:val="000441EA"/>
    <w:rsid w:val="000443D0"/>
    <w:rsid w:val="000450CB"/>
    <w:rsid w:val="0004696B"/>
    <w:rsid w:val="000471CD"/>
    <w:rsid w:val="000507A1"/>
    <w:rsid w:val="00051B41"/>
    <w:rsid w:val="0005232E"/>
    <w:rsid w:val="00052401"/>
    <w:rsid w:val="0005253B"/>
    <w:rsid w:val="00052981"/>
    <w:rsid w:val="00052E04"/>
    <w:rsid w:val="0005328A"/>
    <w:rsid w:val="00054325"/>
    <w:rsid w:val="00054580"/>
    <w:rsid w:val="00054A68"/>
    <w:rsid w:val="00054F41"/>
    <w:rsid w:val="00055D2A"/>
    <w:rsid w:val="00055E53"/>
    <w:rsid w:val="00055F14"/>
    <w:rsid w:val="00056A62"/>
    <w:rsid w:val="00056E6A"/>
    <w:rsid w:val="0006025F"/>
    <w:rsid w:val="000635E0"/>
    <w:rsid w:val="00064571"/>
    <w:rsid w:val="00064B29"/>
    <w:rsid w:val="0006550C"/>
    <w:rsid w:val="000656E7"/>
    <w:rsid w:val="000677DE"/>
    <w:rsid w:val="00067A1D"/>
    <w:rsid w:val="000723F7"/>
    <w:rsid w:val="000727D1"/>
    <w:rsid w:val="00072F57"/>
    <w:rsid w:val="000733AB"/>
    <w:rsid w:val="00073E1A"/>
    <w:rsid w:val="0007469E"/>
    <w:rsid w:val="000747D6"/>
    <w:rsid w:val="00074A97"/>
    <w:rsid w:val="00074E8A"/>
    <w:rsid w:val="0007563D"/>
    <w:rsid w:val="00077A8B"/>
    <w:rsid w:val="00081110"/>
    <w:rsid w:val="000838B0"/>
    <w:rsid w:val="00086184"/>
    <w:rsid w:val="0008723C"/>
    <w:rsid w:val="00087DA7"/>
    <w:rsid w:val="00090075"/>
    <w:rsid w:val="000914E3"/>
    <w:rsid w:val="00091548"/>
    <w:rsid w:val="000951F7"/>
    <w:rsid w:val="00095B8D"/>
    <w:rsid w:val="000965E6"/>
    <w:rsid w:val="00097301"/>
    <w:rsid w:val="000A17A6"/>
    <w:rsid w:val="000A312E"/>
    <w:rsid w:val="000A3211"/>
    <w:rsid w:val="000A3F3A"/>
    <w:rsid w:val="000A4C16"/>
    <w:rsid w:val="000A537D"/>
    <w:rsid w:val="000A562B"/>
    <w:rsid w:val="000A5CB7"/>
    <w:rsid w:val="000A6265"/>
    <w:rsid w:val="000A6528"/>
    <w:rsid w:val="000A688B"/>
    <w:rsid w:val="000A7768"/>
    <w:rsid w:val="000B1C51"/>
    <w:rsid w:val="000B270A"/>
    <w:rsid w:val="000B5AE4"/>
    <w:rsid w:val="000B5EEA"/>
    <w:rsid w:val="000B6475"/>
    <w:rsid w:val="000B68B7"/>
    <w:rsid w:val="000B74D8"/>
    <w:rsid w:val="000C03C4"/>
    <w:rsid w:val="000C040D"/>
    <w:rsid w:val="000C08BE"/>
    <w:rsid w:val="000C13CC"/>
    <w:rsid w:val="000C1970"/>
    <w:rsid w:val="000C1AB9"/>
    <w:rsid w:val="000C2422"/>
    <w:rsid w:val="000C2714"/>
    <w:rsid w:val="000C279F"/>
    <w:rsid w:val="000C2D5B"/>
    <w:rsid w:val="000C2E1E"/>
    <w:rsid w:val="000C39BD"/>
    <w:rsid w:val="000C57A4"/>
    <w:rsid w:val="000C5C78"/>
    <w:rsid w:val="000C5E51"/>
    <w:rsid w:val="000C6047"/>
    <w:rsid w:val="000C6CED"/>
    <w:rsid w:val="000C763E"/>
    <w:rsid w:val="000C77F6"/>
    <w:rsid w:val="000C7F07"/>
    <w:rsid w:val="000D21B1"/>
    <w:rsid w:val="000D39CF"/>
    <w:rsid w:val="000D460B"/>
    <w:rsid w:val="000D5EB4"/>
    <w:rsid w:val="000D648F"/>
    <w:rsid w:val="000D6507"/>
    <w:rsid w:val="000D6E53"/>
    <w:rsid w:val="000E01BA"/>
    <w:rsid w:val="000E24DE"/>
    <w:rsid w:val="000E34E8"/>
    <w:rsid w:val="000E3A83"/>
    <w:rsid w:val="000E5D98"/>
    <w:rsid w:val="000E6D70"/>
    <w:rsid w:val="000E7901"/>
    <w:rsid w:val="000E7EEC"/>
    <w:rsid w:val="000F0E6D"/>
    <w:rsid w:val="000F139F"/>
    <w:rsid w:val="000F17E7"/>
    <w:rsid w:val="000F2BCD"/>
    <w:rsid w:val="000F3209"/>
    <w:rsid w:val="000F3379"/>
    <w:rsid w:val="000F3582"/>
    <w:rsid w:val="000F3E48"/>
    <w:rsid w:val="000F420A"/>
    <w:rsid w:val="000F48EE"/>
    <w:rsid w:val="000F515B"/>
    <w:rsid w:val="000F52F1"/>
    <w:rsid w:val="001005C1"/>
    <w:rsid w:val="0010154C"/>
    <w:rsid w:val="00104A6A"/>
    <w:rsid w:val="001050A4"/>
    <w:rsid w:val="00105AA4"/>
    <w:rsid w:val="001063EA"/>
    <w:rsid w:val="001065B9"/>
    <w:rsid w:val="0010772E"/>
    <w:rsid w:val="001077F7"/>
    <w:rsid w:val="001100CB"/>
    <w:rsid w:val="00110283"/>
    <w:rsid w:val="00110E98"/>
    <w:rsid w:val="00111FCA"/>
    <w:rsid w:val="00112754"/>
    <w:rsid w:val="00113C3E"/>
    <w:rsid w:val="001143E2"/>
    <w:rsid w:val="00116715"/>
    <w:rsid w:val="001168A6"/>
    <w:rsid w:val="0012168B"/>
    <w:rsid w:val="001218DE"/>
    <w:rsid w:val="00122714"/>
    <w:rsid w:val="00123C23"/>
    <w:rsid w:val="00123D7D"/>
    <w:rsid w:val="00124A14"/>
    <w:rsid w:val="00125F43"/>
    <w:rsid w:val="0012753B"/>
    <w:rsid w:val="0013027E"/>
    <w:rsid w:val="00130572"/>
    <w:rsid w:val="001309A5"/>
    <w:rsid w:val="00131049"/>
    <w:rsid w:val="00132248"/>
    <w:rsid w:val="0013329F"/>
    <w:rsid w:val="00133D0B"/>
    <w:rsid w:val="00134203"/>
    <w:rsid w:val="001353FB"/>
    <w:rsid w:val="00136D77"/>
    <w:rsid w:val="00136F03"/>
    <w:rsid w:val="00140426"/>
    <w:rsid w:val="00140583"/>
    <w:rsid w:val="00141318"/>
    <w:rsid w:val="0014169A"/>
    <w:rsid w:val="001417B2"/>
    <w:rsid w:val="00143653"/>
    <w:rsid w:val="0014376C"/>
    <w:rsid w:val="00144F82"/>
    <w:rsid w:val="00146B23"/>
    <w:rsid w:val="001500A2"/>
    <w:rsid w:val="00150D22"/>
    <w:rsid w:val="00152441"/>
    <w:rsid w:val="00155468"/>
    <w:rsid w:val="00155674"/>
    <w:rsid w:val="00156CB0"/>
    <w:rsid w:val="00156EC1"/>
    <w:rsid w:val="001572C3"/>
    <w:rsid w:val="00157D0F"/>
    <w:rsid w:val="00160FE1"/>
    <w:rsid w:val="001626E5"/>
    <w:rsid w:val="0016571A"/>
    <w:rsid w:val="00167283"/>
    <w:rsid w:val="00170C2B"/>
    <w:rsid w:val="001718B7"/>
    <w:rsid w:val="00172248"/>
    <w:rsid w:val="00172A1C"/>
    <w:rsid w:val="001734FC"/>
    <w:rsid w:val="00173721"/>
    <w:rsid w:val="0017479F"/>
    <w:rsid w:val="00174B34"/>
    <w:rsid w:val="00175D94"/>
    <w:rsid w:val="00176058"/>
    <w:rsid w:val="001775FB"/>
    <w:rsid w:val="001803DB"/>
    <w:rsid w:val="00181BDA"/>
    <w:rsid w:val="00184438"/>
    <w:rsid w:val="0018472F"/>
    <w:rsid w:val="00184A8A"/>
    <w:rsid w:val="001857D5"/>
    <w:rsid w:val="0018645D"/>
    <w:rsid w:val="00186AEF"/>
    <w:rsid w:val="00190AC5"/>
    <w:rsid w:val="00191BBC"/>
    <w:rsid w:val="00194198"/>
    <w:rsid w:val="00195187"/>
    <w:rsid w:val="00196921"/>
    <w:rsid w:val="0019707E"/>
    <w:rsid w:val="001A08B3"/>
    <w:rsid w:val="001A0AF1"/>
    <w:rsid w:val="001A1111"/>
    <w:rsid w:val="001A13EA"/>
    <w:rsid w:val="001A2554"/>
    <w:rsid w:val="001A40E1"/>
    <w:rsid w:val="001A415D"/>
    <w:rsid w:val="001A6C07"/>
    <w:rsid w:val="001A6FA2"/>
    <w:rsid w:val="001A72D1"/>
    <w:rsid w:val="001A7FD1"/>
    <w:rsid w:val="001B02BE"/>
    <w:rsid w:val="001B058D"/>
    <w:rsid w:val="001B0B07"/>
    <w:rsid w:val="001B1470"/>
    <w:rsid w:val="001B313D"/>
    <w:rsid w:val="001B428A"/>
    <w:rsid w:val="001B4C6E"/>
    <w:rsid w:val="001B58D4"/>
    <w:rsid w:val="001B660F"/>
    <w:rsid w:val="001B7864"/>
    <w:rsid w:val="001C0009"/>
    <w:rsid w:val="001C1776"/>
    <w:rsid w:val="001C37EA"/>
    <w:rsid w:val="001C3F89"/>
    <w:rsid w:val="001C430D"/>
    <w:rsid w:val="001C43C5"/>
    <w:rsid w:val="001C5DC3"/>
    <w:rsid w:val="001C7201"/>
    <w:rsid w:val="001C72C1"/>
    <w:rsid w:val="001C75FF"/>
    <w:rsid w:val="001C76F0"/>
    <w:rsid w:val="001D00CA"/>
    <w:rsid w:val="001D0CE5"/>
    <w:rsid w:val="001D2E72"/>
    <w:rsid w:val="001D3624"/>
    <w:rsid w:val="001D3B67"/>
    <w:rsid w:val="001D43C3"/>
    <w:rsid w:val="001D44B7"/>
    <w:rsid w:val="001D471D"/>
    <w:rsid w:val="001D7F8F"/>
    <w:rsid w:val="001E06A5"/>
    <w:rsid w:val="001E0727"/>
    <w:rsid w:val="001E0A32"/>
    <w:rsid w:val="001E0D54"/>
    <w:rsid w:val="001E11CA"/>
    <w:rsid w:val="001E12C1"/>
    <w:rsid w:val="001E18FF"/>
    <w:rsid w:val="001E1DE1"/>
    <w:rsid w:val="001E2203"/>
    <w:rsid w:val="001E28BE"/>
    <w:rsid w:val="001E40B0"/>
    <w:rsid w:val="001E43D4"/>
    <w:rsid w:val="001E46A1"/>
    <w:rsid w:val="001E6979"/>
    <w:rsid w:val="001E6F8B"/>
    <w:rsid w:val="001E77C7"/>
    <w:rsid w:val="001F07C4"/>
    <w:rsid w:val="001F0F51"/>
    <w:rsid w:val="001F3580"/>
    <w:rsid w:val="001F3D4B"/>
    <w:rsid w:val="001F48CB"/>
    <w:rsid w:val="001F493D"/>
    <w:rsid w:val="001F5372"/>
    <w:rsid w:val="00201B81"/>
    <w:rsid w:val="00202595"/>
    <w:rsid w:val="00202678"/>
    <w:rsid w:val="00202D0C"/>
    <w:rsid w:val="00203AED"/>
    <w:rsid w:val="0020439A"/>
    <w:rsid w:val="00205E10"/>
    <w:rsid w:val="00206180"/>
    <w:rsid w:val="00206EB1"/>
    <w:rsid w:val="002073BB"/>
    <w:rsid w:val="00207582"/>
    <w:rsid w:val="00211C96"/>
    <w:rsid w:val="002129F5"/>
    <w:rsid w:val="002149FF"/>
    <w:rsid w:val="00214F7F"/>
    <w:rsid w:val="00215251"/>
    <w:rsid w:val="002158D8"/>
    <w:rsid w:val="00216974"/>
    <w:rsid w:val="00220142"/>
    <w:rsid w:val="00221084"/>
    <w:rsid w:val="00222581"/>
    <w:rsid w:val="00222C77"/>
    <w:rsid w:val="0022374F"/>
    <w:rsid w:val="00224BC9"/>
    <w:rsid w:val="00224BD5"/>
    <w:rsid w:val="00225058"/>
    <w:rsid w:val="00225D32"/>
    <w:rsid w:val="00225DFF"/>
    <w:rsid w:val="00227B32"/>
    <w:rsid w:val="00232474"/>
    <w:rsid w:val="00232B80"/>
    <w:rsid w:val="00233661"/>
    <w:rsid w:val="00233976"/>
    <w:rsid w:val="00236060"/>
    <w:rsid w:val="00236A75"/>
    <w:rsid w:val="00240E89"/>
    <w:rsid w:val="00241BC9"/>
    <w:rsid w:val="002423FA"/>
    <w:rsid w:val="002433CD"/>
    <w:rsid w:val="002436B6"/>
    <w:rsid w:val="00244751"/>
    <w:rsid w:val="00244D0D"/>
    <w:rsid w:val="00245779"/>
    <w:rsid w:val="00246174"/>
    <w:rsid w:val="002465F5"/>
    <w:rsid w:val="00251497"/>
    <w:rsid w:val="002558F6"/>
    <w:rsid w:val="00255C08"/>
    <w:rsid w:val="00255E9C"/>
    <w:rsid w:val="00256551"/>
    <w:rsid w:val="00260498"/>
    <w:rsid w:val="00260D8A"/>
    <w:rsid w:val="00261FE3"/>
    <w:rsid w:val="00266243"/>
    <w:rsid w:val="00270DD7"/>
    <w:rsid w:val="002710BD"/>
    <w:rsid w:val="00272323"/>
    <w:rsid w:val="002739EC"/>
    <w:rsid w:val="00274916"/>
    <w:rsid w:val="00274F07"/>
    <w:rsid w:val="00275405"/>
    <w:rsid w:val="00276903"/>
    <w:rsid w:val="00276B12"/>
    <w:rsid w:val="0028007E"/>
    <w:rsid w:val="00281139"/>
    <w:rsid w:val="002814AC"/>
    <w:rsid w:val="00282784"/>
    <w:rsid w:val="002857F4"/>
    <w:rsid w:val="0028683D"/>
    <w:rsid w:val="00286DAE"/>
    <w:rsid w:val="00287130"/>
    <w:rsid w:val="00287EF4"/>
    <w:rsid w:val="00292AB1"/>
    <w:rsid w:val="0029353D"/>
    <w:rsid w:val="00293B36"/>
    <w:rsid w:val="00295112"/>
    <w:rsid w:val="002952F5"/>
    <w:rsid w:val="0029589B"/>
    <w:rsid w:val="00295F92"/>
    <w:rsid w:val="00297A23"/>
    <w:rsid w:val="002A08CE"/>
    <w:rsid w:val="002A1795"/>
    <w:rsid w:val="002A1B33"/>
    <w:rsid w:val="002A1E55"/>
    <w:rsid w:val="002A213D"/>
    <w:rsid w:val="002A2D08"/>
    <w:rsid w:val="002A2F4D"/>
    <w:rsid w:val="002A37A7"/>
    <w:rsid w:val="002A3893"/>
    <w:rsid w:val="002A4EE6"/>
    <w:rsid w:val="002A5660"/>
    <w:rsid w:val="002A6F50"/>
    <w:rsid w:val="002A6F9D"/>
    <w:rsid w:val="002B0B9A"/>
    <w:rsid w:val="002B1529"/>
    <w:rsid w:val="002B180E"/>
    <w:rsid w:val="002B1F7E"/>
    <w:rsid w:val="002B270F"/>
    <w:rsid w:val="002B3D70"/>
    <w:rsid w:val="002B3F0A"/>
    <w:rsid w:val="002B54F6"/>
    <w:rsid w:val="002B55B2"/>
    <w:rsid w:val="002B5D24"/>
    <w:rsid w:val="002B6861"/>
    <w:rsid w:val="002B7472"/>
    <w:rsid w:val="002C0467"/>
    <w:rsid w:val="002C1BE8"/>
    <w:rsid w:val="002C2794"/>
    <w:rsid w:val="002C3C88"/>
    <w:rsid w:val="002C41E9"/>
    <w:rsid w:val="002C623C"/>
    <w:rsid w:val="002C6521"/>
    <w:rsid w:val="002D05F2"/>
    <w:rsid w:val="002D1629"/>
    <w:rsid w:val="002D18B6"/>
    <w:rsid w:val="002D2779"/>
    <w:rsid w:val="002D4C41"/>
    <w:rsid w:val="002D5C5C"/>
    <w:rsid w:val="002D6495"/>
    <w:rsid w:val="002D64FE"/>
    <w:rsid w:val="002E04B7"/>
    <w:rsid w:val="002E0E4E"/>
    <w:rsid w:val="002E120F"/>
    <w:rsid w:val="002E2A71"/>
    <w:rsid w:val="002E417F"/>
    <w:rsid w:val="002E4508"/>
    <w:rsid w:val="002E4906"/>
    <w:rsid w:val="002E5808"/>
    <w:rsid w:val="002E6113"/>
    <w:rsid w:val="002E6786"/>
    <w:rsid w:val="002E7F7F"/>
    <w:rsid w:val="002F0073"/>
    <w:rsid w:val="002F0353"/>
    <w:rsid w:val="002F0FFB"/>
    <w:rsid w:val="002F1342"/>
    <w:rsid w:val="002F1D47"/>
    <w:rsid w:val="002F2B6F"/>
    <w:rsid w:val="002F34B7"/>
    <w:rsid w:val="002F3574"/>
    <w:rsid w:val="002F4BF7"/>
    <w:rsid w:val="002F5F01"/>
    <w:rsid w:val="002F6226"/>
    <w:rsid w:val="002F6834"/>
    <w:rsid w:val="002F71EB"/>
    <w:rsid w:val="002F7220"/>
    <w:rsid w:val="003002FB"/>
    <w:rsid w:val="00301D9B"/>
    <w:rsid w:val="0030355F"/>
    <w:rsid w:val="003035A6"/>
    <w:rsid w:val="00304177"/>
    <w:rsid w:val="00304B71"/>
    <w:rsid w:val="00304ECA"/>
    <w:rsid w:val="003050A5"/>
    <w:rsid w:val="0030594F"/>
    <w:rsid w:val="00307944"/>
    <w:rsid w:val="0031066A"/>
    <w:rsid w:val="00313023"/>
    <w:rsid w:val="00313E65"/>
    <w:rsid w:val="00314E78"/>
    <w:rsid w:val="003154ED"/>
    <w:rsid w:val="00315C31"/>
    <w:rsid w:val="00315F8D"/>
    <w:rsid w:val="003168C5"/>
    <w:rsid w:val="00316D00"/>
    <w:rsid w:val="00316E91"/>
    <w:rsid w:val="00317D06"/>
    <w:rsid w:val="003207B2"/>
    <w:rsid w:val="00322914"/>
    <w:rsid w:val="003229A1"/>
    <w:rsid w:val="00323667"/>
    <w:rsid w:val="00323B0D"/>
    <w:rsid w:val="00323EF1"/>
    <w:rsid w:val="0032537A"/>
    <w:rsid w:val="0032663A"/>
    <w:rsid w:val="00327F84"/>
    <w:rsid w:val="003303A2"/>
    <w:rsid w:val="00330DC3"/>
    <w:rsid w:val="0033192E"/>
    <w:rsid w:val="00333479"/>
    <w:rsid w:val="003335B3"/>
    <w:rsid w:val="003354B1"/>
    <w:rsid w:val="00336761"/>
    <w:rsid w:val="003374BC"/>
    <w:rsid w:val="003378E9"/>
    <w:rsid w:val="00340590"/>
    <w:rsid w:val="0034109D"/>
    <w:rsid w:val="00341EDC"/>
    <w:rsid w:val="003426EE"/>
    <w:rsid w:val="00342B01"/>
    <w:rsid w:val="003438E2"/>
    <w:rsid w:val="00343B4F"/>
    <w:rsid w:val="00343C2E"/>
    <w:rsid w:val="0034605D"/>
    <w:rsid w:val="003502EA"/>
    <w:rsid w:val="00350684"/>
    <w:rsid w:val="00351A94"/>
    <w:rsid w:val="00351CB6"/>
    <w:rsid w:val="00352087"/>
    <w:rsid w:val="00352A22"/>
    <w:rsid w:val="003533F1"/>
    <w:rsid w:val="0035657E"/>
    <w:rsid w:val="00357513"/>
    <w:rsid w:val="0036060B"/>
    <w:rsid w:val="00361319"/>
    <w:rsid w:val="00361ECB"/>
    <w:rsid w:val="00362B3D"/>
    <w:rsid w:val="0036388F"/>
    <w:rsid w:val="003643EE"/>
    <w:rsid w:val="0037104B"/>
    <w:rsid w:val="0037197A"/>
    <w:rsid w:val="00373093"/>
    <w:rsid w:val="003736E0"/>
    <w:rsid w:val="003741C2"/>
    <w:rsid w:val="0037441C"/>
    <w:rsid w:val="00374755"/>
    <w:rsid w:val="003752D7"/>
    <w:rsid w:val="00376E25"/>
    <w:rsid w:val="00377525"/>
    <w:rsid w:val="00377E93"/>
    <w:rsid w:val="0038147D"/>
    <w:rsid w:val="00381940"/>
    <w:rsid w:val="00381B1D"/>
    <w:rsid w:val="00381FBF"/>
    <w:rsid w:val="00382287"/>
    <w:rsid w:val="003827AF"/>
    <w:rsid w:val="00383B74"/>
    <w:rsid w:val="00384049"/>
    <w:rsid w:val="00384ACF"/>
    <w:rsid w:val="00385B72"/>
    <w:rsid w:val="0038634D"/>
    <w:rsid w:val="00386682"/>
    <w:rsid w:val="00387571"/>
    <w:rsid w:val="00391292"/>
    <w:rsid w:val="00391295"/>
    <w:rsid w:val="00392D97"/>
    <w:rsid w:val="00393D59"/>
    <w:rsid w:val="00393E81"/>
    <w:rsid w:val="00394828"/>
    <w:rsid w:val="00395AB8"/>
    <w:rsid w:val="00396152"/>
    <w:rsid w:val="00396194"/>
    <w:rsid w:val="003A1CC0"/>
    <w:rsid w:val="003A2234"/>
    <w:rsid w:val="003A5120"/>
    <w:rsid w:val="003A7D34"/>
    <w:rsid w:val="003B0685"/>
    <w:rsid w:val="003B083D"/>
    <w:rsid w:val="003B19DD"/>
    <w:rsid w:val="003B42C2"/>
    <w:rsid w:val="003B52FC"/>
    <w:rsid w:val="003B7EE1"/>
    <w:rsid w:val="003C0141"/>
    <w:rsid w:val="003C0262"/>
    <w:rsid w:val="003C150A"/>
    <w:rsid w:val="003C1901"/>
    <w:rsid w:val="003C3728"/>
    <w:rsid w:val="003C6C32"/>
    <w:rsid w:val="003C7038"/>
    <w:rsid w:val="003D04E4"/>
    <w:rsid w:val="003D0938"/>
    <w:rsid w:val="003D0973"/>
    <w:rsid w:val="003D0F05"/>
    <w:rsid w:val="003D24F8"/>
    <w:rsid w:val="003D34D6"/>
    <w:rsid w:val="003D7402"/>
    <w:rsid w:val="003D7614"/>
    <w:rsid w:val="003E009D"/>
    <w:rsid w:val="003E10A2"/>
    <w:rsid w:val="003E2825"/>
    <w:rsid w:val="003E37E1"/>
    <w:rsid w:val="003E3C01"/>
    <w:rsid w:val="003E456A"/>
    <w:rsid w:val="003E4613"/>
    <w:rsid w:val="003E4E9D"/>
    <w:rsid w:val="003E51FE"/>
    <w:rsid w:val="003E572D"/>
    <w:rsid w:val="003E57B8"/>
    <w:rsid w:val="003E640C"/>
    <w:rsid w:val="003E7522"/>
    <w:rsid w:val="003F2DC6"/>
    <w:rsid w:val="003F2F5B"/>
    <w:rsid w:val="003F2FB4"/>
    <w:rsid w:val="003F334F"/>
    <w:rsid w:val="003F55DF"/>
    <w:rsid w:val="003F5A30"/>
    <w:rsid w:val="003F5E49"/>
    <w:rsid w:val="003F77D4"/>
    <w:rsid w:val="003F7950"/>
    <w:rsid w:val="00400910"/>
    <w:rsid w:val="00401241"/>
    <w:rsid w:val="00401400"/>
    <w:rsid w:val="0040328C"/>
    <w:rsid w:val="0040386F"/>
    <w:rsid w:val="0040486A"/>
    <w:rsid w:val="00404C17"/>
    <w:rsid w:val="00404F40"/>
    <w:rsid w:val="00404F41"/>
    <w:rsid w:val="00410DE1"/>
    <w:rsid w:val="00410FD8"/>
    <w:rsid w:val="00411E01"/>
    <w:rsid w:val="004138EB"/>
    <w:rsid w:val="004142A6"/>
    <w:rsid w:val="00414305"/>
    <w:rsid w:val="00414B89"/>
    <w:rsid w:val="00414C18"/>
    <w:rsid w:val="00414F6C"/>
    <w:rsid w:val="004151CA"/>
    <w:rsid w:val="004164CC"/>
    <w:rsid w:val="00416BD2"/>
    <w:rsid w:val="00420E4E"/>
    <w:rsid w:val="0042196E"/>
    <w:rsid w:val="00421CA0"/>
    <w:rsid w:val="00425360"/>
    <w:rsid w:val="00426372"/>
    <w:rsid w:val="0042713F"/>
    <w:rsid w:val="00427FAB"/>
    <w:rsid w:val="00430599"/>
    <w:rsid w:val="00430AFB"/>
    <w:rsid w:val="00432CE1"/>
    <w:rsid w:val="00432EAD"/>
    <w:rsid w:val="00433C6B"/>
    <w:rsid w:val="00433FD9"/>
    <w:rsid w:val="004345FF"/>
    <w:rsid w:val="0043578F"/>
    <w:rsid w:val="00436213"/>
    <w:rsid w:val="00436AD3"/>
    <w:rsid w:val="00436FAE"/>
    <w:rsid w:val="00437D73"/>
    <w:rsid w:val="00440551"/>
    <w:rsid w:val="004414A7"/>
    <w:rsid w:val="00443F9C"/>
    <w:rsid w:val="00444523"/>
    <w:rsid w:val="00445721"/>
    <w:rsid w:val="004461F4"/>
    <w:rsid w:val="00450AA0"/>
    <w:rsid w:val="00450AC8"/>
    <w:rsid w:val="00451096"/>
    <w:rsid w:val="004518A6"/>
    <w:rsid w:val="00452469"/>
    <w:rsid w:val="004537E9"/>
    <w:rsid w:val="00454562"/>
    <w:rsid w:val="004557C4"/>
    <w:rsid w:val="00455DC9"/>
    <w:rsid w:val="00455E88"/>
    <w:rsid w:val="00457A9C"/>
    <w:rsid w:val="00457B8E"/>
    <w:rsid w:val="0046162D"/>
    <w:rsid w:val="00461E80"/>
    <w:rsid w:val="004630A5"/>
    <w:rsid w:val="004647B7"/>
    <w:rsid w:val="004647CB"/>
    <w:rsid w:val="004653C0"/>
    <w:rsid w:val="00465DA0"/>
    <w:rsid w:val="0046669E"/>
    <w:rsid w:val="00467643"/>
    <w:rsid w:val="004677A2"/>
    <w:rsid w:val="00467910"/>
    <w:rsid w:val="00467D83"/>
    <w:rsid w:val="00470F6D"/>
    <w:rsid w:val="00471538"/>
    <w:rsid w:val="00471C3B"/>
    <w:rsid w:val="0047287B"/>
    <w:rsid w:val="00472BAA"/>
    <w:rsid w:val="00472E71"/>
    <w:rsid w:val="004742ED"/>
    <w:rsid w:val="0047440C"/>
    <w:rsid w:val="00474B78"/>
    <w:rsid w:val="00474C79"/>
    <w:rsid w:val="00474F9B"/>
    <w:rsid w:val="004751B3"/>
    <w:rsid w:val="00475A0D"/>
    <w:rsid w:val="00476CBC"/>
    <w:rsid w:val="00477C1B"/>
    <w:rsid w:val="004808DD"/>
    <w:rsid w:val="00480E53"/>
    <w:rsid w:val="00481DD8"/>
    <w:rsid w:val="00483857"/>
    <w:rsid w:val="00483B9E"/>
    <w:rsid w:val="00484078"/>
    <w:rsid w:val="00485F08"/>
    <w:rsid w:val="00490996"/>
    <w:rsid w:val="00490C9B"/>
    <w:rsid w:val="00491292"/>
    <w:rsid w:val="00491E7F"/>
    <w:rsid w:val="00491F2E"/>
    <w:rsid w:val="004922C3"/>
    <w:rsid w:val="00492B34"/>
    <w:rsid w:val="00492BF2"/>
    <w:rsid w:val="004932FE"/>
    <w:rsid w:val="00493C88"/>
    <w:rsid w:val="00495879"/>
    <w:rsid w:val="004969D4"/>
    <w:rsid w:val="00496F1B"/>
    <w:rsid w:val="004A1232"/>
    <w:rsid w:val="004A1C14"/>
    <w:rsid w:val="004A1ECD"/>
    <w:rsid w:val="004A2344"/>
    <w:rsid w:val="004A40BF"/>
    <w:rsid w:val="004A4471"/>
    <w:rsid w:val="004A4830"/>
    <w:rsid w:val="004A621F"/>
    <w:rsid w:val="004A6A1F"/>
    <w:rsid w:val="004A6B42"/>
    <w:rsid w:val="004A6D5E"/>
    <w:rsid w:val="004A7824"/>
    <w:rsid w:val="004A785D"/>
    <w:rsid w:val="004B05DC"/>
    <w:rsid w:val="004B084B"/>
    <w:rsid w:val="004B25D5"/>
    <w:rsid w:val="004B298A"/>
    <w:rsid w:val="004B56FE"/>
    <w:rsid w:val="004B578F"/>
    <w:rsid w:val="004B5FEF"/>
    <w:rsid w:val="004B60AE"/>
    <w:rsid w:val="004B6EB2"/>
    <w:rsid w:val="004B723F"/>
    <w:rsid w:val="004C0297"/>
    <w:rsid w:val="004C0EEA"/>
    <w:rsid w:val="004C2417"/>
    <w:rsid w:val="004C3AA6"/>
    <w:rsid w:val="004C5F93"/>
    <w:rsid w:val="004C783A"/>
    <w:rsid w:val="004D0190"/>
    <w:rsid w:val="004D0A30"/>
    <w:rsid w:val="004D2263"/>
    <w:rsid w:val="004D6E86"/>
    <w:rsid w:val="004D7E5A"/>
    <w:rsid w:val="004E1779"/>
    <w:rsid w:val="004E2DC3"/>
    <w:rsid w:val="004E4790"/>
    <w:rsid w:val="004E4B3C"/>
    <w:rsid w:val="004E5F5F"/>
    <w:rsid w:val="004E6041"/>
    <w:rsid w:val="004E69B9"/>
    <w:rsid w:val="004F0B94"/>
    <w:rsid w:val="004F120C"/>
    <w:rsid w:val="004F1763"/>
    <w:rsid w:val="004F4E6D"/>
    <w:rsid w:val="004F50A9"/>
    <w:rsid w:val="004F6629"/>
    <w:rsid w:val="004F70FA"/>
    <w:rsid w:val="004F72A0"/>
    <w:rsid w:val="004F759E"/>
    <w:rsid w:val="004F75E5"/>
    <w:rsid w:val="00500143"/>
    <w:rsid w:val="00500416"/>
    <w:rsid w:val="00501ECF"/>
    <w:rsid w:val="00502BD6"/>
    <w:rsid w:val="00503123"/>
    <w:rsid w:val="00503A04"/>
    <w:rsid w:val="00503C3D"/>
    <w:rsid w:val="005049DA"/>
    <w:rsid w:val="00504A2C"/>
    <w:rsid w:val="00504C98"/>
    <w:rsid w:val="005058A2"/>
    <w:rsid w:val="005074D3"/>
    <w:rsid w:val="0051126D"/>
    <w:rsid w:val="005119CF"/>
    <w:rsid w:val="00511F42"/>
    <w:rsid w:val="00511F54"/>
    <w:rsid w:val="00512D0C"/>
    <w:rsid w:val="005133F9"/>
    <w:rsid w:val="005134D6"/>
    <w:rsid w:val="0051408D"/>
    <w:rsid w:val="00515AF2"/>
    <w:rsid w:val="00515EC0"/>
    <w:rsid w:val="005160E8"/>
    <w:rsid w:val="00516C43"/>
    <w:rsid w:val="00516CDB"/>
    <w:rsid w:val="00517A85"/>
    <w:rsid w:val="005222ED"/>
    <w:rsid w:val="00522D18"/>
    <w:rsid w:val="00522EFF"/>
    <w:rsid w:val="00523727"/>
    <w:rsid w:val="005262E9"/>
    <w:rsid w:val="005267B7"/>
    <w:rsid w:val="0052684D"/>
    <w:rsid w:val="00526BBA"/>
    <w:rsid w:val="0052726C"/>
    <w:rsid w:val="00530191"/>
    <w:rsid w:val="005325A4"/>
    <w:rsid w:val="0053590F"/>
    <w:rsid w:val="00535BFD"/>
    <w:rsid w:val="00536F79"/>
    <w:rsid w:val="00540431"/>
    <w:rsid w:val="005416BF"/>
    <w:rsid w:val="00541CED"/>
    <w:rsid w:val="00542192"/>
    <w:rsid w:val="00542750"/>
    <w:rsid w:val="005430EE"/>
    <w:rsid w:val="00544D09"/>
    <w:rsid w:val="00544DF0"/>
    <w:rsid w:val="00545935"/>
    <w:rsid w:val="005467A2"/>
    <w:rsid w:val="00546F1F"/>
    <w:rsid w:val="00547194"/>
    <w:rsid w:val="00550F77"/>
    <w:rsid w:val="00551FA4"/>
    <w:rsid w:val="00551FDB"/>
    <w:rsid w:val="00554536"/>
    <w:rsid w:val="005558E5"/>
    <w:rsid w:val="00556344"/>
    <w:rsid w:val="00556F19"/>
    <w:rsid w:val="00557267"/>
    <w:rsid w:val="0056029C"/>
    <w:rsid w:val="00560A31"/>
    <w:rsid w:val="00562574"/>
    <w:rsid w:val="0056377C"/>
    <w:rsid w:val="005638F8"/>
    <w:rsid w:val="00563ADE"/>
    <w:rsid w:val="00563F41"/>
    <w:rsid w:val="00564F3C"/>
    <w:rsid w:val="005654D9"/>
    <w:rsid w:val="005709A8"/>
    <w:rsid w:val="00570AE5"/>
    <w:rsid w:val="00570C58"/>
    <w:rsid w:val="00570C86"/>
    <w:rsid w:val="00572209"/>
    <w:rsid w:val="005732F9"/>
    <w:rsid w:val="00573380"/>
    <w:rsid w:val="0057393A"/>
    <w:rsid w:val="00576B67"/>
    <w:rsid w:val="0057788A"/>
    <w:rsid w:val="00577C1F"/>
    <w:rsid w:val="005803C5"/>
    <w:rsid w:val="00580583"/>
    <w:rsid w:val="00582873"/>
    <w:rsid w:val="00583D36"/>
    <w:rsid w:val="00584DC2"/>
    <w:rsid w:val="005879EA"/>
    <w:rsid w:val="00587DDD"/>
    <w:rsid w:val="005927B4"/>
    <w:rsid w:val="005928B9"/>
    <w:rsid w:val="005929D4"/>
    <w:rsid w:val="00592F9F"/>
    <w:rsid w:val="00593E0D"/>
    <w:rsid w:val="00594D7D"/>
    <w:rsid w:val="005950A6"/>
    <w:rsid w:val="0059652B"/>
    <w:rsid w:val="00597EAB"/>
    <w:rsid w:val="005A06C4"/>
    <w:rsid w:val="005A0921"/>
    <w:rsid w:val="005A1178"/>
    <w:rsid w:val="005A1936"/>
    <w:rsid w:val="005A1A61"/>
    <w:rsid w:val="005A22AE"/>
    <w:rsid w:val="005A34DC"/>
    <w:rsid w:val="005A3B8A"/>
    <w:rsid w:val="005B0687"/>
    <w:rsid w:val="005B1BC4"/>
    <w:rsid w:val="005B1CD9"/>
    <w:rsid w:val="005B1E7A"/>
    <w:rsid w:val="005B2ABE"/>
    <w:rsid w:val="005B2EF3"/>
    <w:rsid w:val="005B3C7F"/>
    <w:rsid w:val="005B3F71"/>
    <w:rsid w:val="005B7731"/>
    <w:rsid w:val="005C0CD2"/>
    <w:rsid w:val="005C0CEE"/>
    <w:rsid w:val="005C1001"/>
    <w:rsid w:val="005C13B7"/>
    <w:rsid w:val="005C4A38"/>
    <w:rsid w:val="005C4A78"/>
    <w:rsid w:val="005C531F"/>
    <w:rsid w:val="005C6FD3"/>
    <w:rsid w:val="005C7CE8"/>
    <w:rsid w:val="005D1081"/>
    <w:rsid w:val="005D1916"/>
    <w:rsid w:val="005D2A10"/>
    <w:rsid w:val="005D471A"/>
    <w:rsid w:val="005D5891"/>
    <w:rsid w:val="005D5BE6"/>
    <w:rsid w:val="005D722B"/>
    <w:rsid w:val="005D7306"/>
    <w:rsid w:val="005D7A63"/>
    <w:rsid w:val="005E0BB7"/>
    <w:rsid w:val="005E0E74"/>
    <w:rsid w:val="005E1DEB"/>
    <w:rsid w:val="005E1FD0"/>
    <w:rsid w:val="005E2416"/>
    <w:rsid w:val="005E2547"/>
    <w:rsid w:val="005E4959"/>
    <w:rsid w:val="005E509E"/>
    <w:rsid w:val="005E52FA"/>
    <w:rsid w:val="005E57FF"/>
    <w:rsid w:val="005F1368"/>
    <w:rsid w:val="005F2777"/>
    <w:rsid w:val="005F29F8"/>
    <w:rsid w:val="005F2E5E"/>
    <w:rsid w:val="005F3077"/>
    <w:rsid w:val="005F3906"/>
    <w:rsid w:val="005F48CF"/>
    <w:rsid w:val="005F5254"/>
    <w:rsid w:val="005F5498"/>
    <w:rsid w:val="005F56CF"/>
    <w:rsid w:val="005F5C70"/>
    <w:rsid w:val="005F5DDA"/>
    <w:rsid w:val="005F659B"/>
    <w:rsid w:val="005F7B71"/>
    <w:rsid w:val="006015C3"/>
    <w:rsid w:val="00601742"/>
    <w:rsid w:val="00601D36"/>
    <w:rsid w:val="00604A05"/>
    <w:rsid w:val="00604E85"/>
    <w:rsid w:val="00605F23"/>
    <w:rsid w:val="006063E9"/>
    <w:rsid w:val="006064C0"/>
    <w:rsid w:val="006067B4"/>
    <w:rsid w:val="00606819"/>
    <w:rsid w:val="0061048F"/>
    <w:rsid w:val="00610AD9"/>
    <w:rsid w:val="00610C50"/>
    <w:rsid w:val="00612D77"/>
    <w:rsid w:val="00613343"/>
    <w:rsid w:val="00613D64"/>
    <w:rsid w:val="006146DC"/>
    <w:rsid w:val="00614D37"/>
    <w:rsid w:val="00617119"/>
    <w:rsid w:val="00617A02"/>
    <w:rsid w:val="00617B5A"/>
    <w:rsid w:val="00621210"/>
    <w:rsid w:val="00621ACD"/>
    <w:rsid w:val="00621BA0"/>
    <w:rsid w:val="00621CE4"/>
    <w:rsid w:val="00621EE3"/>
    <w:rsid w:val="00622366"/>
    <w:rsid w:val="0062372E"/>
    <w:rsid w:val="00623D19"/>
    <w:rsid w:val="00625555"/>
    <w:rsid w:val="00625716"/>
    <w:rsid w:val="006257FF"/>
    <w:rsid w:val="00626270"/>
    <w:rsid w:val="00626348"/>
    <w:rsid w:val="006264E7"/>
    <w:rsid w:val="0062724E"/>
    <w:rsid w:val="00627CC7"/>
    <w:rsid w:val="006304C4"/>
    <w:rsid w:val="00630625"/>
    <w:rsid w:val="00631437"/>
    <w:rsid w:val="0063155C"/>
    <w:rsid w:val="0063235C"/>
    <w:rsid w:val="00632B60"/>
    <w:rsid w:val="00632FED"/>
    <w:rsid w:val="006330C5"/>
    <w:rsid w:val="00633E3C"/>
    <w:rsid w:val="006366A3"/>
    <w:rsid w:val="00637070"/>
    <w:rsid w:val="00640976"/>
    <w:rsid w:val="00642D3A"/>
    <w:rsid w:val="00642FB4"/>
    <w:rsid w:val="006448A8"/>
    <w:rsid w:val="006449A5"/>
    <w:rsid w:val="006468F9"/>
    <w:rsid w:val="006471F0"/>
    <w:rsid w:val="006472DC"/>
    <w:rsid w:val="0065190D"/>
    <w:rsid w:val="00651A8F"/>
    <w:rsid w:val="00653485"/>
    <w:rsid w:val="00653800"/>
    <w:rsid w:val="00653EE7"/>
    <w:rsid w:val="006577DA"/>
    <w:rsid w:val="00660C71"/>
    <w:rsid w:val="00664F59"/>
    <w:rsid w:val="006705F3"/>
    <w:rsid w:val="00673916"/>
    <w:rsid w:val="00674D37"/>
    <w:rsid w:val="00674DCE"/>
    <w:rsid w:val="006753B6"/>
    <w:rsid w:val="0067547B"/>
    <w:rsid w:val="006776CF"/>
    <w:rsid w:val="00681FEB"/>
    <w:rsid w:val="00682D9C"/>
    <w:rsid w:val="00684849"/>
    <w:rsid w:val="00685F23"/>
    <w:rsid w:val="00687E18"/>
    <w:rsid w:val="00690681"/>
    <w:rsid w:val="006912BF"/>
    <w:rsid w:val="00691631"/>
    <w:rsid w:val="00692569"/>
    <w:rsid w:val="006934C5"/>
    <w:rsid w:val="006934CA"/>
    <w:rsid w:val="00694ABD"/>
    <w:rsid w:val="00695572"/>
    <w:rsid w:val="006955EA"/>
    <w:rsid w:val="00696657"/>
    <w:rsid w:val="00697525"/>
    <w:rsid w:val="00697A3C"/>
    <w:rsid w:val="00697F6C"/>
    <w:rsid w:val="006A1314"/>
    <w:rsid w:val="006A1F0F"/>
    <w:rsid w:val="006A2A98"/>
    <w:rsid w:val="006A39DE"/>
    <w:rsid w:val="006A4508"/>
    <w:rsid w:val="006A4A25"/>
    <w:rsid w:val="006A4DEA"/>
    <w:rsid w:val="006A4EBF"/>
    <w:rsid w:val="006A53A7"/>
    <w:rsid w:val="006A641B"/>
    <w:rsid w:val="006A7443"/>
    <w:rsid w:val="006A75D4"/>
    <w:rsid w:val="006B0940"/>
    <w:rsid w:val="006B0A0C"/>
    <w:rsid w:val="006B19E7"/>
    <w:rsid w:val="006B24BF"/>
    <w:rsid w:val="006B4840"/>
    <w:rsid w:val="006B4F16"/>
    <w:rsid w:val="006B5942"/>
    <w:rsid w:val="006B62D2"/>
    <w:rsid w:val="006B7255"/>
    <w:rsid w:val="006B7FB3"/>
    <w:rsid w:val="006C164E"/>
    <w:rsid w:val="006C2165"/>
    <w:rsid w:val="006C21AE"/>
    <w:rsid w:val="006C2B53"/>
    <w:rsid w:val="006C542A"/>
    <w:rsid w:val="006C631A"/>
    <w:rsid w:val="006C69BE"/>
    <w:rsid w:val="006C6D1C"/>
    <w:rsid w:val="006C6E82"/>
    <w:rsid w:val="006C790D"/>
    <w:rsid w:val="006D16A1"/>
    <w:rsid w:val="006D1DB1"/>
    <w:rsid w:val="006D240A"/>
    <w:rsid w:val="006D322B"/>
    <w:rsid w:val="006D42FC"/>
    <w:rsid w:val="006D45B2"/>
    <w:rsid w:val="006D60BF"/>
    <w:rsid w:val="006D7C60"/>
    <w:rsid w:val="006E0926"/>
    <w:rsid w:val="006E0C2B"/>
    <w:rsid w:val="006E0D58"/>
    <w:rsid w:val="006E1BEA"/>
    <w:rsid w:val="006E1C64"/>
    <w:rsid w:val="006E2869"/>
    <w:rsid w:val="006E2C52"/>
    <w:rsid w:val="006E2CD0"/>
    <w:rsid w:val="006E2F55"/>
    <w:rsid w:val="006E377E"/>
    <w:rsid w:val="006E5DFF"/>
    <w:rsid w:val="006E6692"/>
    <w:rsid w:val="006E72C0"/>
    <w:rsid w:val="006E7B11"/>
    <w:rsid w:val="006F0FB1"/>
    <w:rsid w:val="006F2376"/>
    <w:rsid w:val="006F3C3F"/>
    <w:rsid w:val="006F4845"/>
    <w:rsid w:val="006F5B2A"/>
    <w:rsid w:val="006F6153"/>
    <w:rsid w:val="0070157D"/>
    <w:rsid w:val="007031C9"/>
    <w:rsid w:val="00703DD9"/>
    <w:rsid w:val="0070419C"/>
    <w:rsid w:val="00704FE7"/>
    <w:rsid w:val="00705289"/>
    <w:rsid w:val="007052BB"/>
    <w:rsid w:val="007059A7"/>
    <w:rsid w:val="007068AA"/>
    <w:rsid w:val="00707335"/>
    <w:rsid w:val="00707DE8"/>
    <w:rsid w:val="00707FF1"/>
    <w:rsid w:val="00710776"/>
    <w:rsid w:val="00710F65"/>
    <w:rsid w:val="00711523"/>
    <w:rsid w:val="007116FC"/>
    <w:rsid w:val="00712562"/>
    <w:rsid w:val="00713A7D"/>
    <w:rsid w:val="00714561"/>
    <w:rsid w:val="00716068"/>
    <w:rsid w:val="00717EC2"/>
    <w:rsid w:val="00720791"/>
    <w:rsid w:val="0072108E"/>
    <w:rsid w:val="007214C3"/>
    <w:rsid w:val="00722813"/>
    <w:rsid w:val="00722C33"/>
    <w:rsid w:val="007234AF"/>
    <w:rsid w:val="00724408"/>
    <w:rsid w:val="00724BDA"/>
    <w:rsid w:val="0072527B"/>
    <w:rsid w:val="00725382"/>
    <w:rsid w:val="00726346"/>
    <w:rsid w:val="00726697"/>
    <w:rsid w:val="00726B26"/>
    <w:rsid w:val="00726F1C"/>
    <w:rsid w:val="007302D0"/>
    <w:rsid w:val="00731B40"/>
    <w:rsid w:val="00732A1D"/>
    <w:rsid w:val="00732A75"/>
    <w:rsid w:val="00732DBA"/>
    <w:rsid w:val="007345C2"/>
    <w:rsid w:val="00734E85"/>
    <w:rsid w:val="0073506F"/>
    <w:rsid w:val="00735B2F"/>
    <w:rsid w:val="0073616F"/>
    <w:rsid w:val="00740DFC"/>
    <w:rsid w:val="00741472"/>
    <w:rsid w:val="00741A6B"/>
    <w:rsid w:val="007437CC"/>
    <w:rsid w:val="007452B6"/>
    <w:rsid w:val="007454F5"/>
    <w:rsid w:val="00746CB2"/>
    <w:rsid w:val="00750708"/>
    <w:rsid w:val="00751172"/>
    <w:rsid w:val="00751A9E"/>
    <w:rsid w:val="00752013"/>
    <w:rsid w:val="00752755"/>
    <w:rsid w:val="00752CC5"/>
    <w:rsid w:val="00752DDD"/>
    <w:rsid w:val="0075365F"/>
    <w:rsid w:val="0075367A"/>
    <w:rsid w:val="007563C0"/>
    <w:rsid w:val="0075647E"/>
    <w:rsid w:val="00764051"/>
    <w:rsid w:val="00764890"/>
    <w:rsid w:val="00765B12"/>
    <w:rsid w:val="00766A8C"/>
    <w:rsid w:val="007726FE"/>
    <w:rsid w:val="00774B1F"/>
    <w:rsid w:val="007755BE"/>
    <w:rsid w:val="00775B13"/>
    <w:rsid w:val="00781CDC"/>
    <w:rsid w:val="00782114"/>
    <w:rsid w:val="00782A6B"/>
    <w:rsid w:val="00782B9B"/>
    <w:rsid w:val="007832F2"/>
    <w:rsid w:val="00783571"/>
    <w:rsid w:val="0078370A"/>
    <w:rsid w:val="00784C65"/>
    <w:rsid w:val="00784CC9"/>
    <w:rsid w:val="00785B6F"/>
    <w:rsid w:val="00786484"/>
    <w:rsid w:val="00786610"/>
    <w:rsid w:val="007919D7"/>
    <w:rsid w:val="00792F91"/>
    <w:rsid w:val="00793EE3"/>
    <w:rsid w:val="007A0278"/>
    <w:rsid w:val="007A0769"/>
    <w:rsid w:val="007A0D82"/>
    <w:rsid w:val="007A2EF7"/>
    <w:rsid w:val="007A3EC1"/>
    <w:rsid w:val="007A404A"/>
    <w:rsid w:val="007A508A"/>
    <w:rsid w:val="007A5559"/>
    <w:rsid w:val="007B145B"/>
    <w:rsid w:val="007B191D"/>
    <w:rsid w:val="007B3390"/>
    <w:rsid w:val="007B4C71"/>
    <w:rsid w:val="007B5721"/>
    <w:rsid w:val="007B5D12"/>
    <w:rsid w:val="007B6B33"/>
    <w:rsid w:val="007B7096"/>
    <w:rsid w:val="007C05ED"/>
    <w:rsid w:val="007C17F7"/>
    <w:rsid w:val="007C1DDF"/>
    <w:rsid w:val="007C329F"/>
    <w:rsid w:val="007C5544"/>
    <w:rsid w:val="007C57AF"/>
    <w:rsid w:val="007C608C"/>
    <w:rsid w:val="007C6781"/>
    <w:rsid w:val="007C6BBA"/>
    <w:rsid w:val="007C7377"/>
    <w:rsid w:val="007D0484"/>
    <w:rsid w:val="007D2214"/>
    <w:rsid w:val="007D2E33"/>
    <w:rsid w:val="007D3F30"/>
    <w:rsid w:val="007D4FD4"/>
    <w:rsid w:val="007D5399"/>
    <w:rsid w:val="007D66E6"/>
    <w:rsid w:val="007D6B2F"/>
    <w:rsid w:val="007D7174"/>
    <w:rsid w:val="007E0F3C"/>
    <w:rsid w:val="007E135F"/>
    <w:rsid w:val="007E295A"/>
    <w:rsid w:val="007E710A"/>
    <w:rsid w:val="007E7ABD"/>
    <w:rsid w:val="007F09A4"/>
    <w:rsid w:val="007F0AD4"/>
    <w:rsid w:val="007F1106"/>
    <w:rsid w:val="007F1470"/>
    <w:rsid w:val="007F190E"/>
    <w:rsid w:val="007F1B39"/>
    <w:rsid w:val="007F382F"/>
    <w:rsid w:val="007F4338"/>
    <w:rsid w:val="007F43FF"/>
    <w:rsid w:val="007F5558"/>
    <w:rsid w:val="007F639E"/>
    <w:rsid w:val="007F71E9"/>
    <w:rsid w:val="007F7521"/>
    <w:rsid w:val="007F775C"/>
    <w:rsid w:val="0080088D"/>
    <w:rsid w:val="008017D6"/>
    <w:rsid w:val="00801ADC"/>
    <w:rsid w:val="0080222A"/>
    <w:rsid w:val="008025F0"/>
    <w:rsid w:val="00803CBD"/>
    <w:rsid w:val="00803D2D"/>
    <w:rsid w:val="00807312"/>
    <w:rsid w:val="00807C26"/>
    <w:rsid w:val="00807F4B"/>
    <w:rsid w:val="008101D3"/>
    <w:rsid w:val="00810A67"/>
    <w:rsid w:val="008114FA"/>
    <w:rsid w:val="00812FD8"/>
    <w:rsid w:val="008131D8"/>
    <w:rsid w:val="008132AB"/>
    <w:rsid w:val="00813575"/>
    <w:rsid w:val="00813A0E"/>
    <w:rsid w:val="00813D6D"/>
    <w:rsid w:val="00813EA2"/>
    <w:rsid w:val="00814158"/>
    <w:rsid w:val="00814AFF"/>
    <w:rsid w:val="00814C9E"/>
    <w:rsid w:val="00815875"/>
    <w:rsid w:val="00815A40"/>
    <w:rsid w:val="00816ACA"/>
    <w:rsid w:val="00817FDC"/>
    <w:rsid w:val="008208E6"/>
    <w:rsid w:val="00820ABC"/>
    <w:rsid w:val="00821E4B"/>
    <w:rsid w:val="00822073"/>
    <w:rsid w:val="00822AA4"/>
    <w:rsid w:val="00824E63"/>
    <w:rsid w:val="00825840"/>
    <w:rsid w:val="00825F9B"/>
    <w:rsid w:val="0082748A"/>
    <w:rsid w:val="00830830"/>
    <w:rsid w:val="00831650"/>
    <w:rsid w:val="00832E94"/>
    <w:rsid w:val="00833802"/>
    <w:rsid w:val="0083389F"/>
    <w:rsid w:val="00833EAA"/>
    <w:rsid w:val="00834F83"/>
    <w:rsid w:val="00835F9C"/>
    <w:rsid w:val="00836409"/>
    <w:rsid w:val="00836BA1"/>
    <w:rsid w:val="00836DC8"/>
    <w:rsid w:val="00837401"/>
    <w:rsid w:val="0084020D"/>
    <w:rsid w:val="00841E42"/>
    <w:rsid w:val="0084257A"/>
    <w:rsid w:val="0084258A"/>
    <w:rsid w:val="00842C4F"/>
    <w:rsid w:val="00842DA7"/>
    <w:rsid w:val="0084334C"/>
    <w:rsid w:val="00844799"/>
    <w:rsid w:val="00850345"/>
    <w:rsid w:val="00850B7B"/>
    <w:rsid w:val="0085202A"/>
    <w:rsid w:val="00853C09"/>
    <w:rsid w:val="00854654"/>
    <w:rsid w:val="008551E2"/>
    <w:rsid w:val="0085650D"/>
    <w:rsid w:val="00856DB5"/>
    <w:rsid w:val="00857451"/>
    <w:rsid w:val="008601AB"/>
    <w:rsid w:val="00861115"/>
    <w:rsid w:val="008626F4"/>
    <w:rsid w:val="00863FC7"/>
    <w:rsid w:val="00864DFE"/>
    <w:rsid w:val="00864E47"/>
    <w:rsid w:val="00865D97"/>
    <w:rsid w:val="00867275"/>
    <w:rsid w:val="00867FD6"/>
    <w:rsid w:val="00871D51"/>
    <w:rsid w:val="00871E69"/>
    <w:rsid w:val="008735E8"/>
    <w:rsid w:val="0087433D"/>
    <w:rsid w:val="008757BE"/>
    <w:rsid w:val="00876E33"/>
    <w:rsid w:val="0087706B"/>
    <w:rsid w:val="008804EA"/>
    <w:rsid w:val="00880CC9"/>
    <w:rsid w:val="008822FA"/>
    <w:rsid w:val="00883FA8"/>
    <w:rsid w:val="00884047"/>
    <w:rsid w:val="00885CC4"/>
    <w:rsid w:val="0088630E"/>
    <w:rsid w:val="00886E82"/>
    <w:rsid w:val="00887AC9"/>
    <w:rsid w:val="00890144"/>
    <w:rsid w:val="00891907"/>
    <w:rsid w:val="00892014"/>
    <w:rsid w:val="008931D0"/>
    <w:rsid w:val="008935CC"/>
    <w:rsid w:val="00893B61"/>
    <w:rsid w:val="0089417C"/>
    <w:rsid w:val="008945F1"/>
    <w:rsid w:val="008946DD"/>
    <w:rsid w:val="00895F69"/>
    <w:rsid w:val="00896106"/>
    <w:rsid w:val="00897DE3"/>
    <w:rsid w:val="008A00D7"/>
    <w:rsid w:val="008A0627"/>
    <w:rsid w:val="008A16BA"/>
    <w:rsid w:val="008A29EB"/>
    <w:rsid w:val="008A2E2D"/>
    <w:rsid w:val="008A3549"/>
    <w:rsid w:val="008A3F21"/>
    <w:rsid w:val="008A3F59"/>
    <w:rsid w:val="008A3FA7"/>
    <w:rsid w:val="008A504B"/>
    <w:rsid w:val="008A662F"/>
    <w:rsid w:val="008A678D"/>
    <w:rsid w:val="008A697B"/>
    <w:rsid w:val="008A6DA1"/>
    <w:rsid w:val="008B064E"/>
    <w:rsid w:val="008B0BC7"/>
    <w:rsid w:val="008B229F"/>
    <w:rsid w:val="008B2DBB"/>
    <w:rsid w:val="008B2EAB"/>
    <w:rsid w:val="008B30F8"/>
    <w:rsid w:val="008B44D1"/>
    <w:rsid w:val="008B4F8A"/>
    <w:rsid w:val="008B7BBC"/>
    <w:rsid w:val="008B7EAA"/>
    <w:rsid w:val="008C26F1"/>
    <w:rsid w:val="008C2CC2"/>
    <w:rsid w:val="008C3821"/>
    <w:rsid w:val="008C3EEF"/>
    <w:rsid w:val="008C5564"/>
    <w:rsid w:val="008C5643"/>
    <w:rsid w:val="008C6A34"/>
    <w:rsid w:val="008C6D01"/>
    <w:rsid w:val="008C71A6"/>
    <w:rsid w:val="008C735E"/>
    <w:rsid w:val="008D0B04"/>
    <w:rsid w:val="008D3BC3"/>
    <w:rsid w:val="008D3CC0"/>
    <w:rsid w:val="008D6511"/>
    <w:rsid w:val="008D6B3D"/>
    <w:rsid w:val="008E0A3C"/>
    <w:rsid w:val="008E0FAC"/>
    <w:rsid w:val="008E1A6C"/>
    <w:rsid w:val="008E1C17"/>
    <w:rsid w:val="008E2E28"/>
    <w:rsid w:val="008E332A"/>
    <w:rsid w:val="008E4542"/>
    <w:rsid w:val="008E4622"/>
    <w:rsid w:val="008E4A7C"/>
    <w:rsid w:val="008E5F6B"/>
    <w:rsid w:val="008E5FDD"/>
    <w:rsid w:val="008E6BBD"/>
    <w:rsid w:val="008F1692"/>
    <w:rsid w:val="008F2136"/>
    <w:rsid w:val="008F2839"/>
    <w:rsid w:val="008F4163"/>
    <w:rsid w:val="008F4292"/>
    <w:rsid w:val="008F514F"/>
    <w:rsid w:val="008F5947"/>
    <w:rsid w:val="008F595D"/>
    <w:rsid w:val="008F5D01"/>
    <w:rsid w:val="008F6851"/>
    <w:rsid w:val="008F79F0"/>
    <w:rsid w:val="009008EF"/>
    <w:rsid w:val="00901AE9"/>
    <w:rsid w:val="009022F9"/>
    <w:rsid w:val="00902957"/>
    <w:rsid w:val="00903383"/>
    <w:rsid w:val="00903A24"/>
    <w:rsid w:val="00903B31"/>
    <w:rsid w:val="00904057"/>
    <w:rsid w:val="0090437C"/>
    <w:rsid w:val="00905059"/>
    <w:rsid w:val="009103E9"/>
    <w:rsid w:val="0091049B"/>
    <w:rsid w:val="00910BD7"/>
    <w:rsid w:val="00911119"/>
    <w:rsid w:val="00911B01"/>
    <w:rsid w:val="00911E28"/>
    <w:rsid w:val="00912097"/>
    <w:rsid w:val="00912267"/>
    <w:rsid w:val="00912324"/>
    <w:rsid w:val="0091297B"/>
    <w:rsid w:val="00913B5B"/>
    <w:rsid w:val="0091705B"/>
    <w:rsid w:val="00917130"/>
    <w:rsid w:val="009171BE"/>
    <w:rsid w:val="009176FB"/>
    <w:rsid w:val="00920EBF"/>
    <w:rsid w:val="00921631"/>
    <w:rsid w:val="00921668"/>
    <w:rsid w:val="00921BF5"/>
    <w:rsid w:val="009239E7"/>
    <w:rsid w:val="0092481C"/>
    <w:rsid w:val="009268A7"/>
    <w:rsid w:val="009274A8"/>
    <w:rsid w:val="00927F0A"/>
    <w:rsid w:val="00932755"/>
    <w:rsid w:val="00932F81"/>
    <w:rsid w:val="00933A43"/>
    <w:rsid w:val="00933EE2"/>
    <w:rsid w:val="00933F46"/>
    <w:rsid w:val="00935C54"/>
    <w:rsid w:val="009362B8"/>
    <w:rsid w:val="00936A10"/>
    <w:rsid w:val="00936AC8"/>
    <w:rsid w:val="00936F03"/>
    <w:rsid w:val="00937B71"/>
    <w:rsid w:val="009406D1"/>
    <w:rsid w:val="00940A8E"/>
    <w:rsid w:val="00940C51"/>
    <w:rsid w:val="00940CE9"/>
    <w:rsid w:val="0094220B"/>
    <w:rsid w:val="009433EA"/>
    <w:rsid w:val="009434EB"/>
    <w:rsid w:val="00943E84"/>
    <w:rsid w:val="00944506"/>
    <w:rsid w:val="009446B6"/>
    <w:rsid w:val="009449BA"/>
    <w:rsid w:val="00945156"/>
    <w:rsid w:val="00946060"/>
    <w:rsid w:val="00946945"/>
    <w:rsid w:val="009471AC"/>
    <w:rsid w:val="00947D5B"/>
    <w:rsid w:val="009508BA"/>
    <w:rsid w:val="009518BE"/>
    <w:rsid w:val="00952170"/>
    <w:rsid w:val="00952D61"/>
    <w:rsid w:val="00952DB9"/>
    <w:rsid w:val="00952E82"/>
    <w:rsid w:val="009535FB"/>
    <w:rsid w:val="00955162"/>
    <w:rsid w:val="00955284"/>
    <w:rsid w:val="00961510"/>
    <w:rsid w:val="0096167A"/>
    <w:rsid w:val="00962566"/>
    <w:rsid w:val="00963614"/>
    <w:rsid w:val="00963B92"/>
    <w:rsid w:val="009640A6"/>
    <w:rsid w:val="00965D98"/>
    <w:rsid w:val="00965F57"/>
    <w:rsid w:val="0097026E"/>
    <w:rsid w:val="0097096F"/>
    <w:rsid w:val="0097163B"/>
    <w:rsid w:val="00972308"/>
    <w:rsid w:val="00972DED"/>
    <w:rsid w:val="00972E3C"/>
    <w:rsid w:val="00974941"/>
    <w:rsid w:val="00975892"/>
    <w:rsid w:val="00975C27"/>
    <w:rsid w:val="00975E4C"/>
    <w:rsid w:val="009772BD"/>
    <w:rsid w:val="00977752"/>
    <w:rsid w:val="009778BE"/>
    <w:rsid w:val="00977D61"/>
    <w:rsid w:val="00977E12"/>
    <w:rsid w:val="0098047D"/>
    <w:rsid w:val="00980EE9"/>
    <w:rsid w:val="00981931"/>
    <w:rsid w:val="0098216F"/>
    <w:rsid w:val="00982753"/>
    <w:rsid w:val="00982F20"/>
    <w:rsid w:val="00983A4A"/>
    <w:rsid w:val="00984B00"/>
    <w:rsid w:val="00985B01"/>
    <w:rsid w:val="00985CA7"/>
    <w:rsid w:val="00985E80"/>
    <w:rsid w:val="00986D60"/>
    <w:rsid w:val="00987410"/>
    <w:rsid w:val="00990115"/>
    <w:rsid w:val="00990E92"/>
    <w:rsid w:val="00991D07"/>
    <w:rsid w:val="009927D9"/>
    <w:rsid w:val="009928DD"/>
    <w:rsid w:val="00994A2F"/>
    <w:rsid w:val="00995229"/>
    <w:rsid w:val="0099549C"/>
    <w:rsid w:val="0099589A"/>
    <w:rsid w:val="009961D9"/>
    <w:rsid w:val="00996515"/>
    <w:rsid w:val="009A0ABA"/>
    <w:rsid w:val="009A2918"/>
    <w:rsid w:val="009A3200"/>
    <w:rsid w:val="009A4CC1"/>
    <w:rsid w:val="009A590D"/>
    <w:rsid w:val="009A5CF3"/>
    <w:rsid w:val="009A6905"/>
    <w:rsid w:val="009A7CCA"/>
    <w:rsid w:val="009A7CEF"/>
    <w:rsid w:val="009B1A45"/>
    <w:rsid w:val="009B2920"/>
    <w:rsid w:val="009B4732"/>
    <w:rsid w:val="009B4E5F"/>
    <w:rsid w:val="009B4F07"/>
    <w:rsid w:val="009B562F"/>
    <w:rsid w:val="009B62BC"/>
    <w:rsid w:val="009B6478"/>
    <w:rsid w:val="009B73BF"/>
    <w:rsid w:val="009B7F76"/>
    <w:rsid w:val="009C0FA0"/>
    <w:rsid w:val="009C2406"/>
    <w:rsid w:val="009C25E0"/>
    <w:rsid w:val="009C30F0"/>
    <w:rsid w:val="009C32C8"/>
    <w:rsid w:val="009C4356"/>
    <w:rsid w:val="009C6B04"/>
    <w:rsid w:val="009C799B"/>
    <w:rsid w:val="009C79C7"/>
    <w:rsid w:val="009C7D2C"/>
    <w:rsid w:val="009D02C2"/>
    <w:rsid w:val="009D2964"/>
    <w:rsid w:val="009D5AF4"/>
    <w:rsid w:val="009D5C1B"/>
    <w:rsid w:val="009D69CF"/>
    <w:rsid w:val="009D797B"/>
    <w:rsid w:val="009E142C"/>
    <w:rsid w:val="009E1AB2"/>
    <w:rsid w:val="009E324B"/>
    <w:rsid w:val="009E3267"/>
    <w:rsid w:val="009E34D9"/>
    <w:rsid w:val="009E37C9"/>
    <w:rsid w:val="009E4D28"/>
    <w:rsid w:val="009E5301"/>
    <w:rsid w:val="009E6267"/>
    <w:rsid w:val="009F0212"/>
    <w:rsid w:val="009F0447"/>
    <w:rsid w:val="009F0727"/>
    <w:rsid w:val="009F087D"/>
    <w:rsid w:val="009F1096"/>
    <w:rsid w:val="009F2437"/>
    <w:rsid w:val="009F2C5F"/>
    <w:rsid w:val="009F3B77"/>
    <w:rsid w:val="009F4196"/>
    <w:rsid w:val="009F42E6"/>
    <w:rsid w:val="009F4302"/>
    <w:rsid w:val="009F5E14"/>
    <w:rsid w:val="009F6A6C"/>
    <w:rsid w:val="009F6ECC"/>
    <w:rsid w:val="009F6EDB"/>
    <w:rsid w:val="00A000D1"/>
    <w:rsid w:val="00A00101"/>
    <w:rsid w:val="00A0143E"/>
    <w:rsid w:val="00A02952"/>
    <w:rsid w:val="00A03B3B"/>
    <w:rsid w:val="00A03D9A"/>
    <w:rsid w:val="00A044D6"/>
    <w:rsid w:val="00A04542"/>
    <w:rsid w:val="00A04AEF"/>
    <w:rsid w:val="00A1059F"/>
    <w:rsid w:val="00A1123E"/>
    <w:rsid w:val="00A12F91"/>
    <w:rsid w:val="00A14A90"/>
    <w:rsid w:val="00A15635"/>
    <w:rsid w:val="00A158C0"/>
    <w:rsid w:val="00A15A22"/>
    <w:rsid w:val="00A15FC3"/>
    <w:rsid w:val="00A16C51"/>
    <w:rsid w:val="00A2050E"/>
    <w:rsid w:val="00A220D0"/>
    <w:rsid w:val="00A221B8"/>
    <w:rsid w:val="00A22B67"/>
    <w:rsid w:val="00A231BE"/>
    <w:rsid w:val="00A23FD7"/>
    <w:rsid w:val="00A245BC"/>
    <w:rsid w:val="00A249F6"/>
    <w:rsid w:val="00A25918"/>
    <w:rsid w:val="00A260A5"/>
    <w:rsid w:val="00A304C3"/>
    <w:rsid w:val="00A3050E"/>
    <w:rsid w:val="00A30ABA"/>
    <w:rsid w:val="00A3127C"/>
    <w:rsid w:val="00A315BD"/>
    <w:rsid w:val="00A3645A"/>
    <w:rsid w:val="00A37538"/>
    <w:rsid w:val="00A37B36"/>
    <w:rsid w:val="00A410B5"/>
    <w:rsid w:val="00A424BD"/>
    <w:rsid w:val="00A42A59"/>
    <w:rsid w:val="00A440BB"/>
    <w:rsid w:val="00A446B0"/>
    <w:rsid w:val="00A44A88"/>
    <w:rsid w:val="00A45C0E"/>
    <w:rsid w:val="00A475F7"/>
    <w:rsid w:val="00A53424"/>
    <w:rsid w:val="00A53961"/>
    <w:rsid w:val="00A54398"/>
    <w:rsid w:val="00A55264"/>
    <w:rsid w:val="00A559AA"/>
    <w:rsid w:val="00A57EF2"/>
    <w:rsid w:val="00A60B0A"/>
    <w:rsid w:val="00A60C50"/>
    <w:rsid w:val="00A60EFF"/>
    <w:rsid w:val="00A61363"/>
    <w:rsid w:val="00A61999"/>
    <w:rsid w:val="00A620CF"/>
    <w:rsid w:val="00A6452A"/>
    <w:rsid w:val="00A64DC0"/>
    <w:rsid w:val="00A6526B"/>
    <w:rsid w:val="00A6581D"/>
    <w:rsid w:val="00A66F61"/>
    <w:rsid w:val="00A67CF3"/>
    <w:rsid w:val="00A67F85"/>
    <w:rsid w:val="00A70EA8"/>
    <w:rsid w:val="00A713E1"/>
    <w:rsid w:val="00A71DBD"/>
    <w:rsid w:val="00A725F8"/>
    <w:rsid w:val="00A74EA3"/>
    <w:rsid w:val="00A75B4C"/>
    <w:rsid w:val="00A75DB2"/>
    <w:rsid w:val="00A76100"/>
    <w:rsid w:val="00A76183"/>
    <w:rsid w:val="00A76334"/>
    <w:rsid w:val="00A76B90"/>
    <w:rsid w:val="00A76D14"/>
    <w:rsid w:val="00A777F0"/>
    <w:rsid w:val="00A7784C"/>
    <w:rsid w:val="00A80A05"/>
    <w:rsid w:val="00A82F02"/>
    <w:rsid w:val="00A836DF"/>
    <w:rsid w:val="00A84955"/>
    <w:rsid w:val="00A85662"/>
    <w:rsid w:val="00A865FA"/>
    <w:rsid w:val="00A8741C"/>
    <w:rsid w:val="00A87ADE"/>
    <w:rsid w:val="00A90192"/>
    <w:rsid w:val="00A90AC7"/>
    <w:rsid w:val="00A921C5"/>
    <w:rsid w:val="00A93070"/>
    <w:rsid w:val="00A94C9A"/>
    <w:rsid w:val="00A955C7"/>
    <w:rsid w:val="00A96187"/>
    <w:rsid w:val="00A968F8"/>
    <w:rsid w:val="00A96B36"/>
    <w:rsid w:val="00A97030"/>
    <w:rsid w:val="00A970A4"/>
    <w:rsid w:val="00AA01E3"/>
    <w:rsid w:val="00AA077E"/>
    <w:rsid w:val="00AA4A52"/>
    <w:rsid w:val="00AA5501"/>
    <w:rsid w:val="00AA67FB"/>
    <w:rsid w:val="00AA77D8"/>
    <w:rsid w:val="00AB0ECE"/>
    <w:rsid w:val="00AB1E10"/>
    <w:rsid w:val="00AB267D"/>
    <w:rsid w:val="00AB6D88"/>
    <w:rsid w:val="00AB773E"/>
    <w:rsid w:val="00AB77C2"/>
    <w:rsid w:val="00AB7B2C"/>
    <w:rsid w:val="00AC0A66"/>
    <w:rsid w:val="00AC166C"/>
    <w:rsid w:val="00AC46C6"/>
    <w:rsid w:val="00AC56EB"/>
    <w:rsid w:val="00AC6001"/>
    <w:rsid w:val="00AC656C"/>
    <w:rsid w:val="00AD04D3"/>
    <w:rsid w:val="00AD2255"/>
    <w:rsid w:val="00AD2D5C"/>
    <w:rsid w:val="00AD4068"/>
    <w:rsid w:val="00AD43DB"/>
    <w:rsid w:val="00AD5B8B"/>
    <w:rsid w:val="00AD5DBD"/>
    <w:rsid w:val="00AD68BF"/>
    <w:rsid w:val="00AD748B"/>
    <w:rsid w:val="00AD77FD"/>
    <w:rsid w:val="00AE176E"/>
    <w:rsid w:val="00AE6770"/>
    <w:rsid w:val="00AF09A7"/>
    <w:rsid w:val="00AF0A19"/>
    <w:rsid w:val="00AF0ADF"/>
    <w:rsid w:val="00AF110F"/>
    <w:rsid w:val="00AF3AED"/>
    <w:rsid w:val="00AF4742"/>
    <w:rsid w:val="00AF4912"/>
    <w:rsid w:val="00AF4930"/>
    <w:rsid w:val="00AF4E2D"/>
    <w:rsid w:val="00AF6BF4"/>
    <w:rsid w:val="00AF70F7"/>
    <w:rsid w:val="00AF7717"/>
    <w:rsid w:val="00AF7B05"/>
    <w:rsid w:val="00B00882"/>
    <w:rsid w:val="00B01A9A"/>
    <w:rsid w:val="00B03270"/>
    <w:rsid w:val="00B047C0"/>
    <w:rsid w:val="00B05D78"/>
    <w:rsid w:val="00B1101F"/>
    <w:rsid w:val="00B12985"/>
    <w:rsid w:val="00B1329B"/>
    <w:rsid w:val="00B1520C"/>
    <w:rsid w:val="00B15DCF"/>
    <w:rsid w:val="00B1644D"/>
    <w:rsid w:val="00B16BE4"/>
    <w:rsid w:val="00B175BE"/>
    <w:rsid w:val="00B17C55"/>
    <w:rsid w:val="00B17F98"/>
    <w:rsid w:val="00B201C3"/>
    <w:rsid w:val="00B20622"/>
    <w:rsid w:val="00B20C8F"/>
    <w:rsid w:val="00B20EDC"/>
    <w:rsid w:val="00B22714"/>
    <w:rsid w:val="00B2405E"/>
    <w:rsid w:val="00B2449E"/>
    <w:rsid w:val="00B27092"/>
    <w:rsid w:val="00B27699"/>
    <w:rsid w:val="00B30A8B"/>
    <w:rsid w:val="00B30E40"/>
    <w:rsid w:val="00B31112"/>
    <w:rsid w:val="00B31352"/>
    <w:rsid w:val="00B32425"/>
    <w:rsid w:val="00B35C7F"/>
    <w:rsid w:val="00B35E9D"/>
    <w:rsid w:val="00B40270"/>
    <w:rsid w:val="00B40B60"/>
    <w:rsid w:val="00B41991"/>
    <w:rsid w:val="00B41A9A"/>
    <w:rsid w:val="00B41BEA"/>
    <w:rsid w:val="00B447DC"/>
    <w:rsid w:val="00B44E5B"/>
    <w:rsid w:val="00B47D1E"/>
    <w:rsid w:val="00B47EA1"/>
    <w:rsid w:val="00B50DD2"/>
    <w:rsid w:val="00B51169"/>
    <w:rsid w:val="00B51D6E"/>
    <w:rsid w:val="00B51D7B"/>
    <w:rsid w:val="00B527E5"/>
    <w:rsid w:val="00B52CE9"/>
    <w:rsid w:val="00B53572"/>
    <w:rsid w:val="00B53EB1"/>
    <w:rsid w:val="00B55484"/>
    <w:rsid w:val="00B56324"/>
    <w:rsid w:val="00B57990"/>
    <w:rsid w:val="00B57A1F"/>
    <w:rsid w:val="00B62102"/>
    <w:rsid w:val="00B62CA9"/>
    <w:rsid w:val="00B646B0"/>
    <w:rsid w:val="00B6581D"/>
    <w:rsid w:val="00B65F7F"/>
    <w:rsid w:val="00B66A42"/>
    <w:rsid w:val="00B66D6A"/>
    <w:rsid w:val="00B67E24"/>
    <w:rsid w:val="00B67E34"/>
    <w:rsid w:val="00B70295"/>
    <w:rsid w:val="00B703FB"/>
    <w:rsid w:val="00B717E6"/>
    <w:rsid w:val="00B718A7"/>
    <w:rsid w:val="00B71A0D"/>
    <w:rsid w:val="00B71D30"/>
    <w:rsid w:val="00B721CF"/>
    <w:rsid w:val="00B72C75"/>
    <w:rsid w:val="00B72CED"/>
    <w:rsid w:val="00B72E93"/>
    <w:rsid w:val="00B73752"/>
    <w:rsid w:val="00B737D9"/>
    <w:rsid w:val="00B759C0"/>
    <w:rsid w:val="00B76890"/>
    <w:rsid w:val="00B80D04"/>
    <w:rsid w:val="00B81425"/>
    <w:rsid w:val="00B82410"/>
    <w:rsid w:val="00B8371F"/>
    <w:rsid w:val="00B84AED"/>
    <w:rsid w:val="00B8648E"/>
    <w:rsid w:val="00B86A3F"/>
    <w:rsid w:val="00B9184A"/>
    <w:rsid w:val="00B91CDB"/>
    <w:rsid w:val="00B92E6E"/>
    <w:rsid w:val="00B93D69"/>
    <w:rsid w:val="00B946AE"/>
    <w:rsid w:val="00B94A8D"/>
    <w:rsid w:val="00B97A1C"/>
    <w:rsid w:val="00BA0665"/>
    <w:rsid w:val="00BA0C55"/>
    <w:rsid w:val="00BA1723"/>
    <w:rsid w:val="00BA194E"/>
    <w:rsid w:val="00BA1F4C"/>
    <w:rsid w:val="00BA362D"/>
    <w:rsid w:val="00BA554F"/>
    <w:rsid w:val="00BA5F93"/>
    <w:rsid w:val="00BA76A6"/>
    <w:rsid w:val="00BB0B30"/>
    <w:rsid w:val="00BB265C"/>
    <w:rsid w:val="00BB4B0D"/>
    <w:rsid w:val="00BB52C3"/>
    <w:rsid w:val="00BB59CE"/>
    <w:rsid w:val="00BB64EA"/>
    <w:rsid w:val="00BB6CB2"/>
    <w:rsid w:val="00BB6E04"/>
    <w:rsid w:val="00BB7569"/>
    <w:rsid w:val="00BC057A"/>
    <w:rsid w:val="00BC0FF2"/>
    <w:rsid w:val="00BC1280"/>
    <w:rsid w:val="00BC1799"/>
    <w:rsid w:val="00BC214F"/>
    <w:rsid w:val="00BC2764"/>
    <w:rsid w:val="00BC2F21"/>
    <w:rsid w:val="00BC2F6A"/>
    <w:rsid w:val="00BC4408"/>
    <w:rsid w:val="00BC506A"/>
    <w:rsid w:val="00BC50E5"/>
    <w:rsid w:val="00BC54F6"/>
    <w:rsid w:val="00BC594C"/>
    <w:rsid w:val="00BC7BCB"/>
    <w:rsid w:val="00BD02BA"/>
    <w:rsid w:val="00BD0512"/>
    <w:rsid w:val="00BD0F60"/>
    <w:rsid w:val="00BD1351"/>
    <w:rsid w:val="00BD1B2A"/>
    <w:rsid w:val="00BD29C2"/>
    <w:rsid w:val="00BD44D3"/>
    <w:rsid w:val="00BD657B"/>
    <w:rsid w:val="00BD65E3"/>
    <w:rsid w:val="00BD68CF"/>
    <w:rsid w:val="00BD73CF"/>
    <w:rsid w:val="00BE0E23"/>
    <w:rsid w:val="00BE15F5"/>
    <w:rsid w:val="00BE1C63"/>
    <w:rsid w:val="00BE20CA"/>
    <w:rsid w:val="00BE24B7"/>
    <w:rsid w:val="00BE2E41"/>
    <w:rsid w:val="00BE454E"/>
    <w:rsid w:val="00BE4CD6"/>
    <w:rsid w:val="00BE4D99"/>
    <w:rsid w:val="00BE5C38"/>
    <w:rsid w:val="00BE623C"/>
    <w:rsid w:val="00BE6939"/>
    <w:rsid w:val="00BE6EBA"/>
    <w:rsid w:val="00BF2117"/>
    <w:rsid w:val="00BF2876"/>
    <w:rsid w:val="00BF3754"/>
    <w:rsid w:val="00BF425D"/>
    <w:rsid w:val="00BF50B1"/>
    <w:rsid w:val="00BF6472"/>
    <w:rsid w:val="00BF6B2C"/>
    <w:rsid w:val="00BF75C5"/>
    <w:rsid w:val="00BF77FF"/>
    <w:rsid w:val="00BF7CA2"/>
    <w:rsid w:val="00C0054E"/>
    <w:rsid w:val="00C0092C"/>
    <w:rsid w:val="00C00B4C"/>
    <w:rsid w:val="00C00F82"/>
    <w:rsid w:val="00C0269A"/>
    <w:rsid w:val="00C029F5"/>
    <w:rsid w:val="00C038D1"/>
    <w:rsid w:val="00C03EBD"/>
    <w:rsid w:val="00C046C2"/>
    <w:rsid w:val="00C04BCE"/>
    <w:rsid w:val="00C04BCF"/>
    <w:rsid w:val="00C05E85"/>
    <w:rsid w:val="00C07FDC"/>
    <w:rsid w:val="00C10C15"/>
    <w:rsid w:val="00C11C0F"/>
    <w:rsid w:val="00C12E7C"/>
    <w:rsid w:val="00C13452"/>
    <w:rsid w:val="00C13D28"/>
    <w:rsid w:val="00C16178"/>
    <w:rsid w:val="00C16388"/>
    <w:rsid w:val="00C1656C"/>
    <w:rsid w:val="00C16CB0"/>
    <w:rsid w:val="00C17197"/>
    <w:rsid w:val="00C176AA"/>
    <w:rsid w:val="00C21C18"/>
    <w:rsid w:val="00C2663F"/>
    <w:rsid w:val="00C2679D"/>
    <w:rsid w:val="00C26B18"/>
    <w:rsid w:val="00C2733D"/>
    <w:rsid w:val="00C277F4"/>
    <w:rsid w:val="00C31CB8"/>
    <w:rsid w:val="00C320F6"/>
    <w:rsid w:val="00C323D9"/>
    <w:rsid w:val="00C32A82"/>
    <w:rsid w:val="00C33FBB"/>
    <w:rsid w:val="00C367F6"/>
    <w:rsid w:val="00C40CE8"/>
    <w:rsid w:val="00C40DE7"/>
    <w:rsid w:val="00C4169C"/>
    <w:rsid w:val="00C42AC4"/>
    <w:rsid w:val="00C42E34"/>
    <w:rsid w:val="00C432B3"/>
    <w:rsid w:val="00C43A1E"/>
    <w:rsid w:val="00C46B63"/>
    <w:rsid w:val="00C47A13"/>
    <w:rsid w:val="00C500C5"/>
    <w:rsid w:val="00C51871"/>
    <w:rsid w:val="00C5279F"/>
    <w:rsid w:val="00C52864"/>
    <w:rsid w:val="00C55552"/>
    <w:rsid w:val="00C5597F"/>
    <w:rsid w:val="00C5761E"/>
    <w:rsid w:val="00C57CC0"/>
    <w:rsid w:val="00C601F1"/>
    <w:rsid w:val="00C616E9"/>
    <w:rsid w:val="00C63078"/>
    <w:rsid w:val="00C63920"/>
    <w:rsid w:val="00C63F5D"/>
    <w:rsid w:val="00C64024"/>
    <w:rsid w:val="00C64F7C"/>
    <w:rsid w:val="00C6693D"/>
    <w:rsid w:val="00C676B0"/>
    <w:rsid w:val="00C7067C"/>
    <w:rsid w:val="00C7117F"/>
    <w:rsid w:val="00C71357"/>
    <w:rsid w:val="00C73A9D"/>
    <w:rsid w:val="00C73C75"/>
    <w:rsid w:val="00C73F69"/>
    <w:rsid w:val="00C7566B"/>
    <w:rsid w:val="00C76143"/>
    <w:rsid w:val="00C77E57"/>
    <w:rsid w:val="00C77F9C"/>
    <w:rsid w:val="00C80F5B"/>
    <w:rsid w:val="00C82555"/>
    <w:rsid w:val="00C83F4A"/>
    <w:rsid w:val="00C83FAA"/>
    <w:rsid w:val="00C85283"/>
    <w:rsid w:val="00C864AD"/>
    <w:rsid w:val="00C87524"/>
    <w:rsid w:val="00C87BC5"/>
    <w:rsid w:val="00C91CD7"/>
    <w:rsid w:val="00C93079"/>
    <w:rsid w:val="00C9594D"/>
    <w:rsid w:val="00C96D72"/>
    <w:rsid w:val="00C97182"/>
    <w:rsid w:val="00C976C9"/>
    <w:rsid w:val="00C977F9"/>
    <w:rsid w:val="00CA0D4D"/>
    <w:rsid w:val="00CA1479"/>
    <w:rsid w:val="00CA2896"/>
    <w:rsid w:val="00CA2B81"/>
    <w:rsid w:val="00CA3420"/>
    <w:rsid w:val="00CA3CE6"/>
    <w:rsid w:val="00CA4B12"/>
    <w:rsid w:val="00CA4D64"/>
    <w:rsid w:val="00CA771A"/>
    <w:rsid w:val="00CB0C02"/>
    <w:rsid w:val="00CB2F8F"/>
    <w:rsid w:val="00CB3982"/>
    <w:rsid w:val="00CB406A"/>
    <w:rsid w:val="00CB68F5"/>
    <w:rsid w:val="00CB6F05"/>
    <w:rsid w:val="00CB73F1"/>
    <w:rsid w:val="00CC1207"/>
    <w:rsid w:val="00CC1362"/>
    <w:rsid w:val="00CC1DD7"/>
    <w:rsid w:val="00CC2C24"/>
    <w:rsid w:val="00CC37A8"/>
    <w:rsid w:val="00CC50DC"/>
    <w:rsid w:val="00CC6203"/>
    <w:rsid w:val="00CC702A"/>
    <w:rsid w:val="00CC735C"/>
    <w:rsid w:val="00CC7EE6"/>
    <w:rsid w:val="00CD04A4"/>
    <w:rsid w:val="00CD0F96"/>
    <w:rsid w:val="00CD21A9"/>
    <w:rsid w:val="00CD242E"/>
    <w:rsid w:val="00CD36FB"/>
    <w:rsid w:val="00CD3EBA"/>
    <w:rsid w:val="00CD4A12"/>
    <w:rsid w:val="00CD4CB0"/>
    <w:rsid w:val="00CD4FE9"/>
    <w:rsid w:val="00CD55E9"/>
    <w:rsid w:val="00CD56FC"/>
    <w:rsid w:val="00CD5904"/>
    <w:rsid w:val="00CD6E81"/>
    <w:rsid w:val="00CD74A5"/>
    <w:rsid w:val="00CD77E8"/>
    <w:rsid w:val="00CE029C"/>
    <w:rsid w:val="00CE0914"/>
    <w:rsid w:val="00CE0D1D"/>
    <w:rsid w:val="00CE1179"/>
    <w:rsid w:val="00CE3F1E"/>
    <w:rsid w:val="00CE4221"/>
    <w:rsid w:val="00CE4341"/>
    <w:rsid w:val="00CE576B"/>
    <w:rsid w:val="00CE76DD"/>
    <w:rsid w:val="00CE7E54"/>
    <w:rsid w:val="00CF18E9"/>
    <w:rsid w:val="00CF2CDB"/>
    <w:rsid w:val="00CF4B7A"/>
    <w:rsid w:val="00CF52A2"/>
    <w:rsid w:val="00D01B56"/>
    <w:rsid w:val="00D02030"/>
    <w:rsid w:val="00D02115"/>
    <w:rsid w:val="00D02F6F"/>
    <w:rsid w:val="00D039CD"/>
    <w:rsid w:val="00D03A31"/>
    <w:rsid w:val="00D041B1"/>
    <w:rsid w:val="00D04371"/>
    <w:rsid w:val="00D04914"/>
    <w:rsid w:val="00D050BF"/>
    <w:rsid w:val="00D054DC"/>
    <w:rsid w:val="00D05543"/>
    <w:rsid w:val="00D05643"/>
    <w:rsid w:val="00D06860"/>
    <w:rsid w:val="00D06E48"/>
    <w:rsid w:val="00D071F2"/>
    <w:rsid w:val="00D078A1"/>
    <w:rsid w:val="00D100AA"/>
    <w:rsid w:val="00D107B7"/>
    <w:rsid w:val="00D10FEF"/>
    <w:rsid w:val="00D119EC"/>
    <w:rsid w:val="00D12329"/>
    <w:rsid w:val="00D1426F"/>
    <w:rsid w:val="00D1503D"/>
    <w:rsid w:val="00D15040"/>
    <w:rsid w:val="00D15349"/>
    <w:rsid w:val="00D17841"/>
    <w:rsid w:val="00D213D3"/>
    <w:rsid w:val="00D215DE"/>
    <w:rsid w:val="00D22804"/>
    <w:rsid w:val="00D22EA6"/>
    <w:rsid w:val="00D233B3"/>
    <w:rsid w:val="00D23E27"/>
    <w:rsid w:val="00D24A2F"/>
    <w:rsid w:val="00D25FAD"/>
    <w:rsid w:val="00D268F4"/>
    <w:rsid w:val="00D27BDB"/>
    <w:rsid w:val="00D30771"/>
    <w:rsid w:val="00D3094D"/>
    <w:rsid w:val="00D30FE5"/>
    <w:rsid w:val="00D321DB"/>
    <w:rsid w:val="00D33408"/>
    <w:rsid w:val="00D3456F"/>
    <w:rsid w:val="00D3473F"/>
    <w:rsid w:val="00D35A76"/>
    <w:rsid w:val="00D36A34"/>
    <w:rsid w:val="00D37A76"/>
    <w:rsid w:val="00D37CF0"/>
    <w:rsid w:val="00D4000F"/>
    <w:rsid w:val="00D40CDC"/>
    <w:rsid w:val="00D41DE4"/>
    <w:rsid w:val="00D444C0"/>
    <w:rsid w:val="00D46135"/>
    <w:rsid w:val="00D4774B"/>
    <w:rsid w:val="00D50000"/>
    <w:rsid w:val="00D504E5"/>
    <w:rsid w:val="00D51793"/>
    <w:rsid w:val="00D51EE3"/>
    <w:rsid w:val="00D51F33"/>
    <w:rsid w:val="00D52368"/>
    <w:rsid w:val="00D5253D"/>
    <w:rsid w:val="00D5314C"/>
    <w:rsid w:val="00D531B1"/>
    <w:rsid w:val="00D53E9B"/>
    <w:rsid w:val="00D54168"/>
    <w:rsid w:val="00D562BE"/>
    <w:rsid w:val="00D562D5"/>
    <w:rsid w:val="00D568B5"/>
    <w:rsid w:val="00D5739F"/>
    <w:rsid w:val="00D61874"/>
    <w:rsid w:val="00D638AF"/>
    <w:rsid w:val="00D63BB9"/>
    <w:rsid w:val="00D641F3"/>
    <w:rsid w:val="00D6552A"/>
    <w:rsid w:val="00D65C89"/>
    <w:rsid w:val="00D6628E"/>
    <w:rsid w:val="00D66442"/>
    <w:rsid w:val="00D664FC"/>
    <w:rsid w:val="00D666B8"/>
    <w:rsid w:val="00D67D24"/>
    <w:rsid w:val="00D71984"/>
    <w:rsid w:val="00D748BA"/>
    <w:rsid w:val="00D74FFB"/>
    <w:rsid w:val="00D81284"/>
    <w:rsid w:val="00D84ABB"/>
    <w:rsid w:val="00D84CC4"/>
    <w:rsid w:val="00D859DF"/>
    <w:rsid w:val="00D869AD"/>
    <w:rsid w:val="00D869E9"/>
    <w:rsid w:val="00D877D7"/>
    <w:rsid w:val="00D879C9"/>
    <w:rsid w:val="00D91260"/>
    <w:rsid w:val="00D91D81"/>
    <w:rsid w:val="00D94018"/>
    <w:rsid w:val="00D96458"/>
    <w:rsid w:val="00D96749"/>
    <w:rsid w:val="00DA00C8"/>
    <w:rsid w:val="00DA1C35"/>
    <w:rsid w:val="00DA32DF"/>
    <w:rsid w:val="00DA350E"/>
    <w:rsid w:val="00DA4C62"/>
    <w:rsid w:val="00DA5CCD"/>
    <w:rsid w:val="00DA652E"/>
    <w:rsid w:val="00DA6A26"/>
    <w:rsid w:val="00DA6B6B"/>
    <w:rsid w:val="00DA6E41"/>
    <w:rsid w:val="00DB0635"/>
    <w:rsid w:val="00DB1BF2"/>
    <w:rsid w:val="00DB2C15"/>
    <w:rsid w:val="00DB35FF"/>
    <w:rsid w:val="00DB497C"/>
    <w:rsid w:val="00DB4C4C"/>
    <w:rsid w:val="00DB6E5A"/>
    <w:rsid w:val="00DB78B1"/>
    <w:rsid w:val="00DB7F15"/>
    <w:rsid w:val="00DB7FAE"/>
    <w:rsid w:val="00DC1180"/>
    <w:rsid w:val="00DC18BA"/>
    <w:rsid w:val="00DC2361"/>
    <w:rsid w:val="00DC3DC3"/>
    <w:rsid w:val="00DC4946"/>
    <w:rsid w:val="00DC5D0D"/>
    <w:rsid w:val="00DC5FB0"/>
    <w:rsid w:val="00DC6416"/>
    <w:rsid w:val="00DC761F"/>
    <w:rsid w:val="00DD05DC"/>
    <w:rsid w:val="00DD0B2B"/>
    <w:rsid w:val="00DD2FE8"/>
    <w:rsid w:val="00DD3740"/>
    <w:rsid w:val="00DD4719"/>
    <w:rsid w:val="00DD4766"/>
    <w:rsid w:val="00DD51E9"/>
    <w:rsid w:val="00DD62F8"/>
    <w:rsid w:val="00DD6F0A"/>
    <w:rsid w:val="00DE0097"/>
    <w:rsid w:val="00DE0B83"/>
    <w:rsid w:val="00DE1354"/>
    <w:rsid w:val="00DE3931"/>
    <w:rsid w:val="00DE4220"/>
    <w:rsid w:val="00DE461F"/>
    <w:rsid w:val="00DE4977"/>
    <w:rsid w:val="00DE4B50"/>
    <w:rsid w:val="00DE5867"/>
    <w:rsid w:val="00DE6578"/>
    <w:rsid w:val="00DF1625"/>
    <w:rsid w:val="00DF1AFE"/>
    <w:rsid w:val="00DF20EB"/>
    <w:rsid w:val="00DF2683"/>
    <w:rsid w:val="00DF3539"/>
    <w:rsid w:val="00DF410E"/>
    <w:rsid w:val="00DF4C8C"/>
    <w:rsid w:val="00DF5432"/>
    <w:rsid w:val="00DF5832"/>
    <w:rsid w:val="00DF5ADE"/>
    <w:rsid w:val="00DF635E"/>
    <w:rsid w:val="00DF6863"/>
    <w:rsid w:val="00DF6A58"/>
    <w:rsid w:val="00DF7150"/>
    <w:rsid w:val="00E002C4"/>
    <w:rsid w:val="00E00D78"/>
    <w:rsid w:val="00E012C8"/>
    <w:rsid w:val="00E01DF5"/>
    <w:rsid w:val="00E11B2C"/>
    <w:rsid w:val="00E11B30"/>
    <w:rsid w:val="00E122FD"/>
    <w:rsid w:val="00E1242D"/>
    <w:rsid w:val="00E12D6A"/>
    <w:rsid w:val="00E12FFF"/>
    <w:rsid w:val="00E132A5"/>
    <w:rsid w:val="00E135C7"/>
    <w:rsid w:val="00E14D15"/>
    <w:rsid w:val="00E15260"/>
    <w:rsid w:val="00E15DD0"/>
    <w:rsid w:val="00E16A72"/>
    <w:rsid w:val="00E17B53"/>
    <w:rsid w:val="00E200F3"/>
    <w:rsid w:val="00E2098C"/>
    <w:rsid w:val="00E209C8"/>
    <w:rsid w:val="00E22356"/>
    <w:rsid w:val="00E223D2"/>
    <w:rsid w:val="00E239F7"/>
    <w:rsid w:val="00E244B6"/>
    <w:rsid w:val="00E24ED6"/>
    <w:rsid w:val="00E24F63"/>
    <w:rsid w:val="00E261E4"/>
    <w:rsid w:val="00E262DF"/>
    <w:rsid w:val="00E2730B"/>
    <w:rsid w:val="00E27513"/>
    <w:rsid w:val="00E27BA0"/>
    <w:rsid w:val="00E3130F"/>
    <w:rsid w:val="00E3131B"/>
    <w:rsid w:val="00E31A39"/>
    <w:rsid w:val="00E32EF2"/>
    <w:rsid w:val="00E33B48"/>
    <w:rsid w:val="00E33C7A"/>
    <w:rsid w:val="00E3422C"/>
    <w:rsid w:val="00E35A14"/>
    <w:rsid w:val="00E36915"/>
    <w:rsid w:val="00E374BD"/>
    <w:rsid w:val="00E409A7"/>
    <w:rsid w:val="00E4212D"/>
    <w:rsid w:val="00E42D7E"/>
    <w:rsid w:val="00E45603"/>
    <w:rsid w:val="00E4596E"/>
    <w:rsid w:val="00E47989"/>
    <w:rsid w:val="00E47B37"/>
    <w:rsid w:val="00E50D5E"/>
    <w:rsid w:val="00E51FD5"/>
    <w:rsid w:val="00E524D1"/>
    <w:rsid w:val="00E52EE1"/>
    <w:rsid w:val="00E53406"/>
    <w:rsid w:val="00E54365"/>
    <w:rsid w:val="00E54CEC"/>
    <w:rsid w:val="00E54F05"/>
    <w:rsid w:val="00E55573"/>
    <w:rsid w:val="00E55B87"/>
    <w:rsid w:val="00E572D2"/>
    <w:rsid w:val="00E573F8"/>
    <w:rsid w:val="00E57F46"/>
    <w:rsid w:val="00E606B8"/>
    <w:rsid w:val="00E60C48"/>
    <w:rsid w:val="00E628A1"/>
    <w:rsid w:val="00E628BE"/>
    <w:rsid w:val="00E62A08"/>
    <w:rsid w:val="00E631C3"/>
    <w:rsid w:val="00E63787"/>
    <w:rsid w:val="00E63F5F"/>
    <w:rsid w:val="00E65FDE"/>
    <w:rsid w:val="00E66CE1"/>
    <w:rsid w:val="00E673F9"/>
    <w:rsid w:val="00E67B43"/>
    <w:rsid w:val="00E71244"/>
    <w:rsid w:val="00E71956"/>
    <w:rsid w:val="00E71FA6"/>
    <w:rsid w:val="00E7211C"/>
    <w:rsid w:val="00E72922"/>
    <w:rsid w:val="00E7462F"/>
    <w:rsid w:val="00E748ED"/>
    <w:rsid w:val="00E77DD8"/>
    <w:rsid w:val="00E8068C"/>
    <w:rsid w:val="00E82770"/>
    <w:rsid w:val="00E837EA"/>
    <w:rsid w:val="00E83C68"/>
    <w:rsid w:val="00E84249"/>
    <w:rsid w:val="00E843CB"/>
    <w:rsid w:val="00E859E2"/>
    <w:rsid w:val="00E85ABB"/>
    <w:rsid w:val="00E865AE"/>
    <w:rsid w:val="00E87AC1"/>
    <w:rsid w:val="00E9015A"/>
    <w:rsid w:val="00E91A44"/>
    <w:rsid w:val="00E9227D"/>
    <w:rsid w:val="00E92F9D"/>
    <w:rsid w:val="00E93C34"/>
    <w:rsid w:val="00E95C1D"/>
    <w:rsid w:val="00E96052"/>
    <w:rsid w:val="00E97BA2"/>
    <w:rsid w:val="00E97EA4"/>
    <w:rsid w:val="00EA00B7"/>
    <w:rsid w:val="00EA28C8"/>
    <w:rsid w:val="00EA2DA9"/>
    <w:rsid w:val="00EA31E9"/>
    <w:rsid w:val="00EA3420"/>
    <w:rsid w:val="00EA35BF"/>
    <w:rsid w:val="00EA3D9D"/>
    <w:rsid w:val="00EA4E69"/>
    <w:rsid w:val="00EA56F5"/>
    <w:rsid w:val="00EA5B00"/>
    <w:rsid w:val="00EA6CA4"/>
    <w:rsid w:val="00EA6FDC"/>
    <w:rsid w:val="00EA7237"/>
    <w:rsid w:val="00EA7F60"/>
    <w:rsid w:val="00EB0B61"/>
    <w:rsid w:val="00EB15F1"/>
    <w:rsid w:val="00EB3223"/>
    <w:rsid w:val="00EB45E0"/>
    <w:rsid w:val="00EB5262"/>
    <w:rsid w:val="00EB598E"/>
    <w:rsid w:val="00EC090D"/>
    <w:rsid w:val="00EC1C34"/>
    <w:rsid w:val="00EC2122"/>
    <w:rsid w:val="00EC2341"/>
    <w:rsid w:val="00EC2626"/>
    <w:rsid w:val="00EC4628"/>
    <w:rsid w:val="00EC5E9F"/>
    <w:rsid w:val="00EC5F25"/>
    <w:rsid w:val="00EC715C"/>
    <w:rsid w:val="00EC7979"/>
    <w:rsid w:val="00ED02F2"/>
    <w:rsid w:val="00ED16FA"/>
    <w:rsid w:val="00ED32E6"/>
    <w:rsid w:val="00ED336A"/>
    <w:rsid w:val="00ED5C70"/>
    <w:rsid w:val="00ED7188"/>
    <w:rsid w:val="00ED742A"/>
    <w:rsid w:val="00ED786B"/>
    <w:rsid w:val="00EE0B68"/>
    <w:rsid w:val="00EE3178"/>
    <w:rsid w:val="00EE4785"/>
    <w:rsid w:val="00EE5B9C"/>
    <w:rsid w:val="00EE78BE"/>
    <w:rsid w:val="00EE7C4C"/>
    <w:rsid w:val="00EF0214"/>
    <w:rsid w:val="00EF1740"/>
    <w:rsid w:val="00EF1C48"/>
    <w:rsid w:val="00EF25CC"/>
    <w:rsid w:val="00EF3059"/>
    <w:rsid w:val="00EF3A64"/>
    <w:rsid w:val="00EF3FD3"/>
    <w:rsid w:val="00EF4549"/>
    <w:rsid w:val="00EF4C96"/>
    <w:rsid w:val="00F00BE2"/>
    <w:rsid w:val="00F00DB2"/>
    <w:rsid w:val="00F02004"/>
    <w:rsid w:val="00F02AF9"/>
    <w:rsid w:val="00F043A3"/>
    <w:rsid w:val="00F05222"/>
    <w:rsid w:val="00F07387"/>
    <w:rsid w:val="00F100D0"/>
    <w:rsid w:val="00F109C2"/>
    <w:rsid w:val="00F10CCC"/>
    <w:rsid w:val="00F113A0"/>
    <w:rsid w:val="00F144DB"/>
    <w:rsid w:val="00F14E49"/>
    <w:rsid w:val="00F14FF0"/>
    <w:rsid w:val="00F15D8A"/>
    <w:rsid w:val="00F1655F"/>
    <w:rsid w:val="00F175BC"/>
    <w:rsid w:val="00F20CA5"/>
    <w:rsid w:val="00F2154C"/>
    <w:rsid w:val="00F21DBF"/>
    <w:rsid w:val="00F259E1"/>
    <w:rsid w:val="00F264F4"/>
    <w:rsid w:val="00F30067"/>
    <w:rsid w:val="00F303BA"/>
    <w:rsid w:val="00F305F7"/>
    <w:rsid w:val="00F3072F"/>
    <w:rsid w:val="00F30D67"/>
    <w:rsid w:val="00F31AE2"/>
    <w:rsid w:val="00F31CBE"/>
    <w:rsid w:val="00F31D98"/>
    <w:rsid w:val="00F36449"/>
    <w:rsid w:val="00F36478"/>
    <w:rsid w:val="00F36D9B"/>
    <w:rsid w:val="00F40048"/>
    <w:rsid w:val="00F4015C"/>
    <w:rsid w:val="00F4029A"/>
    <w:rsid w:val="00F42D98"/>
    <w:rsid w:val="00F44C5F"/>
    <w:rsid w:val="00F44DFD"/>
    <w:rsid w:val="00F45517"/>
    <w:rsid w:val="00F45AE5"/>
    <w:rsid w:val="00F46463"/>
    <w:rsid w:val="00F470E8"/>
    <w:rsid w:val="00F50352"/>
    <w:rsid w:val="00F52C23"/>
    <w:rsid w:val="00F52C58"/>
    <w:rsid w:val="00F539FC"/>
    <w:rsid w:val="00F56109"/>
    <w:rsid w:val="00F5642E"/>
    <w:rsid w:val="00F56B18"/>
    <w:rsid w:val="00F574FD"/>
    <w:rsid w:val="00F57A62"/>
    <w:rsid w:val="00F6074C"/>
    <w:rsid w:val="00F6218C"/>
    <w:rsid w:val="00F62563"/>
    <w:rsid w:val="00F6323F"/>
    <w:rsid w:val="00F63A04"/>
    <w:rsid w:val="00F63B3C"/>
    <w:rsid w:val="00F643E2"/>
    <w:rsid w:val="00F64950"/>
    <w:rsid w:val="00F67789"/>
    <w:rsid w:val="00F72AE1"/>
    <w:rsid w:val="00F73F8D"/>
    <w:rsid w:val="00F74372"/>
    <w:rsid w:val="00F762E8"/>
    <w:rsid w:val="00F77D76"/>
    <w:rsid w:val="00F807E3"/>
    <w:rsid w:val="00F80D77"/>
    <w:rsid w:val="00F821CB"/>
    <w:rsid w:val="00F82809"/>
    <w:rsid w:val="00F86D5A"/>
    <w:rsid w:val="00F8757E"/>
    <w:rsid w:val="00F876FF"/>
    <w:rsid w:val="00F90879"/>
    <w:rsid w:val="00F91E51"/>
    <w:rsid w:val="00F92A09"/>
    <w:rsid w:val="00F93701"/>
    <w:rsid w:val="00F940DB"/>
    <w:rsid w:val="00F95697"/>
    <w:rsid w:val="00F95734"/>
    <w:rsid w:val="00F96705"/>
    <w:rsid w:val="00F97B51"/>
    <w:rsid w:val="00FA16BC"/>
    <w:rsid w:val="00FA39C6"/>
    <w:rsid w:val="00FA3D68"/>
    <w:rsid w:val="00FA4AA4"/>
    <w:rsid w:val="00FA5C25"/>
    <w:rsid w:val="00FA7603"/>
    <w:rsid w:val="00FB05B5"/>
    <w:rsid w:val="00FB0F3C"/>
    <w:rsid w:val="00FB37B8"/>
    <w:rsid w:val="00FB4FDA"/>
    <w:rsid w:val="00FB56CA"/>
    <w:rsid w:val="00FB6E34"/>
    <w:rsid w:val="00FC1821"/>
    <w:rsid w:val="00FC227F"/>
    <w:rsid w:val="00FC283D"/>
    <w:rsid w:val="00FC31A9"/>
    <w:rsid w:val="00FC496E"/>
    <w:rsid w:val="00FC4AA3"/>
    <w:rsid w:val="00FC5221"/>
    <w:rsid w:val="00FC5936"/>
    <w:rsid w:val="00FC7832"/>
    <w:rsid w:val="00FC7882"/>
    <w:rsid w:val="00FC7E7C"/>
    <w:rsid w:val="00FD01E0"/>
    <w:rsid w:val="00FD16D3"/>
    <w:rsid w:val="00FD3FBA"/>
    <w:rsid w:val="00FD40A0"/>
    <w:rsid w:val="00FD44D8"/>
    <w:rsid w:val="00FD4CDF"/>
    <w:rsid w:val="00FD5CA1"/>
    <w:rsid w:val="00FD640A"/>
    <w:rsid w:val="00FD71D6"/>
    <w:rsid w:val="00FE0A00"/>
    <w:rsid w:val="00FE18DB"/>
    <w:rsid w:val="00FE21DC"/>
    <w:rsid w:val="00FE22A4"/>
    <w:rsid w:val="00FE376C"/>
    <w:rsid w:val="00FE708D"/>
    <w:rsid w:val="00FF17E0"/>
    <w:rsid w:val="00FF1809"/>
    <w:rsid w:val="00FF18FD"/>
    <w:rsid w:val="00FF19CD"/>
    <w:rsid w:val="00FF2E85"/>
    <w:rsid w:val="00FF381E"/>
    <w:rsid w:val="00FF420C"/>
    <w:rsid w:val="00FF54D2"/>
    <w:rsid w:val="00FF5BE6"/>
    <w:rsid w:val="00FF5E63"/>
    <w:rsid w:val="00FF79B9"/>
    <w:rsid w:val="00FF7AFF"/>
  </w:rsids>
  <m:mathPr>
    <m:mathFont m:val="Cambria Math"/>
    <m:brkBin m:val="before"/>
    <m:brkBinSub m:val="--"/>
    <m:smallFrac m:val="0"/>
    <m:dispDef/>
    <m:lMargin m:val="0"/>
    <m:rMargin m:val="0"/>
    <m:defJc m:val="centerGroup"/>
    <m:wrapIndent m:val="1440"/>
    <m:intLim m:val="undOvr"/>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E790628"/>
  <w15:docId w15:val="{B97711A6-C1AE-4F6D-8F7F-E7F03B1F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1A"/>
  </w:style>
  <w:style w:type="paragraph" w:styleId="Heading1">
    <w:name w:val="heading 1"/>
    <w:basedOn w:val="Normal"/>
    <w:next w:val="Normal"/>
    <w:link w:val="Heading1Char"/>
    <w:qFormat/>
    <w:rsid w:val="00D27BDB"/>
    <w:pPr>
      <w:keepNext/>
      <w:numPr>
        <w:numId w:val="4"/>
      </w:numPr>
      <w:spacing w:before="240" w:after="240"/>
      <w:jc w:val="center"/>
      <w:outlineLvl w:val="0"/>
    </w:pPr>
    <w:rPr>
      <w:b/>
      <w:caps/>
      <w:kern w:val="28"/>
      <w:sz w:val="26"/>
      <w:szCs w:val="28"/>
    </w:rPr>
  </w:style>
  <w:style w:type="paragraph" w:styleId="Heading2">
    <w:name w:val="heading 2"/>
    <w:next w:val="Normal"/>
    <w:link w:val="Heading2Char"/>
    <w:qFormat/>
    <w:rsid w:val="00D27BDB"/>
    <w:pPr>
      <w:keepNext/>
      <w:keepLines/>
      <w:numPr>
        <w:ilvl w:val="1"/>
        <w:numId w:val="4"/>
      </w:numPr>
      <w:spacing w:before="240" w:after="120"/>
      <w:outlineLvl w:val="1"/>
    </w:pPr>
    <w:rPr>
      <w:rFonts w:eastAsia="MS Mincho"/>
      <w:b/>
      <w:sz w:val="24"/>
      <w:szCs w:val="24"/>
    </w:rPr>
  </w:style>
  <w:style w:type="paragraph" w:styleId="Heading3">
    <w:name w:val="heading 3"/>
    <w:next w:val="Normal"/>
    <w:link w:val="Heading3Char"/>
    <w:qFormat/>
    <w:rsid w:val="00D81284"/>
    <w:pPr>
      <w:keepNext/>
      <w:keepLines/>
      <w:numPr>
        <w:ilvl w:val="2"/>
        <w:numId w:val="4"/>
      </w:numPr>
      <w:tabs>
        <w:tab w:val="left" w:pos="873"/>
      </w:tabs>
      <w:spacing w:before="240" w:after="120"/>
      <w:outlineLvl w:val="2"/>
    </w:pPr>
    <w:rPr>
      <w:rFonts w:eastAsia="MS Mincho"/>
      <w:b/>
      <w:i/>
      <w:sz w:val="22"/>
    </w:rPr>
  </w:style>
  <w:style w:type="paragraph" w:styleId="Heading4">
    <w:name w:val="heading 4"/>
    <w:basedOn w:val="Normal"/>
    <w:next w:val="Normal"/>
    <w:link w:val="Heading4Char"/>
    <w:qFormat/>
    <w:rsid w:val="00D27BDB"/>
    <w:pPr>
      <w:keepNext/>
      <w:keepLines/>
      <w:spacing w:before="240" w:after="80"/>
      <w:outlineLvl w:val="3"/>
    </w:pPr>
    <w:rPr>
      <w:rFonts w:cs="Arial"/>
      <w:i/>
      <w:sz w:val="22"/>
    </w:rPr>
  </w:style>
  <w:style w:type="paragraph" w:styleId="Heading5">
    <w:name w:val="heading 5"/>
    <w:basedOn w:val="Normal"/>
    <w:next w:val="Normal"/>
    <w:link w:val="Heading5Char"/>
    <w:qFormat/>
    <w:rsid w:val="00D27BDB"/>
    <w:pPr>
      <w:keepNext/>
      <w:keepLines/>
      <w:spacing w:before="120" w:after="120"/>
      <w:outlineLvl w:val="4"/>
    </w:pPr>
    <w:rPr>
      <w:b/>
    </w:rPr>
  </w:style>
  <w:style w:type="paragraph" w:styleId="Heading6">
    <w:name w:val="heading 6"/>
    <w:basedOn w:val="Normal"/>
    <w:next w:val="Normal"/>
    <w:link w:val="Heading6Char"/>
    <w:qFormat/>
    <w:rsid w:val="00D27BDB"/>
    <w:pPr>
      <w:keepNext/>
      <w:keepLines/>
      <w:framePr w:w="2520" w:hSpace="187" w:vSpace="187" w:wrap="around" w:vAnchor="text" w:hAnchor="page" w:x="1441" w:y="1"/>
      <w:shd w:val="solid" w:color="FFFFFF" w:fill="FFFFFF"/>
      <w:spacing w:before="120" w:after="120"/>
      <w:outlineLvl w:val="5"/>
    </w:pPr>
    <w:rPr>
      <w:b/>
      <w:i/>
    </w:rPr>
  </w:style>
  <w:style w:type="paragraph" w:styleId="Heading7">
    <w:name w:val="heading 7"/>
    <w:basedOn w:val="Normal"/>
    <w:next w:val="Normal"/>
    <w:link w:val="Heading7Char"/>
    <w:qFormat/>
    <w:rsid w:val="00D27BDB"/>
    <w:pPr>
      <w:keepNext/>
      <w:spacing w:before="120" w:after="120"/>
      <w:outlineLvl w:val="6"/>
    </w:pPr>
    <w:rPr>
      <w:i/>
      <w:sz w:val="18"/>
    </w:rPr>
  </w:style>
  <w:style w:type="paragraph" w:styleId="Heading8">
    <w:name w:val="heading 8"/>
    <w:basedOn w:val="Normal"/>
    <w:next w:val="Normal"/>
    <w:link w:val="Heading8Char"/>
    <w:qFormat/>
    <w:rsid w:val="00B41A9A"/>
    <w:pPr>
      <w:spacing w:before="240" w:after="60" w:line="240" w:lineRule="atLeast"/>
      <w:outlineLvl w:val="7"/>
    </w:pPr>
    <w:rPr>
      <w:rFonts w:ascii="Arial" w:hAnsi="Arial"/>
      <w:i/>
    </w:rPr>
  </w:style>
  <w:style w:type="paragraph" w:styleId="Heading9">
    <w:name w:val="heading 9"/>
    <w:basedOn w:val="Normal"/>
    <w:next w:val="Normal"/>
    <w:link w:val="Heading9Char"/>
    <w:qFormat/>
    <w:rsid w:val="00B41A9A"/>
    <w:pPr>
      <w:spacing w:before="240" w:after="60" w:line="240" w:lineRule="atLeas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1">
    <w:name w:val="Source1"/>
    <w:basedOn w:val="Normal"/>
    <w:rsid w:val="00FD44D8"/>
    <w:pPr>
      <w:keepLines/>
      <w:spacing w:before="120" w:after="400"/>
      <w:ind w:left="187" w:hanging="187"/>
    </w:pPr>
    <w:rPr>
      <w:sz w:val="18"/>
    </w:rPr>
  </w:style>
  <w:style w:type="paragraph" w:styleId="TOC5">
    <w:name w:val="toc 5"/>
    <w:aliases w:val="toc tab/fig"/>
    <w:basedOn w:val="TOC2"/>
    <w:next w:val="Normal"/>
    <w:uiPriority w:val="39"/>
    <w:rsid w:val="00377525"/>
    <w:pPr>
      <w:tabs>
        <w:tab w:val="clear" w:pos="1800"/>
        <w:tab w:val="left" w:pos="720"/>
      </w:tabs>
      <w:spacing w:before="80" w:after="80"/>
      <w:ind w:left="720" w:hanging="720"/>
    </w:pPr>
  </w:style>
  <w:style w:type="paragraph" w:styleId="TOC2">
    <w:name w:val="toc 2"/>
    <w:basedOn w:val="Normal"/>
    <w:next w:val="Normal"/>
    <w:autoRedefine/>
    <w:uiPriority w:val="39"/>
    <w:rsid w:val="0016571A"/>
    <w:pPr>
      <w:tabs>
        <w:tab w:val="left" w:pos="1800"/>
        <w:tab w:val="right" w:leader="dot" w:pos="9360"/>
      </w:tabs>
      <w:spacing w:before="120"/>
      <w:ind w:left="1094" w:right="720" w:hanging="547"/>
    </w:pPr>
    <w:rPr>
      <w:noProof/>
    </w:rPr>
  </w:style>
  <w:style w:type="paragraph" w:styleId="TOC1">
    <w:name w:val="toc 1"/>
    <w:basedOn w:val="Normal"/>
    <w:next w:val="Normal"/>
    <w:uiPriority w:val="39"/>
    <w:rsid w:val="00BB0B30"/>
    <w:pPr>
      <w:tabs>
        <w:tab w:val="right" w:pos="9360"/>
      </w:tabs>
      <w:spacing w:before="320"/>
      <w:ind w:left="540" w:right="720" w:hanging="540"/>
    </w:pPr>
    <w:rPr>
      <w:b/>
      <w:noProof/>
    </w:rPr>
  </w:style>
  <w:style w:type="paragraph" w:styleId="Footer">
    <w:name w:val="footer"/>
    <w:basedOn w:val="Normal"/>
    <w:next w:val="Normal"/>
    <w:link w:val="FooterChar"/>
    <w:uiPriority w:val="99"/>
    <w:rsid w:val="00F30D67"/>
    <w:rPr>
      <w:b/>
    </w:rPr>
  </w:style>
  <w:style w:type="paragraph" w:styleId="Header">
    <w:name w:val="header"/>
    <w:basedOn w:val="Normal"/>
    <w:next w:val="Normal"/>
    <w:link w:val="HeaderChar"/>
    <w:uiPriority w:val="99"/>
    <w:pPr>
      <w:pBdr>
        <w:bottom w:val="single" w:sz="2" w:space="3" w:color="auto"/>
      </w:pBdr>
    </w:pPr>
    <w:rPr>
      <w:i/>
      <w:sz w:val="18"/>
    </w:rPr>
  </w:style>
  <w:style w:type="character" w:styleId="FootnoteReference">
    <w:name w:val="footnote reference"/>
    <w:rsid w:val="00801ADC"/>
    <w:rPr>
      <w:rFonts w:ascii="Verdana" w:hAnsi="Verdana"/>
      <w:spacing w:val="0"/>
      <w:position w:val="0"/>
      <w:sz w:val="18"/>
      <w:vertAlign w:val="superscript"/>
    </w:rPr>
  </w:style>
  <w:style w:type="character" w:styleId="PageNumber">
    <w:name w:val="page number"/>
    <w:rsid w:val="00D5739F"/>
    <w:rPr>
      <w:rFonts w:ascii="Verdana" w:hAnsi="Verdana"/>
      <w:b/>
      <w:sz w:val="20"/>
    </w:rPr>
  </w:style>
  <w:style w:type="paragraph" w:customStyle="1" w:styleId="toc0">
    <w:name w:val="toc 0"/>
    <w:basedOn w:val="Normal"/>
    <w:rsid w:val="00D22EA6"/>
    <w:pPr>
      <w:pageBreakBefore/>
      <w:pBdr>
        <w:bottom w:val="single" w:sz="2" w:space="18" w:color="auto"/>
      </w:pBdr>
      <w:spacing w:before="240" w:after="360"/>
      <w:jc w:val="center"/>
    </w:pPr>
    <w:rPr>
      <w:b/>
      <w:sz w:val="32"/>
      <w:szCs w:val="26"/>
    </w:rPr>
  </w:style>
  <w:style w:type="paragraph" w:customStyle="1" w:styleId="TableHeaders">
    <w:name w:val="Table Headers"/>
    <w:qFormat/>
    <w:rsid w:val="00D27BDB"/>
    <w:pPr>
      <w:spacing w:before="80" w:after="80"/>
      <w:jc w:val="center"/>
    </w:pPr>
    <w:rPr>
      <w:b/>
      <w:sz w:val="18"/>
    </w:rPr>
  </w:style>
  <w:style w:type="paragraph" w:customStyle="1" w:styleId="CovText">
    <w:name w:val="CovText"/>
    <w:basedOn w:val="Normal"/>
    <w:rsid w:val="00801ADC"/>
    <w:pPr>
      <w:jc w:val="right"/>
    </w:pPr>
  </w:style>
  <w:style w:type="paragraph" w:customStyle="1" w:styleId="TableTitle">
    <w:name w:val="Table Title"/>
    <w:basedOn w:val="Normal"/>
    <w:rsid w:val="00D15349"/>
    <w:pPr>
      <w:keepNext/>
      <w:keepLines/>
      <w:spacing w:before="320" w:after="120"/>
      <w:ind w:left="1440" w:hanging="1440"/>
    </w:pPr>
    <w:rPr>
      <w:b/>
    </w:rPr>
  </w:style>
  <w:style w:type="paragraph" w:customStyle="1" w:styleId="Cov-Address">
    <w:name w:val="Cov-Address"/>
    <w:basedOn w:val="Normal"/>
    <w:rsid w:val="008B2EAB"/>
    <w:pPr>
      <w:jc w:val="right"/>
    </w:pPr>
    <w:rPr>
      <w:sz w:val="22"/>
    </w:rPr>
  </w:style>
  <w:style w:type="paragraph" w:customStyle="1" w:styleId="Cov-Author">
    <w:name w:val="Cov-Author"/>
    <w:basedOn w:val="Normal"/>
    <w:rsid w:val="008B2EAB"/>
    <w:pPr>
      <w:jc w:val="right"/>
    </w:pPr>
    <w:rPr>
      <w:b/>
      <w:sz w:val="22"/>
    </w:rPr>
  </w:style>
  <w:style w:type="paragraph" w:customStyle="1" w:styleId="figurewbox">
    <w:name w:val="figure w/box"/>
    <w:basedOn w:val="Normal"/>
    <w:rsid w:val="00DE6578"/>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Title">
    <w:name w:val="Figure Title"/>
    <w:basedOn w:val="Normal"/>
    <w:rsid w:val="00775B13"/>
    <w:pPr>
      <w:keepNext/>
      <w:keepLines/>
      <w:spacing w:before="320" w:after="120"/>
      <w:ind w:left="1440" w:hanging="1440"/>
    </w:pPr>
    <w:rPr>
      <w:b/>
    </w:rPr>
  </w:style>
  <w:style w:type="paragraph" w:styleId="BodyText">
    <w:name w:val="Body Text"/>
    <w:basedOn w:val="Normal"/>
    <w:link w:val="BodyTextChar1"/>
    <w:rsid w:val="00D15349"/>
    <w:pPr>
      <w:spacing w:after="240" w:line="320" w:lineRule="exact"/>
    </w:pPr>
    <w:rPr>
      <w:snapToGrid w:val="0"/>
    </w:rPr>
  </w:style>
  <w:style w:type="paragraph" w:styleId="BodyText2">
    <w:name w:val="Body Text 2"/>
    <w:basedOn w:val="Normal"/>
    <w:semiHidden/>
    <w:pPr>
      <w:jc w:val="both"/>
    </w:pPr>
  </w:style>
  <w:style w:type="paragraph" w:styleId="BalloonText">
    <w:name w:val="Balloon Text"/>
    <w:basedOn w:val="Normal"/>
    <w:link w:val="BalloonTextChar"/>
    <w:semiHidden/>
    <w:rPr>
      <w:rFonts w:ascii="Tahoma" w:hAnsi="Tahoma" w:cs="Tahoma"/>
      <w:sz w:val="16"/>
      <w:szCs w:val="16"/>
    </w:rPr>
  </w:style>
  <w:style w:type="paragraph" w:customStyle="1" w:styleId="Cov-Date">
    <w:name w:val="Cov-Date"/>
    <w:basedOn w:val="Normal"/>
    <w:rsid w:val="008B2EAB"/>
    <w:pPr>
      <w:jc w:val="right"/>
    </w:pPr>
    <w:rPr>
      <w:b/>
      <w:sz w:val="28"/>
    </w:rPr>
  </w:style>
  <w:style w:type="paragraph" w:customStyle="1" w:styleId="Cov-Disclaimer">
    <w:name w:val="Cov-Disclaimer"/>
    <w:basedOn w:val="Normal"/>
    <w:rsid w:val="008B2EAB"/>
    <w:pPr>
      <w:jc w:val="right"/>
    </w:pPr>
    <w:rPr>
      <w:rFonts w:cs="Arial"/>
      <w:sz w:val="18"/>
      <w:szCs w:val="18"/>
    </w:rPr>
  </w:style>
  <w:style w:type="paragraph" w:customStyle="1" w:styleId="Cov-Subtitle">
    <w:name w:val="Cov-Subtitle"/>
    <w:basedOn w:val="Normal"/>
    <w:rsid w:val="008B2EAB"/>
    <w:pPr>
      <w:jc w:val="right"/>
    </w:pPr>
    <w:rPr>
      <w:b/>
      <w:sz w:val="36"/>
    </w:rPr>
  </w:style>
  <w:style w:type="paragraph" w:customStyle="1" w:styleId="Cov-Title">
    <w:name w:val="Cov-Title"/>
    <w:basedOn w:val="Normal"/>
    <w:rsid w:val="008B2EAB"/>
    <w:pPr>
      <w:jc w:val="right"/>
    </w:pPr>
    <w:rPr>
      <w:b/>
      <w:sz w:val="48"/>
    </w:rPr>
  </w:style>
  <w:style w:type="paragraph" w:customStyle="1" w:styleId="AppHeading1">
    <w:name w:val="App Heading 1"/>
    <w:basedOn w:val="Heading1"/>
    <w:rsid w:val="00E97BA2"/>
    <w:pPr>
      <w:numPr>
        <w:numId w:val="0"/>
      </w:numPr>
    </w:pPr>
  </w:style>
  <w:style w:type="paragraph" w:customStyle="1" w:styleId="figurewobox">
    <w:name w:val="figure w/o box"/>
    <w:basedOn w:val="Normal"/>
    <w:rsid w:val="00DE6578"/>
    <w:pPr>
      <w:keepNext/>
      <w:jc w:val="center"/>
    </w:pPr>
  </w:style>
  <w:style w:type="paragraph" w:customStyle="1" w:styleId="bullets-2ndlevel">
    <w:name w:val="bullets-2nd level"/>
    <w:basedOn w:val="Normal"/>
    <w:rsid w:val="00392D97"/>
    <w:pPr>
      <w:numPr>
        <w:ilvl w:val="1"/>
        <w:numId w:val="1"/>
      </w:numPr>
      <w:tabs>
        <w:tab w:val="clear" w:pos="1440"/>
      </w:tabs>
      <w:spacing w:after="120"/>
      <w:ind w:left="1080"/>
    </w:pPr>
  </w:style>
  <w:style w:type="paragraph" w:customStyle="1" w:styleId="bullets">
    <w:name w:val="bullets"/>
    <w:basedOn w:val="Normal"/>
    <w:rsid w:val="00D15349"/>
    <w:pPr>
      <w:numPr>
        <w:numId w:val="1"/>
      </w:numPr>
      <w:spacing w:after="120"/>
      <w:ind w:left="720"/>
    </w:pPr>
  </w:style>
  <w:style w:type="paragraph" w:customStyle="1" w:styleId="equation">
    <w:name w:val="equation"/>
    <w:basedOn w:val="Normal"/>
    <w:rsid w:val="00FD40A0"/>
    <w:pPr>
      <w:tabs>
        <w:tab w:val="center" w:pos="4680"/>
        <w:tab w:val="right" w:pos="9360"/>
      </w:tabs>
      <w:spacing w:after="160" w:line="400" w:lineRule="atLeast"/>
    </w:pPr>
    <w:rPr>
      <w:lang w:val="fr-FR"/>
    </w:rPr>
  </w:style>
  <w:style w:type="paragraph" w:styleId="Caption">
    <w:name w:val="caption"/>
    <w:basedOn w:val="Normal"/>
    <w:next w:val="Normal"/>
    <w:uiPriority w:val="35"/>
    <w:qFormat/>
    <w:rsid w:val="00D27BDB"/>
    <w:pPr>
      <w:keepNext/>
      <w:keepLines/>
      <w:spacing w:before="320" w:after="120"/>
      <w:ind w:left="1440" w:hanging="1440"/>
    </w:pPr>
    <w:rPr>
      <w:b/>
      <w:bCs/>
    </w:rPr>
  </w:style>
  <w:style w:type="paragraph" w:styleId="TOC3">
    <w:name w:val="toc 3"/>
    <w:basedOn w:val="Normal"/>
    <w:next w:val="Normal"/>
    <w:uiPriority w:val="39"/>
    <w:rsid w:val="00B17F98"/>
    <w:pPr>
      <w:tabs>
        <w:tab w:val="right" w:leader="dot" w:pos="9360"/>
      </w:tabs>
      <w:spacing w:before="80"/>
      <w:ind w:left="1800" w:right="720" w:hanging="720"/>
    </w:pPr>
    <w:rPr>
      <w:noProof/>
    </w:rPr>
  </w:style>
  <w:style w:type="paragraph" w:styleId="FootnoteText">
    <w:name w:val="footnote text"/>
    <w:basedOn w:val="Normal"/>
    <w:link w:val="FootnoteTextChar"/>
    <w:pPr>
      <w:ind w:left="270" w:hanging="270"/>
    </w:pPr>
    <w:rPr>
      <w:sz w:val="18"/>
    </w:r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abfigcaption">
    <w:name w:val="tab/fig caption"/>
    <w:basedOn w:val="Normal"/>
    <w:pPr>
      <w:keepNext/>
      <w:keepLines/>
      <w:spacing w:after="120"/>
      <w:ind w:left="-2880"/>
    </w:pPr>
    <w:rPr>
      <w:sz w:val="18"/>
    </w:rPr>
  </w:style>
  <w:style w:type="paragraph" w:customStyle="1" w:styleId="biblio">
    <w:name w:val="biblio"/>
    <w:basedOn w:val="Normal"/>
    <w:pPr>
      <w:keepLines/>
      <w:spacing w:after="240"/>
      <w:ind w:left="720" w:hanging="720"/>
    </w:pPr>
  </w:style>
  <w:style w:type="table" w:customStyle="1" w:styleId="TableFormat4">
    <w:name w:val="Table Format4"/>
    <w:basedOn w:val="TableNormal"/>
    <w:rsid w:val="00F57A62"/>
    <w:rPr>
      <w:sz w:val="18"/>
    </w:rPr>
    <w:tblPr>
      <w:tblInd w:w="101" w:type="dxa"/>
      <w:tblBorders>
        <w:top w:val="single" w:sz="12" w:space="0" w:color="auto"/>
        <w:bottom w:val="single" w:sz="12" w:space="0" w:color="auto"/>
      </w:tblBorders>
      <w:tblCellMar>
        <w:left w:w="86"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TableGrid">
    <w:name w:val="Table Grid"/>
    <w:basedOn w:val="TableNormal"/>
    <w:uiPriority w:val="39"/>
    <w:rsid w:val="00F57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Heading1">
    <w:name w:val="ES_Heading1"/>
    <w:basedOn w:val="AppHeading1"/>
    <w:qFormat/>
    <w:rsid w:val="00373093"/>
  </w:style>
  <w:style w:type="character" w:styleId="Hyperlink">
    <w:name w:val="Hyperlink"/>
    <w:uiPriority w:val="99"/>
    <w:rPr>
      <w:color w:val="0000FF"/>
      <w:u w:val="single"/>
    </w:rPr>
  </w:style>
  <w:style w:type="paragraph" w:styleId="Index6">
    <w:name w:val="index 6"/>
    <w:basedOn w:val="Normal"/>
    <w:next w:val="Normal"/>
    <w:autoRedefine/>
    <w:pPr>
      <w:ind w:left="1320" w:hanging="220"/>
    </w:pPr>
    <w:rPr>
      <w:rFonts w:ascii="Helvetica Black" w:hAnsi="Helvetica Black"/>
      <w:sz w:val="18"/>
    </w:rPr>
  </w:style>
  <w:style w:type="paragraph" w:customStyle="1" w:styleId="Year">
    <w:name w:val="Year"/>
    <w:basedOn w:val="Heading3"/>
    <w:semiHidden/>
    <w:pPr>
      <w:keepNext w:val="0"/>
      <w:spacing w:after="720"/>
      <w:ind w:firstLine="0"/>
      <w:jc w:val="right"/>
    </w:pPr>
    <w:rPr>
      <w:rFonts w:ascii="Helvetica" w:hAnsi="Helvetica"/>
      <w:b w:val="0"/>
      <w:sz w:val="28"/>
    </w:rPr>
  </w:style>
  <w:style w:type="paragraph" w:customStyle="1" w:styleId="Source2">
    <w:name w:val="Source2"/>
    <w:basedOn w:val="Source1"/>
    <w:qFormat/>
    <w:rsid w:val="00D27BDB"/>
    <w:pPr>
      <w:spacing w:after="0"/>
    </w:pPr>
  </w:style>
  <w:style w:type="paragraph" w:customStyle="1" w:styleId="Volume">
    <w:name w:val="Volume"/>
    <w:basedOn w:val="Normal"/>
    <w:semiHidden/>
    <w:pPr>
      <w:spacing w:after="240"/>
      <w:jc w:val="right"/>
    </w:pPr>
    <w:rPr>
      <w:rFonts w:ascii="Helvetica Black" w:hAnsi="Helvetica Black"/>
      <w:sz w:val="36"/>
    </w:rPr>
  </w:style>
  <w:style w:type="paragraph" w:customStyle="1" w:styleId="Source3">
    <w:name w:val="Source3"/>
    <w:basedOn w:val="Source2"/>
    <w:qFormat/>
    <w:rsid w:val="00D27BDB"/>
    <w:pPr>
      <w:spacing w:before="60"/>
    </w:p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style>
  <w:style w:type="character" w:customStyle="1" w:styleId="BodyTextChar">
    <w:name w:val="Body Text Char"/>
    <w:semiHidden/>
    <w:rPr>
      <w:rFonts w:ascii="Arial" w:hAnsi="Arial"/>
      <w:noProof w:val="0"/>
      <w:snapToGrid w:val="0"/>
      <w:sz w:val="24"/>
      <w:lang w:val="en-US" w:eastAsia="en-US" w:bidi="ar-SA"/>
    </w:rPr>
  </w:style>
  <w:style w:type="paragraph" w:styleId="TableofFigures">
    <w:name w:val="table of figures"/>
    <w:basedOn w:val="Normal"/>
    <w:next w:val="Normal"/>
    <w:rsid w:val="008F2839"/>
    <w:pPr>
      <w:tabs>
        <w:tab w:val="right" w:leader="dot" w:pos="9360"/>
      </w:tabs>
      <w:spacing w:before="60" w:after="60"/>
      <w:ind w:left="706" w:right="763" w:hanging="706"/>
    </w:pPr>
    <w:rPr>
      <w:noProof/>
      <w:szCs w:val="24"/>
    </w:rPr>
  </w:style>
  <w:style w:type="paragraph" w:customStyle="1" w:styleId="bullets-3rdlevel">
    <w:name w:val="bullets-3rd level"/>
    <w:basedOn w:val="Normal"/>
    <w:rsid w:val="00774B1F"/>
    <w:pPr>
      <w:numPr>
        <w:ilvl w:val="2"/>
        <w:numId w:val="1"/>
      </w:numPr>
      <w:tabs>
        <w:tab w:val="clear" w:pos="2340"/>
      </w:tabs>
      <w:spacing w:after="120"/>
      <w:ind w:left="1440"/>
    </w:pPr>
  </w:style>
  <w:style w:type="paragraph" w:styleId="BodyTextIndent">
    <w:name w:val="Body Text Indent"/>
    <w:basedOn w:val="Normal"/>
    <w:link w:val="BodyTextIndentChar"/>
    <w:semiHidden/>
    <w:pPr>
      <w:ind w:right="-720" w:firstLine="720"/>
      <w:jc w:val="both"/>
    </w:pPr>
  </w:style>
  <w:style w:type="paragraph" w:styleId="BodyTextIndent2">
    <w:name w:val="Body Text Indent 2"/>
    <w:basedOn w:val="Normal"/>
    <w:semiHidden/>
    <w:pPr>
      <w:ind w:firstLine="720"/>
    </w:pPr>
  </w:style>
  <w:style w:type="paragraph" w:styleId="BodyTextIndent3">
    <w:name w:val="Body Text Indent 3"/>
    <w:basedOn w:val="Normal"/>
    <w:semiHidden/>
    <w:pPr>
      <w:ind w:left="720"/>
    </w:pPr>
  </w:style>
  <w:style w:type="paragraph" w:styleId="EndnoteText">
    <w:name w:val="endnote text"/>
    <w:basedOn w:val="Normal"/>
    <w:link w:val="EndnoteTextChar"/>
    <w:uiPriority w:val="99"/>
    <w:semiHidden/>
    <w:rPr>
      <w:rFonts w:ascii="Times New Roman" w:hAnsi="Times New Roman"/>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ascii="Times New Roman" w:hAnsi="Times New Roman"/>
    </w:rPr>
  </w:style>
  <w:style w:type="paragraph" w:customStyle="1" w:styleId="TableTitlecont">
    <w:name w:val="Table Title (cont)"/>
    <w:basedOn w:val="TableTitle"/>
    <w:rsid w:val="00D15349"/>
  </w:style>
  <w:style w:type="paragraph" w:customStyle="1" w:styleId="bullets-blank">
    <w:name w:val="bullets-blank"/>
    <w:basedOn w:val="Normal"/>
    <w:rsid w:val="00A424BD"/>
    <w:pPr>
      <w:spacing w:before="120" w:after="120"/>
      <w:ind w:left="720" w:hanging="360"/>
    </w:pPr>
  </w:style>
  <w:style w:type="paragraph" w:customStyle="1" w:styleId="Default">
    <w:name w:val="Default"/>
    <w:basedOn w:val="Normal"/>
    <w:rsid w:val="00801ADC"/>
    <w:rPr>
      <w:lang w:val="en-GB"/>
    </w:rPr>
  </w:style>
  <w:style w:type="paragraph" w:customStyle="1" w:styleId="AppHeading2">
    <w:name w:val="App Heading 2"/>
    <w:basedOn w:val="Heading2"/>
    <w:rsid w:val="00414305"/>
    <w:pPr>
      <w:numPr>
        <w:ilvl w:val="0"/>
        <w:numId w:val="0"/>
      </w:numPr>
      <w:ind w:left="700" w:hanging="700"/>
      <w:outlineLvl w:val="9"/>
    </w:pPr>
  </w:style>
  <w:style w:type="paragraph" w:customStyle="1" w:styleId="AppHeading3">
    <w:name w:val="App Heading 3"/>
    <w:basedOn w:val="Heading3"/>
    <w:rsid w:val="00373093"/>
    <w:pPr>
      <w:numPr>
        <w:ilvl w:val="0"/>
        <w:numId w:val="0"/>
      </w:numPr>
      <w:ind w:left="900" w:hanging="900"/>
      <w:outlineLvl w:val="9"/>
    </w:pPr>
    <w:rPr>
      <w:snapToGrid w:val="0"/>
    </w:rPr>
  </w:style>
  <w:style w:type="paragraph" w:customStyle="1" w:styleId="TOCHeader">
    <w:name w:val="TOC Header"/>
    <w:basedOn w:val="Normal"/>
    <w:rsid w:val="00B17F98"/>
    <w:pPr>
      <w:tabs>
        <w:tab w:val="right" w:pos="9360"/>
      </w:tabs>
      <w:spacing w:after="240"/>
    </w:pPr>
    <w:rPr>
      <w:b/>
    </w:rPr>
  </w:style>
  <w:style w:type="paragraph" w:customStyle="1" w:styleId="TableBulletLM">
    <w:name w:val="Table Bullet LM"/>
    <w:basedOn w:val="ListBullet"/>
    <w:qFormat/>
    <w:rsid w:val="00F57A62"/>
    <w:pPr>
      <w:framePr w:hSpace="187" w:wrap="around" w:vAnchor="text" w:hAnchor="margin" w:y="1"/>
      <w:numPr>
        <w:numId w:val="5"/>
      </w:numPr>
      <w:spacing w:before="60" w:after="60"/>
      <w:ind w:left="288" w:hanging="288"/>
      <w:contextualSpacing w:val="0"/>
    </w:pPr>
    <w:rPr>
      <w:sz w:val="18"/>
      <w:szCs w:val="18"/>
    </w:rPr>
  </w:style>
  <w:style w:type="paragraph" w:styleId="ListBullet">
    <w:name w:val="List Bullet"/>
    <w:basedOn w:val="Normal"/>
    <w:rsid w:val="00FD44D8"/>
    <w:pPr>
      <w:numPr>
        <w:numId w:val="2"/>
      </w:numPr>
      <w:contextualSpacing/>
    </w:pPr>
  </w:style>
  <w:style w:type="paragraph" w:customStyle="1" w:styleId="TableBulletInd">
    <w:name w:val="Table Bullet Ind"/>
    <w:basedOn w:val="TableBulletLM"/>
    <w:qFormat/>
    <w:rsid w:val="00F57A62"/>
    <w:pPr>
      <w:framePr w:wrap="around"/>
      <w:numPr>
        <w:numId w:val="6"/>
      </w:numPr>
      <w:ind w:left="576" w:hanging="288"/>
    </w:pPr>
  </w:style>
  <w:style w:type="paragraph" w:customStyle="1" w:styleId="TableTextDec">
    <w:name w:val="Table Text Dec"/>
    <w:basedOn w:val="Normal"/>
    <w:qFormat/>
    <w:rsid w:val="00D27BDB"/>
    <w:pPr>
      <w:tabs>
        <w:tab w:val="decimal" w:pos="1015"/>
      </w:tabs>
      <w:spacing w:before="60" w:after="60"/>
    </w:pPr>
    <w:rPr>
      <w:sz w:val="18"/>
      <w:szCs w:val="18"/>
    </w:rPr>
  </w:style>
  <w:style w:type="paragraph" w:customStyle="1" w:styleId="TableTextIndent1">
    <w:name w:val="Table Text Indent1"/>
    <w:basedOn w:val="Normal"/>
    <w:qFormat/>
    <w:rsid w:val="00D27BDB"/>
    <w:pPr>
      <w:spacing w:before="60" w:after="60"/>
      <w:ind w:left="245"/>
    </w:pPr>
    <w:rPr>
      <w:sz w:val="18"/>
    </w:rPr>
  </w:style>
  <w:style w:type="numbering" w:customStyle="1" w:styleId="Format4">
    <w:name w:val="Format4"/>
    <w:rsid w:val="00C616E9"/>
    <w:pPr>
      <w:numPr>
        <w:numId w:val="3"/>
      </w:numPr>
    </w:pPr>
  </w:style>
  <w:style w:type="paragraph" w:customStyle="1" w:styleId="TableText">
    <w:name w:val="Table Text"/>
    <w:basedOn w:val="Normal"/>
    <w:qFormat/>
    <w:rsid w:val="00F57A62"/>
    <w:pPr>
      <w:spacing w:before="60" w:after="60"/>
    </w:pPr>
    <w:rPr>
      <w:sz w:val="18"/>
    </w:rPr>
  </w:style>
  <w:style w:type="paragraph" w:customStyle="1" w:styleId="ESHeading2">
    <w:name w:val="ES_Heading2"/>
    <w:basedOn w:val="AppHeading2"/>
    <w:qFormat/>
    <w:rsid w:val="00373093"/>
  </w:style>
  <w:style w:type="paragraph" w:customStyle="1" w:styleId="ESHeading3">
    <w:name w:val="ES_Heading3"/>
    <w:basedOn w:val="AppHeading3"/>
    <w:qFormat/>
    <w:rsid w:val="00373093"/>
  </w:style>
  <w:style w:type="paragraph" w:customStyle="1" w:styleId="Tablecont">
    <w:name w:val="Table_cont"/>
    <w:basedOn w:val="TableText"/>
    <w:qFormat/>
    <w:rsid w:val="00DE6578"/>
    <w:pPr>
      <w:spacing w:before="40" w:after="0"/>
      <w:ind w:right="-86"/>
      <w:jc w:val="right"/>
    </w:pPr>
  </w:style>
  <w:style w:type="paragraph" w:customStyle="1" w:styleId="ESHeading4">
    <w:name w:val="ES_Heading4"/>
    <w:basedOn w:val="Heading4"/>
    <w:qFormat/>
    <w:rsid w:val="00CD242E"/>
  </w:style>
  <w:style w:type="paragraph" w:customStyle="1" w:styleId="Covertext">
    <w:name w:val="Cover text"/>
    <w:basedOn w:val="Normal"/>
    <w:rsid w:val="00382287"/>
    <w:pPr>
      <w:spacing w:line="480" w:lineRule="auto"/>
    </w:pPr>
    <w:rPr>
      <w:rFonts w:ascii="Arial" w:hAnsi="Arial"/>
      <w:sz w:val="24"/>
    </w:rPr>
  </w:style>
  <w:style w:type="character" w:customStyle="1" w:styleId="BalloonTextChar">
    <w:name w:val="Balloon Text Char"/>
    <w:link w:val="BalloonText"/>
    <w:semiHidden/>
    <w:rsid w:val="00382287"/>
    <w:rPr>
      <w:rFonts w:ascii="Tahoma" w:eastAsia="MS Mincho" w:hAnsi="Tahoma" w:cs="Tahoma"/>
      <w:sz w:val="16"/>
      <w:szCs w:val="16"/>
    </w:rPr>
  </w:style>
  <w:style w:type="paragraph" w:customStyle="1" w:styleId="Coverboldheadings">
    <w:name w:val="Cover bold headings"/>
    <w:basedOn w:val="Normal"/>
    <w:rsid w:val="00382287"/>
    <w:pPr>
      <w:spacing w:line="480" w:lineRule="auto"/>
    </w:pPr>
    <w:rPr>
      <w:rFonts w:ascii="Arial" w:hAnsi="Arial" w:cs="Arial"/>
      <w:b/>
      <w:sz w:val="26"/>
    </w:rPr>
  </w:style>
  <w:style w:type="character" w:customStyle="1" w:styleId="CommentTextChar">
    <w:name w:val="Comment Text Char"/>
    <w:link w:val="CommentText"/>
    <w:uiPriority w:val="99"/>
    <w:semiHidden/>
    <w:rsid w:val="00382287"/>
    <w:rPr>
      <w:rFonts w:eastAsia="MS Mincho"/>
    </w:rPr>
  </w:style>
  <w:style w:type="paragraph" w:customStyle="1" w:styleId="Bullet1">
    <w:name w:val="Bullet 1"/>
    <w:basedOn w:val="Normal"/>
    <w:rsid w:val="00382287"/>
    <w:pPr>
      <w:numPr>
        <w:numId w:val="7"/>
      </w:numPr>
      <w:tabs>
        <w:tab w:val="clear" w:pos="1440"/>
        <w:tab w:val="num" w:pos="1080"/>
      </w:tabs>
      <w:spacing w:before="120" w:line="480" w:lineRule="auto"/>
      <w:ind w:left="1080"/>
    </w:pPr>
    <w:rPr>
      <w:rFonts w:ascii="Times New Roman" w:hAnsi="Times New Roman"/>
      <w:sz w:val="24"/>
    </w:rPr>
  </w:style>
  <w:style w:type="paragraph" w:customStyle="1" w:styleId="paragraph">
    <w:name w:val="paragraph"/>
    <w:basedOn w:val="Normal"/>
    <w:link w:val="paragraphChar"/>
    <w:qFormat/>
    <w:rsid w:val="00382287"/>
    <w:pPr>
      <w:spacing w:after="240" w:line="480" w:lineRule="auto"/>
      <w:ind w:firstLine="720"/>
    </w:pPr>
    <w:rPr>
      <w:rFonts w:ascii="Times New Roman" w:hAnsi="Times New Roman"/>
      <w:sz w:val="24"/>
    </w:rPr>
  </w:style>
  <w:style w:type="character" w:customStyle="1" w:styleId="paragraphChar">
    <w:name w:val="paragraph Char"/>
    <w:link w:val="paragraph"/>
    <w:locked/>
    <w:rsid w:val="00382287"/>
    <w:rPr>
      <w:sz w:val="24"/>
    </w:rPr>
  </w:style>
  <w:style w:type="paragraph" w:customStyle="1" w:styleId="tabfigtitle">
    <w:name w:val="tab/fig title"/>
    <w:basedOn w:val="Normal"/>
    <w:rsid w:val="00382287"/>
    <w:pPr>
      <w:spacing w:before="120" w:line="480" w:lineRule="auto"/>
    </w:pPr>
    <w:rPr>
      <w:rFonts w:ascii="Arial" w:hAnsi="Arial"/>
      <w:b/>
      <w:sz w:val="24"/>
    </w:rPr>
  </w:style>
  <w:style w:type="paragraph" w:customStyle="1" w:styleId="Tabletext0">
    <w:name w:val="Table text"/>
    <w:qFormat/>
    <w:rsid w:val="00382287"/>
    <w:pPr>
      <w:spacing w:line="480" w:lineRule="auto"/>
    </w:pPr>
    <w:rPr>
      <w:rFonts w:ascii="Arial" w:hAnsi="Arial"/>
      <w:sz w:val="22"/>
    </w:rPr>
  </w:style>
  <w:style w:type="character" w:customStyle="1" w:styleId="FooterChar">
    <w:name w:val="Footer Char"/>
    <w:link w:val="Footer"/>
    <w:uiPriority w:val="99"/>
    <w:rsid w:val="00382287"/>
    <w:rPr>
      <w:rFonts w:ascii="Verdana" w:eastAsia="MS Mincho" w:hAnsi="Verdana"/>
      <w:b/>
    </w:rPr>
  </w:style>
  <w:style w:type="character" w:customStyle="1" w:styleId="HeaderChar">
    <w:name w:val="Header Char"/>
    <w:link w:val="Header"/>
    <w:uiPriority w:val="99"/>
    <w:rsid w:val="00382287"/>
    <w:rPr>
      <w:rFonts w:ascii="Verdana" w:eastAsia="MS Mincho" w:hAnsi="Verdana"/>
      <w:i/>
      <w:sz w:val="18"/>
    </w:rPr>
  </w:style>
  <w:style w:type="paragraph" w:customStyle="1" w:styleId="Tabletextindented">
    <w:name w:val="Table text indented"/>
    <w:basedOn w:val="Tabletext0"/>
    <w:qFormat/>
    <w:rsid w:val="00382287"/>
    <w:pPr>
      <w:ind w:left="180"/>
    </w:pPr>
  </w:style>
  <w:style w:type="paragraph" w:customStyle="1" w:styleId="Bullet2">
    <w:name w:val="Bullet 2"/>
    <w:basedOn w:val="Bullet1"/>
    <w:rsid w:val="009D5AF4"/>
    <w:pPr>
      <w:numPr>
        <w:numId w:val="8"/>
      </w:numPr>
    </w:pPr>
  </w:style>
  <w:style w:type="character" w:customStyle="1" w:styleId="Heading8Char">
    <w:name w:val="Heading 8 Char"/>
    <w:basedOn w:val="DefaultParagraphFont"/>
    <w:link w:val="Heading8"/>
    <w:rsid w:val="00B41A9A"/>
    <w:rPr>
      <w:rFonts w:ascii="Arial" w:hAnsi="Arial"/>
      <w:i/>
    </w:rPr>
  </w:style>
  <w:style w:type="character" w:customStyle="1" w:styleId="Heading9Char">
    <w:name w:val="Heading 9 Char"/>
    <w:basedOn w:val="DefaultParagraphFont"/>
    <w:link w:val="Heading9"/>
    <w:rsid w:val="00B41A9A"/>
    <w:rPr>
      <w:rFonts w:ascii="Arial" w:hAnsi="Arial"/>
      <w:b/>
      <w:i/>
      <w:sz w:val="18"/>
    </w:rPr>
  </w:style>
  <w:style w:type="character" w:customStyle="1" w:styleId="Heading1Char">
    <w:name w:val="Heading 1 Char"/>
    <w:link w:val="Heading1"/>
    <w:rsid w:val="00B41A9A"/>
    <w:rPr>
      <w:b/>
      <w:caps/>
      <w:kern w:val="28"/>
      <w:sz w:val="26"/>
      <w:szCs w:val="28"/>
    </w:rPr>
  </w:style>
  <w:style w:type="character" w:customStyle="1" w:styleId="Heading2Char">
    <w:name w:val="Heading 2 Char"/>
    <w:link w:val="Heading2"/>
    <w:rsid w:val="00B41A9A"/>
    <w:rPr>
      <w:rFonts w:eastAsia="MS Mincho"/>
      <w:b/>
      <w:sz w:val="24"/>
      <w:szCs w:val="24"/>
    </w:rPr>
  </w:style>
  <w:style w:type="character" w:customStyle="1" w:styleId="EndnoteTextChar">
    <w:name w:val="Endnote Text Char"/>
    <w:link w:val="EndnoteText"/>
    <w:uiPriority w:val="99"/>
    <w:semiHidden/>
    <w:rsid w:val="00B41A9A"/>
    <w:rPr>
      <w:rFonts w:eastAsia="MS Mincho"/>
    </w:rPr>
  </w:style>
  <w:style w:type="character" w:styleId="EndnoteReference">
    <w:name w:val="endnote reference"/>
    <w:uiPriority w:val="99"/>
    <w:rsid w:val="00B41A9A"/>
    <w:rPr>
      <w:vertAlign w:val="superscript"/>
    </w:rPr>
  </w:style>
  <w:style w:type="table" w:styleId="TableSimple1">
    <w:name w:val="Table Simple 1"/>
    <w:basedOn w:val="TableNormal"/>
    <w:uiPriority w:val="99"/>
    <w:rsid w:val="00B41A9A"/>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CommentSubject">
    <w:name w:val="annotation subject"/>
    <w:basedOn w:val="CommentText"/>
    <w:next w:val="CommentText"/>
    <w:link w:val="CommentSubjectChar"/>
    <w:rsid w:val="00B41A9A"/>
    <w:pPr>
      <w:spacing w:line="240" w:lineRule="atLeast"/>
    </w:pPr>
    <w:rPr>
      <w:b/>
      <w:bCs/>
    </w:rPr>
  </w:style>
  <w:style w:type="character" w:customStyle="1" w:styleId="CommentSubjectChar">
    <w:name w:val="Comment Subject Char"/>
    <w:basedOn w:val="CommentTextChar"/>
    <w:link w:val="CommentSubject"/>
    <w:rsid w:val="00B41A9A"/>
    <w:rPr>
      <w:rFonts w:eastAsia="MS Mincho"/>
      <w:b/>
      <w:bCs/>
    </w:rPr>
  </w:style>
  <w:style w:type="table" w:styleId="TableElegant">
    <w:name w:val="Table Elegant"/>
    <w:basedOn w:val="TableNormal"/>
    <w:uiPriority w:val="99"/>
    <w:rsid w:val="00B41A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lassic1">
    <w:name w:val="Table Classic 1"/>
    <w:basedOn w:val="TableNormal"/>
    <w:uiPriority w:val="99"/>
    <w:rsid w:val="00B41A9A"/>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rfulShading-Accent1">
    <w:name w:val="Colorful Shading Accent 1"/>
    <w:basedOn w:val="TableNormal"/>
    <w:uiPriority w:val="71"/>
    <w:rsid w:val="00B41A9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NormalWeb">
    <w:name w:val="Normal (Web)"/>
    <w:basedOn w:val="Normal"/>
    <w:uiPriority w:val="99"/>
    <w:rsid w:val="00B41A9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41A9A"/>
    <w:pPr>
      <w:spacing w:line="240" w:lineRule="atLeast"/>
      <w:ind w:left="720"/>
      <w:contextualSpacing/>
    </w:pPr>
    <w:rPr>
      <w:rFonts w:ascii="Times New Roman" w:hAnsi="Times New Roman"/>
      <w:sz w:val="24"/>
    </w:rPr>
  </w:style>
  <w:style w:type="character" w:styleId="PlaceholderText">
    <w:name w:val="Placeholder Text"/>
    <w:uiPriority w:val="99"/>
    <w:semiHidden/>
    <w:rsid w:val="00B41A9A"/>
    <w:rPr>
      <w:color w:val="808080"/>
    </w:rPr>
  </w:style>
  <w:style w:type="character" w:customStyle="1" w:styleId="Heading3Char">
    <w:name w:val="Heading 3 Char"/>
    <w:link w:val="Heading3"/>
    <w:rsid w:val="00D81284"/>
    <w:rPr>
      <w:rFonts w:eastAsia="MS Mincho"/>
      <w:b/>
      <w:i/>
      <w:sz w:val="22"/>
    </w:rPr>
  </w:style>
  <w:style w:type="character" w:customStyle="1" w:styleId="Heading4Char">
    <w:name w:val="Heading 4 Char"/>
    <w:link w:val="Heading4"/>
    <w:rsid w:val="00B41A9A"/>
    <w:rPr>
      <w:rFonts w:ascii="Verdana" w:eastAsia="MS Mincho" w:hAnsi="Verdana" w:cs="Arial"/>
      <w:i/>
      <w:sz w:val="22"/>
    </w:rPr>
  </w:style>
  <w:style w:type="character" w:customStyle="1" w:styleId="Heading5Char">
    <w:name w:val="Heading 5 Char"/>
    <w:link w:val="Heading5"/>
    <w:rsid w:val="00B41A9A"/>
    <w:rPr>
      <w:rFonts w:ascii="Verdana" w:eastAsia="MS Mincho" w:hAnsi="Verdana"/>
      <w:b/>
    </w:rPr>
  </w:style>
  <w:style w:type="character" w:customStyle="1" w:styleId="Heading6Char">
    <w:name w:val="Heading 6 Char"/>
    <w:link w:val="Heading6"/>
    <w:rsid w:val="00B41A9A"/>
    <w:rPr>
      <w:rFonts w:ascii="Verdana" w:eastAsia="MS Mincho" w:hAnsi="Verdana"/>
      <w:b/>
      <w:i/>
      <w:shd w:val="solid" w:color="FFFFFF" w:fill="FFFFFF"/>
    </w:rPr>
  </w:style>
  <w:style w:type="character" w:customStyle="1" w:styleId="Heading7Char">
    <w:name w:val="Heading 7 Char"/>
    <w:link w:val="Heading7"/>
    <w:rsid w:val="00B41A9A"/>
    <w:rPr>
      <w:rFonts w:ascii="Verdana" w:eastAsia="MS Mincho" w:hAnsi="Verdana"/>
      <w:i/>
      <w:sz w:val="18"/>
    </w:rPr>
  </w:style>
  <w:style w:type="character" w:customStyle="1" w:styleId="TitleChar">
    <w:name w:val="Title Char"/>
    <w:link w:val="Title"/>
    <w:uiPriority w:val="10"/>
    <w:rsid w:val="00B41A9A"/>
    <w:rPr>
      <w:rFonts w:ascii="Cambria" w:hAnsi="Cambria"/>
      <w:spacing w:val="5"/>
      <w:sz w:val="52"/>
      <w:szCs w:val="52"/>
    </w:rPr>
  </w:style>
  <w:style w:type="paragraph" w:styleId="Title">
    <w:name w:val="Title"/>
    <w:basedOn w:val="Normal"/>
    <w:next w:val="Normal"/>
    <w:link w:val="TitleChar"/>
    <w:uiPriority w:val="10"/>
    <w:qFormat/>
    <w:rsid w:val="00B41A9A"/>
    <w:pPr>
      <w:pBdr>
        <w:bottom w:val="single" w:sz="4" w:space="1" w:color="auto"/>
      </w:pBdr>
      <w:spacing w:after="200" w:line="240" w:lineRule="atLeast"/>
      <w:contextualSpacing/>
    </w:pPr>
    <w:rPr>
      <w:rFonts w:ascii="Cambria" w:hAnsi="Cambria"/>
      <w:spacing w:val="5"/>
      <w:sz w:val="52"/>
      <w:szCs w:val="52"/>
    </w:rPr>
  </w:style>
  <w:style w:type="character" w:customStyle="1" w:styleId="SubtitleChar">
    <w:name w:val="Subtitle Char"/>
    <w:link w:val="Subtitle"/>
    <w:uiPriority w:val="11"/>
    <w:rsid w:val="00B41A9A"/>
    <w:rPr>
      <w:rFonts w:ascii="Cambria" w:hAnsi="Cambria"/>
      <w:i/>
      <w:iCs/>
      <w:spacing w:val="13"/>
      <w:sz w:val="24"/>
      <w:szCs w:val="24"/>
    </w:rPr>
  </w:style>
  <w:style w:type="paragraph" w:styleId="Subtitle">
    <w:name w:val="Subtitle"/>
    <w:basedOn w:val="Normal"/>
    <w:next w:val="Normal"/>
    <w:link w:val="SubtitleChar"/>
    <w:uiPriority w:val="11"/>
    <w:qFormat/>
    <w:rsid w:val="00B41A9A"/>
    <w:pPr>
      <w:spacing w:after="600" w:line="276" w:lineRule="auto"/>
    </w:pPr>
    <w:rPr>
      <w:rFonts w:ascii="Cambria" w:hAnsi="Cambria"/>
      <w:i/>
      <w:iCs/>
      <w:spacing w:val="13"/>
      <w:sz w:val="24"/>
      <w:szCs w:val="24"/>
    </w:rPr>
  </w:style>
  <w:style w:type="character" w:customStyle="1" w:styleId="QuoteChar">
    <w:name w:val="Quote Char"/>
    <w:link w:val="Quote"/>
    <w:uiPriority w:val="29"/>
    <w:rsid w:val="00B41A9A"/>
    <w:rPr>
      <w:rFonts w:ascii="Calibri" w:hAnsi="Calibri" w:cs="Arial"/>
      <w:i/>
      <w:iCs/>
      <w:sz w:val="22"/>
      <w:szCs w:val="22"/>
    </w:rPr>
  </w:style>
  <w:style w:type="paragraph" w:styleId="Quote">
    <w:name w:val="Quote"/>
    <w:basedOn w:val="Normal"/>
    <w:next w:val="Normal"/>
    <w:link w:val="QuoteChar"/>
    <w:uiPriority w:val="29"/>
    <w:qFormat/>
    <w:rsid w:val="00B41A9A"/>
    <w:pPr>
      <w:spacing w:before="200" w:line="276" w:lineRule="auto"/>
      <w:ind w:left="360" w:right="360"/>
    </w:pPr>
    <w:rPr>
      <w:rFonts w:ascii="Calibri" w:hAnsi="Calibri" w:cs="Arial"/>
      <w:i/>
      <w:iCs/>
      <w:sz w:val="22"/>
      <w:szCs w:val="22"/>
    </w:rPr>
  </w:style>
  <w:style w:type="character" w:customStyle="1" w:styleId="QuoteChar1">
    <w:name w:val="Quote Char1"/>
    <w:basedOn w:val="DefaultParagraphFont"/>
    <w:uiPriority w:val="29"/>
    <w:rsid w:val="00B41A9A"/>
    <w:rPr>
      <w:rFonts w:ascii="Verdana" w:eastAsia="MS Mincho" w:hAnsi="Verdana"/>
      <w:i/>
      <w:iCs/>
      <w:color w:val="000000" w:themeColor="text1"/>
    </w:rPr>
  </w:style>
  <w:style w:type="character" w:customStyle="1" w:styleId="IntenseQuoteChar">
    <w:name w:val="Intense Quote Char"/>
    <w:link w:val="IntenseQuote"/>
    <w:uiPriority w:val="30"/>
    <w:rsid w:val="00B41A9A"/>
    <w:rPr>
      <w:rFonts w:ascii="Calibri" w:hAnsi="Calibri" w:cs="Arial"/>
      <w:b/>
      <w:bCs/>
      <w:i/>
      <w:iCs/>
      <w:sz w:val="22"/>
      <w:szCs w:val="22"/>
    </w:rPr>
  </w:style>
  <w:style w:type="paragraph" w:styleId="IntenseQuote">
    <w:name w:val="Intense Quote"/>
    <w:basedOn w:val="Normal"/>
    <w:next w:val="Normal"/>
    <w:link w:val="IntenseQuoteChar"/>
    <w:uiPriority w:val="30"/>
    <w:qFormat/>
    <w:rsid w:val="00B41A9A"/>
    <w:pPr>
      <w:pBdr>
        <w:bottom w:val="single" w:sz="4" w:space="1" w:color="auto"/>
      </w:pBdr>
      <w:spacing w:before="200" w:after="280" w:line="276" w:lineRule="auto"/>
      <w:ind w:left="1008" w:right="1152"/>
      <w:jc w:val="both"/>
    </w:pPr>
    <w:rPr>
      <w:rFonts w:ascii="Calibri" w:hAnsi="Calibri" w:cs="Arial"/>
      <w:b/>
      <w:bCs/>
      <w:i/>
      <w:iCs/>
      <w:sz w:val="22"/>
      <w:szCs w:val="22"/>
    </w:rPr>
  </w:style>
  <w:style w:type="character" w:customStyle="1" w:styleId="IntenseQuoteChar1">
    <w:name w:val="Intense Quote Char1"/>
    <w:basedOn w:val="DefaultParagraphFont"/>
    <w:uiPriority w:val="30"/>
    <w:rsid w:val="00B41A9A"/>
    <w:rPr>
      <w:rFonts w:ascii="Verdana" w:eastAsia="MS Mincho" w:hAnsi="Verdana"/>
      <w:b/>
      <w:bCs/>
      <w:i/>
      <w:iCs/>
      <w:color w:val="4F81BD" w:themeColor="accent1"/>
    </w:rPr>
  </w:style>
  <w:style w:type="paragraph" w:customStyle="1" w:styleId="Reference">
    <w:name w:val="Reference"/>
    <w:basedOn w:val="Normal"/>
    <w:link w:val="ReferenceChar"/>
    <w:qFormat/>
    <w:rsid w:val="00B41A9A"/>
    <w:pPr>
      <w:spacing w:before="150" w:after="150" w:line="240" w:lineRule="atLeast"/>
      <w:ind w:left="360" w:hanging="360"/>
    </w:pPr>
    <w:rPr>
      <w:rFonts w:ascii="Times New Roman" w:hAnsi="Times New Roman"/>
      <w:sz w:val="24"/>
    </w:rPr>
  </w:style>
  <w:style w:type="character" w:customStyle="1" w:styleId="ReferenceChar">
    <w:name w:val="Reference Char"/>
    <w:link w:val="Reference"/>
    <w:rsid w:val="00B41A9A"/>
    <w:rPr>
      <w:sz w:val="24"/>
    </w:rPr>
  </w:style>
  <w:style w:type="paragraph" w:styleId="Revision">
    <w:name w:val="Revision"/>
    <w:hidden/>
    <w:uiPriority w:val="99"/>
    <w:semiHidden/>
    <w:rsid w:val="00B41A9A"/>
    <w:rPr>
      <w:rFonts w:ascii="Calibri" w:hAnsi="Calibri"/>
      <w:sz w:val="24"/>
      <w:szCs w:val="24"/>
    </w:rPr>
  </w:style>
  <w:style w:type="paragraph" w:customStyle="1" w:styleId="CoverTitle">
    <w:name w:val="Cover Title"/>
    <w:basedOn w:val="Normal"/>
    <w:rsid w:val="00B41A9A"/>
    <w:pPr>
      <w:spacing w:line="480" w:lineRule="auto"/>
    </w:pPr>
    <w:rPr>
      <w:rFonts w:ascii="Arial Black" w:hAnsi="Arial Black"/>
      <w:sz w:val="32"/>
    </w:rPr>
  </w:style>
  <w:style w:type="paragraph" w:styleId="DocumentMap">
    <w:name w:val="Document Map"/>
    <w:basedOn w:val="Normal"/>
    <w:link w:val="DocumentMapChar"/>
    <w:rsid w:val="00B41A9A"/>
    <w:pPr>
      <w:shd w:val="clear" w:color="auto" w:fill="000080"/>
      <w:spacing w:line="240" w:lineRule="atLeast"/>
    </w:pPr>
    <w:rPr>
      <w:rFonts w:ascii="Tahoma" w:hAnsi="Tahoma" w:cs="Tahoma"/>
    </w:rPr>
  </w:style>
  <w:style w:type="character" w:customStyle="1" w:styleId="DocumentMapChar">
    <w:name w:val="Document Map Char"/>
    <w:basedOn w:val="DefaultParagraphFont"/>
    <w:link w:val="DocumentMap"/>
    <w:rsid w:val="00B41A9A"/>
    <w:rPr>
      <w:rFonts w:ascii="Tahoma" w:hAnsi="Tahoma" w:cs="Tahoma"/>
      <w:shd w:val="clear" w:color="auto" w:fill="000080"/>
    </w:rPr>
  </w:style>
  <w:style w:type="character" w:styleId="Emphasis">
    <w:name w:val="Emphasis"/>
    <w:uiPriority w:val="20"/>
    <w:qFormat/>
    <w:rsid w:val="00B41A9A"/>
    <w:rPr>
      <w:i/>
      <w:iCs/>
    </w:rPr>
  </w:style>
  <w:style w:type="character" w:styleId="FollowedHyperlink">
    <w:name w:val="FollowedHyperlink"/>
    <w:rsid w:val="00B41A9A"/>
    <w:rPr>
      <w:color w:val="800080"/>
      <w:u w:val="single"/>
    </w:rPr>
  </w:style>
  <w:style w:type="character" w:customStyle="1" w:styleId="FootnoteTextChar">
    <w:name w:val="Footnote Text Char"/>
    <w:link w:val="FootnoteText"/>
    <w:rsid w:val="00B41A9A"/>
    <w:rPr>
      <w:rFonts w:ascii="Verdana" w:eastAsia="MS Mincho" w:hAnsi="Verdana"/>
      <w:sz w:val="18"/>
    </w:rPr>
  </w:style>
  <w:style w:type="paragraph" w:customStyle="1" w:styleId="InsertFigure">
    <w:name w:val="Insert Figure"/>
    <w:basedOn w:val="Normal"/>
    <w:qFormat/>
    <w:rsid w:val="00B41A9A"/>
    <w:pPr>
      <w:spacing w:before="120" w:after="120" w:line="320" w:lineRule="atLeast"/>
    </w:pPr>
    <w:rPr>
      <w:rFonts w:ascii="Arial" w:hAnsi="Arial"/>
      <w:sz w:val="22"/>
    </w:rPr>
  </w:style>
  <w:style w:type="paragraph" w:customStyle="1" w:styleId="reference0">
    <w:name w:val="reference"/>
    <w:basedOn w:val="paragraph"/>
    <w:qFormat/>
    <w:rsid w:val="00B41A9A"/>
    <w:pPr>
      <w:ind w:left="720" w:hanging="720"/>
    </w:pPr>
  </w:style>
  <w:style w:type="character" w:styleId="Strong">
    <w:name w:val="Strong"/>
    <w:uiPriority w:val="22"/>
    <w:qFormat/>
    <w:rsid w:val="00B41A9A"/>
    <w:rPr>
      <w:b/>
      <w:bCs/>
    </w:rPr>
  </w:style>
  <w:style w:type="paragraph" w:customStyle="1" w:styleId="Tablebullet1">
    <w:name w:val="Table bullet 1"/>
    <w:rsid w:val="00B41A9A"/>
    <w:pPr>
      <w:numPr>
        <w:numId w:val="9"/>
      </w:numPr>
      <w:spacing w:before="40" w:after="20" w:line="240" w:lineRule="atLeast"/>
    </w:pPr>
    <w:rPr>
      <w:rFonts w:ascii="Arial" w:hAnsi="Arial"/>
      <w:sz w:val="22"/>
    </w:rPr>
  </w:style>
  <w:style w:type="paragraph" w:styleId="Date">
    <w:name w:val="Date"/>
    <w:basedOn w:val="Normal"/>
    <w:next w:val="Normal"/>
    <w:link w:val="DateChar"/>
    <w:rsid w:val="00B41A9A"/>
    <w:pPr>
      <w:spacing w:before="480" w:line="240" w:lineRule="atLeast"/>
    </w:pPr>
    <w:rPr>
      <w:rFonts w:ascii="Arial" w:hAnsi="Arial" w:cs="Arial"/>
      <w:b/>
      <w:sz w:val="32"/>
    </w:rPr>
  </w:style>
  <w:style w:type="character" w:customStyle="1" w:styleId="DateChar">
    <w:name w:val="Date Char"/>
    <w:basedOn w:val="DefaultParagraphFont"/>
    <w:link w:val="Date"/>
    <w:rsid w:val="00B41A9A"/>
    <w:rPr>
      <w:rFonts w:ascii="Arial" w:hAnsi="Arial" w:cs="Arial"/>
      <w:b/>
      <w:sz w:val="32"/>
    </w:rPr>
  </w:style>
  <w:style w:type="paragraph" w:customStyle="1" w:styleId="CoverSubtitle">
    <w:name w:val="Cover Subtitle"/>
    <w:basedOn w:val="Normal"/>
    <w:rsid w:val="00B41A9A"/>
    <w:pPr>
      <w:pBdr>
        <w:bottom w:val="single" w:sz="12" w:space="1" w:color="2760A6"/>
      </w:pBdr>
      <w:spacing w:before="480" w:line="240" w:lineRule="atLeast"/>
    </w:pPr>
    <w:rPr>
      <w:rFonts w:ascii="Arial" w:hAnsi="Arial"/>
      <w:noProof/>
      <w:sz w:val="32"/>
    </w:rPr>
  </w:style>
  <w:style w:type="paragraph" w:styleId="Bibliography">
    <w:name w:val="Bibliography"/>
    <w:basedOn w:val="Normal"/>
    <w:next w:val="Normal"/>
    <w:uiPriority w:val="37"/>
    <w:semiHidden/>
    <w:unhideWhenUsed/>
    <w:rsid w:val="00E374BD"/>
  </w:style>
  <w:style w:type="paragraph" w:styleId="BlockText">
    <w:name w:val="Block Text"/>
    <w:basedOn w:val="Normal"/>
    <w:rsid w:val="00E374B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E374BD"/>
    <w:pPr>
      <w:spacing w:after="120"/>
    </w:pPr>
    <w:rPr>
      <w:sz w:val="16"/>
      <w:szCs w:val="16"/>
    </w:rPr>
  </w:style>
  <w:style w:type="character" w:customStyle="1" w:styleId="BodyText3Char">
    <w:name w:val="Body Text 3 Char"/>
    <w:basedOn w:val="DefaultParagraphFont"/>
    <w:link w:val="BodyText3"/>
    <w:rsid w:val="00E374BD"/>
    <w:rPr>
      <w:sz w:val="16"/>
      <w:szCs w:val="16"/>
    </w:rPr>
  </w:style>
  <w:style w:type="paragraph" w:styleId="BodyTextFirstIndent">
    <w:name w:val="Body Text First Indent"/>
    <w:basedOn w:val="BodyText"/>
    <w:link w:val="BodyTextFirstIndentChar"/>
    <w:rsid w:val="00E374BD"/>
    <w:pPr>
      <w:spacing w:after="0" w:line="240" w:lineRule="auto"/>
      <w:ind w:firstLine="360"/>
    </w:pPr>
    <w:rPr>
      <w:snapToGrid/>
    </w:rPr>
  </w:style>
  <w:style w:type="character" w:customStyle="1" w:styleId="BodyTextChar1">
    <w:name w:val="Body Text Char1"/>
    <w:basedOn w:val="DefaultParagraphFont"/>
    <w:link w:val="BodyText"/>
    <w:rsid w:val="00D15349"/>
    <w:rPr>
      <w:snapToGrid w:val="0"/>
    </w:rPr>
  </w:style>
  <w:style w:type="character" w:customStyle="1" w:styleId="BodyTextFirstIndentChar">
    <w:name w:val="Body Text First Indent Char"/>
    <w:basedOn w:val="BodyTextChar1"/>
    <w:link w:val="BodyTextFirstIndent"/>
    <w:rsid w:val="00E374BD"/>
    <w:rPr>
      <w:snapToGrid/>
      <w:color w:val="00B050"/>
    </w:rPr>
  </w:style>
  <w:style w:type="paragraph" w:styleId="BodyTextFirstIndent2">
    <w:name w:val="Body Text First Indent 2"/>
    <w:basedOn w:val="BodyTextIndent"/>
    <w:link w:val="BodyTextFirstIndent2Char"/>
    <w:rsid w:val="00E374BD"/>
    <w:pPr>
      <w:ind w:left="360" w:right="0" w:firstLine="360"/>
      <w:jc w:val="left"/>
    </w:pPr>
  </w:style>
  <w:style w:type="character" w:customStyle="1" w:styleId="BodyTextIndentChar">
    <w:name w:val="Body Text Indent Char"/>
    <w:basedOn w:val="DefaultParagraphFont"/>
    <w:link w:val="BodyTextIndent"/>
    <w:semiHidden/>
    <w:rsid w:val="00E374BD"/>
  </w:style>
  <w:style w:type="character" w:customStyle="1" w:styleId="BodyTextFirstIndent2Char">
    <w:name w:val="Body Text First Indent 2 Char"/>
    <w:basedOn w:val="BodyTextIndentChar"/>
    <w:link w:val="BodyTextFirstIndent2"/>
    <w:rsid w:val="00E374BD"/>
  </w:style>
  <w:style w:type="paragraph" w:styleId="Closing">
    <w:name w:val="Closing"/>
    <w:basedOn w:val="Normal"/>
    <w:link w:val="ClosingChar"/>
    <w:rsid w:val="00E374BD"/>
    <w:pPr>
      <w:ind w:left="4320"/>
    </w:pPr>
  </w:style>
  <w:style w:type="character" w:customStyle="1" w:styleId="ClosingChar">
    <w:name w:val="Closing Char"/>
    <w:basedOn w:val="DefaultParagraphFont"/>
    <w:link w:val="Closing"/>
    <w:rsid w:val="00E374BD"/>
  </w:style>
  <w:style w:type="paragraph" w:styleId="E-mailSignature">
    <w:name w:val="E-mail Signature"/>
    <w:basedOn w:val="Normal"/>
    <w:link w:val="E-mailSignatureChar"/>
    <w:rsid w:val="00E374BD"/>
  </w:style>
  <w:style w:type="character" w:customStyle="1" w:styleId="E-mailSignatureChar">
    <w:name w:val="E-mail Signature Char"/>
    <w:basedOn w:val="DefaultParagraphFont"/>
    <w:link w:val="E-mailSignature"/>
    <w:rsid w:val="00E374BD"/>
  </w:style>
  <w:style w:type="paragraph" w:styleId="EnvelopeAddress">
    <w:name w:val="envelope address"/>
    <w:basedOn w:val="Normal"/>
    <w:rsid w:val="00E374B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374BD"/>
    <w:rPr>
      <w:rFonts w:asciiTheme="majorHAnsi" w:eastAsiaTheme="majorEastAsia" w:hAnsiTheme="majorHAnsi" w:cstheme="majorBidi"/>
    </w:rPr>
  </w:style>
  <w:style w:type="paragraph" w:styleId="HTMLAddress">
    <w:name w:val="HTML Address"/>
    <w:basedOn w:val="Normal"/>
    <w:link w:val="HTMLAddressChar"/>
    <w:rsid w:val="00E374BD"/>
    <w:rPr>
      <w:i/>
      <w:iCs/>
    </w:rPr>
  </w:style>
  <w:style w:type="character" w:customStyle="1" w:styleId="HTMLAddressChar">
    <w:name w:val="HTML Address Char"/>
    <w:basedOn w:val="DefaultParagraphFont"/>
    <w:link w:val="HTMLAddress"/>
    <w:rsid w:val="00E374BD"/>
    <w:rPr>
      <w:i/>
      <w:iCs/>
    </w:rPr>
  </w:style>
  <w:style w:type="paragraph" w:styleId="HTMLPreformatted">
    <w:name w:val="HTML Preformatted"/>
    <w:basedOn w:val="Normal"/>
    <w:link w:val="HTMLPreformattedChar"/>
    <w:rsid w:val="00E374BD"/>
    <w:rPr>
      <w:rFonts w:ascii="Consolas" w:hAnsi="Consolas"/>
    </w:rPr>
  </w:style>
  <w:style w:type="character" w:customStyle="1" w:styleId="HTMLPreformattedChar">
    <w:name w:val="HTML Preformatted Char"/>
    <w:basedOn w:val="DefaultParagraphFont"/>
    <w:link w:val="HTMLPreformatted"/>
    <w:rsid w:val="00E374BD"/>
    <w:rPr>
      <w:rFonts w:ascii="Consolas" w:hAnsi="Consolas"/>
    </w:rPr>
  </w:style>
  <w:style w:type="paragraph" w:styleId="List">
    <w:name w:val="List"/>
    <w:basedOn w:val="Normal"/>
    <w:rsid w:val="00E374BD"/>
    <w:pPr>
      <w:ind w:left="360" w:hanging="360"/>
      <w:contextualSpacing/>
    </w:pPr>
  </w:style>
  <w:style w:type="paragraph" w:styleId="List2">
    <w:name w:val="List 2"/>
    <w:basedOn w:val="Normal"/>
    <w:rsid w:val="00E374BD"/>
    <w:pPr>
      <w:ind w:left="720" w:hanging="360"/>
      <w:contextualSpacing/>
    </w:pPr>
  </w:style>
  <w:style w:type="paragraph" w:styleId="List3">
    <w:name w:val="List 3"/>
    <w:basedOn w:val="Normal"/>
    <w:rsid w:val="00E374BD"/>
    <w:pPr>
      <w:ind w:left="1080" w:hanging="360"/>
      <w:contextualSpacing/>
    </w:pPr>
  </w:style>
  <w:style w:type="paragraph" w:styleId="List4">
    <w:name w:val="List 4"/>
    <w:basedOn w:val="Normal"/>
    <w:rsid w:val="00E374BD"/>
    <w:pPr>
      <w:ind w:left="1440" w:hanging="360"/>
      <w:contextualSpacing/>
    </w:pPr>
  </w:style>
  <w:style w:type="paragraph" w:styleId="List5">
    <w:name w:val="List 5"/>
    <w:basedOn w:val="Normal"/>
    <w:rsid w:val="00E374BD"/>
    <w:pPr>
      <w:ind w:left="1800" w:hanging="360"/>
      <w:contextualSpacing/>
    </w:pPr>
  </w:style>
  <w:style w:type="paragraph" w:styleId="ListBullet2">
    <w:name w:val="List Bullet 2"/>
    <w:basedOn w:val="Normal"/>
    <w:rsid w:val="00E374BD"/>
    <w:pPr>
      <w:numPr>
        <w:numId w:val="11"/>
      </w:numPr>
      <w:contextualSpacing/>
    </w:pPr>
  </w:style>
  <w:style w:type="paragraph" w:styleId="ListBullet3">
    <w:name w:val="List Bullet 3"/>
    <w:basedOn w:val="Normal"/>
    <w:rsid w:val="00E374BD"/>
    <w:pPr>
      <w:numPr>
        <w:numId w:val="12"/>
      </w:numPr>
      <w:contextualSpacing/>
    </w:pPr>
  </w:style>
  <w:style w:type="paragraph" w:styleId="ListBullet4">
    <w:name w:val="List Bullet 4"/>
    <w:basedOn w:val="Normal"/>
    <w:rsid w:val="00E374BD"/>
    <w:pPr>
      <w:numPr>
        <w:numId w:val="13"/>
      </w:numPr>
      <w:contextualSpacing/>
    </w:pPr>
  </w:style>
  <w:style w:type="paragraph" w:styleId="ListBullet5">
    <w:name w:val="List Bullet 5"/>
    <w:basedOn w:val="Normal"/>
    <w:rsid w:val="00E374BD"/>
    <w:pPr>
      <w:numPr>
        <w:numId w:val="14"/>
      </w:numPr>
      <w:contextualSpacing/>
    </w:pPr>
  </w:style>
  <w:style w:type="paragraph" w:styleId="ListContinue">
    <w:name w:val="List Continue"/>
    <w:basedOn w:val="Normal"/>
    <w:rsid w:val="00E374BD"/>
    <w:pPr>
      <w:spacing w:after="120"/>
      <w:ind w:left="360"/>
      <w:contextualSpacing/>
    </w:pPr>
  </w:style>
  <w:style w:type="paragraph" w:styleId="ListContinue2">
    <w:name w:val="List Continue 2"/>
    <w:basedOn w:val="Normal"/>
    <w:rsid w:val="00E374BD"/>
    <w:pPr>
      <w:spacing w:after="120"/>
      <w:ind w:left="720"/>
      <w:contextualSpacing/>
    </w:pPr>
  </w:style>
  <w:style w:type="paragraph" w:styleId="ListContinue3">
    <w:name w:val="List Continue 3"/>
    <w:basedOn w:val="Normal"/>
    <w:rsid w:val="00E374BD"/>
    <w:pPr>
      <w:spacing w:after="120"/>
      <w:ind w:left="1080"/>
      <w:contextualSpacing/>
    </w:pPr>
  </w:style>
  <w:style w:type="paragraph" w:styleId="ListContinue4">
    <w:name w:val="List Continue 4"/>
    <w:basedOn w:val="Normal"/>
    <w:rsid w:val="00E374BD"/>
    <w:pPr>
      <w:spacing w:after="120"/>
      <w:ind w:left="1440"/>
      <w:contextualSpacing/>
    </w:pPr>
  </w:style>
  <w:style w:type="paragraph" w:styleId="ListContinue5">
    <w:name w:val="List Continue 5"/>
    <w:basedOn w:val="Normal"/>
    <w:rsid w:val="00E374BD"/>
    <w:pPr>
      <w:spacing w:after="120"/>
      <w:ind w:left="1800"/>
      <w:contextualSpacing/>
    </w:pPr>
  </w:style>
  <w:style w:type="paragraph" w:styleId="ListNumber">
    <w:name w:val="List Number"/>
    <w:basedOn w:val="Normal"/>
    <w:rsid w:val="00E374BD"/>
    <w:pPr>
      <w:numPr>
        <w:numId w:val="15"/>
      </w:numPr>
      <w:contextualSpacing/>
    </w:pPr>
  </w:style>
  <w:style w:type="paragraph" w:styleId="ListNumber2">
    <w:name w:val="List Number 2"/>
    <w:basedOn w:val="Normal"/>
    <w:rsid w:val="00E374BD"/>
    <w:pPr>
      <w:numPr>
        <w:numId w:val="16"/>
      </w:numPr>
      <w:contextualSpacing/>
    </w:pPr>
  </w:style>
  <w:style w:type="paragraph" w:styleId="ListNumber3">
    <w:name w:val="List Number 3"/>
    <w:basedOn w:val="Normal"/>
    <w:rsid w:val="00E374BD"/>
    <w:pPr>
      <w:numPr>
        <w:numId w:val="17"/>
      </w:numPr>
      <w:contextualSpacing/>
    </w:pPr>
  </w:style>
  <w:style w:type="paragraph" w:styleId="ListNumber4">
    <w:name w:val="List Number 4"/>
    <w:basedOn w:val="Normal"/>
    <w:rsid w:val="00E374BD"/>
    <w:pPr>
      <w:numPr>
        <w:numId w:val="18"/>
      </w:numPr>
      <w:contextualSpacing/>
    </w:pPr>
  </w:style>
  <w:style w:type="paragraph" w:styleId="ListNumber5">
    <w:name w:val="List Number 5"/>
    <w:basedOn w:val="Normal"/>
    <w:rsid w:val="00E374BD"/>
    <w:pPr>
      <w:numPr>
        <w:numId w:val="19"/>
      </w:numPr>
      <w:contextualSpacing/>
    </w:pPr>
  </w:style>
  <w:style w:type="paragraph" w:styleId="MacroText">
    <w:name w:val="macro"/>
    <w:link w:val="MacroTextChar"/>
    <w:rsid w:val="00E374B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E374BD"/>
    <w:rPr>
      <w:rFonts w:ascii="Consolas" w:hAnsi="Consolas"/>
    </w:rPr>
  </w:style>
  <w:style w:type="paragraph" w:styleId="MessageHeader">
    <w:name w:val="Message Header"/>
    <w:basedOn w:val="Normal"/>
    <w:link w:val="MessageHeaderChar"/>
    <w:rsid w:val="00E374B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374BD"/>
    <w:rPr>
      <w:rFonts w:asciiTheme="majorHAnsi" w:eastAsiaTheme="majorEastAsia" w:hAnsiTheme="majorHAnsi" w:cstheme="majorBidi"/>
      <w:sz w:val="24"/>
      <w:szCs w:val="24"/>
      <w:shd w:val="pct20" w:color="auto" w:fill="auto"/>
    </w:rPr>
  </w:style>
  <w:style w:type="paragraph" w:styleId="NoSpacing">
    <w:name w:val="No Spacing"/>
    <w:uiPriority w:val="1"/>
    <w:qFormat/>
    <w:rsid w:val="00E374BD"/>
  </w:style>
  <w:style w:type="paragraph" w:styleId="NormalIndent">
    <w:name w:val="Normal Indent"/>
    <w:basedOn w:val="Normal"/>
    <w:rsid w:val="00E374BD"/>
    <w:pPr>
      <w:ind w:left="720"/>
    </w:pPr>
  </w:style>
  <w:style w:type="paragraph" w:styleId="NoteHeading">
    <w:name w:val="Note Heading"/>
    <w:basedOn w:val="Normal"/>
    <w:next w:val="Normal"/>
    <w:link w:val="NoteHeadingChar"/>
    <w:rsid w:val="00E374BD"/>
  </w:style>
  <w:style w:type="character" w:customStyle="1" w:styleId="NoteHeadingChar">
    <w:name w:val="Note Heading Char"/>
    <w:basedOn w:val="DefaultParagraphFont"/>
    <w:link w:val="NoteHeading"/>
    <w:rsid w:val="00E374BD"/>
  </w:style>
  <w:style w:type="paragraph" w:styleId="PlainText">
    <w:name w:val="Plain Text"/>
    <w:basedOn w:val="Normal"/>
    <w:link w:val="PlainTextChar"/>
    <w:rsid w:val="00E374BD"/>
    <w:rPr>
      <w:rFonts w:ascii="Consolas" w:hAnsi="Consolas"/>
      <w:sz w:val="21"/>
      <w:szCs w:val="21"/>
    </w:rPr>
  </w:style>
  <w:style w:type="character" w:customStyle="1" w:styleId="PlainTextChar">
    <w:name w:val="Plain Text Char"/>
    <w:basedOn w:val="DefaultParagraphFont"/>
    <w:link w:val="PlainText"/>
    <w:rsid w:val="00E374BD"/>
    <w:rPr>
      <w:rFonts w:ascii="Consolas" w:hAnsi="Consolas"/>
      <w:sz w:val="21"/>
      <w:szCs w:val="21"/>
    </w:rPr>
  </w:style>
  <w:style w:type="paragraph" w:styleId="Salutation">
    <w:name w:val="Salutation"/>
    <w:basedOn w:val="Normal"/>
    <w:next w:val="Normal"/>
    <w:link w:val="SalutationChar"/>
    <w:rsid w:val="00E374BD"/>
  </w:style>
  <w:style w:type="character" w:customStyle="1" w:styleId="SalutationChar">
    <w:name w:val="Salutation Char"/>
    <w:basedOn w:val="DefaultParagraphFont"/>
    <w:link w:val="Salutation"/>
    <w:rsid w:val="00E374BD"/>
  </w:style>
  <w:style w:type="paragraph" w:styleId="Signature">
    <w:name w:val="Signature"/>
    <w:basedOn w:val="Normal"/>
    <w:link w:val="SignatureChar"/>
    <w:rsid w:val="00E374BD"/>
    <w:pPr>
      <w:ind w:left="4320"/>
    </w:pPr>
  </w:style>
  <w:style w:type="character" w:customStyle="1" w:styleId="SignatureChar">
    <w:name w:val="Signature Char"/>
    <w:basedOn w:val="DefaultParagraphFont"/>
    <w:link w:val="Signature"/>
    <w:rsid w:val="00E374BD"/>
  </w:style>
  <w:style w:type="paragraph" w:styleId="TableofAuthorities">
    <w:name w:val="table of authorities"/>
    <w:basedOn w:val="Normal"/>
    <w:next w:val="Normal"/>
    <w:rsid w:val="00E374BD"/>
    <w:pPr>
      <w:ind w:left="200" w:hanging="200"/>
    </w:pPr>
  </w:style>
  <w:style w:type="paragraph" w:styleId="TOAHeading">
    <w:name w:val="toa heading"/>
    <w:basedOn w:val="Normal"/>
    <w:next w:val="Normal"/>
    <w:rsid w:val="00E374B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374BD"/>
    <w:pPr>
      <w:spacing w:after="100"/>
      <w:ind w:left="600"/>
    </w:pPr>
  </w:style>
  <w:style w:type="paragraph" w:styleId="TOCHeading">
    <w:name w:val="TOC Heading"/>
    <w:basedOn w:val="Heading1"/>
    <w:next w:val="Normal"/>
    <w:uiPriority w:val="39"/>
    <w:semiHidden/>
    <w:unhideWhenUsed/>
    <w:qFormat/>
    <w:rsid w:val="00E374BD"/>
    <w:pPr>
      <w:keepLines/>
      <w:numPr>
        <w:numId w:val="0"/>
      </w:numPr>
      <w:spacing w:before="480" w:after="0"/>
      <w:jc w:val="left"/>
      <w:outlineLvl w:val="9"/>
    </w:pPr>
    <w:rPr>
      <w:rFonts w:asciiTheme="majorHAnsi" w:eastAsiaTheme="majorEastAsia" w:hAnsiTheme="majorHAnsi" w:cstheme="majorBidi"/>
      <w:bCs/>
      <w:caps w:val="0"/>
      <w:color w:val="365F91" w:themeColor="accent1" w:themeShade="BF"/>
      <w:kern w:val="0"/>
      <w:sz w:val="28"/>
    </w:rPr>
  </w:style>
  <w:style w:type="paragraph" w:customStyle="1" w:styleId="BodyText1">
    <w:name w:val="Body Text1"/>
    <w:basedOn w:val="Normal"/>
    <w:rsid w:val="00593E0D"/>
    <w:pPr>
      <w:spacing w:before="120" w:after="120"/>
      <w:ind w:firstLine="720"/>
    </w:pPr>
    <w:rPr>
      <w:rFonts w:ascii="Times New Roman" w:eastAsiaTheme="minorHAnsi" w:hAnsi="Times New Roman"/>
      <w:sz w:val="24"/>
      <w:szCs w:val="24"/>
    </w:rPr>
  </w:style>
  <w:style w:type="character" w:customStyle="1" w:styleId="Mention1">
    <w:name w:val="Mention1"/>
    <w:basedOn w:val="DefaultParagraphFont"/>
    <w:uiPriority w:val="99"/>
    <w:semiHidden/>
    <w:unhideWhenUsed/>
    <w:rsid w:val="004E69B9"/>
    <w:rPr>
      <w:color w:val="2B579A"/>
      <w:shd w:val="clear" w:color="auto" w:fill="E6E6E6"/>
    </w:rPr>
  </w:style>
  <w:style w:type="paragraph" w:customStyle="1" w:styleId="EndNoteBibliography">
    <w:name w:val="EndNote Bibliography"/>
    <w:basedOn w:val="Normal"/>
    <w:link w:val="EndNoteBibliographyChar"/>
    <w:rsid w:val="006E2CD0"/>
    <w:pPr>
      <w:spacing w:after="200"/>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6E2CD0"/>
    <w:rPr>
      <w:rFonts w:ascii="Calibri" w:eastAsiaTheme="minorHAnsi" w:hAnsi="Calibri" w:cstheme="minorBidi"/>
      <w:noProof/>
      <w:sz w:val="22"/>
      <w:szCs w:val="22"/>
    </w:rPr>
  </w:style>
  <w:style w:type="table" w:customStyle="1" w:styleId="TableGrid1">
    <w:name w:val="Table Grid1"/>
    <w:basedOn w:val="TableNormal"/>
    <w:next w:val="TableGrid"/>
    <w:uiPriority w:val="59"/>
    <w:rsid w:val="00F821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4">
    <w:name w:val="Source4"/>
    <w:basedOn w:val="Source3"/>
    <w:qFormat/>
    <w:rsid w:val="0016571A"/>
    <w:pPr>
      <w:spacing w:after="400"/>
    </w:pPr>
  </w:style>
  <w:style w:type="character" w:customStyle="1" w:styleId="Mention2">
    <w:name w:val="Mention2"/>
    <w:basedOn w:val="DefaultParagraphFont"/>
    <w:uiPriority w:val="99"/>
    <w:semiHidden/>
    <w:unhideWhenUsed/>
    <w:rsid w:val="00D15349"/>
    <w:rPr>
      <w:color w:val="2B579A"/>
      <w:shd w:val="clear" w:color="auto" w:fill="E6E6E6"/>
    </w:rPr>
  </w:style>
  <w:style w:type="character" w:customStyle="1" w:styleId="UnresolvedMention">
    <w:name w:val="Unresolved Mention"/>
    <w:basedOn w:val="DefaultParagraphFont"/>
    <w:uiPriority w:val="99"/>
    <w:semiHidden/>
    <w:unhideWhenUsed/>
    <w:rsid w:val="007F77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391">
      <w:bodyDiv w:val="1"/>
      <w:marLeft w:val="0"/>
      <w:marRight w:val="0"/>
      <w:marTop w:val="0"/>
      <w:marBottom w:val="0"/>
      <w:divBdr>
        <w:top w:val="none" w:sz="0" w:space="0" w:color="auto"/>
        <w:left w:val="none" w:sz="0" w:space="0" w:color="auto"/>
        <w:bottom w:val="none" w:sz="0" w:space="0" w:color="auto"/>
        <w:right w:val="none" w:sz="0" w:space="0" w:color="auto"/>
      </w:divBdr>
    </w:div>
    <w:div w:id="110714468">
      <w:bodyDiv w:val="1"/>
      <w:marLeft w:val="0"/>
      <w:marRight w:val="0"/>
      <w:marTop w:val="0"/>
      <w:marBottom w:val="0"/>
      <w:divBdr>
        <w:top w:val="none" w:sz="0" w:space="0" w:color="auto"/>
        <w:left w:val="none" w:sz="0" w:space="0" w:color="auto"/>
        <w:bottom w:val="none" w:sz="0" w:space="0" w:color="auto"/>
        <w:right w:val="none" w:sz="0" w:space="0" w:color="auto"/>
      </w:divBdr>
    </w:div>
    <w:div w:id="140118301">
      <w:bodyDiv w:val="1"/>
      <w:marLeft w:val="0"/>
      <w:marRight w:val="0"/>
      <w:marTop w:val="0"/>
      <w:marBottom w:val="0"/>
      <w:divBdr>
        <w:top w:val="none" w:sz="0" w:space="0" w:color="auto"/>
        <w:left w:val="none" w:sz="0" w:space="0" w:color="auto"/>
        <w:bottom w:val="none" w:sz="0" w:space="0" w:color="auto"/>
        <w:right w:val="none" w:sz="0" w:space="0" w:color="auto"/>
      </w:divBdr>
    </w:div>
    <w:div w:id="277375902">
      <w:bodyDiv w:val="1"/>
      <w:marLeft w:val="0"/>
      <w:marRight w:val="0"/>
      <w:marTop w:val="0"/>
      <w:marBottom w:val="0"/>
      <w:divBdr>
        <w:top w:val="none" w:sz="0" w:space="0" w:color="auto"/>
        <w:left w:val="none" w:sz="0" w:space="0" w:color="auto"/>
        <w:bottom w:val="none" w:sz="0" w:space="0" w:color="auto"/>
        <w:right w:val="none" w:sz="0" w:space="0" w:color="auto"/>
      </w:divBdr>
    </w:div>
    <w:div w:id="315964291">
      <w:bodyDiv w:val="1"/>
      <w:marLeft w:val="0"/>
      <w:marRight w:val="0"/>
      <w:marTop w:val="0"/>
      <w:marBottom w:val="0"/>
      <w:divBdr>
        <w:top w:val="none" w:sz="0" w:space="0" w:color="auto"/>
        <w:left w:val="none" w:sz="0" w:space="0" w:color="auto"/>
        <w:bottom w:val="none" w:sz="0" w:space="0" w:color="auto"/>
        <w:right w:val="none" w:sz="0" w:space="0" w:color="auto"/>
      </w:divBdr>
    </w:div>
    <w:div w:id="324939535">
      <w:bodyDiv w:val="1"/>
      <w:marLeft w:val="0"/>
      <w:marRight w:val="0"/>
      <w:marTop w:val="0"/>
      <w:marBottom w:val="0"/>
      <w:divBdr>
        <w:top w:val="none" w:sz="0" w:space="0" w:color="auto"/>
        <w:left w:val="none" w:sz="0" w:space="0" w:color="auto"/>
        <w:bottom w:val="none" w:sz="0" w:space="0" w:color="auto"/>
        <w:right w:val="none" w:sz="0" w:space="0" w:color="auto"/>
      </w:divBdr>
    </w:div>
    <w:div w:id="346256274">
      <w:bodyDiv w:val="1"/>
      <w:marLeft w:val="0"/>
      <w:marRight w:val="0"/>
      <w:marTop w:val="0"/>
      <w:marBottom w:val="0"/>
      <w:divBdr>
        <w:top w:val="none" w:sz="0" w:space="0" w:color="auto"/>
        <w:left w:val="none" w:sz="0" w:space="0" w:color="auto"/>
        <w:bottom w:val="none" w:sz="0" w:space="0" w:color="auto"/>
        <w:right w:val="none" w:sz="0" w:space="0" w:color="auto"/>
      </w:divBdr>
    </w:div>
    <w:div w:id="393889161">
      <w:bodyDiv w:val="1"/>
      <w:marLeft w:val="0"/>
      <w:marRight w:val="0"/>
      <w:marTop w:val="0"/>
      <w:marBottom w:val="0"/>
      <w:divBdr>
        <w:top w:val="none" w:sz="0" w:space="0" w:color="auto"/>
        <w:left w:val="none" w:sz="0" w:space="0" w:color="auto"/>
        <w:bottom w:val="none" w:sz="0" w:space="0" w:color="auto"/>
        <w:right w:val="none" w:sz="0" w:space="0" w:color="auto"/>
      </w:divBdr>
    </w:div>
    <w:div w:id="421075143">
      <w:bodyDiv w:val="1"/>
      <w:marLeft w:val="0"/>
      <w:marRight w:val="0"/>
      <w:marTop w:val="0"/>
      <w:marBottom w:val="0"/>
      <w:divBdr>
        <w:top w:val="none" w:sz="0" w:space="0" w:color="auto"/>
        <w:left w:val="none" w:sz="0" w:space="0" w:color="auto"/>
        <w:bottom w:val="none" w:sz="0" w:space="0" w:color="auto"/>
        <w:right w:val="none" w:sz="0" w:space="0" w:color="auto"/>
      </w:divBdr>
    </w:div>
    <w:div w:id="475804022">
      <w:bodyDiv w:val="1"/>
      <w:marLeft w:val="0"/>
      <w:marRight w:val="0"/>
      <w:marTop w:val="0"/>
      <w:marBottom w:val="0"/>
      <w:divBdr>
        <w:top w:val="none" w:sz="0" w:space="0" w:color="auto"/>
        <w:left w:val="none" w:sz="0" w:space="0" w:color="auto"/>
        <w:bottom w:val="none" w:sz="0" w:space="0" w:color="auto"/>
        <w:right w:val="none" w:sz="0" w:space="0" w:color="auto"/>
      </w:divBdr>
    </w:div>
    <w:div w:id="502744180">
      <w:bodyDiv w:val="1"/>
      <w:marLeft w:val="0"/>
      <w:marRight w:val="0"/>
      <w:marTop w:val="0"/>
      <w:marBottom w:val="0"/>
      <w:divBdr>
        <w:top w:val="none" w:sz="0" w:space="0" w:color="auto"/>
        <w:left w:val="none" w:sz="0" w:space="0" w:color="auto"/>
        <w:bottom w:val="none" w:sz="0" w:space="0" w:color="auto"/>
        <w:right w:val="none" w:sz="0" w:space="0" w:color="auto"/>
      </w:divBdr>
    </w:div>
    <w:div w:id="506487188">
      <w:bodyDiv w:val="1"/>
      <w:marLeft w:val="0"/>
      <w:marRight w:val="0"/>
      <w:marTop w:val="0"/>
      <w:marBottom w:val="0"/>
      <w:divBdr>
        <w:top w:val="none" w:sz="0" w:space="0" w:color="auto"/>
        <w:left w:val="none" w:sz="0" w:space="0" w:color="auto"/>
        <w:bottom w:val="none" w:sz="0" w:space="0" w:color="auto"/>
        <w:right w:val="none" w:sz="0" w:space="0" w:color="auto"/>
      </w:divBdr>
    </w:div>
    <w:div w:id="929505728">
      <w:bodyDiv w:val="1"/>
      <w:marLeft w:val="0"/>
      <w:marRight w:val="0"/>
      <w:marTop w:val="0"/>
      <w:marBottom w:val="0"/>
      <w:divBdr>
        <w:top w:val="none" w:sz="0" w:space="0" w:color="auto"/>
        <w:left w:val="none" w:sz="0" w:space="0" w:color="auto"/>
        <w:bottom w:val="none" w:sz="0" w:space="0" w:color="auto"/>
        <w:right w:val="none" w:sz="0" w:space="0" w:color="auto"/>
      </w:divBdr>
    </w:div>
    <w:div w:id="992757591">
      <w:bodyDiv w:val="1"/>
      <w:marLeft w:val="0"/>
      <w:marRight w:val="0"/>
      <w:marTop w:val="0"/>
      <w:marBottom w:val="0"/>
      <w:divBdr>
        <w:top w:val="none" w:sz="0" w:space="0" w:color="auto"/>
        <w:left w:val="none" w:sz="0" w:space="0" w:color="auto"/>
        <w:bottom w:val="none" w:sz="0" w:space="0" w:color="auto"/>
        <w:right w:val="none" w:sz="0" w:space="0" w:color="auto"/>
      </w:divBdr>
    </w:div>
    <w:div w:id="1033775248">
      <w:bodyDiv w:val="1"/>
      <w:marLeft w:val="0"/>
      <w:marRight w:val="0"/>
      <w:marTop w:val="0"/>
      <w:marBottom w:val="0"/>
      <w:divBdr>
        <w:top w:val="none" w:sz="0" w:space="0" w:color="auto"/>
        <w:left w:val="none" w:sz="0" w:space="0" w:color="auto"/>
        <w:bottom w:val="none" w:sz="0" w:space="0" w:color="auto"/>
        <w:right w:val="none" w:sz="0" w:space="0" w:color="auto"/>
      </w:divBdr>
    </w:div>
    <w:div w:id="1055129618">
      <w:bodyDiv w:val="1"/>
      <w:marLeft w:val="0"/>
      <w:marRight w:val="0"/>
      <w:marTop w:val="0"/>
      <w:marBottom w:val="0"/>
      <w:divBdr>
        <w:top w:val="none" w:sz="0" w:space="0" w:color="auto"/>
        <w:left w:val="none" w:sz="0" w:space="0" w:color="auto"/>
        <w:bottom w:val="none" w:sz="0" w:space="0" w:color="auto"/>
        <w:right w:val="none" w:sz="0" w:space="0" w:color="auto"/>
      </w:divBdr>
    </w:div>
    <w:div w:id="1068379519">
      <w:bodyDiv w:val="1"/>
      <w:marLeft w:val="0"/>
      <w:marRight w:val="0"/>
      <w:marTop w:val="0"/>
      <w:marBottom w:val="0"/>
      <w:divBdr>
        <w:top w:val="none" w:sz="0" w:space="0" w:color="auto"/>
        <w:left w:val="none" w:sz="0" w:space="0" w:color="auto"/>
        <w:bottom w:val="none" w:sz="0" w:space="0" w:color="auto"/>
        <w:right w:val="none" w:sz="0" w:space="0" w:color="auto"/>
      </w:divBdr>
    </w:div>
    <w:div w:id="1086075346">
      <w:bodyDiv w:val="1"/>
      <w:marLeft w:val="0"/>
      <w:marRight w:val="0"/>
      <w:marTop w:val="0"/>
      <w:marBottom w:val="0"/>
      <w:divBdr>
        <w:top w:val="none" w:sz="0" w:space="0" w:color="auto"/>
        <w:left w:val="none" w:sz="0" w:space="0" w:color="auto"/>
        <w:bottom w:val="none" w:sz="0" w:space="0" w:color="auto"/>
        <w:right w:val="none" w:sz="0" w:space="0" w:color="auto"/>
      </w:divBdr>
    </w:div>
    <w:div w:id="1092505889">
      <w:bodyDiv w:val="1"/>
      <w:marLeft w:val="0"/>
      <w:marRight w:val="0"/>
      <w:marTop w:val="0"/>
      <w:marBottom w:val="0"/>
      <w:divBdr>
        <w:top w:val="none" w:sz="0" w:space="0" w:color="auto"/>
        <w:left w:val="none" w:sz="0" w:space="0" w:color="auto"/>
        <w:bottom w:val="none" w:sz="0" w:space="0" w:color="auto"/>
        <w:right w:val="none" w:sz="0" w:space="0" w:color="auto"/>
      </w:divBdr>
    </w:div>
    <w:div w:id="1102606639">
      <w:bodyDiv w:val="1"/>
      <w:marLeft w:val="0"/>
      <w:marRight w:val="0"/>
      <w:marTop w:val="0"/>
      <w:marBottom w:val="0"/>
      <w:divBdr>
        <w:top w:val="none" w:sz="0" w:space="0" w:color="auto"/>
        <w:left w:val="none" w:sz="0" w:space="0" w:color="auto"/>
        <w:bottom w:val="none" w:sz="0" w:space="0" w:color="auto"/>
        <w:right w:val="none" w:sz="0" w:space="0" w:color="auto"/>
      </w:divBdr>
    </w:div>
    <w:div w:id="1132600856">
      <w:bodyDiv w:val="1"/>
      <w:marLeft w:val="0"/>
      <w:marRight w:val="0"/>
      <w:marTop w:val="0"/>
      <w:marBottom w:val="0"/>
      <w:divBdr>
        <w:top w:val="none" w:sz="0" w:space="0" w:color="auto"/>
        <w:left w:val="none" w:sz="0" w:space="0" w:color="auto"/>
        <w:bottom w:val="none" w:sz="0" w:space="0" w:color="auto"/>
        <w:right w:val="none" w:sz="0" w:space="0" w:color="auto"/>
      </w:divBdr>
    </w:div>
    <w:div w:id="1158232665">
      <w:bodyDiv w:val="1"/>
      <w:marLeft w:val="0"/>
      <w:marRight w:val="0"/>
      <w:marTop w:val="0"/>
      <w:marBottom w:val="0"/>
      <w:divBdr>
        <w:top w:val="none" w:sz="0" w:space="0" w:color="auto"/>
        <w:left w:val="none" w:sz="0" w:space="0" w:color="auto"/>
        <w:bottom w:val="none" w:sz="0" w:space="0" w:color="auto"/>
        <w:right w:val="none" w:sz="0" w:space="0" w:color="auto"/>
      </w:divBdr>
    </w:div>
    <w:div w:id="1312321589">
      <w:bodyDiv w:val="1"/>
      <w:marLeft w:val="0"/>
      <w:marRight w:val="0"/>
      <w:marTop w:val="0"/>
      <w:marBottom w:val="0"/>
      <w:divBdr>
        <w:top w:val="none" w:sz="0" w:space="0" w:color="auto"/>
        <w:left w:val="none" w:sz="0" w:space="0" w:color="auto"/>
        <w:bottom w:val="none" w:sz="0" w:space="0" w:color="auto"/>
        <w:right w:val="none" w:sz="0" w:space="0" w:color="auto"/>
      </w:divBdr>
    </w:div>
    <w:div w:id="1395929404">
      <w:bodyDiv w:val="1"/>
      <w:marLeft w:val="0"/>
      <w:marRight w:val="0"/>
      <w:marTop w:val="0"/>
      <w:marBottom w:val="0"/>
      <w:divBdr>
        <w:top w:val="none" w:sz="0" w:space="0" w:color="auto"/>
        <w:left w:val="none" w:sz="0" w:space="0" w:color="auto"/>
        <w:bottom w:val="none" w:sz="0" w:space="0" w:color="auto"/>
        <w:right w:val="none" w:sz="0" w:space="0" w:color="auto"/>
      </w:divBdr>
    </w:div>
    <w:div w:id="1575167977">
      <w:bodyDiv w:val="1"/>
      <w:marLeft w:val="0"/>
      <w:marRight w:val="0"/>
      <w:marTop w:val="0"/>
      <w:marBottom w:val="0"/>
      <w:divBdr>
        <w:top w:val="none" w:sz="0" w:space="0" w:color="auto"/>
        <w:left w:val="none" w:sz="0" w:space="0" w:color="auto"/>
        <w:bottom w:val="none" w:sz="0" w:space="0" w:color="auto"/>
        <w:right w:val="none" w:sz="0" w:space="0" w:color="auto"/>
      </w:divBdr>
    </w:div>
    <w:div w:id="1608927173">
      <w:bodyDiv w:val="1"/>
      <w:marLeft w:val="0"/>
      <w:marRight w:val="0"/>
      <w:marTop w:val="0"/>
      <w:marBottom w:val="0"/>
      <w:divBdr>
        <w:top w:val="none" w:sz="0" w:space="0" w:color="auto"/>
        <w:left w:val="none" w:sz="0" w:space="0" w:color="auto"/>
        <w:bottom w:val="none" w:sz="0" w:space="0" w:color="auto"/>
        <w:right w:val="none" w:sz="0" w:space="0" w:color="auto"/>
      </w:divBdr>
    </w:div>
    <w:div w:id="1663392283">
      <w:bodyDiv w:val="1"/>
      <w:marLeft w:val="0"/>
      <w:marRight w:val="0"/>
      <w:marTop w:val="0"/>
      <w:marBottom w:val="0"/>
      <w:divBdr>
        <w:top w:val="none" w:sz="0" w:space="0" w:color="auto"/>
        <w:left w:val="none" w:sz="0" w:space="0" w:color="auto"/>
        <w:bottom w:val="none" w:sz="0" w:space="0" w:color="auto"/>
        <w:right w:val="none" w:sz="0" w:space="0" w:color="auto"/>
      </w:divBdr>
      <w:divsChild>
        <w:div w:id="1214737610">
          <w:marLeft w:val="360"/>
          <w:marRight w:val="0"/>
          <w:marTop w:val="96"/>
          <w:marBottom w:val="0"/>
          <w:divBdr>
            <w:top w:val="none" w:sz="0" w:space="0" w:color="auto"/>
            <w:left w:val="none" w:sz="0" w:space="0" w:color="auto"/>
            <w:bottom w:val="none" w:sz="0" w:space="0" w:color="auto"/>
            <w:right w:val="none" w:sz="0" w:space="0" w:color="auto"/>
          </w:divBdr>
        </w:div>
        <w:div w:id="23755650">
          <w:marLeft w:val="907"/>
          <w:marRight w:val="0"/>
          <w:marTop w:val="86"/>
          <w:marBottom w:val="0"/>
          <w:divBdr>
            <w:top w:val="none" w:sz="0" w:space="0" w:color="auto"/>
            <w:left w:val="none" w:sz="0" w:space="0" w:color="auto"/>
            <w:bottom w:val="none" w:sz="0" w:space="0" w:color="auto"/>
            <w:right w:val="none" w:sz="0" w:space="0" w:color="auto"/>
          </w:divBdr>
        </w:div>
        <w:div w:id="2068336376">
          <w:marLeft w:val="907"/>
          <w:marRight w:val="0"/>
          <w:marTop w:val="86"/>
          <w:marBottom w:val="0"/>
          <w:divBdr>
            <w:top w:val="none" w:sz="0" w:space="0" w:color="auto"/>
            <w:left w:val="none" w:sz="0" w:space="0" w:color="auto"/>
            <w:bottom w:val="none" w:sz="0" w:space="0" w:color="auto"/>
            <w:right w:val="none" w:sz="0" w:space="0" w:color="auto"/>
          </w:divBdr>
        </w:div>
      </w:divsChild>
    </w:div>
    <w:div w:id="1672176412">
      <w:bodyDiv w:val="1"/>
      <w:marLeft w:val="0"/>
      <w:marRight w:val="0"/>
      <w:marTop w:val="0"/>
      <w:marBottom w:val="0"/>
      <w:divBdr>
        <w:top w:val="none" w:sz="0" w:space="0" w:color="auto"/>
        <w:left w:val="none" w:sz="0" w:space="0" w:color="auto"/>
        <w:bottom w:val="none" w:sz="0" w:space="0" w:color="auto"/>
        <w:right w:val="none" w:sz="0" w:space="0" w:color="auto"/>
      </w:divBdr>
    </w:div>
    <w:div w:id="1680548730">
      <w:bodyDiv w:val="1"/>
      <w:marLeft w:val="0"/>
      <w:marRight w:val="0"/>
      <w:marTop w:val="0"/>
      <w:marBottom w:val="0"/>
      <w:divBdr>
        <w:top w:val="none" w:sz="0" w:space="0" w:color="auto"/>
        <w:left w:val="none" w:sz="0" w:space="0" w:color="auto"/>
        <w:bottom w:val="none" w:sz="0" w:space="0" w:color="auto"/>
        <w:right w:val="none" w:sz="0" w:space="0" w:color="auto"/>
      </w:divBdr>
    </w:div>
    <w:div w:id="1702782433">
      <w:bodyDiv w:val="1"/>
      <w:marLeft w:val="0"/>
      <w:marRight w:val="0"/>
      <w:marTop w:val="0"/>
      <w:marBottom w:val="0"/>
      <w:divBdr>
        <w:top w:val="none" w:sz="0" w:space="0" w:color="auto"/>
        <w:left w:val="none" w:sz="0" w:space="0" w:color="auto"/>
        <w:bottom w:val="none" w:sz="0" w:space="0" w:color="auto"/>
        <w:right w:val="none" w:sz="0" w:space="0" w:color="auto"/>
      </w:divBdr>
    </w:div>
    <w:div w:id="1805543949">
      <w:bodyDiv w:val="1"/>
      <w:marLeft w:val="0"/>
      <w:marRight w:val="0"/>
      <w:marTop w:val="0"/>
      <w:marBottom w:val="0"/>
      <w:divBdr>
        <w:top w:val="none" w:sz="0" w:space="0" w:color="auto"/>
        <w:left w:val="none" w:sz="0" w:space="0" w:color="auto"/>
        <w:bottom w:val="none" w:sz="0" w:space="0" w:color="auto"/>
        <w:right w:val="none" w:sz="0" w:space="0" w:color="auto"/>
      </w:divBdr>
      <w:divsChild>
        <w:div w:id="1432050239">
          <w:marLeft w:val="360"/>
          <w:marRight w:val="0"/>
          <w:marTop w:val="96"/>
          <w:marBottom w:val="0"/>
          <w:divBdr>
            <w:top w:val="none" w:sz="0" w:space="0" w:color="auto"/>
            <w:left w:val="none" w:sz="0" w:space="0" w:color="auto"/>
            <w:bottom w:val="none" w:sz="0" w:space="0" w:color="auto"/>
            <w:right w:val="none" w:sz="0" w:space="0" w:color="auto"/>
          </w:divBdr>
        </w:div>
        <w:div w:id="18508452">
          <w:marLeft w:val="907"/>
          <w:marRight w:val="0"/>
          <w:marTop w:val="86"/>
          <w:marBottom w:val="0"/>
          <w:divBdr>
            <w:top w:val="none" w:sz="0" w:space="0" w:color="auto"/>
            <w:left w:val="none" w:sz="0" w:space="0" w:color="auto"/>
            <w:bottom w:val="none" w:sz="0" w:space="0" w:color="auto"/>
            <w:right w:val="none" w:sz="0" w:space="0" w:color="auto"/>
          </w:divBdr>
        </w:div>
        <w:div w:id="350376238">
          <w:marLeft w:val="907"/>
          <w:marRight w:val="0"/>
          <w:marTop w:val="86"/>
          <w:marBottom w:val="0"/>
          <w:divBdr>
            <w:top w:val="none" w:sz="0" w:space="0" w:color="auto"/>
            <w:left w:val="none" w:sz="0" w:space="0" w:color="auto"/>
            <w:bottom w:val="none" w:sz="0" w:space="0" w:color="auto"/>
            <w:right w:val="none" w:sz="0" w:space="0" w:color="auto"/>
          </w:divBdr>
        </w:div>
      </w:divsChild>
    </w:div>
    <w:div w:id="1810131210">
      <w:bodyDiv w:val="1"/>
      <w:marLeft w:val="0"/>
      <w:marRight w:val="0"/>
      <w:marTop w:val="0"/>
      <w:marBottom w:val="0"/>
      <w:divBdr>
        <w:top w:val="none" w:sz="0" w:space="0" w:color="auto"/>
        <w:left w:val="none" w:sz="0" w:space="0" w:color="auto"/>
        <w:bottom w:val="none" w:sz="0" w:space="0" w:color="auto"/>
        <w:right w:val="none" w:sz="0" w:space="0" w:color="auto"/>
      </w:divBdr>
    </w:div>
    <w:div w:id="1813793920">
      <w:bodyDiv w:val="1"/>
      <w:marLeft w:val="0"/>
      <w:marRight w:val="0"/>
      <w:marTop w:val="0"/>
      <w:marBottom w:val="0"/>
      <w:divBdr>
        <w:top w:val="none" w:sz="0" w:space="0" w:color="auto"/>
        <w:left w:val="none" w:sz="0" w:space="0" w:color="auto"/>
        <w:bottom w:val="none" w:sz="0" w:space="0" w:color="auto"/>
        <w:right w:val="none" w:sz="0" w:space="0" w:color="auto"/>
      </w:divBdr>
    </w:div>
    <w:div w:id="1826969054">
      <w:bodyDiv w:val="1"/>
      <w:marLeft w:val="0"/>
      <w:marRight w:val="0"/>
      <w:marTop w:val="0"/>
      <w:marBottom w:val="0"/>
      <w:divBdr>
        <w:top w:val="none" w:sz="0" w:space="0" w:color="auto"/>
        <w:left w:val="none" w:sz="0" w:space="0" w:color="auto"/>
        <w:bottom w:val="none" w:sz="0" w:space="0" w:color="auto"/>
        <w:right w:val="none" w:sz="0" w:space="0" w:color="auto"/>
      </w:divBdr>
    </w:div>
    <w:div w:id="1833566299">
      <w:bodyDiv w:val="1"/>
      <w:marLeft w:val="0"/>
      <w:marRight w:val="0"/>
      <w:marTop w:val="0"/>
      <w:marBottom w:val="0"/>
      <w:divBdr>
        <w:top w:val="none" w:sz="0" w:space="0" w:color="auto"/>
        <w:left w:val="none" w:sz="0" w:space="0" w:color="auto"/>
        <w:bottom w:val="none" w:sz="0" w:space="0" w:color="auto"/>
        <w:right w:val="none" w:sz="0" w:space="0" w:color="auto"/>
      </w:divBdr>
    </w:div>
    <w:div w:id="1857231144">
      <w:bodyDiv w:val="1"/>
      <w:marLeft w:val="0"/>
      <w:marRight w:val="0"/>
      <w:marTop w:val="0"/>
      <w:marBottom w:val="0"/>
      <w:divBdr>
        <w:top w:val="none" w:sz="0" w:space="0" w:color="auto"/>
        <w:left w:val="none" w:sz="0" w:space="0" w:color="auto"/>
        <w:bottom w:val="none" w:sz="0" w:space="0" w:color="auto"/>
        <w:right w:val="none" w:sz="0" w:space="0" w:color="auto"/>
      </w:divBdr>
    </w:div>
    <w:div w:id="1858273424">
      <w:bodyDiv w:val="1"/>
      <w:marLeft w:val="0"/>
      <w:marRight w:val="0"/>
      <w:marTop w:val="0"/>
      <w:marBottom w:val="0"/>
      <w:divBdr>
        <w:top w:val="none" w:sz="0" w:space="0" w:color="auto"/>
        <w:left w:val="none" w:sz="0" w:space="0" w:color="auto"/>
        <w:bottom w:val="none" w:sz="0" w:space="0" w:color="auto"/>
        <w:right w:val="none" w:sz="0" w:space="0" w:color="auto"/>
      </w:divBdr>
    </w:div>
    <w:div w:id="1890531835">
      <w:bodyDiv w:val="1"/>
      <w:marLeft w:val="0"/>
      <w:marRight w:val="0"/>
      <w:marTop w:val="0"/>
      <w:marBottom w:val="0"/>
      <w:divBdr>
        <w:top w:val="none" w:sz="0" w:space="0" w:color="auto"/>
        <w:left w:val="none" w:sz="0" w:space="0" w:color="auto"/>
        <w:bottom w:val="none" w:sz="0" w:space="0" w:color="auto"/>
        <w:right w:val="none" w:sz="0" w:space="0" w:color="auto"/>
      </w:divBdr>
    </w:div>
    <w:div w:id="1910772899">
      <w:bodyDiv w:val="1"/>
      <w:marLeft w:val="0"/>
      <w:marRight w:val="0"/>
      <w:marTop w:val="0"/>
      <w:marBottom w:val="0"/>
      <w:divBdr>
        <w:top w:val="none" w:sz="0" w:space="0" w:color="auto"/>
        <w:left w:val="none" w:sz="0" w:space="0" w:color="auto"/>
        <w:bottom w:val="none" w:sz="0" w:space="0" w:color="auto"/>
        <w:right w:val="none" w:sz="0" w:space="0" w:color="auto"/>
      </w:divBdr>
    </w:div>
    <w:div w:id="1921712920">
      <w:bodyDiv w:val="1"/>
      <w:marLeft w:val="0"/>
      <w:marRight w:val="0"/>
      <w:marTop w:val="0"/>
      <w:marBottom w:val="0"/>
      <w:divBdr>
        <w:top w:val="none" w:sz="0" w:space="0" w:color="auto"/>
        <w:left w:val="none" w:sz="0" w:space="0" w:color="auto"/>
        <w:bottom w:val="none" w:sz="0" w:space="0" w:color="auto"/>
        <w:right w:val="none" w:sz="0" w:space="0" w:color="auto"/>
      </w:divBdr>
    </w:div>
    <w:div w:id="1923446607">
      <w:bodyDiv w:val="1"/>
      <w:marLeft w:val="0"/>
      <w:marRight w:val="0"/>
      <w:marTop w:val="0"/>
      <w:marBottom w:val="0"/>
      <w:divBdr>
        <w:top w:val="none" w:sz="0" w:space="0" w:color="auto"/>
        <w:left w:val="none" w:sz="0" w:space="0" w:color="auto"/>
        <w:bottom w:val="none" w:sz="0" w:space="0" w:color="auto"/>
        <w:right w:val="none" w:sz="0" w:space="0" w:color="auto"/>
      </w:divBdr>
    </w:div>
    <w:div w:id="1966546459">
      <w:bodyDiv w:val="1"/>
      <w:marLeft w:val="0"/>
      <w:marRight w:val="0"/>
      <w:marTop w:val="0"/>
      <w:marBottom w:val="0"/>
      <w:divBdr>
        <w:top w:val="none" w:sz="0" w:space="0" w:color="auto"/>
        <w:left w:val="none" w:sz="0" w:space="0" w:color="auto"/>
        <w:bottom w:val="none" w:sz="0" w:space="0" w:color="auto"/>
        <w:right w:val="none" w:sz="0" w:space="0" w:color="auto"/>
      </w:divBdr>
    </w:div>
    <w:div w:id="2111270838">
      <w:bodyDiv w:val="1"/>
      <w:marLeft w:val="0"/>
      <w:marRight w:val="0"/>
      <w:marTop w:val="0"/>
      <w:marBottom w:val="0"/>
      <w:divBdr>
        <w:top w:val="none" w:sz="0" w:space="0" w:color="auto"/>
        <w:left w:val="none" w:sz="0" w:space="0" w:color="auto"/>
        <w:bottom w:val="none" w:sz="0" w:space="0" w:color="auto"/>
        <w:right w:val="none" w:sz="0" w:space="0" w:color="auto"/>
      </w:divBdr>
    </w:div>
    <w:div w:id="2128232865">
      <w:bodyDiv w:val="1"/>
      <w:marLeft w:val="0"/>
      <w:marRight w:val="0"/>
      <w:marTop w:val="0"/>
      <w:marBottom w:val="0"/>
      <w:divBdr>
        <w:top w:val="none" w:sz="0" w:space="0" w:color="auto"/>
        <w:left w:val="none" w:sz="0" w:space="0" w:color="auto"/>
        <w:bottom w:val="none" w:sz="0" w:space="0" w:color="auto"/>
        <w:right w:val="none" w:sz="0" w:space="0" w:color="auto"/>
      </w:divBdr>
    </w:div>
    <w:div w:id="2132279593">
      <w:bodyDiv w:val="1"/>
      <w:marLeft w:val="0"/>
      <w:marRight w:val="0"/>
      <w:marTop w:val="0"/>
      <w:marBottom w:val="0"/>
      <w:divBdr>
        <w:top w:val="none" w:sz="0" w:space="0" w:color="auto"/>
        <w:left w:val="none" w:sz="0" w:space="0" w:color="auto"/>
        <w:bottom w:val="none" w:sz="0" w:space="0" w:color="auto"/>
        <w:right w:val="none" w:sz="0" w:space="0" w:color="auto"/>
      </w:divBdr>
    </w:div>
    <w:div w:id="213714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4.bin"/><Relationship Id="rId21" Type="http://schemas.openxmlformats.org/officeDocument/2006/relationships/footer" Target="footer8.xml"/><Relationship Id="rId42" Type="http://schemas.openxmlformats.org/officeDocument/2006/relationships/footer" Target="footer16.xml"/><Relationship Id="rId63" Type="http://schemas.openxmlformats.org/officeDocument/2006/relationships/footer" Target="footer26.xml"/><Relationship Id="rId84" Type="http://schemas.openxmlformats.org/officeDocument/2006/relationships/header" Target="header31.xml"/><Relationship Id="rId138" Type="http://schemas.openxmlformats.org/officeDocument/2006/relationships/image" Target="media/image32.wmf"/><Relationship Id="rId159" Type="http://schemas.openxmlformats.org/officeDocument/2006/relationships/hyperlink" Target="http://www.cdc.gov/hiv/topics/surveillance/resources/reports/" TargetMode="External"/><Relationship Id="rId170" Type="http://schemas.openxmlformats.org/officeDocument/2006/relationships/hyperlink" Target="http://www.hivtestingconference.org" TargetMode="External"/><Relationship Id="rId191" Type="http://schemas.openxmlformats.org/officeDocument/2006/relationships/image" Target="media/image41.wmf"/><Relationship Id="rId205" Type="http://schemas.openxmlformats.org/officeDocument/2006/relationships/image" Target="media/image48.wmf"/><Relationship Id="rId226" Type="http://schemas.openxmlformats.org/officeDocument/2006/relationships/oleObject" Target="embeddings/oleObject60.bin"/><Relationship Id="rId107" Type="http://schemas.openxmlformats.org/officeDocument/2006/relationships/oleObject" Target="embeddings/oleObject19.bin"/><Relationship Id="rId11" Type="http://schemas.openxmlformats.org/officeDocument/2006/relationships/footer" Target="footer2.xml"/><Relationship Id="rId32" Type="http://schemas.openxmlformats.org/officeDocument/2006/relationships/header" Target="header11.xml"/><Relationship Id="rId53" Type="http://schemas.openxmlformats.org/officeDocument/2006/relationships/footer" Target="footer21.xml"/><Relationship Id="rId74" Type="http://schemas.openxmlformats.org/officeDocument/2006/relationships/image" Target="media/image5.wmf"/><Relationship Id="rId128" Type="http://schemas.openxmlformats.org/officeDocument/2006/relationships/oleObject" Target="embeddings/oleObject31.bin"/><Relationship Id="rId149" Type="http://schemas.openxmlformats.org/officeDocument/2006/relationships/header" Target="header35.xml"/><Relationship Id="rId5" Type="http://schemas.openxmlformats.org/officeDocument/2006/relationships/webSettings" Target="webSettings.xml"/><Relationship Id="rId95" Type="http://schemas.openxmlformats.org/officeDocument/2006/relationships/oleObject" Target="embeddings/oleObject12.bin"/><Relationship Id="rId160" Type="http://schemas.openxmlformats.org/officeDocument/2006/relationships/hyperlink" Target="http://www.cdc.gov/hiv/pdf/evaluation_HIVTesting_BudgetAllocation.pdf" TargetMode="External"/><Relationship Id="rId181" Type="http://schemas.openxmlformats.org/officeDocument/2006/relationships/header" Target="header40.xml"/><Relationship Id="rId216" Type="http://schemas.openxmlformats.org/officeDocument/2006/relationships/oleObject" Target="embeddings/oleObject55.bin"/><Relationship Id="rId22" Type="http://schemas.openxmlformats.org/officeDocument/2006/relationships/footer" Target="footer9.xml"/><Relationship Id="rId27" Type="http://schemas.openxmlformats.org/officeDocument/2006/relationships/image" Target="media/image2.png"/><Relationship Id="rId43" Type="http://schemas.openxmlformats.org/officeDocument/2006/relationships/header" Target="header17.xml"/><Relationship Id="rId48" Type="http://schemas.openxmlformats.org/officeDocument/2006/relationships/header" Target="header20.xml"/><Relationship Id="rId64" Type="http://schemas.openxmlformats.org/officeDocument/2006/relationships/header" Target="header28.xml"/><Relationship Id="rId69" Type="http://schemas.openxmlformats.org/officeDocument/2006/relationships/footer" Target="footer29.xml"/><Relationship Id="rId113" Type="http://schemas.openxmlformats.org/officeDocument/2006/relationships/oleObject" Target="embeddings/oleObject22.bin"/><Relationship Id="rId118" Type="http://schemas.openxmlformats.org/officeDocument/2006/relationships/image" Target="media/image24.wmf"/><Relationship Id="rId134" Type="http://schemas.openxmlformats.org/officeDocument/2006/relationships/oleObject" Target="embeddings/oleObject34.bin"/><Relationship Id="rId139" Type="http://schemas.openxmlformats.org/officeDocument/2006/relationships/oleObject" Target="embeddings/oleObject37.bin"/><Relationship Id="rId80" Type="http://schemas.openxmlformats.org/officeDocument/2006/relationships/image" Target="media/image8.wmf"/><Relationship Id="rId85" Type="http://schemas.openxmlformats.org/officeDocument/2006/relationships/header" Target="header32.xml"/><Relationship Id="rId150" Type="http://schemas.openxmlformats.org/officeDocument/2006/relationships/header" Target="header36.xml"/><Relationship Id="rId155" Type="http://schemas.openxmlformats.org/officeDocument/2006/relationships/hyperlink" Target="http://data.bls.gov/cgi-bin/surveymost" TargetMode="External"/><Relationship Id="rId171" Type="http://schemas.openxmlformats.org/officeDocument/2006/relationships/hyperlink" Target="http://www.ncbi.nlm.nih.gov/pubmed/15058363" TargetMode="External"/><Relationship Id="rId176" Type="http://schemas.openxmlformats.org/officeDocument/2006/relationships/hyperlink" Target="http://dx.doi.org/10.1098/rsif.2012.1018" TargetMode="External"/><Relationship Id="rId192" Type="http://schemas.openxmlformats.org/officeDocument/2006/relationships/oleObject" Target="embeddings/oleObject43.bin"/><Relationship Id="rId197" Type="http://schemas.openxmlformats.org/officeDocument/2006/relationships/image" Target="media/image44.wmf"/><Relationship Id="rId206" Type="http://schemas.openxmlformats.org/officeDocument/2006/relationships/oleObject" Target="embeddings/oleObject50.bin"/><Relationship Id="rId227" Type="http://schemas.openxmlformats.org/officeDocument/2006/relationships/image" Target="media/image59.wmf"/><Relationship Id="rId201" Type="http://schemas.openxmlformats.org/officeDocument/2006/relationships/image" Target="media/image46.wmf"/><Relationship Id="rId222" Type="http://schemas.openxmlformats.org/officeDocument/2006/relationships/oleObject" Target="embeddings/oleObject58.bin"/><Relationship Id="rId12" Type="http://schemas.openxmlformats.org/officeDocument/2006/relationships/header" Target="header3.xml"/><Relationship Id="rId17" Type="http://schemas.openxmlformats.org/officeDocument/2006/relationships/footer" Target="footer6.xml"/><Relationship Id="rId33" Type="http://schemas.openxmlformats.org/officeDocument/2006/relationships/header" Target="header12.xml"/><Relationship Id="rId38" Type="http://schemas.openxmlformats.org/officeDocument/2006/relationships/header" Target="header15.xml"/><Relationship Id="rId59" Type="http://schemas.openxmlformats.org/officeDocument/2006/relationships/footer" Target="footer24.xml"/><Relationship Id="rId103" Type="http://schemas.openxmlformats.org/officeDocument/2006/relationships/oleObject" Target="embeddings/oleObject17.bin"/><Relationship Id="rId108" Type="http://schemas.openxmlformats.org/officeDocument/2006/relationships/image" Target="media/image19.wmf"/><Relationship Id="rId124" Type="http://schemas.openxmlformats.org/officeDocument/2006/relationships/oleObject" Target="embeddings/oleObject29.bin"/><Relationship Id="rId129" Type="http://schemas.openxmlformats.org/officeDocument/2006/relationships/image" Target="media/image28.wmf"/><Relationship Id="rId54" Type="http://schemas.openxmlformats.org/officeDocument/2006/relationships/footer" Target="footer22.xml"/><Relationship Id="rId70" Type="http://schemas.openxmlformats.org/officeDocument/2006/relationships/image" Target="media/image3.wmf"/><Relationship Id="rId75" Type="http://schemas.openxmlformats.org/officeDocument/2006/relationships/oleObject" Target="embeddings/oleObject4.bin"/><Relationship Id="rId91" Type="http://schemas.openxmlformats.org/officeDocument/2006/relationships/oleObject" Target="embeddings/oleObject10.bin"/><Relationship Id="rId96" Type="http://schemas.openxmlformats.org/officeDocument/2006/relationships/image" Target="media/image14.wmf"/><Relationship Id="rId140" Type="http://schemas.openxmlformats.org/officeDocument/2006/relationships/image" Target="media/image33.wmf"/><Relationship Id="rId145" Type="http://schemas.openxmlformats.org/officeDocument/2006/relationships/footer" Target="footer32.xml"/><Relationship Id="rId161" Type="http://schemas.openxmlformats.org/officeDocument/2006/relationships/hyperlink" Target="http://www.cdc.gov/hiv/topics/surveillance/resources/reports/" TargetMode="External"/><Relationship Id="rId166" Type="http://schemas.openxmlformats.org/officeDocument/2006/relationships/hyperlink" Target="http://doi.org/10.3886/ICPSR06647.v2" TargetMode="External"/><Relationship Id="rId182" Type="http://schemas.openxmlformats.org/officeDocument/2006/relationships/footer" Target="footer37.xml"/><Relationship Id="rId187" Type="http://schemas.openxmlformats.org/officeDocument/2006/relationships/image" Target="media/image39.wmf"/><Relationship Id="rId217" Type="http://schemas.openxmlformats.org/officeDocument/2006/relationships/image" Target="media/image54.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oleObject" Target="embeddings/oleObject53.bin"/><Relationship Id="rId233" Type="http://schemas.openxmlformats.org/officeDocument/2006/relationships/fontTable" Target="fontTable.xml"/><Relationship Id="rId23" Type="http://schemas.openxmlformats.org/officeDocument/2006/relationships/header" Target="header7.xml"/><Relationship Id="rId28" Type="http://schemas.openxmlformats.org/officeDocument/2006/relationships/header" Target="header9.xml"/><Relationship Id="rId49" Type="http://schemas.openxmlformats.org/officeDocument/2006/relationships/footer" Target="footer19.xml"/><Relationship Id="rId114" Type="http://schemas.openxmlformats.org/officeDocument/2006/relationships/image" Target="media/image22.wmf"/><Relationship Id="rId119" Type="http://schemas.openxmlformats.org/officeDocument/2006/relationships/oleObject" Target="embeddings/oleObject25.bin"/><Relationship Id="rId44" Type="http://schemas.openxmlformats.org/officeDocument/2006/relationships/footer" Target="footer17.xml"/><Relationship Id="rId60" Type="http://schemas.openxmlformats.org/officeDocument/2006/relationships/header" Target="header26.xml"/><Relationship Id="rId65" Type="http://schemas.openxmlformats.org/officeDocument/2006/relationships/header" Target="header29.xml"/><Relationship Id="rId81" Type="http://schemas.openxmlformats.org/officeDocument/2006/relationships/oleObject" Target="embeddings/oleObject7.bin"/><Relationship Id="rId86" Type="http://schemas.openxmlformats.org/officeDocument/2006/relationships/footer" Target="footer30.xml"/><Relationship Id="rId130" Type="http://schemas.openxmlformats.org/officeDocument/2006/relationships/oleObject" Target="embeddings/oleObject32.bin"/><Relationship Id="rId135" Type="http://schemas.openxmlformats.org/officeDocument/2006/relationships/oleObject" Target="embeddings/oleObject35.bin"/><Relationship Id="rId151" Type="http://schemas.openxmlformats.org/officeDocument/2006/relationships/header" Target="header37.xml"/><Relationship Id="rId156" Type="http://schemas.openxmlformats.org/officeDocument/2006/relationships/hyperlink" Target="http://www.cdc.gov/hiv/library/reports/surveillance/" TargetMode="External"/><Relationship Id="rId177" Type="http://schemas.openxmlformats.org/officeDocument/2006/relationships/header" Target="header39.xml"/><Relationship Id="rId198" Type="http://schemas.openxmlformats.org/officeDocument/2006/relationships/oleObject" Target="embeddings/oleObject46.bin"/><Relationship Id="rId172" Type="http://schemas.openxmlformats.org/officeDocument/2006/relationships/hyperlink" Target="http://www.micromedexsolutions.com/" TargetMode="External"/><Relationship Id="rId193" Type="http://schemas.openxmlformats.org/officeDocument/2006/relationships/image" Target="media/image42.wmf"/><Relationship Id="rId202" Type="http://schemas.openxmlformats.org/officeDocument/2006/relationships/oleObject" Target="embeddings/oleObject48.bin"/><Relationship Id="rId207" Type="http://schemas.openxmlformats.org/officeDocument/2006/relationships/image" Target="media/image49.wmf"/><Relationship Id="rId223" Type="http://schemas.openxmlformats.org/officeDocument/2006/relationships/image" Target="media/image57.wmf"/><Relationship Id="rId228" Type="http://schemas.openxmlformats.org/officeDocument/2006/relationships/oleObject" Target="embeddings/oleObject61.bin"/><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footer" Target="footer14.xml"/><Relationship Id="rId109" Type="http://schemas.openxmlformats.org/officeDocument/2006/relationships/oleObject" Target="embeddings/oleObject20.bin"/><Relationship Id="rId34" Type="http://schemas.openxmlformats.org/officeDocument/2006/relationships/header" Target="header13.xml"/><Relationship Id="rId50" Type="http://schemas.openxmlformats.org/officeDocument/2006/relationships/footer" Target="footer20.xml"/><Relationship Id="rId55" Type="http://schemas.openxmlformats.org/officeDocument/2006/relationships/header" Target="header23.xml"/><Relationship Id="rId76" Type="http://schemas.openxmlformats.org/officeDocument/2006/relationships/image" Target="media/image6.wmf"/><Relationship Id="rId97" Type="http://schemas.openxmlformats.org/officeDocument/2006/relationships/oleObject" Target="embeddings/oleObject13.bin"/><Relationship Id="rId104" Type="http://schemas.openxmlformats.org/officeDocument/2006/relationships/image" Target="media/image17.wmf"/><Relationship Id="rId120" Type="http://schemas.openxmlformats.org/officeDocument/2006/relationships/image" Target="media/image25.wmf"/><Relationship Id="rId125" Type="http://schemas.openxmlformats.org/officeDocument/2006/relationships/image" Target="media/image26.wmf"/><Relationship Id="rId141" Type="http://schemas.openxmlformats.org/officeDocument/2006/relationships/oleObject" Target="embeddings/oleObject38.bin"/><Relationship Id="rId146" Type="http://schemas.openxmlformats.org/officeDocument/2006/relationships/footer" Target="footer33.xml"/><Relationship Id="rId167" Type="http://schemas.openxmlformats.org/officeDocument/2006/relationships/hyperlink" Target="http://www.ncbi.nlm.nih.gov/pubmed/11434728" TargetMode="External"/><Relationship Id="rId188" Type="http://schemas.openxmlformats.org/officeDocument/2006/relationships/oleObject" Target="embeddings/oleObject41.bin"/><Relationship Id="rId7" Type="http://schemas.openxmlformats.org/officeDocument/2006/relationships/endnotes" Target="endnotes.xml"/><Relationship Id="rId71" Type="http://schemas.openxmlformats.org/officeDocument/2006/relationships/oleObject" Target="embeddings/oleObject2.bin"/><Relationship Id="rId92" Type="http://schemas.openxmlformats.org/officeDocument/2006/relationships/image" Target="media/image12.wmf"/><Relationship Id="rId162" Type="http://schemas.openxmlformats.org/officeDocument/2006/relationships/hyperlink" Target="http://www.cdc.gov/hiv/topics/surveillance/resources/reports/" TargetMode="External"/><Relationship Id="rId183" Type="http://schemas.openxmlformats.org/officeDocument/2006/relationships/footer" Target="footer38.xml"/><Relationship Id="rId213" Type="http://schemas.openxmlformats.org/officeDocument/2006/relationships/image" Target="media/image52.wmf"/><Relationship Id="rId218" Type="http://schemas.openxmlformats.org/officeDocument/2006/relationships/oleObject" Target="embeddings/oleObject56.bin"/><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image" Target="media/image1.wmf"/><Relationship Id="rId40" Type="http://schemas.openxmlformats.org/officeDocument/2006/relationships/footer" Target="footer15.xml"/><Relationship Id="rId45" Type="http://schemas.openxmlformats.org/officeDocument/2006/relationships/header" Target="header18.xml"/><Relationship Id="rId66" Type="http://schemas.openxmlformats.org/officeDocument/2006/relationships/footer" Target="footer27.xml"/><Relationship Id="rId87" Type="http://schemas.openxmlformats.org/officeDocument/2006/relationships/footer" Target="footer31.xml"/><Relationship Id="rId110" Type="http://schemas.openxmlformats.org/officeDocument/2006/relationships/image" Target="media/image20.wmf"/><Relationship Id="rId115" Type="http://schemas.openxmlformats.org/officeDocument/2006/relationships/oleObject" Target="embeddings/oleObject23.bin"/><Relationship Id="rId131" Type="http://schemas.openxmlformats.org/officeDocument/2006/relationships/image" Target="media/image29.wmf"/><Relationship Id="rId136" Type="http://schemas.openxmlformats.org/officeDocument/2006/relationships/image" Target="media/image31.wmf"/><Relationship Id="rId157" Type="http://schemas.openxmlformats.org/officeDocument/2006/relationships/hyperlink" Target="http://www.cdc.gov/hiv/library/reports/surveillance/" TargetMode="External"/><Relationship Id="rId178" Type="http://schemas.openxmlformats.org/officeDocument/2006/relationships/footer" Target="footer34.xml"/><Relationship Id="rId61" Type="http://schemas.openxmlformats.org/officeDocument/2006/relationships/header" Target="header27.xml"/><Relationship Id="rId82" Type="http://schemas.openxmlformats.org/officeDocument/2006/relationships/image" Target="media/image9.wmf"/><Relationship Id="rId152" Type="http://schemas.openxmlformats.org/officeDocument/2006/relationships/image" Target="media/image36.png"/><Relationship Id="rId173" Type="http://schemas.openxmlformats.org/officeDocument/2006/relationships/hyperlink" Target="http://factfinder2.census.gov" TargetMode="External"/><Relationship Id="rId194" Type="http://schemas.openxmlformats.org/officeDocument/2006/relationships/oleObject" Target="embeddings/oleObject44.bin"/><Relationship Id="rId199" Type="http://schemas.openxmlformats.org/officeDocument/2006/relationships/image" Target="media/image45.wmf"/><Relationship Id="rId203" Type="http://schemas.openxmlformats.org/officeDocument/2006/relationships/image" Target="media/image47.wmf"/><Relationship Id="rId208" Type="http://schemas.openxmlformats.org/officeDocument/2006/relationships/oleObject" Target="embeddings/oleObject51.bin"/><Relationship Id="rId229" Type="http://schemas.openxmlformats.org/officeDocument/2006/relationships/header" Target="header41.xml"/><Relationship Id="rId19" Type="http://schemas.openxmlformats.org/officeDocument/2006/relationships/header" Target="header6.xml"/><Relationship Id="rId224" Type="http://schemas.openxmlformats.org/officeDocument/2006/relationships/oleObject" Target="embeddings/oleObject59.bin"/><Relationship Id="rId14" Type="http://schemas.openxmlformats.org/officeDocument/2006/relationships/footer" Target="footer4.xml"/><Relationship Id="rId30" Type="http://schemas.openxmlformats.org/officeDocument/2006/relationships/footer" Target="footer10.xml"/><Relationship Id="rId35" Type="http://schemas.openxmlformats.org/officeDocument/2006/relationships/footer" Target="footer12.xml"/><Relationship Id="rId56" Type="http://schemas.openxmlformats.org/officeDocument/2006/relationships/header" Target="header24.xml"/><Relationship Id="rId77" Type="http://schemas.openxmlformats.org/officeDocument/2006/relationships/oleObject" Target="embeddings/oleObject5.bin"/><Relationship Id="rId100" Type="http://schemas.openxmlformats.org/officeDocument/2006/relationships/oleObject" Target="embeddings/oleObject15.bin"/><Relationship Id="rId105" Type="http://schemas.openxmlformats.org/officeDocument/2006/relationships/oleObject" Target="embeddings/oleObject18.bin"/><Relationship Id="rId126" Type="http://schemas.openxmlformats.org/officeDocument/2006/relationships/oleObject" Target="embeddings/oleObject30.bin"/><Relationship Id="rId147" Type="http://schemas.openxmlformats.org/officeDocument/2006/relationships/header" Target="header34.xml"/><Relationship Id="rId168" Type="http://schemas.openxmlformats.org/officeDocument/2006/relationships/hyperlink" Target="http://oig.hhs.gov/oei/reports/oei-05-05-00240.pdf" TargetMode="Externa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image" Target="media/image4.wmf"/><Relationship Id="rId93" Type="http://schemas.openxmlformats.org/officeDocument/2006/relationships/oleObject" Target="embeddings/oleObject11.bin"/><Relationship Id="rId98" Type="http://schemas.openxmlformats.org/officeDocument/2006/relationships/image" Target="media/image15.wmf"/><Relationship Id="rId121" Type="http://schemas.openxmlformats.org/officeDocument/2006/relationships/oleObject" Target="embeddings/oleObject26.bin"/><Relationship Id="rId142" Type="http://schemas.openxmlformats.org/officeDocument/2006/relationships/image" Target="media/image34.wmf"/><Relationship Id="rId163" Type="http://schemas.openxmlformats.org/officeDocument/2006/relationships/hyperlink" Target="http://www.cdc.gov/hiv/topics/surveillance/resources/reports/" TargetMode="External"/><Relationship Id="rId184" Type="http://schemas.openxmlformats.org/officeDocument/2006/relationships/footer" Target="footer39.xml"/><Relationship Id="rId189" Type="http://schemas.openxmlformats.org/officeDocument/2006/relationships/image" Target="media/image40.wmf"/><Relationship Id="rId219" Type="http://schemas.openxmlformats.org/officeDocument/2006/relationships/image" Target="media/image55.wmf"/><Relationship Id="rId3" Type="http://schemas.openxmlformats.org/officeDocument/2006/relationships/styles" Target="styles.xml"/><Relationship Id="rId214" Type="http://schemas.openxmlformats.org/officeDocument/2006/relationships/oleObject" Target="embeddings/oleObject54.bin"/><Relationship Id="rId230" Type="http://schemas.openxmlformats.org/officeDocument/2006/relationships/header" Target="header42.xml"/><Relationship Id="rId25" Type="http://schemas.openxmlformats.org/officeDocument/2006/relationships/oleObject" Target="embeddings/oleObject1.bin"/><Relationship Id="rId46" Type="http://schemas.openxmlformats.org/officeDocument/2006/relationships/footer" Target="footer18.xml"/><Relationship Id="rId67" Type="http://schemas.openxmlformats.org/officeDocument/2006/relationships/footer" Target="footer28.xml"/><Relationship Id="rId116" Type="http://schemas.openxmlformats.org/officeDocument/2006/relationships/image" Target="media/image23.wmf"/><Relationship Id="rId137" Type="http://schemas.openxmlformats.org/officeDocument/2006/relationships/oleObject" Target="embeddings/oleObject36.bin"/><Relationship Id="rId158" Type="http://schemas.openxmlformats.org/officeDocument/2006/relationships/hyperlink" Target="http://www.cdc.gov/hiv/library/reports/surveillance/" TargetMode="External"/><Relationship Id="rId20" Type="http://schemas.openxmlformats.org/officeDocument/2006/relationships/footer" Target="footer7.xml"/><Relationship Id="rId41" Type="http://schemas.openxmlformats.org/officeDocument/2006/relationships/header" Target="header16.xml"/><Relationship Id="rId62" Type="http://schemas.openxmlformats.org/officeDocument/2006/relationships/footer" Target="footer25.xml"/><Relationship Id="rId83" Type="http://schemas.openxmlformats.org/officeDocument/2006/relationships/oleObject" Target="embeddings/oleObject8.bin"/><Relationship Id="rId88" Type="http://schemas.openxmlformats.org/officeDocument/2006/relationships/image" Target="media/image10.wmf"/><Relationship Id="rId111" Type="http://schemas.openxmlformats.org/officeDocument/2006/relationships/oleObject" Target="embeddings/oleObject21.bin"/><Relationship Id="rId132" Type="http://schemas.openxmlformats.org/officeDocument/2006/relationships/oleObject" Target="embeddings/oleObject33.bin"/><Relationship Id="rId153" Type="http://schemas.openxmlformats.org/officeDocument/2006/relationships/image" Target="media/image37.png"/><Relationship Id="rId174" Type="http://schemas.openxmlformats.org/officeDocument/2006/relationships/hyperlink" Target="https://www.aids.gov/federal-resources/national-hiv-aids-strategy/nhas-update.pdf" TargetMode="External"/><Relationship Id="rId179" Type="http://schemas.openxmlformats.org/officeDocument/2006/relationships/footer" Target="footer35.xml"/><Relationship Id="rId195" Type="http://schemas.openxmlformats.org/officeDocument/2006/relationships/image" Target="media/image43.wmf"/><Relationship Id="rId209" Type="http://schemas.openxmlformats.org/officeDocument/2006/relationships/image" Target="media/image50.wmf"/><Relationship Id="rId190" Type="http://schemas.openxmlformats.org/officeDocument/2006/relationships/oleObject" Target="embeddings/oleObject42.bin"/><Relationship Id="rId204" Type="http://schemas.openxmlformats.org/officeDocument/2006/relationships/oleObject" Target="embeddings/oleObject49.bin"/><Relationship Id="rId220" Type="http://schemas.openxmlformats.org/officeDocument/2006/relationships/oleObject" Target="embeddings/oleObject57.bin"/><Relationship Id="rId225" Type="http://schemas.openxmlformats.org/officeDocument/2006/relationships/image" Target="media/image58.wmf"/><Relationship Id="rId15" Type="http://schemas.openxmlformats.org/officeDocument/2006/relationships/footer" Target="footer5.xml"/><Relationship Id="rId36" Type="http://schemas.openxmlformats.org/officeDocument/2006/relationships/footer" Target="footer13.xml"/><Relationship Id="rId57" Type="http://schemas.openxmlformats.org/officeDocument/2006/relationships/header" Target="header25.xml"/><Relationship Id="rId106" Type="http://schemas.openxmlformats.org/officeDocument/2006/relationships/image" Target="media/image18.wmf"/><Relationship Id="rId127" Type="http://schemas.openxmlformats.org/officeDocument/2006/relationships/image" Target="media/image27.wmf"/><Relationship Id="rId10" Type="http://schemas.openxmlformats.org/officeDocument/2006/relationships/footer" Target="footer1.xml"/><Relationship Id="rId31" Type="http://schemas.openxmlformats.org/officeDocument/2006/relationships/footer" Target="footer11.xml"/><Relationship Id="rId52" Type="http://schemas.openxmlformats.org/officeDocument/2006/relationships/header" Target="header22.xml"/><Relationship Id="rId73" Type="http://schemas.openxmlformats.org/officeDocument/2006/relationships/oleObject" Target="embeddings/oleObject3.bin"/><Relationship Id="rId78" Type="http://schemas.openxmlformats.org/officeDocument/2006/relationships/image" Target="media/image7.wmf"/><Relationship Id="rId94" Type="http://schemas.openxmlformats.org/officeDocument/2006/relationships/image" Target="media/image13.wmf"/><Relationship Id="rId99" Type="http://schemas.openxmlformats.org/officeDocument/2006/relationships/oleObject" Target="embeddings/oleObject14.bin"/><Relationship Id="rId101" Type="http://schemas.openxmlformats.org/officeDocument/2006/relationships/oleObject" Target="embeddings/oleObject16.bin"/><Relationship Id="rId122" Type="http://schemas.openxmlformats.org/officeDocument/2006/relationships/oleObject" Target="embeddings/oleObject27.bin"/><Relationship Id="rId143" Type="http://schemas.openxmlformats.org/officeDocument/2006/relationships/oleObject" Target="embeddings/oleObject39.bin"/><Relationship Id="rId148" Type="http://schemas.openxmlformats.org/officeDocument/2006/relationships/image" Target="media/image35.jpeg"/><Relationship Id="rId164" Type="http://schemas.openxmlformats.org/officeDocument/2006/relationships/hyperlink" Target="http://aidsinfo.nih.gov/contentfiles/AdultandAdolescentGL000721.pdf" TargetMode="External"/><Relationship Id="rId169" Type="http://schemas.openxmlformats.org/officeDocument/2006/relationships/hyperlink" Target="http://www.ncbi.nlm.nih.gov/pubmed/16878047" TargetMode="External"/><Relationship Id="rId185"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footer" Target="footer36.xml"/><Relationship Id="rId210" Type="http://schemas.openxmlformats.org/officeDocument/2006/relationships/oleObject" Target="embeddings/oleObject52.bin"/><Relationship Id="rId215" Type="http://schemas.openxmlformats.org/officeDocument/2006/relationships/image" Target="media/image53.wmf"/><Relationship Id="rId26" Type="http://schemas.openxmlformats.org/officeDocument/2006/relationships/header" Target="header8.xml"/><Relationship Id="rId231" Type="http://schemas.openxmlformats.org/officeDocument/2006/relationships/footer" Target="footer40.xml"/><Relationship Id="rId47" Type="http://schemas.openxmlformats.org/officeDocument/2006/relationships/header" Target="header19.xml"/><Relationship Id="rId68" Type="http://schemas.openxmlformats.org/officeDocument/2006/relationships/header" Target="header30.xml"/><Relationship Id="rId89" Type="http://schemas.openxmlformats.org/officeDocument/2006/relationships/oleObject" Target="embeddings/oleObject9.bin"/><Relationship Id="rId112" Type="http://schemas.openxmlformats.org/officeDocument/2006/relationships/image" Target="media/image21.wmf"/><Relationship Id="rId133" Type="http://schemas.openxmlformats.org/officeDocument/2006/relationships/image" Target="media/image30.wmf"/><Relationship Id="rId154" Type="http://schemas.openxmlformats.org/officeDocument/2006/relationships/header" Target="header38.xml"/><Relationship Id="rId175" Type="http://schemas.openxmlformats.org/officeDocument/2006/relationships/hyperlink" Target="http://www.ncbi.nlm.nih.gov/pubmed/15472819" TargetMode="External"/><Relationship Id="rId196" Type="http://schemas.openxmlformats.org/officeDocument/2006/relationships/oleObject" Target="embeddings/oleObject45.bin"/><Relationship Id="rId200" Type="http://schemas.openxmlformats.org/officeDocument/2006/relationships/oleObject" Target="embeddings/oleObject47.bin"/><Relationship Id="rId16" Type="http://schemas.openxmlformats.org/officeDocument/2006/relationships/header" Target="header4.xml"/><Relationship Id="rId221" Type="http://schemas.openxmlformats.org/officeDocument/2006/relationships/image" Target="media/image56.wmf"/><Relationship Id="rId37" Type="http://schemas.openxmlformats.org/officeDocument/2006/relationships/header" Target="header14.xml"/><Relationship Id="rId58" Type="http://schemas.openxmlformats.org/officeDocument/2006/relationships/footer" Target="footer23.xml"/><Relationship Id="rId79" Type="http://schemas.openxmlformats.org/officeDocument/2006/relationships/oleObject" Target="embeddings/oleObject6.bin"/><Relationship Id="rId102" Type="http://schemas.openxmlformats.org/officeDocument/2006/relationships/image" Target="media/image16.wmf"/><Relationship Id="rId123" Type="http://schemas.openxmlformats.org/officeDocument/2006/relationships/oleObject" Target="embeddings/oleObject28.bin"/><Relationship Id="rId144" Type="http://schemas.openxmlformats.org/officeDocument/2006/relationships/header" Target="header33.xml"/><Relationship Id="rId90" Type="http://schemas.openxmlformats.org/officeDocument/2006/relationships/image" Target="media/image11.wmf"/><Relationship Id="rId165" Type="http://schemas.openxmlformats.org/officeDocument/2006/relationships/hyperlink" Target="http://kff.org/global-health-policy/fact-sheet/u-s-federal-funding-for-hivaids-the-presidents-fy-2016-budget-request/" TargetMode="External"/><Relationship Id="rId186" Type="http://schemas.openxmlformats.org/officeDocument/2006/relationships/oleObject" Target="embeddings/oleObject40.bin"/><Relationship Id="rId211" Type="http://schemas.openxmlformats.org/officeDocument/2006/relationships/image" Target="media/image51.wmf"/><Relationship Id="rId232"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465A-0802-4091-927A-2D103576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33447</Words>
  <Characters>190673</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223673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DiVito, Norma</dc:creator>
  <cp:lastModifiedBy>Khurana, Nidhi (CDC/OID/NCHHSTP)</cp:lastModifiedBy>
  <cp:revision>2</cp:revision>
  <cp:lastPrinted>2017-11-03T15:16:00Z</cp:lastPrinted>
  <dcterms:created xsi:type="dcterms:W3CDTF">2018-04-03T15:53:00Z</dcterms:created>
  <dcterms:modified xsi:type="dcterms:W3CDTF">2018-04-03T15:53:00Z</dcterms:modified>
</cp:coreProperties>
</file>