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37" w:rsidRDefault="00B16837"/>
    <w:tbl>
      <w:tblPr>
        <w:tblStyle w:val="Tabel-Gitter"/>
        <w:tblpPr w:leftFromText="180" w:rightFromText="180" w:vertAnchor="page" w:horzAnchor="margin" w:tblpY="840"/>
        <w:tblW w:w="0" w:type="auto"/>
        <w:tblLayout w:type="fixed"/>
        <w:tblLook w:val="04A0" w:firstRow="1" w:lastRow="0" w:firstColumn="1" w:lastColumn="0" w:noHBand="0" w:noVBand="1"/>
      </w:tblPr>
      <w:tblGrid>
        <w:gridCol w:w="3369"/>
        <w:gridCol w:w="6095"/>
      </w:tblGrid>
      <w:tr w:rsidR="007530F3" w:rsidRPr="00503F34" w:rsidTr="007E03D1">
        <w:trPr>
          <w:trHeight w:val="20"/>
        </w:trPr>
        <w:tc>
          <w:tcPr>
            <w:tcW w:w="9464" w:type="dxa"/>
            <w:gridSpan w:val="2"/>
            <w:tcBorders>
              <w:top w:val="nil"/>
              <w:left w:val="nil"/>
              <w:bottom w:val="single" w:sz="4" w:space="0" w:color="auto"/>
              <w:right w:val="nil"/>
            </w:tcBorders>
            <w:vAlign w:val="center"/>
          </w:tcPr>
          <w:p w:rsidR="00B16837" w:rsidRPr="00B16837" w:rsidRDefault="00B16837" w:rsidP="00B16837">
            <w:pPr>
              <w:pStyle w:val="Default"/>
              <w:spacing w:before="240" w:line="360" w:lineRule="auto"/>
              <w:jc w:val="center"/>
              <w:rPr>
                <w:rFonts w:asciiTheme="minorHAnsi" w:hAnsiTheme="minorHAnsi"/>
                <w:b/>
                <w:bCs/>
                <w:lang w:val="en-US"/>
              </w:rPr>
            </w:pPr>
            <w:r>
              <w:rPr>
                <w:rFonts w:asciiTheme="minorHAnsi" w:hAnsiTheme="minorHAnsi"/>
                <w:b/>
                <w:bCs/>
                <w:lang w:val="en-US"/>
              </w:rPr>
              <w:t>Supplementary digital content</w:t>
            </w:r>
          </w:p>
          <w:p w:rsidR="007530F3" w:rsidRPr="00B16837" w:rsidRDefault="007530F3" w:rsidP="00B16837">
            <w:pPr>
              <w:pStyle w:val="Default"/>
              <w:spacing w:before="240" w:line="360" w:lineRule="auto"/>
              <w:jc w:val="both"/>
              <w:rPr>
                <w:rFonts w:asciiTheme="minorHAnsi" w:hAnsiTheme="minorHAnsi"/>
                <w:b/>
                <w:bCs/>
                <w:sz w:val="20"/>
                <w:szCs w:val="20"/>
                <w:lang w:val="en-US"/>
              </w:rPr>
            </w:pPr>
            <w:r w:rsidRPr="00B16837">
              <w:rPr>
                <w:rFonts w:asciiTheme="minorHAnsi" w:hAnsiTheme="minorHAnsi"/>
                <w:b/>
                <w:bCs/>
                <w:sz w:val="20"/>
                <w:szCs w:val="20"/>
                <w:lang w:val="en-US"/>
              </w:rPr>
              <w:t xml:space="preserve">Supplementary Table 1: </w:t>
            </w:r>
            <w:r w:rsidRPr="00B16837">
              <w:rPr>
                <w:rFonts w:asciiTheme="minorHAnsi" w:hAnsiTheme="minorHAnsi"/>
                <w:sz w:val="20"/>
                <w:szCs w:val="20"/>
                <w:lang w:val="en-US"/>
              </w:rPr>
              <w:t>Neuropsychological test battery and calculation of z-scores and global deficit scores (GDS)</w:t>
            </w:r>
            <w:r w:rsidR="00B16837">
              <w:rPr>
                <w:rFonts w:asciiTheme="minorHAnsi" w:hAnsiTheme="minorHAnsi"/>
                <w:sz w:val="20"/>
                <w:szCs w:val="20"/>
                <w:lang w:val="en-US"/>
              </w:rPr>
              <w:t xml:space="preserve"> in the study population</w:t>
            </w:r>
          </w:p>
        </w:tc>
      </w:tr>
      <w:tr w:rsidR="007530F3" w:rsidRPr="00503F34" w:rsidTr="00231F6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30F3" w:rsidRPr="00B16837" w:rsidRDefault="007530F3" w:rsidP="00231F66">
            <w:pPr>
              <w:pStyle w:val="Default"/>
              <w:spacing w:line="360" w:lineRule="auto"/>
              <w:jc w:val="center"/>
              <w:rPr>
                <w:rFonts w:asciiTheme="minorHAnsi" w:hAnsiTheme="minorHAnsi"/>
                <w:sz w:val="20"/>
                <w:szCs w:val="20"/>
              </w:rPr>
            </w:pPr>
            <w:proofErr w:type="spellStart"/>
            <w:r w:rsidRPr="00B16837">
              <w:rPr>
                <w:rFonts w:asciiTheme="minorHAnsi" w:hAnsiTheme="minorHAnsi"/>
                <w:b/>
                <w:bCs/>
                <w:sz w:val="20"/>
                <w:szCs w:val="20"/>
              </w:rPr>
              <w:t>Cognitive</w:t>
            </w:r>
            <w:proofErr w:type="spellEnd"/>
            <w:r w:rsidRPr="00B16837">
              <w:rPr>
                <w:rFonts w:asciiTheme="minorHAnsi" w:hAnsiTheme="minorHAnsi"/>
                <w:b/>
                <w:bCs/>
                <w:sz w:val="20"/>
                <w:szCs w:val="20"/>
              </w:rPr>
              <w:t xml:space="preserve"> domains</w:t>
            </w:r>
          </w:p>
        </w:tc>
        <w:tc>
          <w:tcPr>
            <w:tcW w:w="609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30F3" w:rsidRPr="00B16837" w:rsidRDefault="007530F3" w:rsidP="00231F66">
            <w:pPr>
              <w:pStyle w:val="Default"/>
              <w:spacing w:line="360" w:lineRule="auto"/>
              <w:jc w:val="center"/>
              <w:rPr>
                <w:rFonts w:asciiTheme="minorHAnsi" w:hAnsiTheme="minorHAnsi"/>
                <w:sz w:val="20"/>
                <w:szCs w:val="20"/>
              </w:rPr>
            </w:pPr>
            <w:proofErr w:type="spellStart"/>
            <w:r w:rsidRPr="00B16837">
              <w:rPr>
                <w:rFonts w:asciiTheme="minorHAnsi" w:hAnsiTheme="minorHAnsi"/>
                <w:b/>
                <w:bCs/>
                <w:sz w:val="20"/>
                <w:szCs w:val="20"/>
              </w:rPr>
              <w:t>Individual</w:t>
            </w:r>
            <w:proofErr w:type="spellEnd"/>
            <w:r w:rsidRPr="00B16837">
              <w:rPr>
                <w:rFonts w:asciiTheme="minorHAnsi" w:hAnsiTheme="minorHAnsi"/>
                <w:b/>
                <w:bCs/>
                <w:sz w:val="20"/>
                <w:szCs w:val="20"/>
              </w:rPr>
              <w:t xml:space="preserve"> </w:t>
            </w:r>
            <w:proofErr w:type="spellStart"/>
            <w:r w:rsidRPr="00B16837">
              <w:rPr>
                <w:rFonts w:asciiTheme="minorHAnsi" w:hAnsiTheme="minorHAnsi"/>
                <w:b/>
                <w:bCs/>
                <w:sz w:val="20"/>
                <w:szCs w:val="20"/>
              </w:rPr>
              <w:t>neuropsychological</w:t>
            </w:r>
            <w:proofErr w:type="spellEnd"/>
            <w:r w:rsidRPr="00B16837">
              <w:rPr>
                <w:rFonts w:asciiTheme="minorHAnsi" w:hAnsiTheme="minorHAnsi"/>
                <w:b/>
                <w:bCs/>
                <w:sz w:val="20"/>
                <w:szCs w:val="20"/>
              </w:rPr>
              <w:t xml:space="preserve"> measures</w:t>
            </w:r>
          </w:p>
        </w:tc>
      </w:tr>
      <w:tr w:rsidR="007530F3" w:rsidRPr="00503F34" w:rsidTr="007E03D1">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rPr>
            </w:pPr>
            <w:proofErr w:type="spellStart"/>
            <w:r w:rsidRPr="00B16837">
              <w:rPr>
                <w:rFonts w:asciiTheme="minorHAnsi" w:hAnsiTheme="minorHAnsi"/>
                <w:sz w:val="20"/>
                <w:szCs w:val="20"/>
              </w:rPr>
              <w:t>Executive</w:t>
            </w:r>
            <w:proofErr w:type="spellEnd"/>
            <w:r w:rsidRPr="00B16837">
              <w:rPr>
                <w:rFonts w:asciiTheme="minorHAnsi" w:hAnsiTheme="minorHAnsi"/>
                <w:sz w:val="20"/>
                <w:szCs w:val="20"/>
              </w:rPr>
              <w:t xml:space="preserve"> </w:t>
            </w:r>
            <w:proofErr w:type="spellStart"/>
            <w:r w:rsidRPr="00B16837">
              <w:rPr>
                <w:rFonts w:asciiTheme="minorHAnsi" w:hAnsiTheme="minorHAnsi"/>
                <w:sz w:val="20"/>
                <w:szCs w:val="20"/>
              </w:rPr>
              <w:t>functions</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lang w:val="en-US"/>
              </w:rPr>
            </w:pPr>
            <w:r w:rsidRPr="00B16837">
              <w:rPr>
                <w:rFonts w:asciiTheme="minorHAnsi" w:hAnsiTheme="minorHAnsi"/>
                <w:sz w:val="20"/>
                <w:szCs w:val="20"/>
                <w:lang w:val="en-US"/>
              </w:rPr>
              <w:t>Trail Making Test B (TMT B)</w:t>
            </w:r>
          </w:p>
        </w:tc>
      </w:tr>
      <w:tr w:rsidR="007530F3" w:rsidRPr="00503F34" w:rsidTr="007E03D1">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rPr>
            </w:pPr>
            <w:r w:rsidRPr="00B16837">
              <w:rPr>
                <w:rFonts w:asciiTheme="minorHAnsi" w:hAnsiTheme="minorHAnsi"/>
                <w:sz w:val="20"/>
                <w:szCs w:val="20"/>
              </w:rPr>
              <w:t xml:space="preserve">Verbal </w:t>
            </w:r>
            <w:proofErr w:type="spellStart"/>
            <w:r w:rsidRPr="00B16837">
              <w:rPr>
                <w:rFonts w:asciiTheme="minorHAnsi" w:hAnsiTheme="minorHAnsi"/>
                <w:sz w:val="20"/>
                <w:szCs w:val="20"/>
              </w:rPr>
              <w:t>generativity</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eastAsia="Arial Unicode MS" w:hAnsiTheme="minorHAnsi"/>
                <w:sz w:val="20"/>
                <w:szCs w:val="20"/>
                <w:lang w:val="en-US"/>
              </w:rPr>
            </w:pPr>
            <w:r w:rsidRPr="00B16837">
              <w:rPr>
                <w:rFonts w:asciiTheme="minorHAnsi" w:eastAsia="Arial Unicode MS" w:hAnsiTheme="minorHAnsi"/>
                <w:sz w:val="20"/>
                <w:szCs w:val="20"/>
                <w:lang w:val="en-US"/>
              </w:rPr>
              <w:t>Letter Fluency (S-word)</w:t>
            </w:r>
          </w:p>
          <w:p w:rsidR="007530F3" w:rsidRPr="00B16837" w:rsidRDefault="007530F3" w:rsidP="00231F66">
            <w:pPr>
              <w:pStyle w:val="Default"/>
              <w:spacing w:line="360" w:lineRule="auto"/>
              <w:jc w:val="center"/>
              <w:rPr>
                <w:rFonts w:asciiTheme="minorHAnsi" w:eastAsia="Arial Unicode MS" w:hAnsiTheme="minorHAnsi"/>
                <w:sz w:val="20"/>
                <w:szCs w:val="20"/>
                <w:lang w:val="en-US"/>
              </w:rPr>
            </w:pPr>
            <w:r w:rsidRPr="00B16837">
              <w:rPr>
                <w:rFonts w:asciiTheme="minorHAnsi" w:eastAsia="Arial Unicode MS" w:hAnsiTheme="minorHAnsi"/>
                <w:sz w:val="20"/>
                <w:szCs w:val="20"/>
                <w:lang w:val="en-US"/>
              </w:rPr>
              <w:t>Category Fluency (Animal)</w:t>
            </w:r>
          </w:p>
        </w:tc>
      </w:tr>
      <w:tr w:rsidR="007530F3" w:rsidRPr="00503F34" w:rsidTr="007E03D1">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rPr>
            </w:pPr>
            <w:r w:rsidRPr="00B16837">
              <w:rPr>
                <w:rFonts w:asciiTheme="minorHAnsi" w:hAnsiTheme="minorHAnsi"/>
                <w:sz w:val="20"/>
                <w:szCs w:val="20"/>
              </w:rPr>
              <w:t xml:space="preserve">Verbal </w:t>
            </w:r>
            <w:proofErr w:type="spellStart"/>
            <w:r w:rsidRPr="00B16837">
              <w:rPr>
                <w:rFonts w:asciiTheme="minorHAnsi" w:hAnsiTheme="minorHAnsi"/>
                <w:sz w:val="20"/>
                <w:szCs w:val="20"/>
              </w:rPr>
              <w:t>learning</w:t>
            </w:r>
            <w:proofErr w:type="spellEnd"/>
            <w:r w:rsidRPr="00B16837">
              <w:rPr>
                <w:rFonts w:asciiTheme="minorHAnsi" w:hAnsiTheme="minorHAnsi"/>
                <w:sz w:val="20"/>
                <w:szCs w:val="20"/>
              </w:rPr>
              <w:t xml:space="preserve"> and </w:t>
            </w:r>
            <w:proofErr w:type="spellStart"/>
            <w:r w:rsidRPr="00B16837">
              <w:rPr>
                <w:rFonts w:asciiTheme="minorHAnsi" w:hAnsiTheme="minorHAnsi"/>
                <w:sz w:val="20"/>
                <w:szCs w:val="20"/>
              </w:rPr>
              <w:t>memory</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lang w:val="en-US"/>
              </w:rPr>
            </w:pPr>
            <w:r w:rsidRPr="00B16837">
              <w:rPr>
                <w:rStyle w:val="st1"/>
                <w:rFonts w:asciiTheme="minorHAnsi" w:hAnsiTheme="minorHAnsi"/>
                <w:color w:val="auto"/>
                <w:sz w:val="20"/>
                <w:szCs w:val="20"/>
                <w:lang w:val="en-US"/>
              </w:rPr>
              <w:t>Rey Auditory Verbal Learning Test (RAVLT)</w:t>
            </w:r>
          </w:p>
        </w:tc>
      </w:tr>
      <w:tr w:rsidR="007530F3" w:rsidRPr="00503F34" w:rsidTr="007E03D1">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rPr>
            </w:pPr>
            <w:r w:rsidRPr="00B16837">
              <w:rPr>
                <w:rFonts w:asciiTheme="minorHAnsi" w:hAnsiTheme="minorHAnsi"/>
                <w:sz w:val="20"/>
                <w:szCs w:val="20"/>
              </w:rPr>
              <w:t xml:space="preserve">Speed of information </w:t>
            </w:r>
            <w:proofErr w:type="spellStart"/>
            <w:r w:rsidRPr="00B16837">
              <w:rPr>
                <w:rFonts w:asciiTheme="minorHAnsi" w:hAnsiTheme="minorHAnsi"/>
                <w:sz w:val="20"/>
                <w:szCs w:val="20"/>
              </w:rPr>
              <w:t>processing</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lang w:val="en-US"/>
              </w:rPr>
            </w:pPr>
            <w:r w:rsidRPr="00B16837">
              <w:rPr>
                <w:rFonts w:asciiTheme="minorHAnsi" w:hAnsiTheme="minorHAnsi"/>
                <w:sz w:val="20"/>
                <w:szCs w:val="20"/>
                <w:lang w:val="en-US"/>
              </w:rPr>
              <w:t>Trail Making Test A (TMT A)</w:t>
            </w:r>
          </w:p>
          <w:p w:rsidR="007530F3" w:rsidRPr="00B16837" w:rsidRDefault="007530F3" w:rsidP="00231F66">
            <w:pPr>
              <w:pStyle w:val="Default"/>
              <w:spacing w:line="360" w:lineRule="auto"/>
              <w:jc w:val="center"/>
              <w:rPr>
                <w:rFonts w:asciiTheme="minorHAnsi" w:hAnsiTheme="minorHAnsi"/>
                <w:sz w:val="20"/>
                <w:szCs w:val="20"/>
              </w:rPr>
            </w:pPr>
            <w:r w:rsidRPr="00B16837">
              <w:rPr>
                <w:rFonts w:asciiTheme="minorHAnsi" w:hAnsiTheme="minorHAnsi"/>
                <w:sz w:val="20"/>
                <w:szCs w:val="20"/>
                <w:lang w:val="en"/>
              </w:rPr>
              <w:t>Symbol Digit Modalities Test (SDMT)</w:t>
            </w:r>
          </w:p>
        </w:tc>
      </w:tr>
      <w:tr w:rsidR="007530F3" w:rsidRPr="00503F34" w:rsidTr="007E03D1">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rPr>
            </w:pPr>
            <w:proofErr w:type="spellStart"/>
            <w:r w:rsidRPr="00B16837">
              <w:rPr>
                <w:rFonts w:asciiTheme="minorHAnsi" w:hAnsiTheme="minorHAnsi"/>
                <w:sz w:val="20"/>
                <w:szCs w:val="20"/>
              </w:rPr>
              <w:t>Premorbid</w:t>
            </w:r>
            <w:proofErr w:type="spellEnd"/>
            <w:r w:rsidRPr="00B16837">
              <w:rPr>
                <w:rFonts w:asciiTheme="minorHAnsi" w:hAnsiTheme="minorHAnsi"/>
                <w:sz w:val="20"/>
                <w:szCs w:val="20"/>
              </w:rPr>
              <w:t xml:space="preserve"> verbal </w:t>
            </w:r>
            <w:proofErr w:type="spellStart"/>
            <w:r w:rsidRPr="00B16837">
              <w:rPr>
                <w:rFonts w:asciiTheme="minorHAnsi" w:hAnsiTheme="minorHAnsi"/>
                <w:sz w:val="20"/>
                <w:szCs w:val="20"/>
              </w:rPr>
              <w:t>intelligence</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sz w:val="20"/>
                <w:szCs w:val="20"/>
                <w:lang w:val="en"/>
              </w:rPr>
            </w:pPr>
            <w:r w:rsidRPr="00B16837">
              <w:rPr>
                <w:rFonts w:asciiTheme="minorHAnsi" w:hAnsiTheme="minorHAnsi"/>
                <w:sz w:val="20"/>
                <w:szCs w:val="20"/>
                <w:lang w:val="en"/>
              </w:rPr>
              <w:t>WAIS-III (WAIS-III) subtest</w:t>
            </w:r>
          </w:p>
          <w:p w:rsidR="007530F3" w:rsidRPr="00B16837" w:rsidRDefault="007530F3" w:rsidP="00231F66">
            <w:pPr>
              <w:pStyle w:val="Default"/>
              <w:spacing w:line="360" w:lineRule="auto"/>
              <w:jc w:val="center"/>
              <w:rPr>
                <w:rFonts w:asciiTheme="minorHAnsi" w:hAnsiTheme="minorHAnsi"/>
                <w:sz w:val="20"/>
                <w:szCs w:val="20"/>
                <w:lang w:val="en-US"/>
              </w:rPr>
            </w:pPr>
            <w:r w:rsidRPr="00B16837">
              <w:rPr>
                <w:rFonts w:asciiTheme="minorHAnsi" w:hAnsiTheme="minorHAnsi"/>
                <w:sz w:val="20"/>
                <w:szCs w:val="20"/>
                <w:lang w:val="en"/>
              </w:rPr>
              <w:t>The Danish Adult Reading Test (DART)</w:t>
            </w:r>
          </w:p>
        </w:tc>
      </w:tr>
      <w:tr w:rsidR="007E03D1" w:rsidRPr="00503F34" w:rsidTr="00231F66">
        <w:trPr>
          <w:trHeight w:val="508"/>
        </w:trPr>
        <w:tc>
          <w:tcPr>
            <w:tcW w:w="946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E03D1" w:rsidRPr="00B16837" w:rsidRDefault="00231F66" w:rsidP="00231F66">
            <w:pPr>
              <w:pStyle w:val="Default"/>
              <w:spacing w:line="360" w:lineRule="auto"/>
              <w:jc w:val="center"/>
              <w:rPr>
                <w:rStyle w:val="Sidetal"/>
                <w:rFonts w:asciiTheme="minorHAnsi" w:hAnsiTheme="minorHAnsi" w:cs="Arial"/>
                <w:b/>
                <w:sz w:val="20"/>
                <w:szCs w:val="20"/>
                <w:lang w:val="en-US"/>
              </w:rPr>
            </w:pPr>
            <w:r w:rsidRPr="00B16837">
              <w:rPr>
                <w:rFonts w:asciiTheme="minorHAnsi" w:hAnsiTheme="minorHAnsi"/>
                <w:b/>
                <w:sz w:val="20"/>
                <w:szCs w:val="20"/>
                <w:lang w:val="en-US"/>
              </w:rPr>
              <w:t>Calculation of z-scores and global deficit scores (GDS)</w:t>
            </w:r>
          </w:p>
        </w:tc>
      </w:tr>
      <w:tr w:rsidR="007530F3" w:rsidRPr="00503F34" w:rsidTr="007E03D1">
        <w:trPr>
          <w:trHeight w:val="1241"/>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cs="Arial"/>
                <w:sz w:val="20"/>
                <w:szCs w:val="20"/>
                <w:lang w:val="en-US"/>
              </w:rPr>
            </w:pPr>
            <w:r w:rsidRPr="00B16837">
              <w:rPr>
                <w:rFonts w:asciiTheme="minorHAnsi" w:hAnsiTheme="minorHAnsi" w:cs="Arial"/>
                <w:sz w:val="20"/>
                <w:szCs w:val="20"/>
              </w:rPr>
              <w:t>Z-scores</w:t>
            </w:r>
            <w:r w:rsidRPr="00B16837">
              <w:rPr>
                <w:rFonts w:asciiTheme="minorHAnsi" w:hAnsiTheme="minorHAnsi" w:cs="Arial"/>
                <w:sz w:val="20"/>
                <w:szCs w:val="20"/>
              </w:rPr>
              <w:fldChar w:fldCharType="begin" w:fldLock="1"/>
            </w:r>
            <w:r w:rsidR="002455FE">
              <w:rPr>
                <w:rFonts w:asciiTheme="minorHAnsi" w:hAnsiTheme="minorHAnsi" w:cs="Arial"/>
                <w:sz w:val="20"/>
                <w:szCs w:val="20"/>
              </w:rPr>
              <w:instrText>ADDIN CSL_CITATION { "citationItems" : [ { "id" : "ITEM-1", "itemData" : { "DOI" : "10.1007/s13365-014-0242-x", "ISSN" : "1538-2443", "PMID" : "24696363", "abstract" : "The Australian HIV-infected (HIV+) population is largely comprised of high-functioning men who have sex with men (MSM). Like other English-speaking countries, Australia mostly relies on US neuropsychological normative standards to detect and determine the prevalence of neurological disorders. Whether the US neuropsychological (NP) normative standards are appropriate in Australian HIV+ MSM has not been established. Ninety virally suppressed HIV+ and 49 HIV-uninfected (HIV-) men (respectively 86 and 85 % self-reported MSM; mean age 54 and 56 years, mean premorbid verbal IQ estimate 110 and 111) undertook standard NP testing. The raw neuropsychological data were transformed using the following: (1) US standards as uncorrected scaled scores and demographically corrected T scores (US norms); and (2) z scores (without demographic corrections) derived from Australian comparison group scaled scores (local norms). To determine HIV-associated neurocognitive disorder prevalence, we used a standard definition of impairment based upon a battery-wide summary score: the global deficit score (GDS). Impairment classification (GDS\u2009\u2265\u20090.5) based on the local norms was best at discriminating between the two groups (HIV-\u2009=\u200914.3 % vs. HIV+\u2009=\u200953.3 %; p\u2009&lt;\u20090.0001). This definition was significantly associated with age. Impairment classification based on the US norms yielded much lower impairment rate regardless of the HIV status (HIV-\u2009=\u20094.1 % vs. HIV+\u2009=\u200914.7 %; p\u2009=\u20090.05), but was associated with historical AIDS, and not age. Both types of summary scores were associated with reduced independence in activities of daily living (p\u2009\u2264\u20090.03). Accurate neuropsychological classifications of high (or low) functioning individuals may need country-specific norms that correct for performance-based (e.g., reading) estimates of premorbid cognition in addition to the traditional demographic factors.", "author" : [ { "dropping-particle" : "", "family" : "Cysique", "given" : "Lucette A", "non-dropping-particle" : "", "parse-names" : false, "suffix" : "" }, { "dropping-particle" : "", "family" : "Heaton", "given" : "Robert K", "non-dropping-particle" : "", "parse-names" : false, "suffix" : "" }, { "dropping-particle" : "", "family" : "Kamminga", "given" : "Jody", "non-dropping-particle" : "", "parse-names" : false, "suffix" : "" }, { "dropping-particle" : "", "family" : "Lane", "given" : "Tammy", "non-dropping-particle" : "", "parse-names" : false, "suffix" : "" }, { "dropping-particle" : "", "family" : "Gates", "given" : "Thomas M", "non-dropping-particle" : "", "parse-names" : false, "suffix" : "" }, { "dropping-particle" : "", "family" : "Moore", "given" : "Danielle M", "non-dropping-particle" : "", "parse-names" : false, "suffix" : "" }, { "dropping-particle" : "", "family" : "Hubner", "given" : "Emma", "non-dropping-particle" : "", "parse-names" : false, "suffix" : "" }, { "dropping-particle" : "", "family" : "Carr", "given" : "Andrew", "non-dropping-particle" : "", "parse-names" : false, "suffix" : "" }, { "dropping-particle" : "", "family" : "Brew", "given" : "Bruce J", "non-dropping-particle" : "", "parse-names" : false, "suffix" : "" } ], "container-title" : "Journal of neurovirology", "id" : "ITEM-1", "issue" : "3", "issued" : { "date-parts" : [ [ "2014", "6" ] ] }, "page" : "258-68", "publisher" : "NIH Public Access", "title" : "HIV-associated neurocognitive disorder in Australia: a case of a high-functioning and optimally treated cohort and implications for international neuroHIV research.", "type" : "article-journal", "volume" : "20" }, "uris" : [ "http://www.mendeley.com/documents/?uuid=91c2855c-1a1c-35c7-a6b4-51422f43486b" ] }, { "id" : "ITEM-2", "itemData" : { "DOI" : "10.1093/cid/ciw399", "ISSN" : "1537-6591", "PMID" : "27325690", "abstract" : "BACKGROUND Human immunodeficiency virus (HIV)-associated neurocognitive disorders (HAND) are not routinely assessed due to the lack of an adequate screening strategy. We aimed to develop a clinically relevant screening procedure for symptomatic HAND, validated against a gold standard neuropsychological (NP) test battery. METHODS Representative HIV-infected (HIV+) and demographically matched HIV-uninfected (HIV-) participants in an observational study completed a standard evaluation for mood, drug and/or alcohol use, and activities of daily living and a newly designed 20-minute computerized CogState battery that assessed 5 cognitive domains. A subset completed standard NP assessment for 8 cognitive domains. HAND definition on screening and gold standard NP was determined using demographically corrected z scores and the global deficit score (\u2265 0.5), applying the Frascati criteria. Participants were blinded to screening results, and the NP examiner was blinded to screening and HIV status. RESULTS A total of 254 HIV+ participants were enrolled-mean age, 48.9 \u00b1 10.2 years; median nadir CD4, 270 cells/mL; tertiary educated, 54%; and HIV- controls, 72. HIV+ HAND screening prevalence was 30.7% (HIV-associated dementia, 3.2%; mild neurocognitive disorder, 12.6%; and asymptomatic neurocognitive disorder, 15.0%; HIV- group: 13.9%; P = .004). Of the 75 participants who completed the NP battery, the HAND rate in the HIV+ group was 50.9% vs 43.4% by screening (P &gt; .50). HAND screening vs gold standard NP sensitivity was 76% and specificity was 71%. Clinically relevant HIV-associated dementia and mild neurocognitive disorder sensitivity was 100% and specificity was 98% (positive predictive value 0.92). CONCLUSIONS Symptomatic HAND warranting neurological review was accurately predicted using a CogState-based screening procedure.", "author" : [ { "dropping-particle" : "", "family" : "Bloch", "given" : "Mark", "non-dropping-particle" : "", "parse-names" : false, "suffix" : "" }, { "dropping-particle" : "", "family" : "Kamminga", "given" : "Jody", "non-dropping-particle" : "", "parse-names" : false, "suffix" : "" }, { "dropping-particle" : "", "family" : "Jayewardene", "given" : "Avindra", "non-dropping-particle" : "", "parse-names" : false, "suffix" : "" }, { "dropping-particle" : "", "family" : "Bailey", "given" : "Michael", "non-dropping-particle" : "", "parse-names" : false, "suffix" : "" }, { "dropping-particle" : "", "family" : "Carberry", "given" : "Angela", "non-dropping-particle" : "", "parse-names" : false, "suffix" : "" }, { "dropping-particle" : "", "family" : "Vincent", "given" : "Trina", "non-dropping-particle" : "",</w:instrText>
            </w:r>
            <w:r w:rsidR="002455FE" w:rsidRPr="002455FE">
              <w:rPr>
                <w:rFonts w:asciiTheme="minorHAnsi" w:hAnsiTheme="minorHAnsi" w:cs="Arial"/>
                <w:sz w:val="20"/>
                <w:szCs w:val="20"/>
                <w:lang w:val="en-US"/>
              </w:rPr>
              <w:instrText xml:space="preserve"> "parse-names" : false, "suffix" : "" }, { "dropping-particle" : "", "family" : "Quan", "given" : "Dick", "non-dropping-particle" : "", "parse-names" : false, "suffix" : "" }, { "dropping-particle" : "", "family" : "Maruff", "given" : "Paul", "non-dropping-particle" : "", "parse-names" : false, "suffix" : "" }, { "dropping-particle" : "", "family" : "Brew", "given" : "Bruce", "non-dropping-particle" : "", "parse-names" : false, "suffix" : "" }, { "dropping-particle" : "", "family" : "Cysique", "given" : "Lucette A", "non-dropping-particle" : "", "parse-names" : false, "suffix" : "" } ], "container-title" : "Clinical infectious diseases : an official publication of the Infectious Diseases Society of America", "id" : "ITEM-2", "issue" : "5", "issued" : { "date-parts" : [ [ "2016", "9", "1" ] ] }, "page" : "687-693", "publisher" : "Oxford University Press", "title" : "A Screening Strategy for HIV-Associated Neurocognitive Disorders That Accurately Identifies Patients Requiring Neurological Review.", "type" : "article-journal", "volume" : "63" }, "uris" : [ "http://www.mendeley.com/documents/?uuid=bb3fe5f0-dbe4-3ba8-a929-aa24ece19aaa" ] } ], "mendeley" : { "formattedCitation" : "(Bloch et al., 2016; Cysique et al., 2014)", "plainTextFormattedCitation" : "(Bloch et al., 2016; Cysique et al., 2014)", "previouslyFormattedCitation" : "&lt;sup&gt;38,39&lt;/sup&gt;" }, "properties" : { "noteIndex" : 0 }, "schema" : "https://github.com/citation-style-language/schema/raw/master/csl-citation.json" }</w:instrText>
            </w:r>
            <w:r w:rsidRPr="00B16837">
              <w:rPr>
                <w:rFonts w:asciiTheme="minorHAnsi" w:hAnsiTheme="minorHAnsi" w:cs="Arial"/>
                <w:sz w:val="20"/>
                <w:szCs w:val="20"/>
              </w:rPr>
              <w:fldChar w:fldCharType="separate"/>
            </w:r>
            <w:r w:rsidR="002455FE" w:rsidRPr="002455FE">
              <w:rPr>
                <w:rFonts w:asciiTheme="minorHAnsi" w:hAnsiTheme="minorHAnsi" w:cs="Arial"/>
                <w:noProof/>
                <w:sz w:val="20"/>
                <w:szCs w:val="20"/>
                <w:lang w:val="en-US"/>
              </w:rPr>
              <w:t>(Bloch et al., 2016; Cysique et al., 2014)</w:t>
            </w:r>
            <w:r w:rsidRPr="00B16837">
              <w:rPr>
                <w:rFonts w:asciiTheme="minorHAnsi" w:hAnsiTheme="minorHAnsi" w:cs="Arial"/>
                <w:sz w:val="20"/>
                <w:szCs w:val="20"/>
              </w:rPr>
              <w:fldChar w:fldCharType="end"/>
            </w:r>
          </w:p>
          <w:p w:rsidR="007530F3" w:rsidRPr="00B16837" w:rsidRDefault="007530F3" w:rsidP="00231F66">
            <w:pPr>
              <w:pStyle w:val="Default"/>
              <w:spacing w:line="360" w:lineRule="auto"/>
              <w:jc w:val="center"/>
              <w:rPr>
                <w:rFonts w:asciiTheme="minorHAnsi" w:hAnsiTheme="minorHAnsi" w:cs="Arial"/>
                <w:sz w:val="20"/>
                <w:szCs w:val="20"/>
                <w:lang w:val="en-US"/>
              </w:rPr>
            </w:pPr>
          </w:p>
        </w:tc>
        <w:tc>
          <w:tcPr>
            <w:tcW w:w="6095" w:type="dxa"/>
            <w:tcBorders>
              <w:top w:val="single" w:sz="4" w:space="0" w:color="auto"/>
              <w:left w:val="single" w:sz="4" w:space="0" w:color="auto"/>
              <w:right w:val="single" w:sz="4" w:space="0" w:color="auto"/>
            </w:tcBorders>
            <w:vAlign w:val="center"/>
          </w:tcPr>
          <w:p w:rsidR="007530F3" w:rsidRPr="00B16837" w:rsidRDefault="007530F3" w:rsidP="00231F66">
            <w:pPr>
              <w:pStyle w:val="Default"/>
              <w:spacing w:line="360" w:lineRule="auto"/>
              <w:jc w:val="both"/>
              <w:rPr>
                <w:rFonts w:asciiTheme="minorHAnsi" w:hAnsiTheme="minorHAnsi" w:cs="Arial"/>
                <w:sz w:val="20"/>
                <w:szCs w:val="20"/>
                <w:lang w:val="en-US"/>
              </w:rPr>
            </w:pPr>
            <w:r w:rsidRPr="00B16837">
              <w:rPr>
                <w:rStyle w:val="Sidetal"/>
                <w:rFonts w:asciiTheme="minorHAnsi" w:hAnsiTheme="minorHAnsi" w:cs="Arial"/>
                <w:sz w:val="20"/>
                <w:szCs w:val="20"/>
                <w:lang w:val="en-US"/>
              </w:rPr>
              <w:t>Raw scores from the neuropsychological tests were transformed into scaled z-scores to approach the normal distribution and to place all scores on the same metric. Mean and SD from HIV-uninfected controls were used as normative reference and z-scores were created for both PLWHIV and HIV-uninfected controls. PLWHIV and HIV-uninfected controls had comparable demographics. The z-score mean is 0 and the SD is 1.</w:t>
            </w:r>
          </w:p>
        </w:tc>
      </w:tr>
      <w:tr w:rsidR="007530F3" w:rsidRPr="002455FE" w:rsidTr="007E03D1">
        <w:trPr>
          <w:trHeight w:val="2138"/>
        </w:trPr>
        <w:tc>
          <w:tcPr>
            <w:tcW w:w="3369" w:type="dxa"/>
            <w:tcBorders>
              <w:top w:val="single" w:sz="4" w:space="0" w:color="auto"/>
              <w:left w:val="single" w:sz="4" w:space="0" w:color="auto"/>
              <w:bottom w:val="single" w:sz="4" w:space="0" w:color="auto"/>
              <w:right w:val="single" w:sz="4" w:space="0" w:color="auto"/>
            </w:tcBorders>
            <w:vAlign w:val="center"/>
          </w:tcPr>
          <w:p w:rsidR="007530F3" w:rsidRPr="00B16837" w:rsidRDefault="007530F3" w:rsidP="00231F66">
            <w:pPr>
              <w:pStyle w:val="Default"/>
              <w:spacing w:line="360" w:lineRule="auto"/>
              <w:jc w:val="center"/>
              <w:rPr>
                <w:rFonts w:asciiTheme="minorHAnsi" w:hAnsiTheme="minorHAnsi" w:cs="Arial"/>
                <w:sz w:val="20"/>
                <w:szCs w:val="20"/>
                <w:lang w:val="en-US"/>
              </w:rPr>
            </w:pPr>
            <w:r w:rsidRPr="00B16837">
              <w:rPr>
                <w:rFonts w:asciiTheme="minorHAnsi" w:hAnsiTheme="minorHAnsi" w:cs="Arial"/>
                <w:sz w:val="20"/>
                <w:szCs w:val="20"/>
                <w:lang w:val="en-US"/>
              </w:rPr>
              <w:t>GDS-scores</w:t>
            </w:r>
            <w:r w:rsidRPr="00B16837">
              <w:rPr>
                <w:rFonts w:asciiTheme="minorHAnsi" w:hAnsiTheme="minorHAnsi" w:cs="Arial"/>
                <w:sz w:val="20"/>
                <w:szCs w:val="20"/>
              </w:rPr>
              <w:fldChar w:fldCharType="begin" w:fldLock="1"/>
            </w:r>
            <w:r w:rsidR="002455FE">
              <w:rPr>
                <w:rFonts w:asciiTheme="minorHAnsi" w:hAnsiTheme="minorHAnsi" w:cs="Arial"/>
                <w:sz w:val="20"/>
                <w:szCs w:val="20"/>
                <w:lang w:val="en-US"/>
              </w:rPr>
              <w:instrText>ADDIN CSL_CITATION { "citationItems" : [ { "id" : "ITEM-1", "itemData" : { "DOI" : "10.1080/13803390490510031", "ISSN" : "1380-3395", "PMID" : "15512922", "abstract" : "The current study explored the predictive validity of the Global Deficit Score (GDS) approach in summarizing neuropsychological (NP) test results, and specifically in detecting HIV-associated cognitive impairment. A comprehensive NP test battery was administered to 88 HIV+ subjects and 61 healthy HIV- controls comparable for age, education, and ethnicity. Demographically corrected test data were converted to a GDS, which simulates clinicians' ratings by quantifying the number and degree of impaired performances throughout the test battery while attaching relatively less significance to superior performances and/or those within normal limits. Our results indicated that the GDS approach effectively discriminated HIV+ and normal control groups, and accurately classified HIV+ individuals with NP impairment based on the \"gold standard\" clinical rating approach. Consistent with previous studies using different subject samples and different NP test batteries, the GDS cutpoint of &gt;or=0.50 yielded optimal balance between sensitivity and specificity in classifying NP impairment, thus supporting the generalizability of the method. Moreover, the ability of the GDS to predict NP impairment across several cutpoints was quite strong, with positive predictive power values ranging from 0.71 to 1.00. These findings support the validity of the GDS as a clinically useful way of summarizing results on NP testing.", "author" : [ { "dropping-particle" : "", "family" : "Carey", "given" : "Catherine L.", "non-dropping-particle" : "", "parse-names" : false, "suffix" : "" }, { "dropping-particle" : "", "family" : "Woods", "given" : "Steven Paul", "non-dropping-particle" : "", "parse-names" : false, "suffix" : "" }, { "dropping-particle" : "", "family" : "Gonzalez", "given" : "Raul", "non-dropping-particle" : "", "parse-names" : false, "suffix" : "" }, { "dropping-particle" : "", "family" : "Conover", "given" : "Emily", "non-dropping-particle" : "", "parse-names" : false, "suffix" : "" }, { "dropping-particle" : "", "family" : "Marcotte", "given" : "Thomas D.", "non-dropping-particle" : "", "parse-names" : false, "suffix" : "" }, { "dropping-particle" : "", "family" : "Grant", "given" : "Igor", "non-dropping-particle" : "", "parse-names" : false, "suffix" : "" }, { "dropping-particle" : "", "family" : "Heaton", "given" : "Robert K.", "non-dropping-particle" : "", "parse-names" : false, "suffix" : "" }, { "dropping-particle" : "", "family" : "HNRC Group", "given" : "", "non-dropping-particle" : "", "parse-names" : false, "suffix" : "" } ], "container-title" : "Journal of Clinical and Experimental Neuropsychology", "id" : "ITEM-1", "issue" : "3", "issued" : { "date-parts" : [ [ "2004", "5" ] ] }, "page" : "307-319", "title" : "Predictive Validity of Global Deficit Scores in Detecting Neuropsychological Impairment in HIV Infection", "type" : "article-journal", "volume" : "26" }, "uris" : [ "http://www.mendeley.com/documents/?uuid=2bbdf73a-e996-39f9-8014-4b14b9a50a34" ] }, { "id" : "ITEM-2", "itemData" : { "DOI" : "10.1080/13854046.2012.694479", "ISSN" : "1744-4144", "PMID" : "22708483", "abstract" : "Because HIV-related neurocognitive impairment is usually mild and variable, clinical ratings (CR) and global deficit scores (GDS) are recommended for detecting HIV-associated neurocognitive disorders (HAND). The CR approach requires impairment in at least two ability domains while the GDS considers number and severity of impairments across all measures. We examined classification agreement and clinical correlates of the two methods. Neurocognitive functioning of 1574 HIV-infected participants was assessed via a comprehensive, seven-domain neuropsychological battery. Global neurocognitive impairment was defined for each participant independently by CR and GDS. Participants were classified into four categories (Dually-normal, [impaired by] CR-only, [impaired by] GDS-only, or Dually-impaired). There was 83% concordance between CR and GDS classifications; in total, 56% of participants were deemed impaired by CR and 41% were classified as impaired by GDS. Impairment by GDS virtually guaranteed CR impairment, but 16% of participants were additionally classified as impaired only by CR. As compared to Dually-normal participants, those classified as Dually and CR-only impaired were more likely to have AIDS, have more severe co-occurring conditions, have more severe depressive symptoms, be unemployed, and have more everyday functioning complaints (ps\u2009&lt;\u2009.05). Impairment classifications of the two methods were in high agreement; however, more people were classified as impaired using the CR approach compared to the GDS approach. Those impaired according to CR-only showed fewer neurocognitive and functional deficits than the Dually-impaired participants, but more of these deficits than Dually-normal participants. The CR approach may be most appropriate for detecting more subtle forms of neurocognitive impairment. Clinicians and researchers should recognize the strengths and weaknesses of each method when evaluating neurocognitive complications in HIV.", "author" : [ { "dropping-particle" : "", "family" : "Blackstone", "given" : "K", "non-dropping-particle" : "", "parse-names" : false, "suffix" : "" }, { "dropping-particle" : "", "family" : "Moore", "given" : "D J", "non-dropping-particle" : "", "parse-names" : false, "suffix" : "" }, { "dropping-particle" : "", "family" : "Franklin", "given" : "D R", "non-dropping-particle" : "", "parse-names" : false, "suffix" : "" }, { "dropping-particle" : "", "family" : "Clifford", "given" : "D B", "non-dropping-particle" : "", "parse-names" : false, "suffix" : "" }, { "dropping-particle" : "", "family" : "Collier", "given" : "A C", "non-dropping-particle" : "", "parse-names" : false, "suffix" : "" }, { "dropping-particle" : "", "family" : "Marra", "given" : "C M", "non-dropping-particle" : "", "parse-names" : false, "suffix" : "" }, { "dropping-particle" : "", "family" : "Gelman", "given" : "B B", "non-dropping-particle" : "", "parse-names" : false, "suffix" : "" }, { "dropping-particle" : "", "family" : "McArthur", "given" : "J C", "non-dropping-particle" : "", "parse-names" : false, "suffix" : "" }, { "dropping-particle" : "", "family" : "Morgello", "given" : "S", "non-dropping-particle" : "", "parse-names" : false, "suffix" : "" }, { "dropping-particle" : "", "family" : "Simpson", "given" : "D M", "non-dropping-particle" : "", "parse-names" : false, "suffix" : "" }, { "dropping-particle" : "", "family" : "Ellis", "given" : "R J", "non-dropping-particle" : "", "parse-names" : false, "suffix" : "" }, { "dropping-particle" : "", "family" : "Atkinson", "given" : "J H", "non-dropping-particle" : "", "parse-names" : false, "suffix" : "" }, { "dropping-particle" : "", "family" : "Grant", "given" : "I", "non-dropping-particle" : "", "parse-names" : false, "suffix" : "" }, { "dropping-particle" : "", "family" : "Heaton", "given" : "R K", "non-dropping-particle" : "", "parse-names" : false, "suffix" : "" }, { "dropping-particle" : "", "family" : "Heaton", "given" : "R. K.", "non-dropping-particle" : "", "parse-names" : false, "suffix" : "" } ], "container-title" : "The Clinical neuropsychologist", "id" : "ITEM-2", "issue" : "6", "issued" : { "date-parts" : [ [ "2012" ] ] }, "page" : "894-908", "publisher" : "NIH Public Access", "title" : "Defining neurocognitive impairment in HIV: deficit scores versus clinical ratings.", "type" : "article-journal", "volume" : "26" }, "uris" : [ "http://www.mendeley.com/documents/?uuid=e8aeeb05-025a-3ac5-8b82-ac31eb0ffd88" ] }, { "id" : "ITEM-3", "itemData" : { "DOI" : "10.1007/s13365-014-0242-x", "ISSN" : "1538-2443", "PMID" : "24696363", "abstract" : "The Australian HIV-infected (HIV+) population is largely comprised of high-functioning men who have sex with men (MSM). Like other English-speaking countries, Australia mostly relies on US neuropsychological normative standards to detect and determine the prevalence of neurological disorders. Whether the US neuropsychological (NP) normative standards are appropriate in Australian HIV+ MSM has not been established. Ninety virally suppressed HIV+ and 49 HIV-uninfected (HIV-) men (respectively 86 and 85 % self-reported MSM; mean age 54 and 56 years, mean premorbid verbal IQ estimate 110 and 111) undertook standard NP testing. The raw neuropsychological data were transformed using the following: (1) US standards as uncorrected scaled scores and demographically corrected T scores (US norms); and (2) z scores (without demographic corrections) derived from Australian comparison group scaled scores (local norms). To determine HIV-associated neurocognitive disorder prevalence, we used a standard definition of impairment based upon a battery-wide summary score: the global deficit score (GDS). Impairment classification (GDS\u2009\u2265\u20090.5) based on the local norms was best at discriminating between the two groups (HIV-\u2009=\u200914.3 % vs. HIV+\u2009=\u200953.3 %; p\u2009&lt;\u20090.0001). This definition was significantly associated with age. Impairment classification based on the US norms yielded much lower impairment rate regardless of the HIV status (HIV-\u2009=\u20094.1 % vs. HIV+\u2009=\u200914.7 %; p\u2009=\u20090.05), but was associated with historical AIDS, and not age. Both types of summary scores were associated with reduced independence in activities of daily living (p\u2009\u2264\u20090.03). Accurate neuropsychological classifications of high (or low) functioning individuals may need country-specific norms that correct for performance-based (e.g., reading) estimates of premorbid cognition in addition to the traditional demographic factors.", "author" : [ { "dropping-particle" : "", "family" : "Cysique", "given" : "Lucette A", "non-dropping-particle" : "", "parse-names" : false, "suffix" : "" }, { "dropping-particle" : "", "family" : "Heaton", "given" : "Robert K", "non-dropping-particle" : "", "parse-names" : false, "suffix" : "" }, { "dropping-particle" : "", "family" : "Kamminga", "given" : "Jody", "non-dropping-particle" : "", "parse-names" : false, "suffix" : "" }, { "dropping-particle" : "", "family" : "Lane", "given" : "Tammy", "non-dropping-particle" : "", "parse-names" : false, "suffix" : "" }, { "dropping-particle" : "", "family" : "Gates", "given" : "Thomas M", "non-dropping-particle" : "", "parse-names" : false, "suffix" : "" }, { "dropping-particle" : "", "family" : "Moore", "given" : "Danielle M", "non-dropping-particle" : "", "parse-names" : false, "suffix" : "" }, { "dropping-particle" : "", "family" : "Hubner", "given" : "Emma", "non-dropping-particle" : "", "parse-names" : false, "suffix" : "" }, { "dropping-particle" : "", "family" : "Carr", "given" : "Andrew", "non-dropping-particle" : "", "parse-names" : false, "suffix" : "" }, { "dropping-particle" : "", "family" : "Brew", "given" : "Bruce J", "non-dropping-particle" : "", "parse-names" : false, "suffix" : "" } ], "container-title" : "Journal of neurovirology", "id" : "ITEM-3", "issue" : "3", "issued" : { "date-parts" : [ [ "2014", "6" ] ] }, "page" : "258-68", "publisher" : "NIH Public Access", "title" : "HIV-associated neurocognitive disorder in Australia: a case of a high-functioning and optimally treated cohort and implications for international neuroHIV research.", "type" : "article-journal", "volume" : "20" }, "uris" : [ "http://www.mendeley.com/documents/?uuid=91c2855c-1a1c-35c7-a6b4-51422f43486b" ] } ], "mendeley" : { "formattedCitation" : "(Blackstone et al., 2012; Carey et al., 2004; Cysique et al., 2014)", "plainTextFormattedCitation" : "(Blackstone et al., 2012; Carey et al., 2004; Cysique et al., 2014)", "previouslyFormattedCitation" : "&lt;sup&gt;38,41,42&lt;/sup&gt;" }, "properties" : { "noteIndex" : 0 }, "schema" : "https://github.com/citation-style-language/schema/raw/master/csl-citation.json" }</w:instrText>
            </w:r>
            <w:r w:rsidRPr="00B16837">
              <w:rPr>
                <w:rFonts w:asciiTheme="minorHAnsi" w:hAnsiTheme="minorHAnsi" w:cs="Arial"/>
                <w:sz w:val="20"/>
                <w:szCs w:val="20"/>
              </w:rPr>
              <w:fldChar w:fldCharType="separate"/>
            </w:r>
            <w:r w:rsidR="002455FE" w:rsidRPr="002455FE">
              <w:rPr>
                <w:rFonts w:asciiTheme="minorHAnsi" w:hAnsiTheme="minorHAnsi" w:cs="Arial"/>
                <w:noProof/>
                <w:sz w:val="20"/>
                <w:szCs w:val="20"/>
                <w:lang w:val="en-US"/>
              </w:rPr>
              <w:t>(Blackstone et al., 2012; Carey et al., 2004; Cysique et al., 2014)</w:t>
            </w:r>
            <w:r w:rsidRPr="00B16837">
              <w:rPr>
                <w:rFonts w:asciiTheme="minorHAnsi" w:hAnsiTheme="minorHAnsi" w:cs="Arial"/>
                <w:sz w:val="20"/>
                <w:szCs w:val="20"/>
              </w:rPr>
              <w:fldChar w:fldCharType="end"/>
            </w:r>
          </w:p>
          <w:p w:rsidR="007530F3" w:rsidRPr="00B16837" w:rsidRDefault="007530F3" w:rsidP="00231F66">
            <w:pPr>
              <w:pStyle w:val="Default"/>
              <w:spacing w:line="360" w:lineRule="auto"/>
              <w:jc w:val="center"/>
              <w:rPr>
                <w:rFonts w:asciiTheme="minorHAnsi" w:hAnsiTheme="minorHAnsi" w:cs="Arial"/>
                <w:sz w:val="20"/>
                <w:szCs w:val="20"/>
                <w:lang w:val="en-US"/>
              </w:rPr>
            </w:pPr>
          </w:p>
          <w:p w:rsidR="007530F3" w:rsidRPr="00B16837" w:rsidRDefault="007530F3" w:rsidP="00231F66">
            <w:pPr>
              <w:pStyle w:val="Default"/>
              <w:spacing w:line="360" w:lineRule="auto"/>
              <w:jc w:val="center"/>
              <w:rPr>
                <w:rFonts w:asciiTheme="minorHAnsi" w:hAnsiTheme="minorHAnsi"/>
                <w:sz w:val="20"/>
                <w:szCs w:val="20"/>
                <w:lang w:val="en"/>
              </w:rPr>
            </w:pPr>
          </w:p>
        </w:tc>
        <w:tc>
          <w:tcPr>
            <w:tcW w:w="6095" w:type="dxa"/>
            <w:tcBorders>
              <w:top w:val="single" w:sz="4" w:space="0" w:color="auto"/>
              <w:left w:val="single" w:sz="4" w:space="0" w:color="auto"/>
              <w:right w:val="single" w:sz="4" w:space="0" w:color="auto"/>
            </w:tcBorders>
            <w:vAlign w:val="center"/>
          </w:tcPr>
          <w:p w:rsidR="007530F3" w:rsidRPr="00B16837" w:rsidRDefault="007530F3" w:rsidP="00231F66">
            <w:pPr>
              <w:pStyle w:val="Default"/>
              <w:spacing w:line="360" w:lineRule="auto"/>
              <w:jc w:val="both"/>
              <w:rPr>
                <w:rFonts w:asciiTheme="minorHAnsi" w:hAnsiTheme="minorHAnsi"/>
                <w:sz w:val="20"/>
                <w:szCs w:val="20"/>
                <w:lang w:val="en"/>
              </w:rPr>
            </w:pPr>
            <w:r w:rsidRPr="00B16837">
              <w:rPr>
                <w:rFonts w:asciiTheme="minorHAnsi" w:hAnsiTheme="minorHAnsi" w:cs="Arial"/>
                <w:sz w:val="20"/>
                <w:szCs w:val="20"/>
                <w:lang w:val="en"/>
              </w:rPr>
              <w:t>GDS-scores can be calculated with both T-scores and Z-scores. In this study, Z</w:t>
            </w:r>
            <w:r w:rsidRPr="00B16837">
              <w:rPr>
                <w:rFonts w:asciiTheme="minorHAnsi" w:hAnsiTheme="minorHAnsi" w:cs="Arial"/>
                <w:sz w:val="20"/>
                <w:szCs w:val="20"/>
                <w:lang w:val="en-US"/>
              </w:rPr>
              <w:t>-scores were used and transformed into deficit scores: 0, no impairment (z score≥−1.0); 1, mild impairment (z score &lt;−1.0 to −1.5); 2, mild to moderate impairment (z score &lt; −1.5 to −2.0); 3, moderate impairment (z score &lt; −2.0 to −2.5); 4, moderate to severe impairment (z score &lt; −2.5 to −3.0); and 5, severe impairment (z score &lt; −3.0). Individual deficit scores were then averaged to a summary score, the global deficit score (GDS).</w:t>
            </w:r>
          </w:p>
        </w:tc>
      </w:tr>
    </w:tbl>
    <w:p w:rsidR="007530F3" w:rsidRDefault="007530F3">
      <w:pPr>
        <w:rPr>
          <w:sz w:val="28"/>
          <w:szCs w:val="28"/>
        </w:rPr>
      </w:pPr>
      <w:r>
        <w:rPr>
          <w:sz w:val="28"/>
          <w:szCs w:val="28"/>
        </w:rPr>
        <w:br w:type="page"/>
      </w:r>
    </w:p>
    <w:p w:rsidR="007530F3" w:rsidRDefault="002455FE" w:rsidP="007530F3">
      <w:pPr>
        <w:jc w:val="center"/>
        <w:rPr>
          <w:sz w:val="28"/>
          <w:szCs w:val="28"/>
        </w:rPr>
      </w:pPr>
      <w:r>
        <w:rPr>
          <w:noProof/>
          <w:sz w:val="28"/>
          <w:szCs w:val="28"/>
          <w:lang w:val="en-US"/>
        </w:rPr>
        <w:lastRenderedPageBreak/>
        <w:drawing>
          <wp:inline distT="0" distB="0" distL="0" distR="0" wp14:anchorId="24507D5F" wp14:editId="3EE66D25">
            <wp:extent cx="5923819" cy="6410848"/>
            <wp:effectExtent l="0" t="0" r="127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1.gif"/>
                    <pic:cNvPicPr/>
                  </pic:nvPicPr>
                  <pic:blipFill rotWithShape="1">
                    <a:blip r:embed="rId6">
                      <a:extLst>
                        <a:ext uri="{28A0092B-C50C-407E-A947-70E740481C1C}">
                          <a14:useLocalDpi xmlns:a14="http://schemas.microsoft.com/office/drawing/2010/main" val="0"/>
                        </a:ext>
                      </a:extLst>
                    </a:blip>
                    <a:srcRect t="15394" b="3436"/>
                    <a:stretch/>
                  </pic:blipFill>
                  <pic:spPr bwMode="auto">
                    <a:xfrm>
                      <a:off x="0" y="0"/>
                      <a:ext cx="5923915" cy="6410952"/>
                    </a:xfrm>
                    <a:prstGeom prst="rect">
                      <a:avLst/>
                    </a:prstGeom>
                    <a:ln>
                      <a:noFill/>
                    </a:ln>
                    <a:extLst>
                      <a:ext uri="{53640926-AAD7-44D8-BBD7-CCE9431645EC}">
                        <a14:shadowObscured xmlns:a14="http://schemas.microsoft.com/office/drawing/2010/main"/>
                      </a:ext>
                    </a:extLst>
                  </pic:spPr>
                </pic:pic>
              </a:graphicData>
            </a:graphic>
          </wp:inline>
        </w:drawing>
      </w:r>
    </w:p>
    <w:p w:rsidR="002455FE" w:rsidRPr="002455FE" w:rsidRDefault="002455FE" w:rsidP="002455FE">
      <w:pPr>
        <w:rPr>
          <w:b/>
        </w:rPr>
      </w:pPr>
      <w:r w:rsidRPr="002455FE">
        <w:rPr>
          <w:b/>
        </w:rPr>
        <w:t xml:space="preserve">Supplementary Figure 1: </w:t>
      </w:r>
      <w:r w:rsidRPr="002455FE">
        <w:rPr>
          <w:rFonts w:cs="Arial"/>
          <w:b/>
          <w:bCs/>
        </w:rPr>
        <w:t xml:space="preserve">Gating strategy for intracellular cytokine staining. </w:t>
      </w:r>
      <w:r w:rsidRPr="002455FE">
        <w:t xml:space="preserve">A lymphocyte gate based on FSC/SSC, a singlet gate, and a live/dead cell gate were applied before gating on CD3+CD4+ and CD3+CD8+ cells. Activated CD69+ T-cell populations were gated from CD69+ histograms for CD4+ and CD8+ populations. Expression of IFN-γ, TNF-α and IL-2 was determined from the CD4+ and CD8+ populations. To obtain co-expression patterns a combinational gating strategy was applied to obtain all functional subsets. The figure has been modified from </w:t>
      </w:r>
      <w:r w:rsidRPr="002455FE">
        <w:fldChar w:fldCharType="begin" w:fldLock="1"/>
      </w:r>
      <w:r w:rsidRPr="002455FE">
        <w:instrText>ADDIN CSL_CITATION { "citationItems" : [ { "id" : "ITEM-1", "itemData" : { "DOI" : "10.1038/s41598-018-21347-4", "ISSN" : "2045-2322", "PMID" : "29491459", "abstract" : "In people living with HIV (PLWHIV), coinfection with cytomegalovirus (CMV) has been associated with inflammation, immunological ageing, and increased risk of severe non-AIDS related comorbidity. The effect of CMV-specific immune responses on systemic inflammation, immune activation and T-cell senescence was evaluated in 53 PLWHIV treated with combination antiretroviral therapy (cART). Activated-, terminally differentiated-, na\u00efve-, and senescent T-cells were assessed by flow cytometry, and plasma levels of CMV IgG, interleukin-6, tumor necrosis factor-\u03b1, high-sensitivity C-reactive protein and soluble-CD14 were measured. In PLWHIV, expression of interleukin-2, tumor necrosis factor-\u03b1 and interferon-\u03b3 was measured by intracellular-cytokine-staining after stimulation of T-cells with CMV-pp65, CMV-IE1, and CMV-gB. Increased CMV-specific T-cell responses were associated with a higher ratio of terminally differentiated/na\u00efve CD8+ T-cells and with increased proportions of senescent CD8+ T-cells, but not with systemic inflammation or sCD14. Increased CMV-specific CD4+ T-cell responses were associated with increased proportions of activated CD8+ T-cells. In PLWHIV with expansion of CMV-specific T-cells or increased T-cell senescence, CMV-specific polyfunctionality was maintained. That the magnitude of the CMV-specific T-cell response was associated with a senescent immune phenotype, suggests that a dysregulated immune response against CMV may contribute to the immunological ageing often described in PLWHIV despite stable cART.", "author" : [ { "dropping-particle" : "", "family" : "Ballegaard", "given" : "Vibe", "non-dropping-particle" : "", "parse-names" : false, "suffix" : "" }, { "dropping-particle" : "", "family" : "Br\u00e6ndstrup", "given" : "Peter", "non-dropping-particle" : "", "parse-names" : false, "suffix" : "" }, { "dropping-particle" : "", "family" : "Pedersen", "given" : "Karin Kaereby", "non-dropping-particle" : "", "parse-names" : false, "suffix" : "" }, { "dropping-particle" : "", "family" : "Kirkby", "given" : "Nikolai", "non-dropping-particle" : "", "parse-names" : false, "suffix" : "" }, { "dropping-particle" : "", "family" : "Stryhn", "given" : "Anette", "non-dropping-particle" : "", "parse-names" : false, "suffix" : "" }, { "dropping-particle" : "", "family" : "Ryder", "given" : "Lars P.", "non-dropping-particle" : "", "parse-names" : false, "suffix" : "" }, { "dropping-particle" : "", "family" : "Gerstoft", "given" : "Jan", "non-dropping-particle" : "", "parse-names" : false, "suffix" : "" }, { "dropping-particle" : "", "family" : "Nielsen", "given" : "Susanne Dam", "non-dropping-particle" : "", "parse-names" : false, "suffix" : "" } ], "container-title" : "Scientific Reports", "id" : "ITEM-1", "issue" : "1", "issued" : { "date-parts" : [ [ "2018", "12", "28" ] ] }, "page" : "3778", "title" : "Cytomegalovirus-specific T-cells are associated with immune senescence, but not with systemic inflammation, in people living with HIV", "type" : "article-journal", "volume" : "8" }, "uris" : [ "http://www.mendeley.com/documents/?uuid=3e8354ea-f88c-3c6e-a8a9-47b5fd8bda93" ] } ], "mendeley" : { "formattedCitation" : "(Ballegaard et al., 2018)", "plainTextFormattedCitation" : "(Ballegaard et al., 2018)" }, "properties" : { "noteIndex" : 0 }, "schema" : "https://github.com/citation-style-language/schema/raw/master/csl-citation.json" }</w:instrText>
      </w:r>
      <w:r w:rsidRPr="002455FE">
        <w:fldChar w:fldCharType="separate"/>
      </w:r>
      <w:r w:rsidRPr="002455FE">
        <w:rPr>
          <w:noProof/>
        </w:rPr>
        <w:t>(Ballegaard et al., 2018)</w:t>
      </w:r>
      <w:r w:rsidRPr="002455FE">
        <w:fldChar w:fldCharType="end"/>
      </w:r>
      <w:r w:rsidRPr="002455FE">
        <w:t>.</w:t>
      </w:r>
    </w:p>
    <w:p w:rsidR="002455FE" w:rsidRDefault="002455FE">
      <w:pPr>
        <w:rPr>
          <w:sz w:val="28"/>
          <w:szCs w:val="28"/>
        </w:rPr>
      </w:pPr>
    </w:p>
    <w:p w:rsidR="004A27F5" w:rsidRDefault="004A27F5" w:rsidP="007530F3">
      <w:pPr>
        <w:jc w:val="center"/>
        <w:rPr>
          <w:sz w:val="28"/>
          <w:szCs w:val="28"/>
        </w:rPr>
      </w:pPr>
    </w:p>
    <w:p w:rsidR="004A27F5" w:rsidRDefault="002455FE" w:rsidP="007530F3">
      <w:pPr>
        <w:jc w:val="center"/>
        <w:rPr>
          <w:sz w:val="28"/>
          <w:szCs w:val="28"/>
        </w:rPr>
      </w:pPr>
      <w:r>
        <w:rPr>
          <w:noProof/>
          <w:sz w:val="28"/>
          <w:szCs w:val="28"/>
          <w:lang w:val="en-US"/>
        </w:rPr>
        <w:drawing>
          <wp:inline distT="0" distB="0" distL="0" distR="0" wp14:anchorId="35DD33AB" wp14:editId="0213F679">
            <wp:extent cx="6332220" cy="47491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_ NCI_CMV_IgG_IL6_HIV.tif"/>
                    <pic:cNvPicPr/>
                  </pic:nvPicPr>
                  <pic:blipFill>
                    <a:blip r:embed="rId7">
                      <a:extLst>
                        <a:ext uri="{28A0092B-C50C-407E-A947-70E740481C1C}">
                          <a14:useLocalDpi xmlns:a14="http://schemas.microsoft.com/office/drawing/2010/main" val="0"/>
                        </a:ext>
                      </a:extLst>
                    </a:blip>
                    <a:stretch>
                      <a:fillRect/>
                    </a:stretch>
                  </pic:blipFill>
                  <pic:spPr>
                    <a:xfrm>
                      <a:off x="0" y="0"/>
                      <a:ext cx="6332220" cy="4749165"/>
                    </a:xfrm>
                    <a:prstGeom prst="rect">
                      <a:avLst/>
                    </a:prstGeom>
                  </pic:spPr>
                </pic:pic>
              </a:graphicData>
            </a:graphic>
          </wp:inline>
        </w:drawing>
      </w:r>
      <w:bookmarkStart w:id="0" w:name="_GoBack"/>
      <w:bookmarkEnd w:id="0"/>
    </w:p>
    <w:p w:rsidR="004A27F5" w:rsidRDefault="004A27F5" w:rsidP="007530F3">
      <w:pPr>
        <w:jc w:val="center"/>
        <w:rPr>
          <w:sz w:val="28"/>
          <w:szCs w:val="28"/>
        </w:rPr>
      </w:pPr>
    </w:p>
    <w:p w:rsidR="004A27F5" w:rsidRPr="004A27F5" w:rsidRDefault="004A27F5" w:rsidP="007530F3">
      <w:pPr>
        <w:jc w:val="center"/>
        <w:rPr>
          <w:sz w:val="28"/>
          <w:szCs w:val="28"/>
          <w:lang w:val="en-US"/>
        </w:rPr>
      </w:pPr>
    </w:p>
    <w:sectPr w:rsidR="004A27F5" w:rsidRPr="004A27F5">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52"/>
    <w:rsid w:val="00231F66"/>
    <w:rsid w:val="002455FE"/>
    <w:rsid w:val="004A27F5"/>
    <w:rsid w:val="00555975"/>
    <w:rsid w:val="006E4C07"/>
    <w:rsid w:val="007530F3"/>
    <w:rsid w:val="007E03D1"/>
    <w:rsid w:val="00824C6B"/>
    <w:rsid w:val="00920217"/>
    <w:rsid w:val="009A5B52"/>
    <w:rsid w:val="00AE3B5F"/>
    <w:rsid w:val="00B142A6"/>
    <w:rsid w:val="00B16837"/>
    <w:rsid w:val="00BD5A13"/>
    <w:rsid w:val="00F0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2"/>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1">
    <w:name w:val="st1"/>
    <w:basedOn w:val="Standardskrifttypeiafsnit"/>
    <w:rsid w:val="009A5B52"/>
  </w:style>
  <w:style w:type="table" w:styleId="Tabel-Gitter">
    <w:name w:val="Table Grid"/>
    <w:basedOn w:val="Tabel-Normal"/>
    <w:uiPriority w:val="59"/>
    <w:rsid w:val="009A5B5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B52"/>
    <w:pPr>
      <w:autoSpaceDE w:val="0"/>
      <w:autoSpaceDN w:val="0"/>
      <w:adjustRightInd w:val="0"/>
      <w:spacing w:after="0" w:line="240" w:lineRule="auto"/>
    </w:pPr>
    <w:rPr>
      <w:rFonts w:ascii="Times New Roman" w:hAnsi="Times New Roman" w:cs="Times New Roman"/>
      <w:color w:val="000000"/>
      <w:sz w:val="24"/>
      <w:szCs w:val="24"/>
    </w:rPr>
  </w:style>
  <w:style w:type="character" w:styleId="Sidetal">
    <w:name w:val="page number"/>
    <w:rsid w:val="009A5B52"/>
  </w:style>
  <w:style w:type="paragraph" w:styleId="Markeringsbobletekst">
    <w:name w:val="Balloon Text"/>
    <w:basedOn w:val="Normal"/>
    <w:link w:val="MarkeringsbobletekstTegn"/>
    <w:uiPriority w:val="99"/>
    <w:semiHidden/>
    <w:unhideWhenUsed/>
    <w:rsid w:val="004A27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7F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2"/>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1">
    <w:name w:val="st1"/>
    <w:basedOn w:val="Standardskrifttypeiafsnit"/>
    <w:rsid w:val="009A5B52"/>
  </w:style>
  <w:style w:type="table" w:styleId="Tabel-Gitter">
    <w:name w:val="Table Grid"/>
    <w:basedOn w:val="Tabel-Normal"/>
    <w:uiPriority w:val="59"/>
    <w:rsid w:val="009A5B5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B52"/>
    <w:pPr>
      <w:autoSpaceDE w:val="0"/>
      <w:autoSpaceDN w:val="0"/>
      <w:adjustRightInd w:val="0"/>
      <w:spacing w:after="0" w:line="240" w:lineRule="auto"/>
    </w:pPr>
    <w:rPr>
      <w:rFonts w:ascii="Times New Roman" w:hAnsi="Times New Roman" w:cs="Times New Roman"/>
      <w:color w:val="000000"/>
      <w:sz w:val="24"/>
      <w:szCs w:val="24"/>
    </w:rPr>
  </w:style>
  <w:style w:type="character" w:styleId="Sidetal">
    <w:name w:val="page number"/>
    <w:rsid w:val="009A5B52"/>
  </w:style>
  <w:style w:type="paragraph" w:styleId="Markeringsbobletekst">
    <w:name w:val="Balloon Text"/>
    <w:basedOn w:val="Normal"/>
    <w:link w:val="MarkeringsbobletekstTegn"/>
    <w:uiPriority w:val="99"/>
    <w:semiHidden/>
    <w:unhideWhenUsed/>
    <w:rsid w:val="004A27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7F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DD90-A20B-4F9C-A8D9-4B79B56E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3907</Words>
  <Characters>22270</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 Cecilie Ballegaard</dc:creator>
  <cp:lastModifiedBy>Vibe Cecilie Ballegaard</cp:lastModifiedBy>
  <cp:revision>2</cp:revision>
  <dcterms:created xsi:type="dcterms:W3CDTF">2018-04-25T11:22:00Z</dcterms:created>
  <dcterms:modified xsi:type="dcterms:W3CDTF">2018-04-25T11:22:00Z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vibececilie@gmail.com@www.mendeley.com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