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9D" w:rsidRPr="005D31C7" w:rsidRDefault="00DA6C9D" w:rsidP="00DA6C9D">
      <w:pPr>
        <w:spacing w:line="240" w:lineRule="auto"/>
        <w:rPr>
          <w:rFonts w:eastAsia="Times New Roman" w:cstheme="minorHAnsi"/>
          <w:color w:val="000000"/>
        </w:rPr>
      </w:pPr>
      <w:r>
        <w:rPr>
          <w:rFonts w:eastAsia="Times New Roman" w:cstheme="minorHAnsi"/>
          <w:b/>
          <w:color w:val="000000"/>
        </w:rPr>
        <w:t xml:space="preserve">Supplemental </w:t>
      </w:r>
      <w:r w:rsidRPr="005D31C7">
        <w:rPr>
          <w:rFonts w:eastAsia="Times New Roman" w:cstheme="minorHAnsi"/>
          <w:b/>
          <w:color w:val="000000"/>
        </w:rPr>
        <w:t>Figure 1.</w:t>
      </w:r>
      <w:r w:rsidRPr="005D31C7">
        <w:rPr>
          <w:rFonts w:eastAsia="Times New Roman" w:cstheme="minorHAnsi"/>
          <w:color w:val="000000"/>
        </w:rPr>
        <w:t xml:space="preserve"> Distribution of pairwise genetic distances within and between individuals in the internal validation population. Vertical lines indicate the 95</w:t>
      </w:r>
      <w:r w:rsidRPr="005D31C7">
        <w:rPr>
          <w:rFonts w:eastAsia="Times New Roman" w:cstheme="minorHAnsi"/>
          <w:color w:val="000000"/>
          <w:vertAlign w:val="superscript"/>
        </w:rPr>
        <w:t>th</w:t>
      </w:r>
      <w:r w:rsidRPr="005D31C7">
        <w:rPr>
          <w:rFonts w:eastAsia="Times New Roman" w:cstheme="minorHAnsi"/>
          <w:color w:val="000000"/>
        </w:rPr>
        <w:t xml:space="preserve"> and 5</w:t>
      </w:r>
      <w:r w:rsidRPr="005D31C7">
        <w:rPr>
          <w:rFonts w:eastAsia="Times New Roman" w:cstheme="minorHAnsi"/>
          <w:color w:val="000000"/>
          <w:vertAlign w:val="superscript"/>
        </w:rPr>
        <w:t>th</w:t>
      </w:r>
      <w:r w:rsidRPr="005D31C7">
        <w:rPr>
          <w:rFonts w:eastAsia="Times New Roman" w:cstheme="minorHAnsi"/>
          <w:color w:val="000000"/>
        </w:rPr>
        <w:t xml:space="preserve"> percentiles of intra-individual and inter-individual genetic distances, respectively, at 0.0193 and 0.0444. Calculations between individuals included only the first available sequence for each individual.</w:t>
      </w:r>
      <w:r>
        <w:rPr>
          <w:rFonts w:eastAsia="Times New Roman" w:cstheme="minorHAnsi"/>
          <w:color w:val="000000"/>
        </w:rPr>
        <w:t xml:space="preserve"> </w:t>
      </w:r>
      <w:r w:rsidRPr="005D31C7">
        <w:rPr>
          <w:rFonts w:eastAsia="Times New Roman" w:cstheme="minorHAnsi"/>
          <w:color w:val="000000"/>
        </w:rPr>
        <w:t>A cutoff of 1</w:t>
      </w:r>
      <w:r w:rsidRPr="005D31C7">
        <w:rPr>
          <w:rFonts w:cstheme="minorHAnsi"/>
        </w:rPr>
        <w:t>.</w:t>
      </w:r>
      <w:r w:rsidRPr="005D31C7">
        <w:rPr>
          <w:rFonts w:eastAsia="Times New Roman" w:cstheme="minorHAnsi"/>
          <w:color w:val="000000"/>
        </w:rPr>
        <w:t xml:space="preserve">5% was chosen </w:t>
      </w:r>
      <w:r>
        <w:rPr>
          <w:rFonts w:eastAsia="Times New Roman" w:cstheme="minorHAnsi"/>
          <w:color w:val="000000"/>
        </w:rPr>
        <w:t xml:space="preserve">for cluster identification </w:t>
      </w:r>
      <w:r w:rsidRPr="005D31C7">
        <w:rPr>
          <w:rFonts w:eastAsia="Times New Roman" w:cstheme="minorHAnsi"/>
          <w:color w:val="000000"/>
        </w:rPr>
        <w:t>because (1) 1</w:t>
      </w:r>
      <w:r w:rsidRPr="005D31C7">
        <w:rPr>
          <w:rFonts w:cstheme="minorHAnsi"/>
        </w:rPr>
        <w:t>.</w:t>
      </w:r>
      <w:r w:rsidRPr="005D31C7">
        <w:rPr>
          <w:rFonts w:eastAsia="Times New Roman" w:cstheme="minorHAnsi"/>
          <w:color w:val="000000"/>
        </w:rPr>
        <w:t>5% included &gt;90% of intra-individual sequences and &lt;0</w:t>
      </w:r>
      <w:r w:rsidRPr="005D31C7">
        <w:rPr>
          <w:rFonts w:cstheme="minorHAnsi"/>
        </w:rPr>
        <w:t>.</w:t>
      </w:r>
      <w:r w:rsidRPr="005D31C7">
        <w:rPr>
          <w:rFonts w:eastAsia="Times New Roman" w:cstheme="minorHAnsi"/>
          <w:color w:val="000000"/>
        </w:rPr>
        <w:t>015% of inter-individual sequences in this dataset [</w:t>
      </w:r>
      <w:r>
        <w:rPr>
          <w:rFonts w:eastAsia="Times New Roman" w:cstheme="minorHAnsi"/>
          <w:color w:val="000000"/>
        </w:rPr>
        <w:t>Supplemental</w:t>
      </w:r>
      <w:r w:rsidRPr="005D31C7">
        <w:rPr>
          <w:rFonts w:eastAsia="Times New Roman" w:cstheme="minorHAnsi"/>
          <w:color w:val="000000"/>
        </w:rPr>
        <w:t xml:space="preserve"> Figure 1], making it extremely unlikely that a pair of randomly selected, unrelated sequences would cluster; (2) 1</w:t>
      </w:r>
      <w:r w:rsidRPr="005D31C7">
        <w:rPr>
          <w:rFonts w:cstheme="minorHAnsi"/>
        </w:rPr>
        <w:t>.</w:t>
      </w:r>
      <w:r w:rsidRPr="005D31C7">
        <w:rPr>
          <w:rFonts w:eastAsia="Times New Roman" w:cstheme="minorHAnsi"/>
          <w:color w:val="000000"/>
        </w:rPr>
        <w:t>5% is the standard used by many in the field</w:t>
      </w:r>
      <w:r w:rsidR="00873BFF">
        <w:rPr>
          <w:rFonts w:eastAsia="Times New Roman" w:cstheme="minorHAnsi"/>
          <w:color w:val="000000"/>
        </w:rPr>
        <w:t xml:space="preserve"> </w:t>
      </w:r>
      <w:r w:rsidR="00873BFF">
        <w:rPr>
          <w:rFonts w:eastAsia="Times New Roman" w:cstheme="minorHAnsi"/>
          <w:color w:val="000000"/>
        </w:rPr>
        <w:t>and is recommended by the CDC for cluster detection by health departments</w:t>
      </w:r>
      <w:r w:rsidRPr="005D31C7">
        <w:rPr>
          <w:rFonts w:eastAsia="Times New Roman" w:cstheme="minorHAnsi"/>
          <w:color w:val="000000"/>
        </w:rPr>
        <w:t>;</w:t>
      </w:r>
      <w:r w:rsidRPr="005D31C7">
        <w:rPr>
          <w:rFonts w:eastAsia="Times New Roman" w:cstheme="minorHAnsi"/>
          <w:color w:val="000000"/>
          <w:vertAlign w:val="superscript"/>
        </w:rPr>
        <w:t>1</w:t>
      </w:r>
      <w:r w:rsidRPr="005D31C7">
        <w:rPr>
          <w:rFonts w:cstheme="minorHAnsi"/>
          <w:vertAlign w:val="superscript"/>
        </w:rPr>
        <w:t>─</w:t>
      </w:r>
      <w:r w:rsidR="009C7BA5">
        <w:rPr>
          <w:rFonts w:eastAsia="Times New Roman" w:cstheme="minorHAnsi"/>
          <w:color w:val="000000"/>
          <w:vertAlign w:val="superscript"/>
        </w:rPr>
        <w:t>4</w:t>
      </w:r>
      <w:r w:rsidRPr="005D31C7">
        <w:rPr>
          <w:rFonts w:eastAsia="Times New Roman" w:cstheme="minorHAnsi"/>
          <w:color w:val="000000"/>
        </w:rPr>
        <w:t xml:space="preserve"> and (3) a </w:t>
      </w:r>
      <w:r w:rsidRPr="005D31C7">
        <w:rPr>
          <w:rFonts w:cstheme="minorHAnsi"/>
        </w:rPr>
        <w:t>prior evaluation of within host evolution demonstrated that HIV sequences from mono-infected participants showed &lt;1% divergence over time</w:t>
      </w:r>
      <w:r w:rsidRPr="005D31C7">
        <w:rPr>
          <w:rFonts w:eastAsia="Times New Roman" w:cstheme="minorHAnsi"/>
          <w:color w:val="000000"/>
        </w:rPr>
        <w:t>.</w:t>
      </w:r>
      <w:r w:rsidR="009C7BA5">
        <w:rPr>
          <w:rFonts w:eastAsia="Times New Roman" w:cstheme="minorHAnsi"/>
          <w:color w:val="000000"/>
          <w:vertAlign w:val="superscript"/>
        </w:rPr>
        <w:t>5</w:t>
      </w:r>
    </w:p>
    <w:p w:rsidR="00DA6C9D" w:rsidRDefault="00DA6C9D" w:rsidP="00DA6C9D">
      <w:pPr>
        <w:rPr>
          <w:rFonts w:eastAsia="Times New Roman" w:cstheme="minorHAnsi"/>
          <w:color w:val="000000"/>
        </w:rPr>
        <w:sectPr w:rsidR="00DA6C9D" w:rsidSect="002C0AE4">
          <w:pgSz w:w="15840" w:h="12240" w:orient="landscape"/>
          <w:pgMar w:top="1440" w:right="1296" w:bottom="1440" w:left="1296" w:header="720" w:footer="720" w:gutter="0"/>
          <w:cols w:space="720"/>
          <w:docGrid w:linePitch="360"/>
        </w:sectPr>
      </w:pPr>
      <w:r>
        <w:rPr>
          <w:rFonts w:ascii="Times New Roman" w:hAnsi="Times New Roman" w:cs="Times New Roman"/>
          <w:b/>
          <w:noProof/>
          <w:sz w:val="20"/>
          <w:szCs w:val="20"/>
        </w:rPr>
        <w:drawing>
          <wp:inline distT="0" distB="0" distL="0" distR="0" wp14:anchorId="4EA89C2F" wp14:editId="357CA1C6">
            <wp:extent cx="5676265" cy="333404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d.png"/>
                    <pic:cNvPicPr/>
                  </pic:nvPicPr>
                  <pic:blipFill rotWithShape="1">
                    <a:blip r:embed="rId4">
                      <a:extLst>
                        <a:ext uri="{28A0092B-C50C-407E-A947-70E740481C1C}">
                          <a14:useLocalDpi xmlns:a14="http://schemas.microsoft.com/office/drawing/2010/main" val="0"/>
                        </a:ext>
                      </a:extLst>
                    </a:blip>
                    <a:srcRect t="12860" r="4489" b="2475"/>
                    <a:stretch/>
                  </pic:blipFill>
                  <pic:spPr bwMode="auto">
                    <a:xfrm>
                      <a:off x="0" y="0"/>
                      <a:ext cx="5676799" cy="3334358"/>
                    </a:xfrm>
                    <a:prstGeom prst="rect">
                      <a:avLst/>
                    </a:prstGeom>
                    <a:ln>
                      <a:noFill/>
                    </a:ln>
                    <a:extLst>
                      <a:ext uri="{53640926-AAD7-44D8-BBD7-CCE9431645EC}">
                        <a14:shadowObscured xmlns:a14="http://schemas.microsoft.com/office/drawing/2010/main"/>
                      </a:ext>
                    </a:extLst>
                  </pic:spPr>
                </pic:pic>
              </a:graphicData>
            </a:graphic>
          </wp:inline>
        </w:drawing>
      </w:r>
    </w:p>
    <w:p w:rsidR="00DA6C9D" w:rsidRPr="00180D20" w:rsidRDefault="00DA6C9D" w:rsidP="00DA6C9D">
      <w:pPr>
        <w:rPr>
          <w:rFonts w:eastAsia="Times New Roman" w:cstheme="minorHAnsi"/>
          <w:color w:val="000000"/>
        </w:rPr>
      </w:pPr>
      <w:r>
        <w:rPr>
          <w:rFonts w:cstheme="minorHAnsi"/>
          <w:b/>
        </w:rPr>
        <w:lastRenderedPageBreak/>
        <w:t xml:space="preserve">Supplemental </w:t>
      </w:r>
      <w:r w:rsidRPr="005D31C7">
        <w:rPr>
          <w:rFonts w:cstheme="minorHAnsi"/>
          <w:b/>
        </w:rPr>
        <w:t xml:space="preserve">Figure 2. </w:t>
      </w:r>
      <w:r w:rsidRPr="005D31C7">
        <w:rPr>
          <w:rFonts w:eastAsia="Times New Roman" w:cstheme="minorHAnsi"/>
          <w:color w:val="000000"/>
        </w:rPr>
        <w:t>Development, selection, internal, and external validation of a predictive model for HIV tra</w:t>
      </w:r>
      <w:r>
        <w:rPr>
          <w:rFonts w:eastAsia="Times New Roman" w:cstheme="minorHAnsi"/>
          <w:color w:val="000000"/>
        </w:rPr>
        <w:t>nsmission cluster growth in NC.</w:t>
      </w:r>
      <w:r>
        <w:rPr>
          <w:rFonts w:ascii="Times New Roman" w:eastAsia="Times New Roman" w:hAnsi="Times New Roman" w:cs="Times New Roman"/>
          <w:b/>
          <w:noProof/>
          <w:color w:val="000000"/>
          <w:sz w:val="20"/>
          <w:szCs w:val="20"/>
        </w:rPr>
        <w:drawing>
          <wp:inline distT="0" distB="0" distL="0" distR="0" wp14:anchorId="779018DF" wp14:editId="6E171953">
            <wp:extent cx="5519278" cy="60241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hods flow.png"/>
                    <pic:cNvPicPr/>
                  </pic:nvPicPr>
                  <pic:blipFill>
                    <a:blip r:embed="rId5">
                      <a:extLst>
                        <a:ext uri="{28A0092B-C50C-407E-A947-70E740481C1C}">
                          <a14:useLocalDpi xmlns:a14="http://schemas.microsoft.com/office/drawing/2010/main" val="0"/>
                        </a:ext>
                      </a:extLst>
                    </a:blip>
                    <a:stretch>
                      <a:fillRect/>
                    </a:stretch>
                  </pic:blipFill>
                  <pic:spPr>
                    <a:xfrm>
                      <a:off x="0" y="0"/>
                      <a:ext cx="5519278" cy="6024170"/>
                    </a:xfrm>
                    <a:prstGeom prst="rect">
                      <a:avLst/>
                    </a:prstGeom>
                  </pic:spPr>
                </pic:pic>
              </a:graphicData>
            </a:graphic>
          </wp:inline>
        </w:drawing>
      </w:r>
    </w:p>
    <w:p w:rsidR="00DA6C9D" w:rsidRDefault="00DA6C9D" w:rsidP="00DA6C9D"/>
    <w:p w:rsidR="00DA6C9D" w:rsidRDefault="00DA6C9D" w:rsidP="00DA6C9D">
      <w:pPr>
        <w:spacing w:after="0"/>
        <w:rPr>
          <w:rFonts w:ascii="Times New Roman" w:hAnsi="Times New Roman" w:cs="Times New Roman"/>
          <w:b/>
          <w:sz w:val="20"/>
          <w:szCs w:val="20"/>
        </w:rPr>
      </w:pPr>
    </w:p>
    <w:p w:rsidR="00DA6C9D" w:rsidRDefault="00DA6C9D" w:rsidP="00DA6C9D">
      <w:pPr>
        <w:spacing w:after="0"/>
        <w:rPr>
          <w:rFonts w:ascii="Times New Roman" w:hAnsi="Times New Roman" w:cs="Times New Roman"/>
          <w:b/>
          <w:sz w:val="20"/>
          <w:szCs w:val="20"/>
        </w:rPr>
      </w:pPr>
    </w:p>
    <w:p w:rsidR="00DA6C9D" w:rsidRDefault="00DA6C9D" w:rsidP="00DA6C9D">
      <w:pPr>
        <w:spacing w:after="0"/>
        <w:rPr>
          <w:rFonts w:ascii="Times New Roman" w:hAnsi="Times New Roman" w:cs="Times New Roman"/>
          <w:b/>
          <w:sz w:val="20"/>
          <w:szCs w:val="20"/>
        </w:rPr>
      </w:pPr>
    </w:p>
    <w:p w:rsidR="00DA6C9D" w:rsidRDefault="00DA6C9D" w:rsidP="00DA6C9D">
      <w:pPr>
        <w:spacing w:after="0"/>
        <w:rPr>
          <w:rFonts w:ascii="Times New Roman" w:hAnsi="Times New Roman" w:cs="Times New Roman"/>
          <w:b/>
          <w:sz w:val="20"/>
          <w:szCs w:val="20"/>
        </w:rPr>
      </w:pPr>
    </w:p>
    <w:p w:rsidR="00DA6C9D" w:rsidRDefault="00DA6C9D" w:rsidP="00DA6C9D">
      <w:pPr>
        <w:spacing w:after="0"/>
        <w:rPr>
          <w:rFonts w:ascii="Times New Roman" w:hAnsi="Times New Roman" w:cs="Times New Roman"/>
          <w:b/>
          <w:sz w:val="20"/>
          <w:szCs w:val="20"/>
        </w:rPr>
      </w:pPr>
    </w:p>
    <w:p w:rsidR="00DA6C9D" w:rsidRDefault="00DA6C9D" w:rsidP="00DA6C9D">
      <w:pPr>
        <w:spacing w:after="0"/>
        <w:rPr>
          <w:rFonts w:ascii="Times New Roman" w:hAnsi="Times New Roman" w:cs="Times New Roman"/>
          <w:b/>
          <w:sz w:val="20"/>
          <w:szCs w:val="20"/>
        </w:rPr>
        <w:sectPr w:rsidR="00DA6C9D" w:rsidSect="00DA6C9D">
          <w:pgSz w:w="12240" w:h="15840"/>
          <w:pgMar w:top="1296" w:right="1440" w:bottom="1296" w:left="1440" w:header="720" w:footer="720" w:gutter="0"/>
          <w:cols w:space="720"/>
          <w:docGrid w:linePitch="360"/>
        </w:sectPr>
      </w:pPr>
    </w:p>
    <w:p w:rsidR="00DA6C9D" w:rsidRPr="005D31C7" w:rsidRDefault="00DA6C9D" w:rsidP="00DA6C9D">
      <w:pPr>
        <w:spacing w:after="0"/>
        <w:rPr>
          <w:rFonts w:cstheme="minorHAnsi"/>
        </w:rPr>
      </w:pPr>
      <w:r>
        <w:rPr>
          <w:rFonts w:cstheme="minorHAnsi"/>
          <w:b/>
        </w:rPr>
        <w:lastRenderedPageBreak/>
        <w:t xml:space="preserve">Supplemental </w:t>
      </w:r>
      <w:r w:rsidRPr="005D31C7">
        <w:rPr>
          <w:rFonts w:cstheme="minorHAnsi"/>
          <w:b/>
        </w:rPr>
        <w:t>Figure 3.</w:t>
      </w:r>
      <w:r w:rsidRPr="005D31C7">
        <w:rPr>
          <w:rFonts w:cstheme="minorHAnsi"/>
        </w:rPr>
        <w:t xml:space="preserve"> A. Visualization of member status of 1835 individuals in 352 established clusters in the internal validation population. Individuals are grouped by putative HIV transmission cluster membership. Dark blue circles indicate sequences sampled prior to baseline (baseline cluster members), light blue circles indicate sequences sampled following baseline from new diagnoses (new cluster members), and gray circles indicate sequences </w:t>
      </w:r>
      <w:bookmarkStart w:id="0" w:name="_GoBack"/>
      <w:bookmarkEnd w:id="0"/>
      <w:r w:rsidRPr="005D31C7">
        <w:rPr>
          <w:rFonts w:cstheme="minorHAnsi"/>
        </w:rPr>
        <w:t>sampled following baseline from prior diagnoses (hidden cluster members). B. Distribution of baseline cluster size among growing and non-growing clusters in the internal validation population.</w:t>
      </w:r>
    </w:p>
    <w:p w:rsidR="00DA6C9D" w:rsidRDefault="00DA6C9D" w:rsidP="00DA6C9D">
      <w:r>
        <w:rPr>
          <w:rFonts w:ascii="Times New Roman" w:eastAsia="Times New Roman" w:hAnsi="Times New Roman" w:cs="Times New Roman"/>
          <w:b/>
          <w:noProof/>
          <w:color w:val="000000"/>
          <w:sz w:val="20"/>
          <w:szCs w:val="20"/>
        </w:rPr>
        <w:drawing>
          <wp:inline distT="0" distB="0" distL="0" distR="0" wp14:anchorId="720AE51C" wp14:editId="270461CD">
            <wp:extent cx="5943600" cy="3074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uster fig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74204"/>
                    </a:xfrm>
                    <a:prstGeom prst="rect">
                      <a:avLst/>
                    </a:prstGeom>
                  </pic:spPr>
                </pic:pic>
              </a:graphicData>
            </a:graphic>
          </wp:inline>
        </w:drawing>
      </w: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sectPr w:rsidR="00DA6C9D" w:rsidSect="00DA6C9D">
          <w:pgSz w:w="15840" w:h="12240" w:orient="landscape"/>
          <w:pgMar w:top="1440" w:right="1440" w:bottom="1440" w:left="1440" w:header="720" w:footer="720" w:gutter="0"/>
          <w:cols w:space="720"/>
          <w:docGrid w:linePitch="360"/>
        </w:sectPr>
      </w:pPr>
    </w:p>
    <w:p w:rsidR="00DA6C9D" w:rsidRPr="005D31C7" w:rsidRDefault="00DA6C9D" w:rsidP="00DA6C9D">
      <w:pPr>
        <w:rPr>
          <w:rFonts w:eastAsia="Times New Roman" w:cstheme="minorHAnsi"/>
          <w:noProof/>
          <w:color w:val="000000"/>
        </w:rPr>
      </w:pPr>
      <w:r>
        <w:rPr>
          <w:rFonts w:eastAsia="Times New Roman" w:cstheme="minorHAnsi"/>
          <w:b/>
          <w:noProof/>
          <w:color w:val="000000"/>
        </w:rPr>
        <w:lastRenderedPageBreak/>
        <w:t xml:space="preserve">Supplemental </w:t>
      </w:r>
      <w:r w:rsidRPr="005D31C7">
        <w:rPr>
          <w:rFonts w:eastAsia="Times New Roman" w:cstheme="minorHAnsi"/>
          <w:b/>
          <w:noProof/>
          <w:color w:val="000000"/>
        </w:rPr>
        <w:t xml:space="preserve">Figure 4. </w:t>
      </w:r>
      <w:r w:rsidRPr="005D31C7">
        <w:rPr>
          <w:rFonts w:eastAsia="Times New Roman" w:cstheme="minorHAnsi"/>
          <w:noProof/>
          <w:color w:val="000000"/>
        </w:rPr>
        <w:t xml:space="preserve">Comparison of ROC-AUC curves for the full model and candidate reduced models, including predictors retained in ≥20%, ≥30%, ≥40%, ≥50%, and ≥70% of final models across 100 bootstrapped samples. ROC-AUC values shown are not adjuted for optimism. </w:t>
      </w:r>
    </w:p>
    <w:p w:rsidR="00DA6C9D" w:rsidRDefault="00DA6C9D" w:rsidP="00DA6C9D">
      <w:r>
        <w:rPr>
          <w:rFonts w:ascii="Times New Roman" w:eastAsia="Times New Roman" w:hAnsi="Times New Roman" w:cs="Times New Roman"/>
          <w:b/>
          <w:noProof/>
          <w:color w:val="000000"/>
          <w:sz w:val="20"/>
          <w:szCs w:val="20"/>
        </w:rPr>
        <w:drawing>
          <wp:inline distT="0" distB="0" distL="0" distR="0" wp14:anchorId="69FDC20A" wp14:editId="4709ECF3">
            <wp:extent cx="3422108" cy="421201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 final.png"/>
                    <pic:cNvPicPr/>
                  </pic:nvPicPr>
                  <pic:blipFill>
                    <a:blip r:embed="rId7">
                      <a:extLst>
                        <a:ext uri="{28A0092B-C50C-407E-A947-70E740481C1C}">
                          <a14:useLocalDpi xmlns:a14="http://schemas.microsoft.com/office/drawing/2010/main" val="0"/>
                        </a:ext>
                      </a:extLst>
                    </a:blip>
                    <a:stretch>
                      <a:fillRect/>
                    </a:stretch>
                  </pic:blipFill>
                  <pic:spPr>
                    <a:xfrm>
                      <a:off x="0" y="0"/>
                      <a:ext cx="3422108" cy="4212017"/>
                    </a:xfrm>
                    <a:prstGeom prst="rect">
                      <a:avLst/>
                    </a:prstGeom>
                  </pic:spPr>
                </pic:pic>
              </a:graphicData>
            </a:graphic>
          </wp:inline>
        </w:drawing>
      </w: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ascii="Times New Roman" w:eastAsia="Times New Roman" w:hAnsi="Times New Roman" w:cs="Times New Roman"/>
          <w:b/>
          <w:noProof/>
          <w:color w:val="000000"/>
          <w:sz w:val="20"/>
          <w:szCs w:val="20"/>
        </w:rPr>
      </w:pPr>
    </w:p>
    <w:p w:rsidR="00DA6C9D" w:rsidRDefault="00DA6C9D" w:rsidP="00DA6C9D">
      <w:pPr>
        <w:rPr>
          <w:rFonts w:eastAsia="Times New Roman" w:cstheme="minorHAnsi"/>
          <w:b/>
          <w:noProof/>
          <w:color w:val="000000"/>
        </w:rPr>
      </w:pPr>
    </w:p>
    <w:p w:rsidR="00DA6C9D" w:rsidRPr="005D31C7" w:rsidRDefault="00DA6C9D" w:rsidP="00DA6C9D">
      <w:pPr>
        <w:rPr>
          <w:rFonts w:eastAsia="Times New Roman" w:cstheme="minorHAnsi"/>
          <w:b/>
          <w:noProof/>
          <w:color w:val="000000"/>
        </w:rPr>
      </w:pPr>
      <w:r>
        <w:rPr>
          <w:rFonts w:eastAsia="Times New Roman" w:cstheme="minorHAnsi"/>
          <w:b/>
          <w:noProof/>
          <w:color w:val="000000"/>
        </w:rPr>
        <w:lastRenderedPageBreak/>
        <w:t xml:space="preserve">Supplemental </w:t>
      </w:r>
      <w:r w:rsidRPr="005D31C7">
        <w:rPr>
          <w:rFonts w:eastAsia="Times New Roman" w:cstheme="minorHAnsi"/>
          <w:b/>
          <w:noProof/>
          <w:color w:val="000000"/>
        </w:rPr>
        <w:t xml:space="preserve">Table 1. </w:t>
      </w:r>
      <w:r w:rsidRPr="005D31C7">
        <w:rPr>
          <w:rFonts w:eastAsia="Times New Roman" w:cstheme="minorHAnsi"/>
          <w:noProof/>
          <w:color w:val="000000"/>
        </w:rPr>
        <w:t>Evaluation of candidate predictors via bivariable analyses with cluster growth, collinearity assessments, coding evaluation, and backward elimination.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982"/>
        <w:gridCol w:w="3022"/>
        <w:gridCol w:w="2438"/>
        <w:gridCol w:w="717"/>
        <w:gridCol w:w="781"/>
      </w:tblGrid>
      <w:tr w:rsidR="00DA6C9D" w:rsidRPr="00EB158D" w:rsidTr="00F40762">
        <w:trPr>
          <w:trHeight w:val="403"/>
        </w:trPr>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b/>
                <w:sz w:val="16"/>
                <w:szCs w:val="16"/>
              </w:rPr>
            </w:pPr>
            <w:r w:rsidRPr="00EB158D">
              <w:rPr>
                <w:rFonts w:ascii="Times New Roman" w:hAnsi="Times New Roman" w:cs="Times New Roman"/>
                <w:b/>
                <w:sz w:val="16"/>
                <w:szCs w:val="16"/>
              </w:rPr>
              <w:t xml:space="preserve">Predictor </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b/>
                <w:sz w:val="16"/>
                <w:szCs w:val="16"/>
              </w:rPr>
            </w:pPr>
            <w:r w:rsidRPr="00EB158D">
              <w:rPr>
                <w:rFonts w:ascii="Times New Roman" w:hAnsi="Times New Roman" w:cs="Times New Roman"/>
                <w:b/>
                <w:sz w:val="16"/>
                <w:szCs w:val="16"/>
              </w:rPr>
              <w:t>Final Coding</w:t>
            </w:r>
          </w:p>
        </w:tc>
        <w:tc>
          <w:tcPr>
            <w:tcW w:w="3022" w:type="dxa"/>
            <w:tcBorders>
              <w:top w:val="single" w:sz="4" w:space="0" w:color="auto"/>
              <w:bottom w:val="single" w:sz="4" w:space="0" w:color="auto"/>
            </w:tcBorders>
          </w:tcPr>
          <w:p w:rsidR="00DA6C9D" w:rsidRPr="00EB158D" w:rsidRDefault="00DA6C9D" w:rsidP="00F40762">
            <w:pPr>
              <w:rPr>
                <w:rFonts w:ascii="Times New Roman" w:hAnsi="Times New Roman" w:cs="Times New Roman"/>
                <w:b/>
                <w:sz w:val="16"/>
                <w:szCs w:val="16"/>
              </w:rPr>
            </w:pPr>
            <w:r w:rsidRPr="00EB158D">
              <w:rPr>
                <w:rFonts w:ascii="Times New Roman" w:hAnsi="Times New Roman" w:cs="Times New Roman"/>
                <w:b/>
                <w:sz w:val="16"/>
                <w:szCs w:val="16"/>
              </w:rPr>
              <w:t>Definition</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b/>
                <w:sz w:val="16"/>
                <w:szCs w:val="16"/>
              </w:rPr>
            </w:pPr>
            <w:r w:rsidRPr="00EB158D">
              <w:rPr>
                <w:rFonts w:ascii="Times New Roman" w:hAnsi="Times New Roman" w:cs="Times New Roman"/>
                <w:b/>
                <w:sz w:val="16"/>
                <w:szCs w:val="16"/>
              </w:rPr>
              <w:t>Point of removal from consideration</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b/>
                <w:sz w:val="16"/>
                <w:szCs w:val="16"/>
              </w:rPr>
            </w:pPr>
            <w:r w:rsidRPr="00EB158D">
              <w:rPr>
                <w:rFonts w:ascii="Times New Roman" w:hAnsi="Times New Roman" w:cs="Times New Roman"/>
                <w:b/>
                <w:sz w:val="16"/>
                <w:szCs w:val="16"/>
              </w:rPr>
              <w:t>In full model</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b/>
                <w:sz w:val="16"/>
                <w:szCs w:val="16"/>
              </w:rPr>
            </w:pPr>
            <w:r w:rsidRPr="00EB158D">
              <w:rPr>
                <w:rFonts w:ascii="Times New Roman" w:hAnsi="Times New Roman" w:cs="Times New Roman"/>
                <w:b/>
                <w:sz w:val="16"/>
                <w:szCs w:val="16"/>
              </w:rPr>
              <w:t>In final model</w:t>
            </w:r>
            <w:r w:rsidRPr="00EB158D">
              <w:rPr>
                <w:rFonts w:ascii="Times New Roman" w:hAnsi="Times New Roman" w:cs="Times New Roman"/>
                <w:b/>
                <w:sz w:val="16"/>
                <w:szCs w:val="16"/>
                <w:vertAlign w:val="superscript"/>
              </w:rPr>
              <w:t>*</w:t>
            </w:r>
          </w:p>
        </w:tc>
      </w:tr>
      <w:tr w:rsidR="00DA6C9D" w:rsidRPr="00EB158D" w:rsidTr="00F40762">
        <w:trPr>
          <w:trHeight w:val="418"/>
        </w:trPr>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Cluster size</w:t>
            </w:r>
          </w:p>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Continuous</w:t>
            </w:r>
          </w:p>
        </w:tc>
        <w:tc>
          <w:tcPr>
            <w:tcW w:w="3022" w:type="dxa"/>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Number of individuals in the cluster with sequences sampled </w:t>
            </w:r>
            <w:r>
              <w:rPr>
                <w:rFonts w:ascii="Times New Roman" w:hAnsi="Times New Roman" w:cs="Times New Roman"/>
                <w:sz w:val="16"/>
                <w:szCs w:val="16"/>
              </w:rPr>
              <w:t xml:space="preserve">prior to baseline. </w:t>
            </w:r>
            <w:proofErr w:type="spellStart"/>
            <w:r>
              <w:rPr>
                <w:rFonts w:ascii="Times New Roman" w:hAnsi="Times New Roman" w:cs="Times New Roman"/>
                <w:sz w:val="16"/>
                <w:szCs w:val="16"/>
              </w:rPr>
              <w:t>aOR</w:t>
            </w:r>
            <w:proofErr w:type="spellEnd"/>
            <w:r>
              <w:rPr>
                <w:rFonts w:ascii="Times New Roman" w:hAnsi="Times New Roman" w:cs="Times New Roman"/>
                <w:sz w:val="16"/>
                <w:szCs w:val="16"/>
              </w:rPr>
              <w:t xml:space="preserve"> represents a one-member increase in baseline cluster size</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Retained in final model - Wald Chi-square p-value </w:t>
            </w:r>
            <w:r w:rsidRPr="00EB158D">
              <w:rPr>
                <w:rFonts w:ascii="Times New Roman" w:eastAsia="Times New Roman" w:hAnsi="Times New Roman" w:cs="Times New Roman"/>
                <w:color w:val="000000"/>
                <w:sz w:val="16"/>
                <w:szCs w:val="16"/>
              </w:rPr>
              <w:t>≤ 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color w:val="000000"/>
                <w:sz w:val="16"/>
                <w:szCs w:val="16"/>
              </w:rPr>
              <w:t>10 in 93/100 bootstrapped samples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Yes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Yes</w:t>
            </w:r>
          </w:p>
        </w:tc>
      </w:tr>
      <w:tr w:rsidR="00DA6C9D" w:rsidRPr="00EB158D" w:rsidTr="00F40762">
        <w:trPr>
          <w:trHeight w:val="170"/>
        </w:trPr>
        <w:tc>
          <w:tcPr>
            <w:tcW w:w="0" w:type="auto"/>
            <w:tcBorders>
              <w:top w:val="single" w:sz="4" w:space="0" w:color="auto"/>
            </w:tcBorders>
            <w:shd w:val="clear" w:color="auto" w:fill="auto"/>
          </w:tcPr>
          <w:p w:rsidR="00DA6C9D" w:rsidRPr="00607837" w:rsidRDefault="00DA6C9D" w:rsidP="00F40762">
            <w:pPr>
              <w:rPr>
                <w:rFonts w:ascii="Times New Roman" w:hAnsi="Times New Roman" w:cs="Times New Roman"/>
                <w:b/>
                <w:sz w:val="16"/>
                <w:szCs w:val="16"/>
              </w:rPr>
            </w:pPr>
            <w:r w:rsidRPr="00607837">
              <w:rPr>
                <w:rFonts w:ascii="Times New Roman" w:hAnsi="Times New Roman" w:cs="Times New Roman"/>
                <w:b/>
                <w:sz w:val="16"/>
                <w:szCs w:val="16"/>
              </w:rPr>
              <w:t>Temporal</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r>
      <w:tr w:rsidR="00DA6C9D" w:rsidRPr="00EB158D" w:rsidTr="00F40762">
        <w:trPr>
          <w:trHeight w:val="683"/>
        </w:trPr>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Years since a diagnosis</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Number of years from the last HIV diagnosis among individuals in the cluster to </w:t>
            </w:r>
            <w:r>
              <w:rPr>
                <w:rFonts w:ascii="Times New Roman" w:hAnsi="Times New Roman" w:cs="Times New Roman"/>
                <w:sz w:val="16"/>
                <w:szCs w:val="16"/>
              </w:rPr>
              <w:t>baseline</w:t>
            </w:r>
            <w:r w:rsidRPr="00EB158D">
              <w:rPr>
                <w:rFonts w:ascii="Times New Roman" w:hAnsi="Times New Roman" w:cs="Times New Roman"/>
                <w:sz w:val="16"/>
                <w:szCs w:val="16"/>
              </w:rPr>
              <w:t>. Binomial: ≤1, &gt;1</w:t>
            </w:r>
            <w:r>
              <w:rPr>
                <w:rFonts w:ascii="Times New Roman" w:hAnsi="Times New Roman" w:cs="Times New Roman"/>
                <w:sz w:val="16"/>
                <w:szCs w:val="16"/>
              </w:rPr>
              <w:t xml:space="preserve">. </w:t>
            </w:r>
            <w:r w:rsidRPr="00EB158D">
              <w:rPr>
                <w:rFonts w:ascii="Times New Roman" w:hAnsi="Times New Roman" w:cs="Times New Roman"/>
                <w:sz w:val="16"/>
                <w:szCs w:val="16"/>
              </w:rPr>
              <w:t xml:space="preserve"> </w:t>
            </w:r>
            <w:r>
              <w:rPr>
                <w:rFonts w:ascii="Times New Roman" w:hAnsi="Times New Roman" w:cs="Times New Roman"/>
                <w:sz w:val="16"/>
                <w:szCs w:val="16"/>
              </w:rPr>
              <w:t xml:space="preserve">&gt;1 is referent for </w:t>
            </w:r>
            <w:proofErr w:type="spellStart"/>
            <w:r>
              <w:rPr>
                <w:rFonts w:ascii="Times New Roman" w:hAnsi="Times New Roman" w:cs="Times New Roman"/>
                <w:sz w:val="16"/>
                <w:szCs w:val="16"/>
              </w:rPr>
              <w:t>aOR</w:t>
            </w:r>
            <w:proofErr w:type="spellEnd"/>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Retained in final model - </w:t>
            </w:r>
            <w:r w:rsidRPr="00EB158D">
              <w:rPr>
                <w:rFonts w:ascii="Times New Roman" w:hAnsi="Times New Roman" w:cs="Times New Roman"/>
                <w:color w:val="000000"/>
                <w:sz w:val="16"/>
                <w:szCs w:val="16"/>
                <w:shd w:val="clear" w:color="auto" w:fill="D9D9D9" w:themeFill="background1" w:themeFillShade="D9"/>
              </w:rPr>
              <w:t xml:space="preserve">Wald Chi-square p-value </w:t>
            </w:r>
            <w:r w:rsidRPr="00EB158D">
              <w:rPr>
                <w:rFonts w:ascii="Times New Roman" w:eastAsia="Times New Roman" w:hAnsi="Times New Roman" w:cs="Times New Roman"/>
                <w:color w:val="000000"/>
                <w:sz w:val="16"/>
                <w:szCs w:val="16"/>
                <w:shd w:val="clear" w:color="auto" w:fill="D9D9D9" w:themeFill="background1" w:themeFillShade="D9"/>
              </w:rPr>
              <w:t xml:space="preserve">≤ </w:t>
            </w:r>
            <w:r w:rsidRPr="00EB158D">
              <w:rPr>
                <w:rFonts w:ascii="Times New Roman" w:hAnsi="Times New Roman" w:cs="Times New Roman"/>
                <w:color w:val="000000"/>
                <w:sz w:val="16"/>
                <w:szCs w:val="16"/>
                <w:shd w:val="clear" w:color="auto" w:fill="D9D9D9" w:themeFill="background1" w:themeFillShade="D9"/>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D9D9D9" w:themeFill="background1" w:themeFillShade="D9"/>
              </w:rPr>
              <w:t>10 in 91/100 bootstrapped samples</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r>
      <w:tr w:rsidR="00DA6C9D" w:rsidRPr="00EB158D" w:rsidTr="00F40762">
        <w:trPr>
          <w:trHeight w:val="665"/>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Cluster age: diagnoses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Categorical</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Number of years from the first HIV diagnosis among individuals in the cluster to </w:t>
            </w:r>
            <w:r>
              <w:rPr>
                <w:rFonts w:ascii="Times New Roman" w:hAnsi="Times New Roman" w:cs="Times New Roman"/>
                <w:sz w:val="16"/>
                <w:szCs w:val="16"/>
              </w:rPr>
              <w:t>baseline</w:t>
            </w:r>
            <w:r w:rsidRPr="00EB158D">
              <w:rPr>
                <w:rFonts w:ascii="Times New Roman" w:hAnsi="Times New Roman" w:cs="Times New Roman"/>
                <w:sz w:val="16"/>
                <w:szCs w:val="16"/>
              </w:rPr>
              <w:t>. Categorical: &lt;4, 4-8, 8-12, ≥12</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fifth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10 in 17/100 bootstrapped samples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728"/>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Cluster age: sequences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Continuous</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Number of years from the first sampled HIV sequence among individuals in the cluster to </w:t>
            </w:r>
            <w:r>
              <w:rPr>
                <w:rFonts w:ascii="Times New Roman" w:hAnsi="Times New Roman" w:cs="Times New Roman"/>
                <w:sz w:val="16"/>
                <w:szCs w:val="16"/>
              </w:rPr>
              <w:t>baseline</w:t>
            </w:r>
            <w:r w:rsidRPr="00EB158D">
              <w:rPr>
                <w:rFonts w:ascii="Times New Roman" w:hAnsi="Times New Roman" w:cs="Times New Roman"/>
                <w:sz w:val="16"/>
                <w:szCs w:val="16"/>
              </w:rPr>
              <w:t xml:space="preserve"> </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R</w:t>
            </w:r>
            <w:r>
              <w:rPr>
                <w:rFonts w:ascii="Times New Roman" w:hAnsi="Times New Roman" w:cs="Times New Roman"/>
                <w:sz w:val="16"/>
                <w:szCs w:val="16"/>
              </w:rPr>
              <w:t xml:space="preserve">emoved </w:t>
            </w:r>
            <w:r w:rsidRPr="00EB158D">
              <w:rPr>
                <w:rFonts w:ascii="Times New Roman" w:hAnsi="Times New Roman" w:cs="Times New Roman"/>
                <w:sz w:val="16"/>
                <w:szCs w:val="16"/>
              </w:rPr>
              <w:t xml:space="preserve">third in backward elimination - </w:t>
            </w:r>
            <w:r w:rsidRPr="00EB158D">
              <w:rPr>
                <w:rFonts w:ascii="Times New Roman" w:hAnsi="Times New Roman" w:cs="Times New Roman"/>
                <w:color w:val="000000"/>
                <w:sz w:val="16"/>
                <w:szCs w:val="16"/>
                <w:shd w:val="clear" w:color="auto" w:fill="FFFFFF" w:themeFill="background1"/>
              </w:rPr>
              <w:t xml:space="preserve">Wald Chi-square p-value </w:t>
            </w:r>
            <w:r w:rsidRPr="00EB158D">
              <w:rPr>
                <w:rFonts w:ascii="Times New Roman" w:eastAsia="Times New Roman" w:hAnsi="Times New Roman" w:cs="Times New Roman"/>
                <w:color w:val="000000"/>
                <w:sz w:val="16"/>
                <w:szCs w:val="16"/>
                <w:shd w:val="clear" w:color="auto" w:fill="FFFFFF" w:themeFill="background1"/>
              </w:rPr>
              <w:t xml:space="preserve">≤ </w:t>
            </w:r>
            <w:r w:rsidRPr="00EB158D">
              <w:rPr>
                <w:rFonts w:ascii="Times New Roman" w:hAnsi="Times New Roman" w:cs="Times New Roman"/>
                <w:color w:val="000000"/>
                <w:sz w:val="16"/>
                <w:szCs w:val="16"/>
                <w:shd w:val="clear" w:color="auto" w:fill="FFFFFF" w:themeFill="background1"/>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themeFill="background1"/>
              </w:rPr>
              <w:t>10 in 15/100 bootstrapped samples</w:t>
            </w:r>
            <w:r w:rsidRPr="00EB158D">
              <w:rPr>
                <w:rFonts w:ascii="Times New Roman" w:hAnsi="Times New Roman" w:cs="Times New Roman"/>
                <w:color w:val="000000"/>
                <w:sz w:val="16"/>
                <w:szCs w:val="16"/>
                <w:shd w:val="clear" w:color="auto" w:fill="FFFFFF"/>
              </w:rPr>
              <w:t xml:space="preserve"> </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152"/>
        </w:trPr>
        <w:tc>
          <w:tcPr>
            <w:tcW w:w="0" w:type="auto"/>
            <w:tcBorders>
              <w:top w:val="single" w:sz="4" w:space="0" w:color="auto"/>
            </w:tcBorders>
            <w:shd w:val="clear" w:color="auto" w:fill="auto"/>
          </w:tcPr>
          <w:p w:rsidR="00DA6C9D" w:rsidRPr="00607837" w:rsidRDefault="00DA6C9D" w:rsidP="00F40762">
            <w:pPr>
              <w:rPr>
                <w:rFonts w:ascii="Times New Roman" w:hAnsi="Times New Roman" w:cs="Times New Roman"/>
                <w:b/>
                <w:sz w:val="16"/>
                <w:szCs w:val="16"/>
              </w:rPr>
            </w:pPr>
            <w:r w:rsidRPr="00607837">
              <w:rPr>
                <w:rFonts w:ascii="Times New Roman" w:hAnsi="Times New Roman" w:cs="Times New Roman"/>
                <w:b/>
                <w:sz w:val="16"/>
                <w:szCs w:val="16"/>
              </w:rPr>
              <w:t>Demographic</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r>
      <w:tr w:rsidR="00DA6C9D" w:rsidRPr="00EB158D" w:rsidTr="00F40762">
        <w:trPr>
          <w:trHeight w:val="413"/>
        </w:trPr>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Median age</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Continuous</w:t>
            </w:r>
          </w:p>
        </w:tc>
        <w:tc>
          <w:tcPr>
            <w:tcW w:w="3022" w:type="dxa"/>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Median age in years of individuals in the cluster as of </w:t>
            </w:r>
            <w:r>
              <w:rPr>
                <w:rFonts w:ascii="Times New Roman" w:hAnsi="Times New Roman" w:cs="Times New Roman"/>
                <w:sz w:val="16"/>
                <w:szCs w:val="16"/>
              </w:rPr>
              <w:t xml:space="preserve">baseline. </w:t>
            </w:r>
            <w:proofErr w:type="spellStart"/>
            <w:r>
              <w:rPr>
                <w:rFonts w:ascii="Times New Roman" w:hAnsi="Times New Roman" w:cs="Times New Roman"/>
                <w:sz w:val="16"/>
                <w:szCs w:val="16"/>
              </w:rPr>
              <w:t>aOR</w:t>
            </w:r>
            <w:proofErr w:type="spellEnd"/>
            <w:r>
              <w:rPr>
                <w:rFonts w:ascii="Times New Roman" w:hAnsi="Times New Roman" w:cs="Times New Roman"/>
                <w:sz w:val="16"/>
                <w:szCs w:val="16"/>
              </w:rPr>
              <w:t xml:space="preserve"> represents a ten year increase in median age</w:t>
            </w:r>
            <w:r w:rsidRPr="00EB158D">
              <w:rPr>
                <w:rFonts w:ascii="Times New Roman" w:hAnsi="Times New Roman" w:cs="Times New Roman"/>
                <w:sz w:val="16"/>
                <w:szCs w:val="16"/>
              </w:rPr>
              <w:t xml:space="preserve"> </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Retained in final model - Wald Chi-square p-value </w:t>
            </w:r>
            <w:r w:rsidRPr="00EB158D">
              <w:rPr>
                <w:rFonts w:ascii="Times New Roman" w:eastAsia="Times New Roman" w:hAnsi="Times New Roman" w:cs="Times New Roman"/>
                <w:color w:val="000000"/>
                <w:sz w:val="16"/>
                <w:szCs w:val="16"/>
              </w:rPr>
              <w:t>≤ 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color w:val="000000"/>
                <w:sz w:val="16"/>
                <w:szCs w:val="16"/>
              </w:rPr>
              <w:t>10 in 73/100 bootstrapped samples</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r>
      <w:tr w:rsidR="00DA6C9D" w:rsidRPr="00EB158D" w:rsidTr="00F40762">
        <w:trPr>
          <w:trHeight w:val="755"/>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PWID</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identified as PWID or MSM and PWID: Binomial: 0%, &gt;0%</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sixth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10 in 21/100 bootstrapped samples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710"/>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MSM</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Continuous</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identified as MSM or MSM and PWID</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eighth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10 in 30/100 bootstrapped samples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891"/>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male</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Continuous</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identified as male</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Removed in preliminary assessments due to Pearson correlation coefficient &gt; 0</w:t>
            </w:r>
            <w:r>
              <w:rPr>
                <w:rFonts w:ascii="Times New Roman" w:eastAsia="Times New Roman" w:hAnsi="Times New Roman" w:cs="Times New Roman"/>
                <w:color w:val="000000"/>
                <w:sz w:val="16"/>
                <w:szCs w:val="16"/>
              </w:rPr>
              <w:t>.</w:t>
            </w:r>
            <w:r w:rsidRPr="00EB158D">
              <w:rPr>
                <w:rFonts w:ascii="Times New Roman" w:hAnsi="Times New Roman" w:cs="Times New Roman"/>
                <w:sz w:val="16"/>
                <w:szCs w:val="16"/>
              </w:rPr>
              <w:t>7 in collinearity assessments with percent MSM</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746"/>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Black, non-Hispanic</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Percentage of</w:t>
            </w:r>
            <w:r>
              <w:rPr>
                <w:rFonts w:ascii="Times New Roman" w:hAnsi="Times New Roman" w:cs="Times New Roman"/>
                <w:sz w:val="16"/>
                <w:szCs w:val="16"/>
              </w:rPr>
              <w:t xml:space="preserve"> individuals in the cluster by baseline</w:t>
            </w:r>
            <w:r w:rsidRPr="00EB158D">
              <w:rPr>
                <w:rFonts w:ascii="Times New Roman" w:hAnsi="Times New Roman" w:cs="Times New Roman"/>
                <w:sz w:val="16"/>
                <w:szCs w:val="16"/>
              </w:rPr>
              <w:t xml:space="preserve"> who identified as Black, non-Hispanic: Binomial: &lt;100%, 100%</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seventh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10 in 25/100 bootstrapped samples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891"/>
        </w:trPr>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in dominant geographic region</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reported living in the dominant region for that cluster at the time of diagnosis. Binomial: &lt;100%, 100%</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second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 xml:space="preserve">10 in 14/100 bootstrapped samples </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224"/>
        </w:trPr>
        <w:tc>
          <w:tcPr>
            <w:tcW w:w="0" w:type="auto"/>
            <w:tcBorders>
              <w:top w:val="single" w:sz="4" w:space="0" w:color="auto"/>
              <w:bottom w:val="single" w:sz="4" w:space="0" w:color="auto"/>
            </w:tcBorders>
            <w:shd w:val="clear" w:color="auto" w:fill="auto"/>
          </w:tcPr>
          <w:p w:rsidR="00DA6C9D" w:rsidRPr="00607837" w:rsidRDefault="00DA6C9D" w:rsidP="00F40762">
            <w:pPr>
              <w:rPr>
                <w:rFonts w:ascii="Times New Roman" w:hAnsi="Times New Roman" w:cs="Times New Roman"/>
                <w:b/>
                <w:sz w:val="16"/>
                <w:szCs w:val="16"/>
              </w:rPr>
            </w:pPr>
            <w:r w:rsidRPr="00607837">
              <w:rPr>
                <w:rFonts w:ascii="Times New Roman" w:hAnsi="Times New Roman" w:cs="Times New Roman"/>
                <w:b/>
                <w:sz w:val="16"/>
                <w:szCs w:val="16"/>
              </w:rPr>
              <w:t>Clinical</w:t>
            </w: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3022" w:type="dxa"/>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p>
        </w:tc>
      </w:tr>
      <w:tr w:rsidR="00DA6C9D" w:rsidRPr="00EB158D" w:rsidTr="00F40762">
        <w:trPr>
          <w:trHeight w:val="891"/>
        </w:trPr>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 </w:t>
            </w:r>
            <w:r>
              <w:rPr>
                <w:rFonts w:ascii="Times New Roman" w:hAnsi="Times New Roman" w:cs="Times New Roman"/>
                <w:sz w:val="16"/>
                <w:szCs w:val="16"/>
              </w:rPr>
              <w:t>with HIV viremia</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Categorical</w:t>
            </w:r>
          </w:p>
        </w:tc>
        <w:tc>
          <w:tcPr>
            <w:tcW w:w="3022" w:type="dxa"/>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with detectable viral loads (≥1000 </w:t>
            </w:r>
            <w:r>
              <w:rPr>
                <w:rFonts w:ascii="Times New Roman" w:hAnsi="Times New Roman" w:cs="Times New Roman"/>
                <w:sz w:val="16"/>
                <w:szCs w:val="16"/>
              </w:rPr>
              <w:t>copies/</w:t>
            </w:r>
            <w:r w:rsidRPr="00EB158D">
              <w:rPr>
                <w:rFonts w:ascii="Times New Roman" w:hAnsi="Times New Roman" w:cs="Times New Roman"/>
                <w:sz w:val="16"/>
                <w:szCs w:val="16"/>
              </w:rPr>
              <w:t xml:space="preserve">mL) at the most recent care visit during the one year prior to </w:t>
            </w:r>
            <w:r>
              <w:rPr>
                <w:rFonts w:ascii="Times New Roman" w:hAnsi="Times New Roman" w:cs="Times New Roman"/>
                <w:sz w:val="16"/>
                <w:szCs w:val="16"/>
              </w:rPr>
              <w:t>baseline</w:t>
            </w:r>
            <w:r w:rsidRPr="00EB158D">
              <w:rPr>
                <w:rFonts w:ascii="Times New Roman" w:hAnsi="Times New Roman" w:cs="Times New Roman"/>
                <w:sz w:val="16"/>
                <w:szCs w:val="16"/>
              </w:rPr>
              <w:t>, or with no viral load available during that year. Categorical: 0%, 0 &lt; - 25%, 25% &lt; - 50%, ≥50.0%</w:t>
            </w:r>
            <w:r>
              <w:rPr>
                <w:rFonts w:ascii="Times New Roman" w:hAnsi="Times New Roman" w:cs="Times New Roman"/>
                <w:sz w:val="16"/>
                <w:szCs w:val="16"/>
              </w:rPr>
              <w:t xml:space="preserve">. 0% is referent for </w:t>
            </w:r>
            <w:proofErr w:type="spellStart"/>
            <w:r>
              <w:rPr>
                <w:rFonts w:ascii="Times New Roman" w:hAnsi="Times New Roman" w:cs="Times New Roman"/>
                <w:sz w:val="16"/>
                <w:szCs w:val="16"/>
              </w:rPr>
              <w:t>aORs</w:t>
            </w:r>
            <w:proofErr w:type="spellEnd"/>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Retained in final model - Wald Chi-square p-value </w:t>
            </w:r>
            <w:r w:rsidRPr="00EB158D">
              <w:rPr>
                <w:rFonts w:ascii="Times New Roman" w:eastAsia="Times New Roman" w:hAnsi="Times New Roman" w:cs="Times New Roman"/>
                <w:color w:val="000000"/>
                <w:sz w:val="16"/>
                <w:szCs w:val="16"/>
              </w:rPr>
              <w:t>≤ 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color w:val="000000"/>
                <w:sz w:val="16"/>
                <w:szCs w:val="16"/>
              </w:rPr>
              <w:t>10 in 81/100 bootstrapped samples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r>
      <w:tr w:rsidR="00DA6C9D" w:rsidRPr="00EB158D" w:rsidTr="00F40762">
        <w:trPr>
          <w:trHeight w:val="360"/>
        </w:trPr>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acute</w:t>
            </w: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Any cluster members diagnosed during the two years prior to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were diagnosed during acute or recent HIV infection. NC STAT currently defines acute HIV infection (AHI) as a reactive fourth generation antigen/antibody combination test with a negative or indeterminate </w:t>
            </w:r>
            <w:proofErr w:type="spellStart"/>
            <w:r w:rsidRPr="00EB158D">
              <w:rPr>
                <w:rFonts w:ascii="Times New Roman" w:hAnsi="Times New Roman" w:cs="Times New Roman"/>
                <w:sz w:val="16"/>
                <w:szCs w:val="16"/>
              </w:rPr>
              <w:t>multispot</w:t>
            </w:r>
            <w:proofErr w:type="spellEnd"/>
            <w:r w:rsidRPr="00EB158D">
              <w:rPr>
                <w:rFonts w:ascii="Times New Roman" w:hAnsi="Times New Roman" w:cs="Times New Roman"/>
                <w:sz w:val="16"/>
                <w:szCs w:val="16"/>
              </w:rPr>
              <w:t xml:space="preserve"> assay and a detectable HIV RNA. Recent HIV infection (RHI) is treated as a subset of AHI and is defined by NC STAT as a repeatedly reactive HIV-1 antibody test </w:t>
            </w:r>
            <w:r w:rsidRPr="00EB158D">
              <w:rPr>
                <w:rFonts w:ascii="Times New Roman" w:hAnsi="Times New Roman" w:cs="Times New Roman"/>
                <w:sz w:val="16"/>
                <w:szCs w:val="16"/>
              </w:rPr>
              <w:lastRenderedPageBreak/>
              <w:t>with verification of a negative test in the past three months and/or symptoms compatible with AHI in the three months prior to diagnosis. Binomial: 0%, &gt;0%</w:t>
            </w: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lastRenderedPageBreak/>
              <w:t xml:space="preserve">Removed fourth in backward elimination – </w:t>
            </w:r>
            <w:r w:rsidRPr="00EB158D">
              <w:rPr>
                <w:rFonts w:ascii="Times New Roman" w:hAnsi="Times New Roman" w:cs="Times New Roman"/>
                <w:color w:val="000000"/>
                <w:sz w:val="16"/>
                <w:szCs w:val="16"/>
                <w:shd w:val="clear" w:color="auto" w:fill="FFFFFF" w:themeFill="background1"/>
              </w:rPr>
              <w:t xml:space="preserve">Wald Chi-square p-value </w:t>
            </w:r>
            <w:r w:rsidRPr="00EB158D">
              <w:rPr>
                <w:rFonts w:ascii="Times New Roman" w:eastAsia="Times New Roman" w:hAnsi="Times New Roman" w:cs="Times New Roman"/>
                <w:color w:val="000000"/>
                <w:sz w:val="16"/>
                <w:szCs w:val="16"/>
                <w:shd w:val="clear" w:color="auto" w:fill="FFFFFF" w:themeFill="background1"/>
              </w:rPr>
              <w:t xml:space="preserve">≤ </w:t>
            </w:r>
            <w:r w:rsidRPr="00EB158D">
              <w:rPr>
                <w:rFonts w:ascii="Times New Roman" w:hAnsi="Times New Roman" w:cs="Times New Roman"/>
                <w:color w:val="000000"/>
                <w:sz w:val="16"/>
                <w:szCs w:val="16"/>
                <w:shd w:val="clear" w:color="auto" w:fill="FFFFFF" w:themeFill="background1"/>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themeFill="background1"/>
              </w:rPr>
              <w:t>16 in 66/100 bootstrapped samples</w:t>
            </w: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bottom w:val="single" w:sz="4" w:space="0" w:color="auto"/>
            </w:tcBorders>
            <w:shd w:val="clear" w:color="auto" w:fill="auto"/>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683"/>
        </w:trPr>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Median time to </w:t>
            </w:r>
            <w:r>
              <w:rPr>
                <w:rFonts w:ascii="Times New Roman" w:hAnsi="Times New Roman" w:cs="Times New Roman"/>
                <w:sz w:val="16"/>
                <w:szCs w:val="16"/>
              </w:rPr>
              <w:t xml:space="preserve">HIV </w:t>
            </w:r>
            <w:r w:rsidRPr="00EB158D">
              <w:rPr>
                <w:rFonts w:ascii="Times New Roman" w:hAnsi="Times New Roman" w:cs="Times New Roman"/>
                <w:sz w:val="16"/>
                <w:szCs w:val="16"/>
              </w:rPr>
              <w:t>care entry</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Continuous</w:t>
            </w:r>
          </w:p>
        </w:tc>
        <w:tc>
          <w:tcPr>
            <w:tcW w:w="3022" w:type="dxa"/>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Median number of </w:t>
            </w:r>
            <w:r>
              <w:rPr>
                <w:rFonts w:ascii="Times New Roman" w:hAnsi="Times New Roman" w:cs="Times New Roman"/>
                <w:sz w:val="16"/>
                <w:szCs w:val="16"/>
              </w:rPr>
              <w:t>years</w:t>
            </w:r>
            <w:r w:rsidRPr="00EB158D">
              <w:rPr>
                <w:rFonts w:ascii="Times New Roman" w:hAnsi="Times New Roman" w:cs="Times New Roman"/>
                <w:sz w:val="16"/>
                <w:szCs w:val="16"/>
              </w:rPr>
              <w:t xml:space="preserve"> from diagnosis to the first care visit (date of first CD4, viral load, or sequence) among individuals in the cluster by </w:t>
            </w:r>
            <w:r>
              <w:rPr>
                <w:rFonts w:ascii="Times New Roman" w:hAnsi="Times New Roman" w:cs="Times New Roman"/>
                <w:sz w:val="16"/>
                <w:szCs w:val="16"/>
              </w:rPr>
              <w:t xml:space="preserve">baseline. </w:t>
            </w:r>
            <w:proofErr w:type="spellStart"/>
            <w:r>
              <w:rPr>
                <w:rFonts w:ascii="Times New Roman" w:hAnsi="Times New Roman" w:cs="Times New Roman"/>
                <w:sz w:val="16"/>
                <w:szCs w:val="16"/>
              </w:rPr>
              <w:t>aOR</w:t>
            </w:r>
            <w:proofErr w:type="spellEnd"/>
            <w:r>
              <w:rPr>
                <w:rFonts w:ascii="Times New Roman" w:hAnsi="Times New Roman" w:cs="Times New Roman"/>
                <w:sz w:val="16"/>
                <w:szCs w:val="16"/>
              </w:rPr>
              <w:t xml:space="preserve"> represents a one year increase in time to care entry</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Retained in final model - Wald Chi-square p-value </w:t>
            </w:r>
            <w:r w:rsidRPr="00EB158D">
              <w:rPr>
                <w:rFonts w:ascii="Times New Roman" w:eastAsia="Times New Roman" w:hAnsi="Times New Roman" w:cs="Times New Roman"/>
                <w:color w:val="000000"/>
                <w:sz w:val="16"/>
                <w:szCs w:val="16"/>
              </w:rPr>
              <w:t>≤ 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color w:val="000000"/>
                <w:sz w:val="16"/>
                <w:szCs w:val="16"/>
              </w:rPr>
              <w:t>10 in 55/100 bootstrapped samples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r>
      <w:tr w:rsidR="00DA6C9D" w:rsidRPr="00EB158D" w:rsidTr="00F40762">
        <w:trPr>
          <w:trHeight w:val="432"/>
        </w:trPr>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 in </w:t>
            </w:r>
            <w:r>
              <w:rPr>
                <w:rFonts w:ascii="Times New Roman" w:hAnsi="Times New Roman" w:cs="Times New Roman"/>
                <w:sz w:val="16"/>
                <w:szCs w:val="16"/>
              </w:rPr>
              <w:t xml:space="preserve">HIV </w:t>
            </w:r>
            <w:r w:rsidRPr="00EB158D">
              <w:rPr>
                <w:rFonts w:ascii="Times New Roman" w:hAnsi="Times New Roman" w:cs="Times New Roman"/>
                <w:sz w:val="16"/>
                <w:szCs w:val="16"/>
              </w:rPr>
              <w:t xml:space="preserve">care </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had any HIV care visits (CD4, VL, or sequence date) during the one year prior to </w:t>
            </w:r>
            <w:r>
              <w:rPr>
                <w:rFonts w:ascii="Times New Roman" w:hAnsi="Times New Roman" w:cs="Times New Roman"/>
                <w:sz w:val="16"/>
                <w:szCs w:val="16"/>
              </w:rPr>
              <w:t>baseline</w:t>
            </w:r>
            <w:r w:rsidRPr="00EB158D">
              <w:rPr>
                <w:rFonts w:ascii="Times New Roman" w:hAnsi="Times New Roman" w:cs="Times New Roman"/>
                <w:sz w:val="16"/>
                <w:szCs w:val="16"/>
              </w:rPr>
              <w:t xml:space="preserve">. Excluded those who died prior to </w:t>
            </w:r>
            <w:r>
              <w:rPr>
                <w:rFonts w:ascii="Times New Roman" w:hAnsi="Times New Roman" w:cs="Times New Roman"/>
                <w:sz w:val="16"/>
                <w:szCs w:val="16"/>
              </w:rPr>
              <w:t>baseline</w:t>
            </w:r>
            <w:r w:rsidRPr="00EB158D">
              <w:rPr>
                <w:rFonts w:ascii="Times New Roman" w:hAnsi="Times New Roman" w:cs="Times New Roman"/>
                <w:sz w:val="16"/>
                <w:szCs w:val="16"/>
              </w:rPr>
              <w:t xml:space="preserve"> from calculations. Binomial: &lt;100%, 100%</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first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10 in 10/100 bootstrapped samples</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432"/>
        </w:trPr>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with prior/ prevalent STI</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N/A</w:t>
            </w:r>
          </w:p>
        </w:tc>
        <w:tc>
          <w:tcPr>
            <w:tcW w:w="3022" w:type="dxa"/>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reported a prior or prevalent sexually transmitted infection</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Excluded due to substantial missingness (64</w:t>
            </w:r>
            <w:r>
              <w:rPr>
                <w:rFonts w:ascii="Times New Roman" w:eastAsia="Times New Roman" w:hAnsi="Times New Roman" w:cs="Times New Roman"/>
                <w:color w:val="000000"/>
                <w:sz w:val="16"/>
                <w:szCs w:val="16"/>
              </w:rPr>
              <w:t>.</w:t>
            </w:r>
            <w:r w:rsidRPr="00EB158D">
              <w:rPr>
                <w:rFonts w:ascii="Times New Roman" w:hAnsi="Times New Roman" w:cs="Times New Roman"/>
                <w:sz w:val="16"/>
                <w:szCs w:val="16"/>
              </w:rPr>
              <w:t>2%)</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143"/>
        </w:trPr>
        <w:tc>
          <w:tcPr>
            <w:tcW w:w="0" w:type="auto"/>
            <w:tcBorders>
              <w:top w:val="single" w:sz="4" w:space="0" w:color="auto"/>
              <w:bottom w:val="single" w:sz="4" w:space="0" w:color="auto"/>
            </w:tcBorders>
          </w:tcPr>
          <w:p w:rsidR="00DA6C9D" w:rsidRPr="00607837" w:rsidRDefault="00DA6C9D" w:rsidP="00F40762">
            <w:pPr>
              <w:rPr>
                <w:rFonts w:ascii="Times New Roman" w:hAnsi="Times New Roman" w:cs="Times New Roman"/>
                <w:b/>
                <w:sz w:val="16"/>
                <w:szCs w:val="16"/>
              </w:rPr>
            </w:pPr>
            <w:r w:rsidRPr="00607837">
              <w:rPr>
                <w:rFonts w:ascii="Times New Roman" w:hAnsi="Times New Roman" w:cs="Times New Roman"/>
                <w:b/>
                <w:sz w:val="16"/>
                <w:szCs w:val="16"/>
              </w:rPr>
              <w:t>Contact tracing</w:t>
            </w: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p>
        </w:tc>
        <w:tc>
          <w:tcPr>
            <w:tcW w:w="3022" w:type="dxa"/>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p>
        </w:tc>
        <w:tc>
          <w:tcPr>
            <w:tcW w:w="0" w:type="auto"/>
            <w:tcBorders>
              <w:top w:val="single" w:sz="4" w:space="0" w:color="auto"/>
              <w:bottom w:val="single" w:sz="4" w:space="0" w:color="auto"/>
            </w:tcBorders>
          </w:tcPr>
          <w:p w:rsidR="00DA6C9D" w:rsidRPr="00EB158D" w:rsidRDefault="00DA6C9D" w:rsidP="00F40762">
            <w:pPr>
              <w:rPr>
                <w:rFonts w:ascii="Times New Roman" w:hAnsi="Times New Roman" w:cs="Times New Roman"/>
                <w:sz w:val="16"/>
                <w:szCs w:val="16"/>
              </w:rPr>
            </w:pPr>
          </w:p>
        </w:tc>
      </w:tr>
      <w:tr w:rsidR="00DA6C9D" w:rsidRPr="00EB158D" w:rsidTr="00F40762">
        <w:trPr>
          <w:trHeight w:val="432"/>
        </w:trPr>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interviewed by DIS</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were interviewed by Disease Intervention Specialists (DIS). Binomial: 0 - &lt; 66.67%, ≥66.67%</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Removed ninth in backward elimination - </w:t>
            </w:r>
            <w:r w:rsidRPr="00EB158D">
              <w:rPr>
                <w:rFonts w:ascii="Times New Roman" w:hAnsi="Times New Roman" w:cs="Times New Roman"/>
                <w:color w:val="000000"/>
                <w:sz w:val="16"/>
                <w:szCs w:val="16"/>
                <w:shd w:val="clear" w:color="auto" w:fill="FFFFFF"/>
              </w:rPr>
              <w:t xml:space="preserve">Wald Chi-square p-value </w:t>
            </w:r>
            <w:r w:rsidRPr="00EB158D">
              <w:rPr>
                <w:rFonts w:ascii="Times New Roman" w:eastAsia="Times New Roman" w:hAnsi="Times New Roman" w:cs="Times New Roman"/>
                <w:color w:val="000000"/>
                <w:sz w:val="16"/>
                <w:szCs w:val="16"/>
              </w:rPr>
              <w:t xml:space="preserve">≤ </w:t>
            </w:r>
            <w:r w:rsidRPr="00EB158D">
              <w:rPr>
                <w:rFonts w:ascii="Times New Roman" w:hAnsi="Times New Roman" w:cs="Times New Roman"/>
                <w:color w:val="000000"/>
                <w:sz w:val="16"/>
                <w:szCs w:val="16"/>
                <w:shd w:val="clear" w:color="auto" w:fill="FFFFFF"/>
              </w:rPr>
              <w:t>0</w:t>
            </w:r>
            <w:r>
              <w:rPr>
                <w:rFonts w:ascii="Times New Roman" w:eastAsia="Times New Roman" w:hAnsi="Times New Roman" w:cs="Times New Roman"/>
                <w:color w:val="000000"/>
                <w:sz w:val="16"/>
                <w:szCs w:val="16"/>
              </w:rPr>
              <w:t>.</w:t>
            </w:r>
            <w:r w:rsidRPr="00EB158D">
              <w:rPr>
                <w:rFonts w:ascii="Times New Roman" w:hAnsi="Times New Roman" w:cs="Times New Roman"/>
                <w:color w:val="000000"/>
                <w:sz w:val="16"/>
                <w:szCs w:val="16"/>
                <w:shd w:val="clear" w:color="auto" w:fill="FFFFFF"/>
              </w:rPr>
              <w:t>10 in 49/100 bootstrapped samples</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r w:rsidR="00DA6C9D" w:rsidRPr="00EB158D" w:rsidTr="00F40762">
        <w:trPr>
          <w:trHeight w:val="432"/>
        </w:trPr>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with no named contacts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Binomial</w:t>
            </w:r>
          </w:p>
        </w:tc>
        <w:tc>
          <w:tcPr>
            <w:tcW w:w="3022" w:type="dxa"/>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Percentage of individuals in the cluster by </w:t>
            </w:r>
            <w:r>
              <w:rPr>
                <w:rFonts w:ascii="Times New Roman" w:hAnsi="Times New Roman" w:cs="Times New Roman"/>
                <w:sz w:val="16"/>
                <w:szCs w:val="16"/>
              </w:rPr>
              <w:t>baseline</w:t>
            </w:r>
            <w:r w:rsidRPr="00EB158D">
              <w:rPr>
                <w:rFonts w:ascii="Times New Roman" w:hAnsi="Times New Roman" w:cs="Times New Roman"/>
                <w:sz w:val="16"/>
                <w:szCs w:val="16"/>
              </w:rPr>
              <w:t xml:space="preserve"> who did not report any identifiable contacts at DIS interview: Binomial: ≤50%, &gt;50%</w:t>
            </w:r>
            <w:r>
              <w:rPr>
                <w:rFonts w:ascii="Times New Roman" w:hAnsi="Times New Roman" w:cs="Times New Roman"/>
                <w:sz w:val="16"/>
                <w:szCs w:val="16"/>
              </w:rPr>
              <w:t xml:space="preserve">. </w:t>
            </w:r>
            <w:r w:rsidRPr="00EB158D">
              <w:rPr>
                <w:rFonts w:ascii="Times New Roman" w:hAnsi="Times New Roman" w:cs="Times New Roman"/>
                <w:sz w:val="16"/>
                <w:szCs w:val="16"/>
              </w:rPr>
              <w:t>≤</w:t>
            </w:r>
            <w:r>
              <w:rPr>
                <w:rFonts w:ascii="Times New Roman" w:hAnsi="Times New Roman" w:cs="Times New Roman"/>
                <w:sz w:val="16"/>
                <w:szCs w:val="16"/>
              </w:rPr>
              <w:t xml:space="preserve">50% is referent for </w:t>
            </w:r>
            <w:proofErr w:type="spellStart"/>
            <w:r>
              <w:rPr>
                <w:rFonts w:ascii="Times New Roman" w:hAnsi="Times New Roman" w:cs="Times New Roman"/>
                <w:sz w:val="16"/>
                <w:szCs w:val="16"/>
              </w:rPr>
              <w:t>aOR</w:t>
            </w:r>
            <w:proofErr w:type="spellEnd"/>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 xml:space="preserve">Retained in final model - Wald Chi-square p-value </w:t>
            </w:r>
            <w:r w:rsidRPr="00EB158D">
              <w:rPr>
                <w:rFonts w:ascii="Times New Roman" w:eastAsia="Times New Roman" w:hAnsi="Times New Roman" w:cs="Times New Roman"/>
                <w:color w:val="000000"/>
                <w:sz w:val="16"/>
                <w:szCs w:val="16"/>
              </w:rPr>
              <w:t>≤ 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color w:val="000000"/>
                <w:sz w:val="16"/>
                <w:szCs w:val="16"/>
              </w:rPr>
              <w:t>10 in 84/100 bootstrapped samples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c>
          <w:tcPr>
            <w:tcW w:w="0" w:type="auto"/>
            <w:tcBorders>
              <w:top w:val="single" w:sz="4" w:space="0" w:color="auto"/>
              <w:bottom w:val="single" w:sz="4" w:space="0" w:color="auto"/>
            </w:tcBorders>
            <w:shd w:val="clear" w:color="auto" w:fill="D9D9D9" w:themeFill="background1" w:themeFillShade="D9"/>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Yes</w:t>
            </w:r>
          </w:p>
        </w:tc>
      </w:tr>
      <w:tr w:rsidR="00DA6C9D" w:rsidRPr="00EB158D" w:rsidTr="00F40762">
        <w:trPr>
          <w:trHeight w:val="432"/>
        </w:trPr>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 meeting sex partners online</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N/A</w:t>
            </w:r>
          </w:p>
        </w:tc>
        <w:tc>
          <w:tcPr>
            <w:tcW w:w="3022" w:type="dxa"/>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Percentage of</w:t>
            </w:r>
            <w:r>
              <w:rPr>
                <w:rFonts w:ascii="Times New Roman" w:hAnsi="Times New Roman" w:cs="Times New Roman"/>
                <w:sz w:val="16"/>
                <w:szCs w:val="16"/>
              </w:rPr>
              <w:t xml:space="preserve"> individuals in the cluster by baseline </w:t>
            </w:r>
            <w:r w:rsidRPr="00EB158D">
              <w:rPr>
                <w:rFonts w:ascii="Times New Roman" w:hAnsi="Times New Roman" w:cs="Times New Roman"/>
                <w:sz w:val="16"/>
                <w:szCs w:val="16"/>
              </w:rPr>
              <w:t>who reported meeting sex partners online</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Excluded due to substantial missingness (64</w:t>
            </w:r>
            <w:r>
              <w:rPr>
                <w:rFonts w:ascii="Times New Roman" w:eastAsia="Times New Roman" w:hAnsi="Times New Roman" w:cs="Times New Roman"/>
                <w:color w:val="000000"/>
                <w:sz w:val="16"/>
                <w:szCs w:val="16"/>
              </w:rPr>
              <w:t>.</w:t>
            </w:r>
            <w:r w:rsidRPr="00EB158D">
              <w:rPr>
                <w:rFonts w:ascii="Times New Roman" w:hAnsi="Times New Roman" w:cs="Times New Roman"/>
                <w:sz w:val="16"/>
                <w:szCs w:val="16"/>
              </w:rPr>
              <w:t>8%)</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c>
          <w:tcPr>
            <w:tcW w:w="0" w:type="auto"/>
            <w:tcBorders>
              <w:top w:val="single" w:sz="4" w:space="0" w:color="auto"/>
              <w:bottom w:val="single" w:sz="4" w:space="0" w:color="auto"/>
            </w:tcBorders>
            <w:shd w:val="clear" w:color="auto" w:fill="FFFFFF" w:themeFill="background1"/>
          </w:tcPr>
          <w:p w:rsidR="00DA6C9D" w:rsidRPr="00EB158D" w:rsidRDefault="00DA6C9D" w:rsidP="00F40762">
            <w:pPr>
              <w:rPr>
                <w:rFonts w:ascii="Times New Roman" w:hAnsi="Times New Roman" w:cs="Times New Roman"/>
                <w:sz w:val="16"/>
                <w:szCs w:val="16"/>
              </w:rPr>
            </w:pPr>
            <w:r w:rsidRPr="00EB158D">
              <w:rPr>
                <w:rFonts w:ascii="Times New Roman" w:hAnsi="Times New Roman" w:cs="Times New Roman"/>
                <w:sz w:val="16"/>
                <w:szCs w:val="16"/>
              </w:rPr>
              <w:t>No</w:t>
            </w:r>
          </w:p>
        </w:tc>
      </w:tr>
    </w:tbl>
    <w:p w:rsidR="00DA6C9D" w:rsidRPr="00EB158D" w:rsidRDefault="00DA6C9D" w:rsidP="00DA6C9D">
      <w:pPr>
        <w:spacing w:after="0"/>
        <w:rPr>
          <w:rFonts w:ascii="Times New Roman" w:hAnsi="Times New Roman" w:cs="Times New Roman"/>
          <w:color w:val="000000"/>
          <w:sz w:val="20"/>
          <w:szCs w:val="20"/>
          <w:shd w:val="clear" w:color="auto" w:fill="FFFFFF"/>
        </w:rPr>
      </w:pPr>
      <w:r>
        <w:rPr>
          <w:rFonts w:ascii="Times New Roman" w:eastAsia="Times New Roman" w:hAnsi="Times New Roman" w:cs="Times New Roman"/>
          <w:noProof/>
          <w:color w:val="000000"/>
          <w:sz w:val="20"/>
          <w:szCs w:val="20"/>
          <w:vertAlign w:val="superscript"/>
        </w:rPr>
        <w:t>a</w:t>
      </w:r>
      <w:r w:rsidRPr="00EB158D">
        <w:rPr>
          <w:rFonts w:ascii="Times New Roman" w:eastAsia="Times New Roman" w:hAnsi="Times New Roman" w:cs="Times New Roman"/>
          <w:noProof/>
          <w:color w:val="000000"/>
          <w:sz w:val="20"/>
          <w:szCs w:val="20"/>
        </w:rPr>
        <w:t>Candidate predictors included in the final predictive model are highlighted in gray.</w:t>
      </w:r>
      <w:r w:rsidRPr="00EB158D">
        <w:rPr>
          <w:rFonts w:ascii="Times New Roman" w:hAnsi="Times New Roman" w:cs="Times New Roman"/>
          <w:color w:val="000000"/>
          <w:sz w:val="20"/>
          <w:szCs w:val="20"/>
          <w:shd w:val="clear" w:color="auto" w:fill="FFFFFF"/>
        </w:rPr>
        <w:t xml:space="preserve"> </w:t>
      </w:r>
    </w:p>
    <w:p w:rsidR="00DA6C9D" w:rsidRDefault="00DA6C9D" w:rsidP="00DA6C9D"/>
    <w:p w:rsidR="00DA6C9D" w:rsidRDefault="00DA6C9D" w:rsidP="00DA6C9D">
      <w:pPr>
        <w:spacing w:after="0"/>
        <w:rPr>
          <w:rFonts w:eastAsia="Times New Roman" w:cstheme="minorHAnsi"/>
          <w:b/>
          <w:color w:val="00000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Default="00DA6C9D" w:rsidP="00DA6C9D">
      <w:pPr>
        <w:tabs>
          <w:tab w:val="left" w:pos="1840"/>
        </w:tabs>
        <w:spacing w:after="0"/>
        <w:rPr>
          <w:rFonts w:ascii="Times New Roman" w:hAnsi="Times New Roman" w:cs="Times New Roman"/>
          <w:b/>
          <w:sz w:val="20"/>
          <w:szCs w:val="20"/>
        </w:rPr>
      </w:pPr>
    </w:p>
    <w:p w:rsidR="00DA6C9D" w:rsidRPr="005D31C7" w:rsidRDefault="00DA6C9D" w:rsidP="00DA6C9D">
      <w:pPr>
        <w:tabs>
          <w:tab w:val="left" w:pos="1840"/>
        </w:tabs>
        <w:spacing w:after="0"/>
        <w:rPr>
          <w:rFonts w:cstheme="minorHAnsi"/>
          <w:b/>
        </w:rPr>
      </w:pPr>
      <w:r>
        <w:rPr>
          <w:rFonts w:cstheme="minorHAnsi"/>
          <w:b/>
        </w:rPr>
        <w:lastRenderedPageBreak/>
        <w:t xml:space="preserve">Supplemental </w:t>
      </w:r>
      <w:r w:rsidRPr="005D31C7">
        <w:rPr>
          <w:rFonts w:cstheme="minorHAnsi"/>
          <w:b/>
        </w:rPr>
        <w:t xml:space="preserve">Table 2. </w:t>
      </w:r>
      <w:r w:rsidRPr="005D31C7">
        <w:rPr>
          <w:rFonts w:cstheme="minorHAnsi"/>
        </w:rPr>
        <w:t>Retained predictors across 100, 200, and 500 bootstrapped samples.</w:t>
      </w:r>
    </w:p>
    <w:tbl>
      <w:tblPr>
        <w:tblStyle w:val="TableGrid"/>
        <w:tblpPr w:leftFromText="180" w:rightFromText="180" w:vertAnchor="page" w:horzAnchor="margin" w:tblpY="1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85"/>
        <w:gridCol w:w="1175"/>
        <w:gridCol w:w="1080"/>
        <w:gridCol w:w="1170"/>
      </w:tblGrid>
      <w:tr w:rsidR="00DA6C9D" w:rsidTr="00F40762">
        <w:tc>
          <w:tcPr>
            <w:tcW w:w="2785" w:type="dxa"/>
            <w:tcBorders>
              <w:top w:val="single" w:sz="4" w:space="0" w:color="auto"/>
              <w:bottom w:val="single" w:sz="4" w:space="0" w:color="auto"/>
            </w:tcBorders>
            <w:shd w:val="clear" w:color="auto" w:fill="auto"/>
            <w:vAlign w:val="center"/>
          </w:tcPr>
          <w:p w:rsidR="00DA6C9D" w:rsidRPr="00B1523F" w:rsidRDefault="00DA6C9D" w:rsidP="00F40762">
            <w:pPr>
              <w:rPr>
                <w:rFonts w:ascii="Times New Roman" w:eastAsia="Times New Roman" w:hAnsi="Times New Roman" w:cs="Times New Roman"/>
                <w:b/>
                <w:noProof/>
                <w:color w:val="000000"/>
                <w:sz w:val="16"/>
                <w:szCs w:val="16"/>
              </w:rPr>
            </w:pPr>
            <w:r w:rsidRPr="00B1523F">
              <w:rPr>
                <w:rFonts w:ascii="Times New Roman" w:eastAsia="Times New Roman" w:hAnsi="Times New Roman" w:cs="Times New Roman"/>
                <w:b/>
                <w:noProof/>
                <w:color w:val="000000"/>
                <w:sz w:val="16"/>
                <w:szCs w:val="16"/>
              </w:rPr>
              <w:t>Candidate Predictor</w:t>
            </w:r>
          </w:p>
        </w:tc>
        <w:tc>
          <w:tcPr>
            <w:tcW w:w="1175" w:type="dxa"/>
            <w:tcBorders>
              <w:top w:val="single" w:sz="4" w:space="0" w:color="auto"/>
              <w:bottom w:val="single" w:sz="4" w:space="0" w:color="auto"/>
            </w:tcBorders>
            <w:shd w:val="clear" w:color="auto" w:fill="auto"/>
            <w:vAlign w:val="center"/>
          </w:tcPr>
          <w:p w:rsidR="00DA6C9D" w:rsidRPr="00B1523F" w:rsidRDefault="00DA6C9D" w:rsidP="00F40762">
            <w:pPr>
              <w:jc w:val="center"/>
              <w:rPr>
                <w:rFonts w:ascii="Times New Roman" w:eastAsia="Times New Roman" w:hAnsi="Times New Roman" w:cs="Times New Roman"/>
                <w:b/>
                <w:noProof/>
                <w:color w:val="000000"/>
                <w:sz w:val="16"/>
                <w:szCs w:val="16"/>
              </w:rPr>
            </w:pPr>
            <w:r w:rsidRPr="00B1523F">
              <w:rPr>
                <w:rFonts w:ascii="Times New Roman" w:eastAsia="Times New Roman" w:hAnsi="Times New Roman" w:cs="Times New Roman"/>
                <w:b/>
                <w:noProof/>
                <w:color w:val="000000"/>
                <w:sz w:val="16"/>
                <w:szCs w:val="16"/>
              </w:rPr>
              <w:t>100 Samples (N, %)</w:t>
            </w:r>
          </w:p>
        </w:tc>
        <w:tc>
          <w:tcPr>
            <w:tcW w:w="1080" w:type="dxa"/>
            <w:tcBorders>
              <w:top w:val="single" w:sz="4" w:space="0" w:color="auto"/>
              <w:bottom w:val="single" w:sz="4" w:space="0" w:color="auto"/>
            </w:tcBorders>
            <w:shd w:val="clear" w:color="auto" w:fill="auto"/>
            <w:vAlign w:val="center"/>
          </w:tcPr>
          <w:p w:rsidR="00DA6C9D" w:rsidRPr="00B1523F" w:rsidRDefault="00DA6C9D" w:rsidP="00F40762">
            <w:pPr>
              <w:jc w:val="center"/>
              <w:rPr>
                <w:rFonts w:ascii="Times New Roman" w:eastAsia="Times New Roman" w:hAnsi="Times New Roman" w:cs="Times New Roman"/>
                <w:b/>
                <w:noProof/>
                <w:color w:val="000000"/>
                <w:sz w:val="16"/>
                <w:szCs w:val="16"/>
              </w:rPr>
            </w:pPr>
            <w:r w:rsidRPr="00B1523F">
              <w:rPr>
                <w:rFonts w:ascii="Times New Roman" w:eastAsia="Times New Roman" w:hAnsi="Times New Roman" w:cs="Times New Roman"/>
                <w:b/>
                <w:noProof/>
                <w:color w:val="000000"/>
                <w:sz w:val="16"/>
                <w:szCs w:val="16"/>
              </w:rPr>
              <w:t>200 Samples (N, %)</w:t>
            </w:r>
          </w:p>
        </w:tc>
        <w:tc>
          <w:tcPr>
            <w:tcW w:w="1170" w:type="dxa"/>
            <w:tcBorders>
              <w:top w:val="single" w:sz="4" w:space="0" w:color="auto"/>
              <w:bottom w:val="single" w:sz="4" w:space="0" w:color="auto"/>
            </w:tcBorders>
            <w:shd w:val="clear" w:color="auto" w:fill="auto"/>
            <w:vAlign w:val="center"/>
          </w:tcPr>
          <w:p w:rsidR="00DA6C9D" w:rsidRPr="00B1523F" w:rsidRDefault="00DA6C9D" w:rsidP="00F40762">
            <w:pPr>
              <w:jc w:val="center"/>
              <w:rPr>
                <w:rFonts w:ascii="Times New Roman" w:eastAsia="Times New Roman" w:hAnsi="Times New Roman" w:cs="Times New Roman"/>
                <w:b/>
                <w:noProof/>
                <w:color w:val="000000"/>
                <w:sz w:val="16"/>
                <w:szCs w:val="16"/>
              </w:rPr>
            </w:pPr>
            <w:r w:rsidRPr="00B1523F">
              <w:rPr>
                <w:rFonts w:ascii="Times New Roman" w:eastAsia="Times New Roman" w:hAnsi="Times New Roman" w:cs="Times New Roman"/>
                <w:b/>
                <w:noProof/>
                <w:color w:val="000000"/>
                <w:sz w:val="16"/>
                <w:szCs w:val="16"/>
              </w:rPr>
              <w:t>500 Samples (N, %)</w:t>
            </w:r>
          </w:p>
        </w:tc>
      </w:tr>
      <w:tr w:rsidR="00DA6C9D" w:rsidTr="00F40762">
        <w:tc>
          <w:tcPr>
            <w:tcW w:w="2785" w:type="dxa"/>
            <w:tcBorders>
              <w:top w:val="single" w:sz="4" w:space="0" w:color="auto"/>
            </w:tcBorders>
            <w:shd w:val="clear" w:color="auto" w:fill="auto"/>
          </w:tcPr>
          <w:p w:rsidR="00DA6C9D" w:rsidRPr="00162B96" w:rsidRDefault="00DA6C9D" w:rsidP="00F40762">
            <w:pPr>
              <w:rPr>
                <w:rFonts w:ascii="Times New Roman" w:hAnsi="Times New Roman" w:cs="Times New Roman"/>
                <w:sz w:val="16"/>
                <w:szCs w:val="16"/>
              </w:rPr>
            </w:pPr>
            <w:r w:rsidRPr="00162B96">
              <w:rPr>
                <w:rFonts w:ascii="Times New Roman" w:hAnsi="Times New Roman" w:cs="Times New Roman"/>
                <w:sz w:val="16"/>
                <w:szCs w:val="16"/>
              </w:rPr>
              <w:t>Cluster size</w:t>
            </w:r>
          </w:p>
        </w:tc>
        <w:tc>
          <w:tcPr>
            <w:tcW w:w="1175" w:type="dxa"/>
            <w:tcBorders>
              <w:top w:val="single" w:sz="4" w:space="0" w:color="auto"/>
            </w:tcBorders>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93 (9</w:t>
            </w:r>
            <w:r>
              <w:rPr>
                <w:rFonts w:ascii="Times New Roman" w:eastAsia="Times New Roman" w:hAnsi="Times New Roman" w:cs="Times New Roman"/>
                <w:noProof/>
                <w:color w:val="000000"/>
                <w:sz w:val="16"/>
                <w:szCs w:val="16"/>
              </w:rPr>
              <w:t>3</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tcBorders>
              <w:top w:val="single" w:sz="4" w:space="0" w:color="auto"/>
            </w:tcBorders>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188 (94</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tcBorders>
              <w:top w:val="single" w:sz="4" w:space="0" w:color="auto"/>
            </w:tcBorders>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470 (94</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 xml:space="preserve">Percent </w:t>
            </w:r>
            <w:r>
              <w:rPr>
                <w:rFonts w:ascii="Times New Roman" w:hAnsi="Times New Roman" w:cs="Times New Roman"/>
                <w:sz w:val="16"/>
                <w:szCs w:val="16"/>
              </w:rPr>
              <w:t>with HIV viremia</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81 (81</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165 (82</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391 (78</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2%)</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acute</w:t>
            </w:r>
            <w:r>
              <w:rPr>
                <w:rFonts w:ascii="Times New Roman" w:hAnsi="Times New Roman" w:cs="Times New Roman"/>
                <w:sz w:val="16"/>
                <w:szCs w:val="16"/>
              </w:rPr>
              <w:t>/recent</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16 (16</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29 (14</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 xml:space="preserve"> 88 (17</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6%)</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 xml:space="preserve">Median time to </w:t>
            </w:r>
            <w:r>
              <w:rPr>
                <w:rFonts w:ascii="Times New Roman" w:hAnsi="Times New Roman" w:cs="Times New Roman"/>
                <w:sz w:val="16"/>
                <w:szCs w:val="16"/>
              </w:rPr>
              <w:t xml:space="preserve">HIV </w:t>
            </w:r>
            <w:r w:rsidRPr="00162B96">
              <w:rPr>
                <w:rFonts w:ascii="Times New Roman" w:hAnsi="Times New Roman" w:cs="Times New Roman"/>
                <w:sz w:val="16"/>
                <w:szCs w:val="16"/>
              </w:rPr>
              <w:t>care entry</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55 (55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110 (55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287 (57</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4%)</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 xml:space="preserve">Percent in </w:t>
            </w:r>
            <w:r>
              <w:rPr>
                <w:rFonts w:ascii="Times New Roman" w:hAnsi="Times New Roman" w:cs="Times New Roman"/>
                <w:sz w:val="16"/>
                <w:szCs w:val="16"/>
              </w:rPr>
              <w:t xml:space="preserve">HIV </w:t>
            </w:r>
            <w:r w:rsidRPr="00162B96">
              <w:rPr>
                <w:rFonts w:ascii="Times New Roman" w:hAnsi="Times New Roman" w:cs="Times New Roman"/>
                <w:sz w:val="16"/>
                <w:szCs w:val="16"/>
              </w:rPr>
              <w:t xml:space="preserve">care </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10 (10</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17 (8</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58 (11</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6%)</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Years since a diagnosis</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91 (91</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184 (92</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 xml:space="preserve"> 450 (90</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interviewed by DIS</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49 (49</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99 (49</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253 (50</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6%)</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Cluster age: diagnoses</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17 (17</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31 (15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79 (15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8%)</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Median age</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73 (73</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156 (78</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397 (79</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4%)</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PWID</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21 (21</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34 (17</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72 (14</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4%)</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MSM</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30 (30</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55 (27</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125 (25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Black, non-Hispanic</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25 (25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47 (23</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5%)</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106 (21</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2%)</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with no named contacts</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84 (84</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172 (86</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431 (86</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2%)</w:t>
            </w:r>
          </w:p>
        </w:tc>
      </w:tr>
      <w:tr w:rsidR="00DA6C9D" w:rsidTr="00F40762">
        <w:tc>
          <w:tcPr>
            <w:tcW w:w="2785" w:type="dxa"/>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Percent in dominant geographic region</w:t>
            </w:r>
          </w:p>
        </w:tc>
        <w:tc>
          <w:tcPr>
            <w:tcW w:w="1175"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14 (14</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30 (15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81 (16</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2%)</w:t>
            </w:r>
          </w:p>
        </w:tc>
      </w:tr>
      <w:tr w:rsidR="00DA6C9D" w:rsidTr="00F40762">
        <w:tc>
          <w:tcPr>
            <w:tcW w:w="2785" w:type="dxa"/>
            <w:tcBorders>
              <w:bottom w:val="single" w:sz="4" w:space="0" w:color="auto"/>
            </w:tcBorders>
            <w:shd w:val="clear" w:color="auto" w:fill="auto"/>
          </w:tcPr>
          <w:p w:rsidR="00DA6C9D" w:rsidRPr="00162B96" w:rsidRDefault="00DA6C9D" w:rsidP="00F40762">
            <w:pPr>
              <w:rPr>
                <w:rFonts w:ascii="Times New Roman" w:eastAsia="Times New Roman" w:hAnsi="Times New Roman" w:cs="Times New Roman"/>
                <w:b/>
                <w:noProof/>
                <w:color w:val="000000"/>
                <w:sz w:val="16"/>
                <w:szCs w:val="16"/>
              </w:rPr>
            </w:pPr>
            <w:r w:rsidRPr="00162B96">
              <w:rPr>
                <w:rFonts w:ascii="Times New Roman" w:hAnsi="Times New Roman" w:cs="Times New Roman"/>
                <w:sz w:val="16"/>
                <w:szCs w:val="16"/>
              </w:rPr>
              <w:t>Cluster age: sequences</w:t>
            </w:r>
          </w:p>
        </w:tc>
        <w:tc>
          <w:tcPr>
            <w:tcW w:w="1175" w:type="dxa"/>
            <w:tcBorders>
              <w:bottom w:val="single" w:sz="4" w:space="0" w:color="auto"/>
            </w:tcBorders>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15 (15</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080" w:type="dxa"/>
            <w:tcBorders>
              <w:bottom w:val="single" w:sz="4" w:space="0" w:color="auto"/>
            </w:tcBorders>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36 (18</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0%)</w:t>
            </w:r>
          </w:p>
        </w:tc>
        <w:tc>
          <w:tcPr>
            <w:tcW w:w="1170" w:type="dxa"/>
            <w:tcBorders>
              <w:bottom w:val="single" w:sz="4" w:space="0" w:color="auto"/>
            </w:tcBorders>
            <w:shd w:val="clear" w:color="auto" w:fill="auto"/>
          </w:tcPr>
          <w:p w:rsidR="00DA6C9D" w:rsidRPr="00162B96" w:rsidRDefault="00DA6C9D" w:rsidP="00F40762">
            <w:pPr>
              <w:jc w:val="center"/>
              <w:rPr>
                <w:rFonts w:ascii="Times New Roman" w:eastAsia="Times New Roman" w:hAnsi="Times New Roman" w:cs="Times New Roman"/>
                <w:noProof/>
                <w:color w:val="000000"/>
                <w:sz w:val="16"/>
                <w:szCs w:val="16"/>
              </w:rPr>
            </w:pPr>
            <w:r w:rsidRPr="00162B96">
              <w:rPr>
                <w:rFonts w:ascii="Times New Roman" w:eastAsia="Times New Roman" w:hAnsi="Times New Roman" w:cs="Times New Roman"/>
                <w:noProof/>
                <w:color w:val="000000"/>
                <w:sz w:val="16"/>
                <w:szCs w:val="16"/>
              </w:rPr>
              <w:t>89 (17</w:t>
            </w:r>
            <w:r>
              <w:rPr>
                <w:rFonts w:ascii="Times New Roman" w:eastAsia="Times New Roman" w:hAnsi="Times New Roman" w:cs="Times New Roman"/>
                <w:color w:val="000000"/>
                <w:sz w:val="16"/>
                <w:szCs w:val="16"/>
              </w:rPr>
              <w:t>.</w:t>
            </w:r>
            <w:r w:rsidRPr="00162B96">
              <w:rPr>
                <w:rFonts w:ascii="Times New Roman" w:eastAsia="Times New Roman" w:hAnsi="Times New Roman" w:cs="Times New Roman"/>
                <w:noProof/>
                <w:color w:val="000000"/>
                <w:sz w:val="16"/>
                <w:szCs w:val="16"/>
              </w:rPr>
              <w:t>8%)</w:t>
            </w:r>
          </w:p>
        </w:tc>
      </w:tr>
    </w:tbl>
    <w:p w:rsidR="00DA6C9D" w:rsidRDefault="00DA6C9D" w:rsidP="00DA6C9D"/>
    <w:p w:rsidR="00DA6C9D" w:rsidRDefault="00DA6C9D" w:rsidP="00DA6C9D">
      <w:pPr>
        <w:tabs>
          <w:tab w:val="left" w:pos="1840"/>
        </w:tabs>
        <w:rPr>
          <w:rFonts w:ascii="Times New Roman" w:hAnsi="Times New Roman" w:cs="Times New Roman"/>
          <w:b/>
          <w:sz w:val="20"/>
          <w:szCs w:val="20"/>
        </w:rPr>
      </w:pPr>
    </w:p>
    <w:p w:rsidR="00DA6C9D" w:rsidRDefault="00DA6C9D" w:rsidP="00DA6C9D">
      <w:pPr>
        <w:tabs>
          <w:tab w:val="left" w:pos="1840"/>
        </w:tabs>
        <w:rPr>
          <w:rFonts w:ascii="Times New Roman" w:hAnsi="Times New Roman" w:cs="Times New Roman"/>
          <w:b/>
          <w:sz w:val="20"/>
          <w:szCs w:val="20"/>
        </w:rPr>
      </w:pPr>
    </w:p>
    <w:p w:rsidR="00DA6C9D" w:rsidRDefault="00DA6C9D" w:rsidP="00DA6C9D">
      <w:pPr>
        <w:tabs>
          <w:tab w:val="left" w:pos="1840"/>
        </w:tabs>
        <w:rPr>
          <w:rFonts w:ascii="Times New Roman" w:hAnsi="Times New Roman" w:cs="Times New Roman"/>
          <w:b/>
          <w:sz w:val="20"/>
          <w:szCs w:val="20"/>
        </w:rPr>
      </w:pPr>
    </w:p>
    <w:p w:rsidR="00DA6C9D" w:rsidRDefault="00DA6C9D" w:rsidP="00DA6C9D">
      <w:pPr>
        <w:tabs>
          <w:tab w:val="left" w:pos="1840"/>
        </w:tabs>
        <w:rPr>
          <w:rFonts w:ascii="Times New Roman" w:hAnsi="Times New Roman" w:cs="Times New Roman"/>
          <w:b/>
          <w:sz w:val="20"/>
          <w:szCs w:val="20"/>
        </w:rPr>
      </w:pPr>
    </w:p>
    <w:p w:rsidR="00DA6C9D" w:rsidRDefault="00DA6C9D" w:rsidP="00DA6C9D">
      <w:pPr>
        <w:spacing w:after="0"/>
        <w:rPr>
          <w:rFonts w:eastAsia="Times New Roman" w:cstheme="minorHAnsi"/>
          <w:b/>
          <w:color w:val="00000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Default="00DA6C9D" w:rsidP="00DA6C9D">
      <w:pPr>
        <w:spacing w:after="0"/>
        <w:rPr>
          <w:rFonts w:ascii="Times New Roman" w:eastAsia="Times New Roman" w:hAnsi="Times New Roman" w:cs="Times New Roman"/>
          <w:b/>
          <w:color w:val="000000"/>
          <w:sz w:val="20"/>
          <w:szCs w:val="20"/>
        </w:rPr>
      </w:pPr>
    </w:p>
    <w:p w:rsidR="00DA6C9D" w:rsidRPr="005D31C7" w:rsidRDefault="00DA6C9D" w:rsidP="00DA6C9D">
      <w:pPr>
        <w:spacing w:after="0"/>
        <w:rPr>
          <w:rFonts w:eastAsia="Times New Roman" w:cstheme="minorHAnsi"/>
          <w:b/>
          <w:color w:val="000000"/>
        </w:rPr>
      </w:pPr>
      <w:r>
        <w:rPr>
          <w:rFonts w:eastAsia="Times New Roman" w:cstheme="minorHAnsi"/>
          <w:b/>
          <w:color w:val="000000"/>
        </w:rPr>
        <w:lastRenderedPageBreak/>
        <w:t xml:space="preserve">Supplemental </w:t>
      </w:r>
      <w:r w:rsidRPr="005D31C7">
        <w:rPr>
          <w:rFonts w:eastAsia="Times New Roman" w:cstheme="minorHAnsi"/>
          <w:b/>
          <w:color w:val="000000"/>
        </w:rPr>
        <w:t xml:space="preserve">Table 3. </w:t>
      </w:r>
      <w:r w:rsidRPr="005D31C7">
        <w:rPr>
          <w:rFonts w:eastAsia="Times New Roman" w:cstheme="minorHAnsi"/>
          <w:color w:val="000000"/>
        </w:rPr>
        <w:t>Evaluation of goodness of fit and predictive ability of candidate models in the internal and external validation datasets.</w:t>
      </w:r>
    </w:p>
    <w:tbl>
      <w:tblPr>
        <w:tblW w:w="8450" w:type="dxa"/>
        <w:tblLook w:val="04A0" w:firstRow="1" w:lastRow="0" w:firstColumn="1" w:lastColumn="0" w:noHBand="0" w:noVBand="1"/>
      </w:tblPr>
      <w:tblGrid>
        <w:gridCol w:w="1890"/>
        <w:gridCol w:w="3150"/>
        <w:gridCol w:w="990"/>
        <w:gridCol w:w="1080"/>
        <w:gridCol w:w="670"/>
        <w:gridCol w:w="670"/>
      </w:tblGrid>
      <w:tr w:rsidR="00DA6C9D" w:rsidRPr="00EB158D" w:rsidTr="00F40762">
        <w:trPr>
          <w:trHeight w:val="290"/>
        </w:trPr>
        <w:tc>
          <w:tcPr>
            <w:tcW w:w="1890" w:type="dxa"/>
            <w:tcBorders>
              <w:top w:val="single" w:sz="4" w:space="0" w:color="auto"/>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b/>
                <w:sz w:val="16"/>
                <w:szCs w:val="16"/>
              </w:rPr>
            </w:pPr>
            <w:r w:rsidRPr="00EB158D">
              <w:rPr>
                <w:rFonts w:ascii="Times New Roman" w:eastAsia="Times New Roman" w:hAnsi="Times New Roman" w:cs="Times New Roman"/>
                <w:b/>
                <w:sz w:val="16"/>
                <w:szCs w:val="16"/>
              </w:rPr>
              <w:t>Candidate model</w:t>
            </w:r>
          </w:p>
        </w:tc>
        <w:tc>
          <w:tcPr>
            <w:tcW w:w="3150" w:type="dxa"/>
            <w:tcBorders>
              <w:top w:val="single" w:sz="4" w:space="0" w:color="auto"/>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b/>
                <w:color w:val="000000"/>
                <w:sz w:val="16"/>
                <w:szCs w:val="16"/>
              </w:rPr>
            </w:pPr>
            <w:r w:rsidRPr="00EB158D">
              <w:rPr>
                <w:rFonts w:ascii="Times New Roman" w:eastAsia="Times New Roman" w:hAnsi="Times New Roman" w:cs="Times New Roman"/>
                <w:b/>
                <w:color w:val="000000"/>
                <w:sz w:val="16"/>
                <w:szCs w:val="16"/>
              </w:rPr>
              <w:t>Predictors dropped from prior model</w:t>
            </w:r>
          </w:p>
        </w:tc>
        <w:tc>
          <w:tcPr>
            <w:tcW w:w="990" w:type="dxa"/>
            <w:tcBorders>
              <w:top w:val="single" w:sz="4" w:space="0" w:color="auto"/>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b/>
                <w:color w:val="000000"/>
                <w:sz w:val="16"/>
                <w:szCs w:val="16"/>
              </w:rPr>
            </w:pPr>
            <w:r w:rsidRPr="00EB158D">
              <w:rPr>
                <w:rFonts w:ascii="Times New Roman" w:eastAsia="Times New Roman" w:hAnsi="Times New Roman" w:cs="Times New Roman"/>
                <w:b/>
                <w:color w:val="000000"/>
                <w:sz w:val="16"/>
                <w:szCs w:val="16"/>
              </w:rPr>
              <w:t>Chi-square p-value</w:t>
            </w:r>
          </w:p>
        </w:tc>
        <w:tc>
          <w:tcPr>
            <w:tcW w:w="1080" w:type="dxa"/>
            <w:tcBorders>
              <w:top w:val="single" w:sz="4" w:space="0" w:color="auto"/>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ROC-</w:t>
            </w:r>
            <w:proofErr w:type="spellStart"/>
            <w:r w:rsidRPr="00EB158D">
              <w:rPr>
                <w:rFonts w:ascii="Times New Roman" w:eastAsia="Times New Roman" w:hAnsi="Times New Roman" w:cs="Times New Roman"/>
                <w:b/>
                <w:color w:val="000000"/>
                <w:sz w:val="16"/>
                <w:szCs w:val="16"/>
              </w:rPr>
              <w:t>AUC</w:t>
            </w:r>
            <w:r>
              <w:rPr>
                <w:rFonts w:ascii="Times New Roman" w:hAnsi="Times New Roman" w:cs="Times New Roman"/>
                <w:color w:val="000000"/>
                <w:sz w:val="16"/>
                <w:szCs w:val="16"/>
                <w:shd w:val="clear" w:color="auto" w:fill="FFFFFF"/>
                <w:vertAlign w:val="superscript"/>
              </w:rPr>
              <w:t>b</w:t>
            </w:r>
            <w:proofErr w:type="spellEnd"/>
          </w:p>
        </w:tc>
        <w:tc>
          <w:tcPr>
            <w:tcW w:w="670" w:type="dxa"/>
            <w:tcBorders>
              <w:top w:val="single" w:sz="4" w:space="0" w:color="auto"/>
              <w:left w:val="nil"/>
              <w:bottom w:val="single" w:sz="4" w:space="0" w:color="auto"/>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b/>
                <w:color w:val="000000"/>
                <w:sz w:val="16"/>
                <w:szCs w:val="16"/>
              </w:rPr>
            </w:pPr>
            <w:r w:rsidRPr="00EB158D">
              <w:rPr>
                <w:rFonts w:ascii="Times New Roman" w:eastAsia="Times New Roman" w:hAnsi="Times New Roman" w:cs="Times New Roman"/>
                <w:b/>
                <w:color w:val="000000"/>
                <w:sz w:val="16"/>
                <w:szCs w:val="16"/>
              </w:rPr>
              <w:t>AIC</w:t>
            </w:r>
          </w:p>
        </w:tc>
        <w:tc>
          <w:tcPr>
            <w:tcW w:w="670" w:type="dxa"/>
            <w:tcBorders>
              <w:top w:val="single" w:sz="4" w:space="0" w:color="auto"/>
              <w:left w:val="nil"/>
              <w:bottom w:val="single" w:sz="4" w:space="0" w:color="auto"/>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b/>
                <w:color w:val="000000"/>
                <w:sz w:val="16"/>
                <w:szCs w:val="16"/>
              </w:rPr>
            </w:pPr>
            <w:r w:rsidRPr="00EB158D">
              <w:rPr>
                <w:rFonts w:ascii="Times New Roman" w:eastAsia="Times New Roman" w:hAnsi="Times New Roman" w:cs="Times New Roman"/>
                <w:b/>
                <w:color w:val="000000"/>
                <w:sz w:val="16"/>
                <w:szCs w:val="16"/>
              </w:rPr>
              <w:t>BIC</w:t>
            </w:r>
          </w:p>
        </w:tc>
      </w:tr>
      <w:tr w:rsidR="00DA6C9D" w:rsidRPr="00EB158D" w:rsidTr="00F40762">
        <w:trPr>
          <w:trHeight w:val="290"/>
        </w:trPr>
        <w:tc>
          <w:tcPr>
            <w:tcW w:w="1890" w:type="dxa"/>
            <w:tcBorders>
              <w:top w:val="single" w:sz="4" w:space="0" w:color="auto"/>
              <w:left w:val="nil"/>
              <w:right w:val="nil"/>
            </w:tcBorders>
            <w:shd w:val="clear" w:color="auto" w:fill="auto"/>
            <w:noWrap/>
          </w:tcPr>
          <w:p w:rsidR="00DA6C9D" w:rsidRPr="00EB158D" w:rsidRDefault="00DA6C9D" w:rsidP="00F40762">
            <w:pPr>
              <w:spacing w:after="0" w:line="240" w:lineRule="auto"/>
              <w:rPr>
                <w:rFonts w:ascii="Times New Roman" w:eastAsia="Times New Roman" w:hAnsi="Times New Roman" w:cs="Times New Roman"/>
                <w:b/>
                <w:color w:val="000000"/>
                <w:sz w:val="16"/>
                <w:szCs w:val="16"/>
              </w:rPr>
            </w:pPr>
            <w:r w:rsidRPr="00EB158D">
              <w:rPr>
                <w:rFonts w:ascii="Times New Roman" w:eastAsia="Times New Roman" w:hAnsi="Times New Roman" w:cs="Times New Roman"/>
                <w:b/>
                <w:color w:val="000000"/>
                <w:sz w:val="16"/>
                <w:szCs w:val="16"/>
              </w:rPr>
              <w:t>Internal Validation</w:t>
            </w:r>
          </w:p>
        </w:tc>
        <w:tc>
          <w:tcPr>
            <w:tcW w:w="3150" w:type="dxa"/>
            <w:tcBorders>
              <w:top w:val="single" w:sz="4" w:space="0" w:color="auto"/>
              <w:left w:val="nil"/>
              <w:right w:val="nil"/>
            </w:tcBorders>
            <w:shd w:val="clear" w:color="auto" w:fill="auto"/>
            <w:noWrap/>
            <w:vAlign w:val="center"/>
          </w:tcPr>
          <w:p w:rsidR="00DA6C9D" w:rsidRPr="00EB158D" w:rsidRDefault="00DA6C9D" w:rsidP="00F40762">
            <w:pPr>
              <w:spacing w:after="0" w:line="240" w:lineRule="auto"/>
              <w:rPr>
                <w:rFonts w:ascii="Times New Roman" w:eastAsia="Times New Roman" w:hAnsi="Times New Roman" w:cs="Times New Roman"/>
                <w:color w:val="000000"/>
                <w:sz w:val="16"/>
                <w:szCs w:val="16"/>
              </w:rPr>
            </w:pPr>
          </w:p>
        </w:tc>
        <w:tc>
          <w:tcPr>
            <w:tcW w:w="990" w:type="dxa"/>
            <w:tcBorders>
              <w:top w:val="single" w:sz="4" w:space="0" w:color="auto"/>
              <w:left w:val="nil"/>
              <w:right w:val="nil"/>
            </w:tcBorders>
            <w:shd w:val="clear" w:color="auto" w:fill="auto"/>
            <w:noWrap/>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1080" w:type="dxa"/>
            <w:tcBorders>
              <w:top w:val="single" w:sz="4" w:space="0" w:color="auto"/>
              <w:left w:val="nil"/>
              <w:right w:val="nil"/>
            </w:tcBorders>
            <w:shd w:val="clear" w:color="auto" w:fill="auto"/>
            <w:noWrap/>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670" w:type="dxa"/>
            <w:tcBorders>
              <w:top w:val="single" w:sz="4" w:space="0" w:color="auto"/>
              <w:left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670" w:type="dxa"/>
            <w:tcBorders>
              <w:top w:val="single" w:sz="4" w:space="0" w:color="auto"/>
              <w:left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r>
      <w:tr w:rsidR="00DA6C9D" w:rsidRPr="00EB158D" w:rsidTr="00F40762">
        <w:trPr>
          <w:trHeight w:val="290"/>
        </w:trPr>
        <w:tc>
          <w:tcPr>
            <w:tcW w:w="1890" w:type="dxa"/>
            <w:tcBorders>
              <w:left w:val="nil"/>
              <w:bottom w:val="nil"/>
              <w:right w:val="nil"/>
            </w:tcBorders>
            <w:shd w:val="clear" w:color="auto" w:fill="auto"/>
            <w:noWrap/>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Full model</w:t>
            </w:r>
          </w:p>
        </w:tc>
        <w:tc>
          <w:tcPr>
            <w:tcW w:w="3150" w:type="dxa"/>
            <w:tcBorders>
              <w:left w:val="nil"/>
              <w:bottom w:val="nil"/>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p>
        </w:tc>
        <w:tc>
          <w:tcPr>
            <w:tcW w:w="990" w:type="dxa"/>
            <w:tcBorders>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939</w:t>
            </w:r>
          </w:p>
        </w:tc>
        <w:tc>
          <w:tcPr>
            <w:tcW w:w="1080" w:type="dxa"/>
            <w:tcBorders>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840</w:t>
            </w:r>
          </w:p>
        </w:tc>
        <w:tc>
          <w:tcPr>
            <w:tcW w:w="670" w:type="dxa"/>
            <w:tcBorders>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322</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86</w:t>
            </w:r>
          </w:p>
        </w:tc>
        <w:tc>
          <w:tcPr>
            <w:tcW w:w="670" w:type="dxa"/>
            <w:tcBorders>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392</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40</w:t>
            </w:r>
          </w:p>
        </w:tc>
      </w:tr>
      <w:tr w:rsidR="00DA6C9D" w:rsidRPr="00EB158D" w:rsidTr="00F40762">
        <w:trPr>
          <w:trHeight w:val="290"/>
        </w:trPr>
        <w:tc>
          <w:tcPr>
            <w:tcW w:w="1890" w:type="dxa"/>
            <w:tcBorders>
              <w:top w:val="nil"/>
              <w:left w:val="nil"/>
              <w:bottom w:val="nil"/>
              <w:right w:val="nil"/>
            </w:tcBorders>
            <w:shd w:val="clear" w:color="auto" w:fill="auto"/>
            <w:noWrap/>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All predictors in ≥20% of bootstrapped samples</w:t>
            </w:r>
          </w:p>
        </w:tc>
        <w:tc>
          <w:tcPr>
            <w:tcW w:w="315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 in care, % dominant region, % cluster age by sequence dates, % acute, cluster age by diagnosis dates</w:t>
            </w:r>
          </w:p>
        </w:tc>
        <w:tc>
          <w:tcPr>
            <w:tcW w:w="99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690</w:t>
            </w:r>
          </w:p>
        </w:tc>
        <w:tc>
          <w:tcPr>
            <w:tcW w:w="108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839</w:t>
            </w:r>
          </w:p>
        </w:tc>
        <w:tc>
          <w:tcPr>
            <w:tcW w:w="670" w:type="dxa"/>
            <w:tcBorders>
              <w:top w:val="nil"/>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313</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94</w:t>
            </w:r>
          </w:p>
        </w:tc>
        <w:tc>
          <w:tcPr>
            <w:tcW w:w="670" w:type="dxa"/>
            <w:tcBorders>
              <w:top w:val="nil"/>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364</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16</w:t>
            </w:r>
          </w:p>
        </w:tc>
      </w:tr>
      <w:tr w:rsidR="00DA6C9D" w:rsidRPr="00EB158D" w:rsidTr="00F40762">
        <w:trPr>
          <w:trHeight w:val="290"/>
        </w:trPr>
        <w:tc>
          <w:tcPr>
            <w:tcW w:w="1890" w:type="dxa"/>
            <w:tcBorders>
              <w:top w:val="nil"/>
              <w:left w:val="nil"/>
              <w:bottom w:val="nil"/>
              <w:right w:val="nil"/>
            </w:tcBorders>
            <w:shd w:val="clear" w:color="auto" w:fill="auto"/>
            <w:noWrap/>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All predictors in ≥30% of bootstrapped samples</w:t>
            </w:r>
          </w:p>
        </w:tc>
        <w:tc>
          <w:tcPr>
            <w:tcW w:w="315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 PWID, % Black</w:t>
            </w:r>
          </w:p>
        </w:tc>
        <w:tc>
          <w:tcPr>
            <w:tcW w:w="99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695</w:t>
            </w:r>
          </w:p>
        </w:tc>
        <w:tc>
          <w:tcPr>
            <w:tcW w:w="108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839</w:t>
            </w:r>
          </w:p>
        </w:tc>
        <w:tc>
          <w:tcPr>
            <w:tcW w:w="670" w:type="dxa"/>
            <w:tcBorders>
              <w:top w:val="nil"/>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310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48</w:t>
            </w:r>
          </w:p>
        </w:tc>
        <w:tc>
          <w:tcPr>
            <w:tcW w:w="670" w:type="dxa"/>
            <w:tcBorders>
              <w:top w:val="nil"/>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352</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98</w:t>
            </w:r>
          </w:p>
        </w:tc>
      </w:tr>
      <w:tr w:rsidR="00DA6C9D" w:rsidRPr="00EB158D" w:rsidTr="00F40762">
        <w:trPr>
          <w:trHeight w:val="290"/>
        </w:trPr>
        <w:tc>
          <w:tcPr>
            <w:tcW w:w="1890" w:type="dxa"/>
            <w:tcBorders>
              <w:top w:val="nil"/>
              <w:left w:val="nil"/>
              <w:bottom w:val="nil"/>
              <w:right w:val="nil"/>
            </w:tcBorders>
            <w:shd w:val="clear" w:color="auto" w:fill="auto"/>
            <w:noWrap/>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All predictors in ≥40% of bootstrapped samples</w:t>
            </w:r>
          </w:p>
        </w:tc>
        <w:tc>
          <w:tcPr>
            <w:tcW w:w="315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 MSM</w:t>
            </w:r>
          </w:p>
        </w:tc>
        <w:tc>
          <w:tcPr>
            <w:tcW w:w="99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778</w:t>
            </w:r>
          </w:p>
        </w:tc>
        <w:tc>
          <w:tcPr>
            <w:tcW w:w="1080" w:type="dxa"/>
            <w:tcBorders>
              <w:top w:val="nil"/>
              <w:left w:val="nil"/>
              <w:bottom w:val="nil"/>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837</w:t>
            </w:r>
          </w:p>
        </w:tc>
        <w:tc>
          <w:tcPr>
            <w:tcW w:w="670" w:type="dxa"/>
            <w:tcBorders>
              <w:top w:val="nil"/>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309</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16</w:t>
            </w:r>
          </w:p>
        </w:tc>
        <w:tc>
          <w:tcPr>
            <w:tcW w:w="670" w:type="dxa"/>
            <w:tcBorders>
              <w:top w:val="nil"/>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347</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79</w:t>
            </w:r>
          </w:p>
        </w:tc>
      </w:tr>
      <w:tr w:rsidR="00DA6C9D" w:rsidRPr="00EB158D" w:rsidTr="00F40762">
        <w:trPr>
          <w:trHeight w:val="290"/>
        </w:trPr>
        <w:tc>
          <w:tcPr>
            <w:tcW w:w="1890" w:type="dxa"/>
            <w:tcBorders>
              <w:top w:val="nil"/>
              <w:left w:val="nil"/>
              <w:right w:val="nil"/>
            </w:tcBorders>
            <w:shd w:val="clear" w:color="auto" w:fill="D9D9D9" w:themeFill="background1" w:themeFillShade="D9"/>
            <w:noWrap/>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All predictors in ≥50% of bootstrapped samples</w:t>
            </w:r>
          </w:p>
        </w:tc>
        <w:tc>
          <w:tcPr>
            <w:tcW w:w="3150" w:type="dxa"/>
            <w:tcBorders>
              <w:top w:val="nil"/>
              <w:left w:val="nil"/>
              <w:right w:val="nil"/>
            </w:tcBorders>
            <w:shd w:val="clear" w:color="auto" w:fill="D9D9D9" w:themeFill="background1" w:themeFillShade="D9"/>
            <w:noWrap/>
            <w:vAlign w:val="center"/>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 interviewed by DIS</w:t>
            </w:r>
          </w:p>
        </w:tc>
        <w:tc>
          <w:tcPr>
            <w:tcW w:w="990" w:type="dxa"/>
            <w:tcBorders>
              <w:top w:val="nil"/>
              <w:left w:val="nil"/>
              <w:right w:val="nil"/>
            </w:tcBorders>
            <w:shd w:val="clear" w:color="auto" w:fill="D9D9D9" w:themeFill="background1" w:themeFillShade="D9"/>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200</w:t>
            </w:r>
          </w:p>
        </w:tc>
        <w:tc>
          <w:tcPr>
            <w:tcW w:w="1080" w:type="dxa"/>
            <w:tcBorders>
              <w:top w:val="nil"/>
              <w:left w:val="nil"/>
              <w:right w:val="nil"/>
            </w:tcBorders>
            <w:shd w:val="clear" w:color="auto" w:fill="D9D9D9" w:themeFill="background1" w:themeFillShade="D9"/>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835</w:t>
            </w:r>
          </w:p>
        </w:tc>
        <w:tc>
          <w:tcPr>
            <w:tcW w:w="670" w:type="dxa"/>
            <w:tcBorders>
              <w:top w:val="nil"/>
              <w:left w:val="nil"/>
              <w:right w:val="nil"/>
            </w:tcBorders>
            <w:shd w:val="clear" w:color="auto" w:fill="D9D9D9" w:themeFill="background1" w:themeFillShade="D9"/>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309</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70</w:t>
            </w:r>
          </w:p>
        </w:tc>
        <w:tc>
          <w:tcPr>
            <w:tcW w:w="670" w:type="dxa"/>
            <w:tcBorders>
              <w:top w:val="nil"/>
              <w:left w:val="nil"/>
              <w:right w:val="nil"/>
            </w:tcBorders>
            <w:shd w:val="clear" w:color="auto" w:fill="D9D9D9" w:themeFill="background1" w:themeFillShade="D9"/>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344</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47</w:t>
            </w:r>
          </w:p>
        </w:tc>
      </w:tr>
      <w:tr w:rsidR="00DA6C9D" w:rsidRPr="00EB158D" w:rsidTr="00F40762">
        <w:trPr>
          <w:trHeight w:val="290"/>
        </w:trPr>
        <w:tc>
          <w:tcPr>
            <w:tcW w:w="1890" w:type="dxa"/>
            <w:tcBorders>
              <w:top w:val="nil"/>
              <w:left w:val="nil"/>
              <w:bottom w:val="single" w:sz="4" w:space="0" w:color="auto"/>
              <w:right w:val="nil"/>
            </w:tcBorders>
            <w:shd w:val="clear" w:color="auto" w:fill="auto"/>
            <w:noWrap/>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All predictors in ≥70% of bootstrapped samples</w:t>
            </w:r>
          </w:p>
        </w:tc>
        <w:tc>
          <w:tcPr>
            <w:tcW w:w="3150" w:type="dxa"/>
            <w:tcBorders>
              <w:top w:val="nil"/>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Median time to care entry</w:t>
            </w:r>
          </w:p>
        </w:tc>
        <w:tc>
          <w:tcPr>
            <w:tcW w:w="990" w:type="dxa"/>
            <w:tcBorders>
              <w:top w:val="nil"/>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619</w:t>
            </w:r>
          </w:p>
        </w:tc>
        <w:tc>
          <w:tcPr>
            <w:tcW w:w="1080" w:type="dxa"/>
            <w:tcBorders>
              <w:top w:val="nil"/>
              <w:left w:val="nil"/>
              <w:bottom w:val="single" w:sz="4" w:space="0" w:color="auto"/>
              <w:right w:val="nil"/>
            </w:tcBorders>
            <w:shd w:val="clear" w:color="auto" w:fill="auto"/>
            <w:noWrap/>
            <w:vAlign w:val="center"/>
            <w:hideMark/>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826</w:t>
            </w:r>
          </w:p>
        </w:tc>
        <w:tc>
          <w:tcPr>
            <w:tcW w:w="670" w:type="dxa"/>
            <w:tcBorders>
              <w:top w:val="nil"/>
              <w:left w:val="nil"/>
              <w:bottom w:val="single" w:sz="4" w:space="0" w:color="auto"/>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313</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74</w:t>
            </w:r>
          </w:p>
        </w:tc>
        <w:tc>
          <w:tcPr>
            <w:tcW w:w="670" w:type="dxa"/>
            <w:tcBorders>
              <w:top w:val="nil"/>
              <w:left w:val="nil"/>
              <w:bottom w:val="single" w:sz="4" w:space="0" w:color="auto"/>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344</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65</w:t>
            </w:r>
          </w:p>
        </w:tc>
      </w:tr>
      <w:tr w:rsidR="00DA6C9D" w:rsidRPr="00EB158D" w:rsidTr="00F40762">
        <w:trPr>
          <w:trHeight w:val="290"/>
        </w:trPr>
        <w:tc>
          <w:tcPr>
            <w:tcW w:w="1890" w:type="dxa"/>
            <w:tcBorders>
              <w:top w:val="single" w:sz="4" w:space="0" w:color="auto"/>
              <w:left w:val="nil"/>
              <w:bottom w:val="nil"/>
              <w:right w:val="nil"/>
            </w:tcBorders>
            <w:shd w:val="clear" w:color="auto" w:fill="auto"/>
            <w:noWrap/>
          </w:tcPr>
          <w:p w:rsidR="00DA6C9D" w:rsidRPr="00EB158D" w:rsidRDefault="00DA6C9D" w:rsidP="00F40762">
            <w:pPr>
              <w:spacing w:after="0" w:line="240" w:lineRule="auto"/>
              <w:rPr>
                <w:rFonts w:ascii="Times New Roman" w:eastAsia="Times New Roman" w:hAnsi="Times New Roman" w:cs="Times New Roman"/>
                <w:b/>
                <w:color w:val="000000"/>
                <w:sz w:val="16"/>
                <w:szCs w:val="16"/>
              </w:rPr>
            </w:pPr>
            <w:r w:rsidRPr="00EB158D">
              <w:rPr>
                <w:rFonts w:ascii="Times New Roman" w:eastAsia="Times New Roman" w:hAnsi="Times New Roman" w:cs="Times New Roman"/>
                <w:b/>
                <w:color w:val="000000"/>
                <w:sz w:val="16"/>
                <w:szCs w:val="16"/>
              </w:rPr>
              <w:t>External Validation</w:t>
            </w:r>
          </w:p>
        </w:tc>
        <w:tc>
          <w:tcPr>
            <w:tcW w:w="3150" w:type="dxa"/>
            <w:tcBorders>
              <w:top w:val="single" w:sz="4" w:space="0" w:color="auto"/>
              <w:left w:val="nil"/>
              <w:bottom w:val="nil"/>
              <w:right w:val="nil"/>
            </w:tcBorders>
            <w:shd w:val="clear" w:color="auto" w:fill="auto"/>
            <w:noWrap/>
            <w:vAlign w:val="center"/>
          </w:tcPr>
          <w:p w:rsidR="00DA6C9D" w:rsidRPr="00EB158D" w:rsidRDefault="00DA6C9D" w:rsidP="00F40762">
            <w:pPr>
              <w:spacing w:after="0" w:line="240" w:lineRule="auto"/>
              <w:rPr>
                <w:rFonts w:ascii="Times New Roman" w:eastAsia="Times New Roman" w:hAnsi="Times New Roman" w:cs="Times New Roman"/>
                <w:color w:val="000000"/>
                <w:sz w:val="16"/>
                <w:szCs w:val="16"/>
              </w:rPr>
            </w:pPr>
          </w:p>
        </w:tc>
        <w:tc>
          <w:tcPr>
            <w:tcW w:w="990" w:type="dxa"/>
            <w:tcBorders>
              <w:top w:val="single" w:sz="4" w:space="0" w:color="auto"/>
              <w:left w:val="nil"/>
              <w:bottom w:val="nil"/>
              <w:right w:val="nil"/>
            </w:tcBorders>
            <w:shd w:val="clear" w:color="auto" w:fill="auto"/>
            <w:noWrap/>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1080" w:type="dxa"/>
            <w:tcBorders>
              <w:top w:val="single" w:sz="4" w:space="0" w:color="auto"/>
              <w:left w:val="nil"/>
              <w:bottom w:val="nil"/>
              <w:right w:val="nil"/>
            </w:tcBorders>
            <w:shd w:val="clear" w:color="auto" w:fill="auto"/>
            <w:noWrap/>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670" w:type="dxa"/>
            <w:tcBorders>
              <w:top w:val="single" w:sz="4" w:space="0" w:color="auto"/>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670" w:type="dxa"/>
            <w:tcBorders>
              <w:top w:val="single" w:sz="4" w:space="0" w:color="auto"/>
              <w:left w:val="nil"/>
              <w:bottom w:val="nil"/>
              <w:right w:val="nil"/>
            </w:tcBorders>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r>
      <w:tr w:rsidR="00DA6C9D" w:rsidRPr="00EB158D" w:rsidTr="00F40762">
        <w:trPr>
          <w:trHeight w:val="290"/>
        </w:trPr>
        <w:tc>
          <w:tcPr>
            <w:tcW w:w="1890" w:type="dxa"/>
            <w:tcBorders>
              <w:top w:val="nil"/>
              <w:left w:val="nil"/>
              <w:bottom w:val="single" w:sz="4" w:space="0" w:color="auto"/>
              <w:right w:val="nil"/>
            </w:tcBorders>
            <w:shd w:val="clear" w:color="auto" w:fill="D9D9D9" w:themeFill="background1" w:themeFillShade="D9"/>
            <w:noWrap/>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Final model from development &amp; internal validation</w:t>
            </w:r>
          </w:p>
        </w:tc>
        <w:tc>
          <w:tcPr>
            <w:tcW w:w="3150" w:type="dxa"/>
            <w:tcBorders>
              <w:top w:val="nil"/>
              <w:left w:val="nil"/>
              <w:bottom w:val="single" w:sz="4" w:space="0" w:color="auto"/>
              <w:right w:val="nil"/>
            </w:tcBorders>
            <w:shd w:val="clear" w:color="auto" w:fill="D9D9D9" w:themeFill="background1" w:themeFillShade="D9"/>
            <w:noWrap/>
            <w:vAlign w:val="center"/>
          </w:tcPr>
          <w:p w:rsidR="00DA6C9D" w:rsidRPr="00EB158D" w:rsidRDefault="00DA6C9D" w:rsidP="00F40762">
            <w:pPr>
              <w:spacing w:after="0" w:line="240" w:lineRule="auto"/>
              <w:rPr>
                <w:rFonts w:ascii="Times New Roman" w:eastAsia="Times New Roman" w:hAnsi="Times New Roman" w:cs="Times New Roman"/>
                <w:color w:val="000000"/>
                <w:sz w:val="16"/>
                <w:szCs w:val="16"/>
              </w:rPr>
            </w:pPr>
            <w:r w:rsidRPr="00EB158D">
              <w:rPr>
                <w:rFonts w:ascii="Times New Roman" w:eastAsia="Times New Roman" w:hAnsi="Times New Roman" w:cs="Times New Roman"/>
                <w:color w:val="000000"/>
                <w:sz w:val="16"/>
                <w:szCs w:val="16"/>
              </w:rPr>
              <w:t xml:space="preserve">Includes: cluster size, years since a diagnosis, % with no named contacts, % </w:t>
            </w:r>
            <w:r>
              <w:rPr>
                <w:rFonts w:ascii="Times New Roman" w:eastAsia="Times New Roman" w:hAnsi="Times New Roman" w:cs="Times New Roman"/>
                <w:color w:val="000000"/>
                <w:sz w:val="16"/>
                <w:szCs w:val="16"/>
              </w:rPr>
              <w:t>with HIV viremia</w:t>
            </w:r>
            <w:r w:rsidRPr="00EB158D">
              <w:rPr>
                <w:rFonts w:ascii="Times New Roman" w:eastAsia="Times New Roman" w:hAnsi="Times New Roman" w:cs="Times New Roman"/>
                <w:color w:val="000000"/>
                <w:sz w:val="16"/>
                <w:szCs w:val="16"/>
              </w:rPr>
              <w:t xml:space="preserve">, median age, and median time to </w:t>
            </w:r>
            <w:r>
              <w:rPr>
                <w:rFonts w:ascii="Times New Roman" w:eastAsia="Times New Roman" w:hAnsi="Times New Roman" w:cs="Times New Roman"/>
                <w:color w:val="000000"/>
                <w:sz w:val="16"/>
                <w:szCs w:val="16"/>
              </w:rPr>
              <w:t xml:space="preserve">HIV </w:t>
            </w:r>
            <w:r w:rsidRPr="00EB158D">
              <w:rPr>
                <w:rFonts w:ascii="Times New Roman" w:eastAsia="Times New Roman" w:hAnsi="Times New Roman" w:cs="Times New Roman"/>
                <w:color w:val="000000"/>
                <w:sz w:val="16"/>
                <w:szCs w:val="16"/>
              </w:rPr>
              <w:t>care entry</w:t>
            </w:r>
          </w:p>
        </w:tc>
        <w:tc>
          <w:tcPr>
            <w:tcW w:w="990" w:type="dxa"/>
            <w:tcBorders>
              <w:top w:val="nil"/>
              <w:left w:val="nil"/>
              <w:bottom w:val="single" w:sz="4" w:space="0" w:color="auto"/>
              <w:right w:val="nil"/>
            </w:tcBorders>
            <w:shd w:val="clear" w:color="auto" w:fill="D9D9D9" w:themeFill="background1" w:themeFillShade="D9"/>
            <w:noWrap/>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100</w:t>
            </w:r>
          </w:p>
        </w:tc>
        <w:tc>
          <w:tcPr>
            <w:tcW w:w="1080" w:type="dxa"/>
            <w:tcBorders>
              <w:top w:val="nil"/>
              <w:left w:val="nil"/>
              <w:bottom w:val="single" w:sz="4" w:space="0" w:color="auto"/>
              <w:right w:val="nil"/>
            </w:tcBorders>
            <w:shd w:val="clear" w:color="auto" w:fill="D9D9D9" w:themeFill="background1" w:themeFillShade="D9"/>
            <w:noWrap/>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r w:rsidRPr="00EB158D">
              <w:rPr>
                <w:rFonts w:ascii="Times New Roman" w:eastAsia="Times New Roman" w:hAnsi="Times New Roman" w:cs="Times New Roman"/>
                <w:sz w:val="16"/>
                <w:szCs w:val="16"/>
              </w:rPr>
              <w:t>0</w:t>
            </w:r>
            <w:r>
              <w:rPr>
                <w:rFonts w:ascii="Times New Roman" w:eastAsia="Times New Roman" w:hAnsi="Times New Roman" w:cs="Times New Roman"/>
                <w:color w:val="000000"/>
                <w:sz w:val="16"/>
                <w:szCs w:val="16"/>
              </w:rPr>
              <w:t>.</w:t>
            </w:r>
            <w:r w:rsidRPr="00EB158D">
              <w:rPr>
                <w:rFonts w:ascii="Times New Roman" w:eastAsia="Times New Roman" w:hAnsi="Times New Roman" w:cs="Times New Roman"/>
                <w:sz w:val="16"/>
                <w:szCs w:val="16"/>
              </w:rPr>
              <w:t>831</w:t>
            </w:r>
          </w:p>
        </w:tc>
        <w:tc>
          <w:tcPr>
            <w:tcW w:w="670" w:type="dxa"/>
            <w:tcBorders>
              <w:top w:val="nil"/>
              <w:left w:val="nil"/>
              <w:bottom w:val="single" w:sz="4" w:space="0" w:color="auto"/>
              <w:right w:val="nil"/>
            </w:tcBorders>
            <w:shd w:val="clear" w:color="auto" w:fill="D9D9D9" w:themeFill="background1" w:themeFillShade="D9"/>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c>
          <w:tcPr>
            <w:tcW w:w="670" w:type="dxa"/>
            <w:tcBorders>
              <w:top w:val="nil"/>
              <w:left w:val="nil"/>
              <w:bottom w:val="single" w:sz="4" w:space="0" w:color="auto"/>
              <w:right w:val="nil"/>
            </w:tcBorders>
            <w:shd w:val="clear" w:color="auto" w:fill="D9D9D9" w:themeFill="background1" w:themeFillShade="D9"/>
            <w:vAlign w:val="center"/>
          </w:tcPr>
          <w:p w:rsidR="00DA6C9D" w:rsidRPr="00EB158D" w:rsidRDefault="00DA6C9D" w:rsidP="00F40762">
            <w:pPr>
              <w:spacing w:after="0" w:line="240" w:lineRule="auto"/>
              <w:jc w:val="center"/>
              <w:rPr>
                <w:rFonts w:ascii="Times New Roman" w:eastAsia="Times New Roman" w:hAnsi="Times New Roman" w:cs="Times New Roman"/>
                <w:sz w:val="16"/>
                <w:szCs w:val="16"/>
              </w:rPr>
            </w:pPr>
          </w:p>
        </w:tc>
      </w:tr>
    </w:tbl>
    <w:p w:rsidR="00DA6C9D" w:rsidRPr="005D31C7" w:rsidRDefault="00DA6C9D" w:rsidP="00DA6C9D">
      <w:pPr>
        <w:tabs>
          <w:tab w:val="left" w:pos="1840"/>
        </w:tabs>
        <w:spacing w:after="0"/>
        <w:rPr>
          <w:rFonts w:eastAsia="Times New Roman" w:cstheme="minorHAnsi"/>
          <w:color w:val="000000"/>
        </w:rPr>
      </w:pPr>
      <w:proofErr w:type="spellStart"/>
      <w:proofErr w:type="gramStart"/>
      <w:r w:rsidRPr="003509D0">
        <w:rPr>
          <w:rFonts w:eastAsia="Times New Roman" w:cstheme="minorHAnsi"/>
          <w:color w:val="000000"/>
          <w:vertAlign w:val="superscript"/>
        </w:rPr>
        <w:t>a</w:t>
      </w:r>
      <w:r w:rsidRPr="005D31C7">
        <w:rPr>
          <w:rFonts w:eastAsia="Times New Roman" w:cstheme="minorHAnsi"/>
          <w:color w:val="000000"/>
        </w:rPr>
        <w:t>Final</w:t>
      </w:r>
      <w:proofErr w:type="spellEnd"/>
      <w:proofErr w:type="gramEnd"/>
      <w:r w:rsidRPr="005D31C7">
        <w:rPr>
          <w:rFonts w:eastAsia="Times New Roman" w:cstheme="minorHAnsi"/>
          <w:color w:val="000000"/>
        </w:rPr>
        <w:t xml:space="preserve"> predictive model is highlighted in gray; </w:t>
      </w:r>
      <w:proofErr w:type="spellStart"/>
      <w:r>
        <w:rPr>
          <w:rFonts w:cstheme="minorHAnsi"/>
          <w:color w:val="000000"/>
          <w:shd w:val="clear" w:color="auto" w:fill="FFFFFF"/>
          <w:vertAlign w:val="superscript"/>
        </w:rPr>
        <w:t>b</w:t>
      </w:r>
      <w:r w:rsidRPr="005D31C7">
        <w:rPr>
          <w:rFonts w:cstheme="minorHAnsi"/>
          <w:color w:val="000000"/>
          <w:shd w:val="clear" w:color="auto" w:fill="FFFFFF"/>
        </w:rPr>
        <w:t>ROC</w:t>
      </w:r>
      <w:proofErr w:type="spellEnd"/>
      <w:r w:rsidRPr="005D31C7">
        <w:rPr>
          <w:rFonts w:cstheme="minorHAnsi"/>
          <w:color w:val="000000"/>
          <w:shd w:val="clear" w:color="auto" w:fill="FFFFFF"/>
        </w:rPr>
        <w:t>-AUC values in the internal validation sample are not adjusted for optimism</w:t>
      </w:r>
    </w:p>
    <w:p w:rsidR="00DA6C9D" w:rsidRDefault="00DA6C9D"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 w:rsidR="009326F8" w:rsidRDefault="009326F8" w:rsidP="00DA6C9D">
      <w:pPr>
        <w:sectPr w:rsidR="009326F8" w:rsidSect="00DA6C9D">
          <w:pgSz w:w="12240" w:h="15840"/>
          <w:pgMar w:top="1440" w:right="1440" w:bottom="1440" w:left="1440" w:header="720" w:footer="720" w:gutter="0"/>
          <w:cols w:space="720"/>
          <w:docGrid w:linePitch="360"/>
        </w:sectPr>
      </w:pPr>
    </w:p>
    <w:p w:rsidR="009326F8" w:rsidRPr="009326F8" w:rsidRDefault="009326F8" w:rsidP="009326F8">
      <w:pPr>
        <w:spacing w:after="0"/>
        <w:rPr>
          <w:rFonts w:eastAsia="Times New Roman" w:cstheme="minorHAnsi"/>
          <w:b/>
          <w:color w:val="000000"/>
        </w:rPr>
      </w:pPr>
      <w:r>
        <w:rPr>
          <w:rFonts w:eastAsia="Times New Roman" w:cstheme="minorHAnsi"/>
          <w:b/>
          <w:color w:val="000000"/>
        </w:rPr>
        <w:lastRenderedPageBreak/>
        <w:t xml:space="preserve">Supplemental </w:t>
      </w:r>
      <w:r>
        <w:rPr>
          <w:rFonts w:eastAsia="Times New Roman" w:cstheme="minorHAnsi"/>
          <w:b/>
          <w:color w:val="000000"/>
        </w:rPr>
        <w:t>Table 4</w:t>
      </w:r>
      <w:r w:rsidRPr="005D31C7">
        <w:rPr>
          <w:rFonts w:eastAsia="Times New Roman" w:cstheme="minorHAnsi"/>
          <w:b/>
          <w:color w:val="000000"/>
        </w:rPr>
        <w:t xml:space="preserve">. </w:t>
      </w:r>
      <w:r>
        <w:rPr>
          <w:rFonts w:eastAsia="Times New Roman" w:cstheme="minorHAnsi"/>
          <w:color w:val="000000"/>
        </w:rPr>
        <w:t>Predictor adjusted odds ratios in the internal and temporal external validation populations of clusters for the final model in the main analysis and a sensitivity analysis excluding dyads at baseline</w:t>
      </w:r>
      <w:r w:rsidRPr="005D31C7">
        <w:rPr>
          <w:rFonts w:eastAsia="Times New Roman" w:cstheme="minorHAnsi"/>
          <w:color w:val="000000"/>
        </w:rPr>
        <w:t>.</w:t>
      </w:r>
    </w:p>
    <w:tbl>
      <w:tblPr>
        <w:tblW w:w="11270" w:type="dxa"/>
        <w:tblLook w:val="04A0" w:firstRow="1" w:lastRow="0" w:firstColumn="1" w:lastColumn="0" w:noHBand="0" w:noVBand="1"/>
      </w:tblPr>
      <w:tblGrid>
        <w:gridCol w:w="2970"/>
        <w:gridCol w:w="2090"/>
        <w:gridCol w:w="2070"/>
        <w:gridCol w:w="2070"/>
        <w:gridCol w:w="2070"/>
      </w:tblGrid>
      <w:tr w:rsidR="009326F8" w:rsidRPr="009326F8" w:rsidTr="009326F8">
        <w:trPr>
          <w:trHeight w:val="290"/>
        </w:trPr>
        <w:tc>
          <w:tcPr>
            <w:tcW w:w="2970" w:type="dxa"/>
            <w:tcBorders>
              <w:top w:val="single" w:sz="4" w:space="0" w:color="auto"/>
              <w:left w:val="nil"/>
              <w:right w:val="nil"/>
            </w:tcBorders>
            <w:shd w:val="clear" w:color="auto" w:fill="auto"/>
            <w:noWrap/>
            <w:vAlign w:val="bottom"/>
            <w:hideMark/>
          </w:tcPr>
          <w:p w:rsidR="009326F8" w:rsidRPr="009326F8" w:rsidRDefault="009326F8" w:rsidP="009326F8">
            <w:pPr>
              <w:spacing w:after="0" w:line="240" w:lineRule="auto"/>
              <w:rPr>
                <w:rFonts w:ascii="Times New Roman" w:eastAsia="Times New Roman" w:hAnsi="Times New Roman" w:cs="Times New Roman"/>
                <w:sz w:val="24"/>
                <w:szCs w:val="24"/>
              </w:rPr>
            </w:pPr>
          </w:p>
        </w:tc>
        <w:tc>
          <w:tcPr>
            <w:tcW w:w="4160" w:type="dxa"/>
            <w:gridSpan w:val="2"/>
            <w:tcBorders>
              <w:top w:val="single" w:sz="4" w:space="0" w:color="auto"/>
              <w:left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Main analysis</w:t>
            </w:r>
          </w:p>
        </w:tc>
        <w:tc>
          <w:tcPr>
            <w:tcW w:w="4140" w:type="dxa"/>
            <w:gridSpan w:val="2"/>
            <w:tcBorders>
              <w:top w:val="single" w:sz="4" w:space="0" w:color="auto"/>
              <w:left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Excluding dyads</w:t>
            </w:r>
          </w:p>
        </w:tc>
      </w:tr>
      <w:tr w:rsidR="009326F8" w:rsidRPr="009326F8" w:rsidTr="009326F8">
        <w:trPr>
          <w:trHeight w:val="290"/>
        </w:trPr>
        <w:tc>
          <w:tcPr>
            <w:tcW w:w="29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Predictor</w:t>
            </w:r>
          </w:p>
        </w:tc>
        <w:tc>
          <w:tcPr>
            <w:tcW w:w="209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Internal OR (95% CI)</w:t>
            </w:r>
          </w:p>
        </w:tc>
        <w:tc>
          <w:tcPr>
            <w:tcW w:w="20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External OR (95% CI)</w:t>
            </w:r>
          </w:p>
        </w:tc>
        <w:tc>
          <w:tcPr>
            <w:tcW w:w="20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Internal OR (95% CI)</w:t>
            </w:r>
          </w:p>
        </w:tc>
        <w:tc>
          <w:tcPr>
            <w:tcW w:w="20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External OR (95% CI)</w:t>
            </w:r>
          </w:p>
        </w:tc>
      </w:tr>
      <w:tr w:rsidR="009326F8" w:rsidRPr="009326F8" w:rsidTr="009326F8">
        <w:trPr>
          <w:trHeight w:val="290"/>
        </w:trPr>
        <w:tc>
          <w:tcPr>
            <w:tcW w:w="2970" w:type="dxa"/>
            <w:tcBorders>
              <w:top w:val="single" w:sz="4" w:space="0" w:color="auto"/>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Cluster size at baseline</w:t>
            </w:r>
          </w:p>
        </w:tc>
        <w:tc>
          <w:tcPr>
            <w:tcW w:w="2090" w:type="dxa"/>
            <w:tcBorders>
              <w:top w:val="single" w:sz="4" w:space="0" w:color="auto"/>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1.17 (1.08, 1.28)</w:t>
            </w:r>
          </w:p>
        </w:tc>
        <w:tc>
          <w:tcPr>
            <w:tcW w:w="2070" w:type="dxa"/>
            <w:tcBorders>
              <w:top w:val="single" w:sz="4" w:space="0" w:color="auto"/>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1.15 (1.08, 1.23)</w:t>
            </w:r>
          </w:p>
        </w:tc>
        <w:tc>
          <w:tcPr>
            <w:tcW w:w="2070" w:type="dxa"/>
            <w:tcBorders>
              <w:top w:val="single" w:sz="4" w:space="0" w:color="auto"/>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1.12 (1.03, 1.22)</w:t>
            </w:r>
          </w:p>
        </w:tc>
        <w:tc>
          <w:tcPr>
            <w:tcW w:w="2070" w:type="dxa"/>
            <w:tcBorders>
              <w:top w:val="single" w:sz="4" w:space="0" w:color="auto"/>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1.12 (1.04, 1.20)</w:t>
            </w:r>
          </w:p>
        </w:tc>
      </w:tr>
      <w:tr w:rsidR="009326F8" w:rsidRPr="009326F8" w:rsidTr="009326F8">
        <w:trPr>
          <w:trHeight w:val="290"/>
        </w:trPr>
        <w:tc>
          <w:tcPr>
            <w:tcW w:w="29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Median years to care entry</w:t>
            </w:r>
          </w:p>
        </w:tc>
        <w:tc>
          <w:tcPr>
            <w:tcW w:w="209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0.85 (0.74, 0.98)</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0.93 (0.80, 1.09)</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0.86 (0.72, 1.02)</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0.94 (0.75, 1.17)</w:t>
            </w:r>
          </w:p>
        </w:tc>
      </w:tr>
      <w:tr w:rsidR="009326F8" w:rsidRPr="009326F8" w:rsidTr="009326F8">
        <w:trPr>
          <w:trHeight w:val="290"/>
        </w:trPr>
        <w:tc>
          <w:tcPr>
            <w:tcW w:w="29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Median age at baseline</w:t>
            </w:r>
          </w:p>
        </w:tc>
        <w:tc>
          <w:tcPr>
            <w:tcW w:w="209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0.67 (0.49, 0.93)</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0.67 (0.48, 0.93)</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0.83 (0.55, 1.25)</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0.49 (0.31, 0.79)</w:t>
            </w:r>
          </w:p>
        </w:tc>
      </w:tr>
      <w:tr w:rsidR="009326F8" w:rsidRPr="009326F8" w:rsidTr="009326F8">
        <w:trPr>
          <w:trHeight w:val="290"/>
        </w:trPr>
        <w:tc>
          <w:tcPr>
            <w:tcW w:w="29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&gt;50% with no named contacts</w:t>
            </w:r>
          </w:p>
        </w:tc>
        <w:tc>
          <w:tcPr>
            <w:tcW w:w="209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2.13 (1.16, 3.91)</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1.28 (0.71, 2.31)</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2.01 (0.97, 4.13)</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1.63 (0.79, 3.39)</w:t>
            </w:r>
          </w:p>
        </w:tc>
      </w:tr>
      <w:tr w:rsidR="009326F8" w:rsidRPr="009326F8" w:rsidTr="009326F8">
        <w:trPr>
          <w:trHeight w:val="290"/>
        </w:trPr>
        <w:tc>
          <w:tcPr>
            <w:tcW w:w="29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Years since a diagnosis</w:t>
            </w:r>
          </w:p>
        </w:tc>
        <w:tc>
          <w:tcPr>
            <w:tcW w:w="209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2.69 (1.44, 5.03)</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4.48 (2.51, 8.01)</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2.70 (1.32, 5.54)</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3.98 (1.97, 8.03)</w:t>
            </w:r>
          </w:p>
        </w:tc>
      </w:tr>
      <w:tr w:rsidR="009326F8" w:rsidRPr="009326F8" w:rsidTr="009326F8">
        <w:trPr>
          <w:trHeight w:val="290"/>
        </w:trPr>
        <w:tc>
          <w:tcPr>
            <w:tcW w:w="29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Viremia</w:t>
            </w:r>
          </w:p>
        </w:tc>
        <w:tc>
          <w:tcPr>
            <w:tcW w:w="209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Times New Roman" w:eastAsia="Times New Roman" w:hAnsi="Times New Roman" w:cs="Times New Roman"/>
                <w:sz w:val="20"/>
                <w:szCs w:val="20"/>
              </w:rPr>
            </w:pPr>
          </w:p>
        </w:tc>
      </w:tr>
      <w:tr w:rsidR="009326F8" w:rsidRPr="009326F8" w:rsidTr="009326F8">
        <w:trPr>
          <w:trHeight w:val="290"/>
        </w:trPr>
        <w:tc>
          <w:tcPr>
            <w:tcW w:w="29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 xml:space="preserve">   0 &lt; % ≤ 25 with HIV viremia</w:t>
            </w:r>
          </w:p>
        </w:tc>
        <w:tc>
          <w:tcPr>
            <w:tcW w:w="209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2.03 (0.52, 7.88)</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3.46 (1.19, 10.06)</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0.53 (0.11, 2.50)</w:t>
            </w:r>
          </w:p>
        </w:tc>
        <w:tc>
          <w:tcPr>
            <w:tcW w:w="2070" w:type="dxa"/>
            <w:tcBorders>
              <w:top w:val="nil"/>
              <w:left w:val="nil"/>
              <w:bottom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4.20 (0.96, 18.40)</w:t>
            </w:r>
          </w:p>
        </w:tc>
      </w:tr>
      <w:tr w:rsidR="009326F8" w:rsidRPr="009326F8" w:rsidTr="009326F8">
        <w:trPr>
          <w:trHeight w:val="290"/>
        </w:trPr>
        <w:tc>
          <w:tcPr>
            <w:tcW w:w="2970" w:type="dxa"/>
            <w:tcBorders>
              <w:top w:val="nil"/>
              <w:left w:val="nil"/>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 xml:space="preserve">   25 &lt; % &lt; 50 with HIV viremia</w:t>
            </w:r>
          </w:p>
        </w:tc>
        <w:tc>
          <w:tcPr>
            <w:tcW w:w="2090" w:type="dxa"/>
            <w:tcBorders>
              <w:top w:val="nil"/>
              <w:left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4.31 (1.49, 12.45)</w:t>
            </w:r>
          </w:p>
        </w:tc>
        <w:tc>
          <w:tcPr>
            <w:tcW w:w="2070" w:type="dxa"/>
            <w:tcBorders>
              <w:top w:val="nil"/>
              <w:left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1.49 (0.61, 3.66)</w:t>
            </w:r>
          </w:p>
        </w:tc>
        <w:tc>
          <w:tcPr>
            <w:tcW w:w="2070" w:type="dxa"/>
            <w:tcBorders>
              <w:top w:val="nil"/>
              <w:left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1.42 (0.37, 5.51)</w:t>
            </w:r>
          </w:p>
        </w:tc>
        <w:tc>
          <w:tcPr>
            <w:tcW w:w="2070" w:type="dxa"/>
            <w:tcBorders>
              <w:top w:val="nil"/>
              <w:left w:val="nil"/>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2.22 (0.54, 9.16)</w:t>
            </w:r>
          </w:p>
        </w:tc>
      </w:tr>
      <w:tr w:rsidR="009326F8" w:rsidRPr="009326F8" w:rsidTr="009326F8">
        <w:trPr>
          <w:trHeight w:val="290"/>
        </w:trPr>
        <w:tc>
          <w:tcPr>
            <w:tcW w:w="29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rPr>
                <w:rFonts w:ascii="Calibri" w:eastAsia="Times New Roman" w:hAnsi="Calibri" w:cs="Calibri"/>
                <w:color w:val="000000"/>
              </w:rPr>
            </w:pPr>
            <w:r w:rsidRPr="009326F8">
              <w:rPr>
                <w:rFonts w:ascii="Calibri" w:eastAsia="Times New Roman" w:hAnsi="Calibri" w:cs="Calibri"/>
                <w:color w:val="000000"/>
              </w:rPr>
              <w:t xml:space="preserve">   ≥ 50% with HIV viremia </w:t>
            </w:r>
          </w:p>
        </w:tc>
        <w:tc>
          <w:tcPr>
            <w:tcW w:w="209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2.74 (0.93, 8.09)</w:t>
            </w:r>
          </w:p>
        </w:tc>
        <w:tc>
          <w:tcPr>
            <w:tcW w:w="20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2.71 (1.08, 6.81)</w:t>
            </w:r>
          </w:p>
        </w:tc>
        <w:tc>
          <w:tcPr>
            <w:tcW w:w="20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0.83 (0.55, 1.25)</w:t>
            </w:r>
          </w:p>
        </w:tc>
        <w:tc>
          <w:tcPr>
            <w:tcW w:w="2070" w:type="dxa"/>
            <w:tcBorders>
              <w:top w:val="nil"/>
              <w:left w:val="nil"/>
              <w:bottom w:val="single" w:sz="4" w:space="0" w:color="auto"/>
              <w:right w:val="nil"/>
            </w:tcBorders>
            <w:shd w:val="clear" w:color="auto" w:fill="auto"/>
            <w:noWrap/>
            <w:vAlign w:val="bottom"/>
            <w:hideMark/>
          </w:tcPr>
          <w:p w:rsidR="009326F8" w:rsidRPr="009326F8" w:rsidRDefault="009326F8" w:rsidP="009326F8">
            <w:pPr>
              <w:spacing w:after="0" w:line="240" w:lineRule="auto"/>
              <w:jc w:val="center"/>
              <w:rPr>
                <w:rFonts w:ascii="Calibri" w:eastAsia="Times New Roman" w:hAnsi="Calibri" w:cs="Calibri"/>
                <w:color w:val="000000"/>
              </w:rPr>
            </w:pPr>
            <w:r w:rsidRPr="009326F8">
              <w:rPr>
                <w:rFonts w:ascii="Calibri" w:eastAsia="Times New Roman" w:hAnsi="Calibri" w:cs="Calibri"/>
                <w:color w:val="000000"/>
              </w:rPr>
              <w:t>3.78 (0.92, 15.58)</w:t>
            </w:r>
          </w:p>
        </w:tc>
      </w:tr>
    </w:tbl>
    <w:p w:rsidR="00D070CF" w:rsidRDefault="00D070CF"/>
    <w:p w:rsidR="00DA6C9D" w:rsidRDefault="00DA6C9D"/>
    <w:p w:rsidR="00DA6C9D" w:rsidRDefault="00DA6C9D"/>
    <w:p w:rsidR="00DA6C9D" w:rsidRDefault="00DA6C9D"/>
    <w:p w:rsidR="00DA6C9D" w:rsidRDefault="00DA6C9D"/>
    <w:p w:rsidR="00DA6C9D" w:rsidRDefault="00DA6C9D"/>
    <w:p w:rsidR="00DA6C9D" w:rsidRDefault="00DA6C9D"/>
    <w:p w:rsidR="00DA6C9D" w:rsidRDefault="00DA6C9D"/>
    <w:p w:rsidR="00DA6C9D" w:rsidRDefault="00DA6C9D"/>
    <w:p w:rsidR="00DA6C9D" w:rsidRDefault="00DA6C9D"/>
    <w:p w:rsidR="00DA6C9D" w:rsidRDefault="00DA6C9D"/>
    <w:p w:rsidR="00704B7F" w:rsidRDefault="00704B7F">
      <w:pPr>
        <w:sectPr w:rsidR="00704B7F" w:rsidSect="009326F8">
          <w:pgSz w:w="15840" w:h="12240" w:orient="landscape"/>
          <w:pgMar w:top="1440" w:right="1440" w:bottom="1440" w:left="1440" w:header="720" w:footer="720" w:gutter="0"/>
          <w:cols w:space="720"/>
          <w:docGrid w:linePitch="360"/>
        </w:sectPr>
      </w:pPr>
    </w:p>
    <w:p w:rsidR="00DA6C9D" w:rsidRPr="00DA6C9D" w:rsidRDefault="00DA6C9D" w:rsidP="00DA6C9D">
      <w:pPr>
        <w:spacing w:after="0" w:line="240" w:lineRule="auto"/>
        <w:ind w:left="180" w:hanging="180"/>
        <w:rPr>
          <w:rFonts w:cstheme="minorHAnsi"/>
          <w:b/>
        </w:rPr>
      </w:pPr>
      <w:r w:rsidRPr="00DA6C9D">
        <w:rPr>
          <w:rFonts w:cstheme="minorHAnsi"/>
          <w:b/>
        </w:rPr>
        <w:lastRenderedPageBreak/>
        <w:t>SUPPLEMENTAL REFERENCES</w:t>
      </w:r>
    </w:p>
    <w:p w:rsidR="00DA6C9D" w:rsidRDefault="00DA6C9D" w:rsidP="00DA6C9D">
      <w:pPr>
        <w:spacing w:after="0" w:line="240" w:lineRule="auto"/>
        <w:ind w:left="180" w:hanging="180"/>
        <w:rPr>
          <w:rFonts w:cstheme="minorHAnsi"/>
        </w:rPr>
      </w:pPr>
    </w:p>
    <w:p w:rsidR="00DA6C9D" w:rsidRPr="00E05BEA" w:rsidRDefault="00DA6C9D" w:rsidP="00DA6C9D">
      <w:pPr>
        <w:spacing w:after="0" w:line="240" w:lineRule="auto"/>
        <w:ind w:left="180" w:hanging="180"/>
        <w:rPr>
          <w:rFonts w:cstheme="minorHAnsi"/>
        </w:rPr>
      </w:pPr>
      <w:r w:rsidRPr="00E05BEA">
        <w:rPr>
          <w:rFonts w:cstheme="minorHAnsi"/>
        </w:rPr>
        <w:t xml:space="preserve">1. </w:t>
      </w:r>
      <w:proofErr w:type="spellStart"/>
      <w:r w:rsidRPr="00E05BEA">
        <w:rPr>
          <w:rFonts w:cstheme="minorHAnsi"/>
        </w:rPr>
        <w:t>Chaillon</w:t>
      </w:r>
      <w:proofErr w:type="spellEnd"/>
      <w:r w:rsidRPr="00E05BEA">
        <w:rPr>
          <w:rFonts w:cstheme="minorHAnsi"/>
        </w:rPr>
        <w:t xml:space="preserve"> A, </w:t>
      </w:r>
      <w:proofErr w:type="spellStart"/>
      <w:r w:rsidRPr="00E05BEA">
        <w:rPr>
          <w:rFonts w:cstheme="minorHAnsi"/>
        </w:rPr>
        <w:t>Essat</w:t>
      </w:r>
      <w:proofErr w:type="spellEnd"/>
      <w:r w:rsidRPr="00E05BEA">
        <w:rPr>
          <w:rFonts w:cstheme="minorHAnsi"/>
        </w:rPr>
        <w:t xml:space="preserve"> A, </w:t>
      </w:r>
      <w:proofErr w:type="spellStart"/>
      <w:r w:rsidRPr="00E05BEA">
        <w:rPr>
          <w:rFonts w:cstheme="minorHAnsi"/>
        </w:rPr>
        <w:t>Frange</w:t>
      </w:r>
      <w:proofErr w:type="spellEnd"/>
      <w:r w:rsidRPr="00E05BEA">
        <w:rPr>
          <w:rFonts w:cstheme="minorHAnsi"/>
        </w:rPr>
        <w:t xml:space="preserve"> P, et al. Spatiotemporal Dynamics of HIV-1 Transmission in France (1999-2014) and Impact of Targeted Prevention Strategies. </w:t>
      </w:r>
      <w:proofErr w:type="spellStart"/>
      <w:r w:rsidRPr="00E05BEA">
        <w:rPr>
          <w:rFonts w:cstheme="minorHAnsi"/>
          <w:iCs/>
        </w:rPr>
        <w:t>Retrovirology</w:t>
      </w:r>
      <w:proofErr w:type="spellEnd"/>
      <w:r w:rsidRPr="00E05BEA">
        <w:rPr>
          <w:rFonts w:cstheme="minorHAnsi"/>
        </w:rPr>
        <w:t> </w:t>
      </w:r>
      <w:r w:rsidRPr="00E05BEA">
        <w:rPr>
          <w:rFonts w:cstheme="minorHAnsi"/>
          <w:b/>
        </w:rPr>
        <w:t>2017</w:t>
      </w:r>
      <w:r w:rsidRPr="00E05BEA">
        <w:rPr>
          <w:rFonts w:cstheme="minorHAnsi"/>
        </w:rPr>
        <w:t>; 14.</w:t>
      </w:r>
    </w:p>
    <w:p w:rsidR="00DA6C9D" w:rsidRPr="00E05BEA" w:rsidRDefault="00DA6C9D" w:rsidP="00DA6C9D">
      <w:pPr>
        <w:spacing w:after="0" w:line="240" w:lineRule="auto"/>
        <w:ind w:left="180" w:hanging="180"/>
        <w:rPr>
          <w:rFonts w:cstheme="minorHAnsi"/>
        </w:rPr>
      </w:pPr>
      <w:r w:rsidRPr="00E05BEA">
        <w:rPr>
          <w:rFonts w:cstheme="minorHAnsi"/>
        </w:rPr>
        <w:t xml:space="preserve">2. Aldous JL, Pond SK, Poon A, et al. Characterizing HIV Transmission Networks Across the United States. </w:t>
      </w:r>
      <w:proofErr w:type="spellStart"/>
      <w:r w:rsidRPr="00E05BEA">
        <w:rPr>
          <w:rFonts w:cstheme="minorHAnsi"/>
        </w:rPr>
        <w:t>Clin</w:t>
      </w:r>
      <w:proofErr w:type="spellEnd"/>
      <w:r w:rsidRPr="00E05BEA">
        <w:rPr>
          <w:rFonts w:cstheme="minorHAnsi"/>
        </w:rPr>
        <w:t xml:space="preserve"> Infect Dis </w:t>
      </w:r>
      <w:r w:rsidRPr="00E05BEA">
        <w:rPr>
          <w:rFonts w:cstheme="minorHAnsi"/>
          <w:b/>
        </w:rPr>
        <w:t>2012</w:t>
      </w:r>
      <w:r w:rsidRPr="00E05BEA">
        <w:rPr>
          <w:rFonts w:cstheme="minorHAnsi"/>
        </w:rPr>
        <w:t>; 55: 1135─1143.</w:t>
      </w:r>
    </w:p>
    <w:p w:rsidR="00DA6C9D" w:rsidRDefault="00DA6C9D" w:rsidP="00DA6C9D">
      <w:pPr>
        <w:spacing w:after="0" w:line="240" w:lineRule="auto"/>
        <w:ind w:left="180" w:hanging="180"/>
        <w:rPr>
          <w:rFonts w:cstheme="minorHAnsi"/>
        </w:rPr>
      </w:pPr>
      <w:r w:rsidRPr="00E05BEA">
        <w:rPr>
          <w:rFonts w:cstheme="minorHAnsi"/>
        </w:rPr>
        <w:t xml:space="preserve">3. Fisher M, </w:t>
      </w:r>
      <w:proofErr w:type="spellStart"/>
      <w:r w:rsidRPr="00E05BEA">
        <w:rPr>
          <w:rFonts w:cstheme="minorHAnsi"/>
        </w:rPr>
        <w:t>Pao</w:t>
      </w:r>
      <w:proofErr w:type="spellEnd"/>
      <w:r w:rsidRPr="00E05BEA">
        <w:rPr>
          <w:rFonts w:cstheme="minorHAnsi"/>
        </w:rPr>
        <w:t xml:space="preserve"> D, Brown AE, et al. Determinants of HIV-1 transmission in men who have sex with men: a combined clinical, epidemiological and phylogenetic approach. AIDS </w:t>
      </w:r>
      <w:r w:rsidRPr="00E05BEA">
        <w:rPr>
          <w:rFonts w:cstheme="minorHAnsi"/>
          <w:b/>
        </w:rPr>
        <w:t>2010</w:t>
      </w:r>
      <w:r w:rsidRPr="00E05BEA">
        <w:rPr>
          <w:rFonts w:cstheme="minorHAnsi"/>
        </w:rPr>
        <w:t>; 24: 1739-1747.</w:t>
      </w:r>
    </w:p>
    <w:p w:rsidR="009C7BA5" w:rsidRPr="00E05BEA" w:rsidRDefault="009C7BA5" w:rsidP="00DA6C9D">
      <w:pPr>
        <w:spacing w:after="0" w:line="240" w:lineRule="auto"/>
        <w:ind w:left="180" w:hanging="180"/>
        <w:rPr>
          <w:rFonts w:cstheme="minorHAnsi"/>
        </w:rPr>
      </w:pPr>
      <w:r>
        <w:rPr>
          <w:rFonts w:cstheme="minorHAnsi"/>
          <w:bCs/>
        </w:rPr>
        <w:t xml:space="preserve">4. </w:t>
      </w:r>
      <w:r w:rsidRPr="009C7BA5">
        <w:rPr>
          <w:rFonts w:cstheme="minorHAnsi"/>
          <w:bCs/>
        </w:rPr>
        <w:t xml:space="preserve">Division of HIV/AIDS Prevention. Detecting and Responding to HIV Transmission Clusters: A Guide for Health Departments. Centers for Disease Control and Prevention. </w:t>
      </w:r>
      <w:r w:rsidRPr="009C7BA5">
        <w:rPr>
          <w:rFonts w:cstheme="minorHAnsi"/>
          <w:b/>
          <w:bCs/>
        </w:rPr>
        <w:t>2018</w:t>
      </w:r>
      <w:r w:rsidRPr="009C7BA5">
        <w:rPr>
          <w:rFonts w:cstheme="minorHAnsi"/>
          <w:bCs/>
        </w:rPr>
        <w:t xml:space="preserve">. </w:t>
      </w:r>
      <w:hyperlink r:id="rId8" w:history="1">
        <w:r w:rsidRPr="009C7BA5">
          <w:rPr>
            <w:rStyle w:val="Hyperlink"/>
            <w:rFonts w:cstheme="minorHAnsi"/>
            <w:bCs/>
          </w:rPr>
          <w:t>https://www.cdc.gov/hiv/pdf/funding/announcements/ps18-1802/CDC-HIV-PS18-1802-AttachmentE-Detecting-Investigating-and-Responding-to-HIV-Transmission-Clusters.pdf</w:t>
        </w:r>
      </w:hyperlink>
      <w:r w:rsidRPr="009C7BA5">
        <w:rPr>
          <w:rFonts w:cstheme="minorHAnsi"/>
          <w:bCs/>
        </w:rPr>
        <w:t>.</w:t>
      </w:r>
    </w:p>
    <w:p w:rsidR="00DA6C9D" w:rsidRDefault="009C7BA5" w:rsidP="00DA6C9D">
      <w:pPr>
        <w:spacing w:line="240" w:lineRule="auto"/>
        <w:ind w:left="180" w:hanging="180"/>
      </w:pPr>
      <w:r>
        <w:rPr>
          <w:rFonts w:cstheme="minorHAnsi"/>
        </w:rPr>
        <w:t>5</w:t>
      </w:r>
      <w:r w:rsidR="00DA6C9D" w:rsidRPr="00E05BEA">
        <w:rPr>
          <w:rFonts w:cstheme="minorHAnsi"/>
        </w:rPr>
        <w:t xml:space="preserve">. Hightower GK, May SJ, Perez-Santiago J, </w:t>
      </w:r>
      <w:proofErr w:type="spellStart"/>
      <w:r w:rsidR="00DA6C9D" w:rsidRPr="00E05BEA">
        <w:rPr>
          <w:rFonts w:cstheme="minorHAnsi"/>
        </w:rPr>
        <w:t>Pacold</w:t>
      </w:r>
      <w:proofErr w:type="spellEnd"/>
      <w:r w:rsidR="00DA6C9D" w:rsidRPr="00E05BEA">
        <w:rPr>
          <w:rFonts w:cstheme="minorHAnsi"/>
        </w:rPr>
        <w:t xml:space="preserve"> ME, Wagner GA, Little SJ, et al. HIV-1 Clade B </w:t>
      </w:r>
      <w:r w:rsidR="00DA6C9D" w:rsidRPr="00E05BEA">
        <w:rPr>
          <w:rFonts w:cstheme="minorHAnsi"/>
          <w:iCs/>
        </w:rPr>
        <w:t>pol</w:t>
      </w:r>
      <w:r w:rsidR="00DA6C9D" w:rsidRPr="00E05BEA">
        <w:rPr>
          <w:rFonts w:cstheme="minorHAnsi"/>
        </w:rPr>
        <w:t xml:space="preserve"> Evolution following Primary Infection. </w:t>
      </w:r>
      <w:proofErr w:type="spellStart"/>
      <w:r w:rsidR="00DA6C9D" w:rsidRPr="00E05BEA">
        <w:rPr>
          <w:rFonts w:cstheme="minorHAnsi"/>
        </w:rPr>
        <w:t>PLoS</w:t>
      </w:r>
      <w:proofErr w:type="spellEnd"/>
      <w:r w:rsidR="00DA6C9D" w:rsidRPr="00E05BEA">
        <w:rPr>
          <w:rFonts w:cstheme="minorHAnsi"/>
        </w:rPr>
        <w:t xml:space="preserve"> One</w:t>
      </w:r>
      <w:r w:rsidR="00DA6C9D" w:rsidRPr="00E05BEA">
        <w:rPr>
          <w:rFonts w:cstheme="minorHAnsi"/>
          <w:b/>
        </w:rPr>
        <w:t xml:space="preserve"> 2013</w:t>
      </w:r>
      <w:r w:rsidR="00DA6C9D" w:rsidRPr="00E05BEA">
        <w:rPr>
          <w:rFonts w:cstheme="minorHAnsi"/>
        </w:rPr>
        <w:t>; 8</w:t>
      </w:r>
      <w:r w:rsidR="00DA6C9D">
        <w:rPr>
          <w:rFonts w:cstheme="minorHAnsi"/>
        </w:rPr>
        <w:t>: e68188.</w:t>
      </w:r>
    </w:p>
    <w:p w:rsidR="00DA6C9D" w:rsidRDefault="00DA6C9D"/>
    <w:sectPr w:rsidR="00DA6C9D" w:rsidSect="0070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9D"/>
    <w:rsid w:val="003F2593"/>
    <w:rsid w:val="00704B7F"/>
    <w:rsid w:val="00873BFF"/>
    <w:rsid w:val="009326F8"/>
    <w:rsid w:val="009C7BA5"/>
    <w:rsid w:val="00D070CF"/>
    <w:rsid w:val="00DA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328E6-FB9C-467F-97ED-BD36536C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pdf/funding/announcements/ps18-1802/CDC-HIV-PS18-1802-AttachmentE-Detecting-Investigating-and-Responding-to-HIV-Transmission-Clusters.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Billock</dc:creator>
  <cp:keywords/>
  <dc:description/>
  <cp:lastModifiedBy>Rachael Billock</cp:lastModifiedBy>
  <cp:revision>6</cp:revision>
  <dcterms:created xsi:type="dcterms:W3CDTF">2018-08-27T00:07:00Z</dcterms:created>
  <dcterms:modified xsi:type="dcterms:W3CDTF">2018-10-03T19:27:00Z</dcterms:modified>
</cp:coreProperties>
</file>