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16"/>
        <w:tblW w:w="12870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800"/>
        <w:gridCol w:w="1890"/>
        <w:gridCol w:w="1800"/>
        <w:gridCol w:w="1800"/>
      </w:tblGrid>
      <w:tr w:rsidR="00403A0A" w:rsidRPr="00BB62D6" w:rsidTr="00FE6D0A">
        <w:trPr>
          <w:trHeight w:val="238"/>
        </w:trPr>
        <w:tc>
          <w:tcPr>
            <w:tcW w:w="12870" w:type="dxa"/>
            <w:gridSpan w:val="7"/>
            <w:tcBorders>
              <w:left w:val="nil"/>
              <w:bottom w:val="single" w:sz="4" w:space="0" w:color="auto"/>
            </w:tcBorders>
          </w:tcPr>
          <w:p w:rsidR="00403A0A" w:rsidRPr="00BB62D6" w:rsidRDefault="00403A0A" w:rsidP="00104C0C">
            <w:pPr>
              <w:rPr>
                <w:rFonts w:cstheme="minorHAnsi"/>
                <w:b/>
              </w:rPr>
            </w:pPr>
            <w:r w:rsidRPr="00FE6D0A">
              <w:rPr>
                <w:rFonts w:cstheme="minorHAnsi"/>
                <w:b/>
              </w:rPr>
              <w:t xml:space="preserve">Appendix Table 1. </w:t>
            </w:r>
            <w:r w:rsidR="00104C0C" w:rsidRPr="00FE6D0A">
              <w:rPr>
                <w:rFonts w:cstheme="minorHAnsi"/>
                <w:b/>
              </w:rPr>
              <w:t>Sensitivity</w:t>
            </w:r>
            <w:r w:rsidRPr="00FE6D0A">
              <w:rPr>
                <w:rFonts w:cstheme="minorHAnsi"/>
                <w:b/>
              </w:rPr>
              <w:t xml:space="preserve"> analyses: effect of VMMC on recent sex</w:t>
            </w:r>
            <w:r w:rsidRPr="00FE6D0A">
              <w:rPr>
                <w:rFonts w:cstheme="minorHAnsi"/>
              </w:rPr>
              <w:t xml:space="preserve"> </w:t>
            </w:r>
            <w:r w:rsidRPr="00FE6D0A">
              <w:rPr>
                <w:rFonts w:cstheme="minorHAnsi"/>
                <w:b/>
              </w:rPr>
              <w:t xml:space="preserve">and sexual behaviors associated with increased risk of HIV </w:t>
            </w:r>
            <w:r w:rsidRPr="00221E2B">
              <w:rPr>
                <w:rFonts w:cstheme="minorHAnsi"/>
                <w:b/>
              </w:rPr>
              <w:t>transmission</w:t>
            </w:r>
          </w:p>
        </w:tc>
      </w:tr>
      <w:tr w:rsidR="00403A0A" w:rsidRPr="00BB62D6" w:rsidTr="00FE6D0A">
        <w:trPr>
          <w:trHeight w:val="465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403A0A" w:rsidRPr="00BB62D6" w:rsidRDefault="00403A0A" w:rsidP="0037592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Circumcision status: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vAlign w:val="center"/>
          </w:tcPr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Recent sex, past 12 mo</w:t>
            </w:r>
            <w:r w:rsidR="007F55D4">
              <w:rPr>
                <w:rFonts w:cstheme="minorHAnsi"/>
                <w:bCs/>
              </w:rPr>
              <w:t>nth</w:t>
            </w:r>
            <w:r w:rsidRPr="00403A0A">
              <w:rPr>
                <w:rFonts w:cstheme="minorHAnsi"/>
                <w:bCs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No condom use,</w:t>
            </w:r>
          </w:p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last sex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Never use condoms with last partner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Concurrent</w:t>
            </w:r>
          </w:p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partners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Multiple partners, past 12 mo</w:t>
            </w:r>
            <w:r w:rsidR="007F55D4">
              <w:rPr>
                <w:rFonts w:cstheme="minorHAnsi"/>
              </w:rPr>
              <w:t>nth</w:t>
            </w:r>
            <w:r w:rsidRPr="00403A0A">
              <w:rPr>
                <w:rFonts w:cstheme="minorHAnsi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403A0A" w:rsidRPr="00403A0A" w:rsidRDefault="00403A0A" w:rsidP="00403A0A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Any HIV risk-related sexual behavior</w:t>
            </w:r>
          </w:p>
        </w:tc>
      </w:tr>
      <w:tr w:rsidR="00403A0A" w:rsidRPr="00BB62D6" w:rsidTr="00403A0A">
        <w:trPr>
          <w:trHeight w:val="238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A0A" w:rsidRPr="00BB62D6" w:rsidRDefault="00403A0A" w:rsidP="00403A0A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403A0A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</w:tr>
      <w:tr w:rsidR="00403A0A" w:rsidRPr="00BB62D6" w:rsidTr="00403A0A">
        <w:trPr>
          <w:trHeight w:val="20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03A0A" w:rsidRPr="00BB62D6" w:rsidRDefault="00403A0A" w:rsidP="00403A0A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</w:tr>
      <w:tr w:rsidR="00403A0A" w:rsidRPr="00BB62D6" w:rsidTr="00247CF5">
        <w:trPr>
          <w:trHeight w:val="200"/>
        </w:trPr>
        <w:tc>
          <w:tcPr>
            <w:tcW w:w="12870" w:type="dxa"/>
            <w:gridSpan w:val="7"/>
            <w:shd w:val="clear" w:color="auto" w:fill="E7E6E6" w:themeFill="background2"/>
            <w:noWrap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color w:val="000000"/>
              </w:rPr>
              <w:t>Sensitivity analysis 1: Complete case analysis</w:t>
            </w:r>
          </w:p>
        </w:tc>
      </w:tr>
      <w:tr w:rsidR="00403A0A" w:rsidRPr="00BB62D6" w:rsidTr="00403A0A">
        <w:trPr>
          <w:trHeight w:val="200"/>
        </w:trPr>
        <w:tc>
          <w:tcPr>
            <w:tcW w:w="2070" w:type="dxa"/>
            <w:tcBorders>
              <w:bottom w:val="nil"/>
            </w:tcBorders>
            <w:shd w:val="clear" w:color="auto" w:fill="auto"/>
            <w:noWrap/>
          </w:tcPr>
          <w:p w:rsidR="00403A0A" w:rsidRPr="00BB62D6" w:rsidRDefault="00403A0A" w:rsidP="00403A0A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</w:p>
        </w:tc>
      </w:tr>
      <w:tr w:rsidR="00403A0A" w:rsidRPr="00BB62D6" w:rsidTr="0061283D">
        <w:trPr>
          <w:trHeight w:val="20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:rsidR="00403A0A" w:rsidRPr="00BB62D6" w:rsidRDefault="00403A0A" w:rsidP="00403A0A">
            <w:pPr>
              <w:jc w:val="right"/>
              <w:rPr>
                <w:rFonts w:cstheme="minorHAnsi"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Non-circumcised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403A0A" w:rsidRPr="00BB62D6" w:rsidRDefault="00403A0A" w:rsidP="00403A0A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403A0A" w:rsidRPr="00BB62D6" w:rsidRDefault="00403A0A" w:rsidP="00403A0A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</w:tr>
      <w:tr w:rsidR="00403A0A" w:rsidRPr="00BB62D6" w:rsidTr="0061283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403A0A" w:rsidRPr="00BB62D6" w:rsidRDefault="00403A0A" w:rsidP="00403A0A">
            <w:pPr>
              <w:jc w:val="right"/>
              <w:rPr>
                <w:rFonts w:cstheme="minorHAnsi"/>
                <w:i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Circumcised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403A0A" w:rsidRPr="00BB62D6" w:rsidRDefault="00053439" w:rsidP="0040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 (-1.2 to 1.3)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03A0A" w:rsidRPr="00BB62D6" w:rsidRDefault="005309AD" w:rsidP="0040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-1.2 (-3.8 to 1.3)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Pr="005309AD" w:rsidRDefault="005309AD" w:rsidP="0040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-1.6 (-4.1 to 0.8)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Pr="005309AD" w:rsidRDefault="005309AD" w:rsidP="0040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-2.5 (-3.5 to 0.6)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Pr="005F42A3" w:rsidRDefault="005F42A3" w:rsidP="0040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-0.2 (-2.2 to 1.8)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03A0A" w:rsidRPr="00053439" w:rsidRDefault="00053439" w:rsidP="00403A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-1.2 (-4.2 to 1.7)</w:t>
            </w:r>
          </w:p>
        </w:tc>
      </w:tr>
      <w:tr w:rsidR="000C372B" w:rsidRPr="005F4F26" w:rsidTr="0061283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5F4F26" w:rsidRDefault="000C372B" w:rsidP="005F4F26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5F4F26" w:rsidRDefault="005F4F26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5,061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5F4F26" w:rsidRDefault="00A85C44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4,162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F4F26" w:rsidRDefault="006404BE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5,062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F4F26" w:rsidRDefault="00B81885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4,950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F4F26" w:rsidRDefault="00BF2986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4,860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5F4F26" w:rsidRDefault="00E93977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3,938</w:t>
            </w:r>
          </w:p>
        </w:tc>
      </w:tr>
      <w:tr w:rsidR="00403A0A" w:rsidRPr="00BB62D6" w:rsidTr="0061283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403A0A" w:rsidRPr="00BB62D6" w:rsidRDefault="00403A0A" w:rsidP="00403A0A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403A0A" w:rsidRPr="00BB62D6" w:rsidTr="00247CF5">
        <w:trPr>
          <w:trHeight w:val="200"/>
        </w:trPr>
        <w:tc>
          <w:tcPr>
            <w:tcW w:w="12870" w:type="dxa"/>
            <w:gridSpan w:val="7"/>
            <w:tcBorders>
              <w:top w:val="nil"/>
            </w:tcBorders>
            <w:shd w:val="clear" w:color="auto" w:fill="E7E6E6" w:themeFill="background2"/>
            <w:noWrap/>
          </w:tcPr>
          <w:p w:rsidR="00403A0A" w:rsidRDefault="00403A0A" w:rsidP="000C3F6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Sensitivity analysis 2: </w:t>
            </w:r>
            <w:r w:rsidR="000C3F6E">
              <w:rPr>
                <w:rFonts w:cstheme="minorHAnsi"/>
                <w:b/>
                <w:i/>
                <w:color w:val="000000"/>
              </w:rPr>
              <w:t>Dropped individuals with errors in</w:t>
            </w:r>
            <w:r w:rsidR="00247CF5">
              <w:rPr>
                <w:rFonts w:cstheme="minorHAnsi"/>
                <w:b/>
                <w:i/>
                <w:color w:val="000000"/>
              </w:rPr>
              <w:t xml:space="preserve"> circumcision status self-reporting</w:t>
            </w:r>
          </w:p>
        </w:tc>
      </w:tr>
      <w:tr w:rsidR="00403A0A" w:rsidRPr="00BB62D6" w:rsidTr="0061283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403A0A" w:rsidRPr="00BB62D6" w:rsidRDefault="00403A0A" w:rsidP="00403A0A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03A0A" w:rsidRDefault="00403A0A" w:rsidP="00403A0A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247CF5" w:rsidRPr="00BB62D6" w:rsidTr="001A578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247CF5" w:rsidRPr="00BB62D6" w:rsidRDefault="00247CF5" w:rsidP="00247CF5">
            <w:pPr>
              <w:jc w:val="right"/>
              <w:rPr>
                <w:rFonts w:cstheme="minorHAnsi"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Non-circumcised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</w:tr>
      <w:tr w:rsidR="00247CF5" w:rsidRPr="00BB62D6" w:rsidTr="0061283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247CF5" w:rsidRPr="00BB62D6" w:rsidRDefault="00247CF5" w:rsidP="00247CF5">
            <w:pPr>
              <w:jc w:val="right"/>
              <w:rPr>
                <w:rFonts w:cstheme="minorHAnsi"/>
                <w:i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Circumcised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247CF5" w:rsidRPr="00BB62D6" w:rsidRDefault="00C540C6" w:rsidP="0024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-0.4 (-1.8 to 1.0</w:t>
            </w:r>
            <w:r w:rsidR="00053439">
              <w:rPr>
                <w:rFonts w:cstheme="minorHAns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247CF5" w:rsidRPr="00BB62D6" w:rsidRDefault="005309AD" w:rsidP="0024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-1.9 (-4.7 to 0.9)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47CF5" w:rsidRPr="005309AD" w:rsidRDefault="006341BD" w:rsidP="0024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-1.3 (-4.0 to 1.4</w:t>
            </w:r>
            <w:r w:rsidR="005309AD">
              <w:rPr>
                <w:rFonts w:cstheme="minorHAnsi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47CF5" w:rsidRPr="005F42A3" w:rsidRDefault="005F42A3" w:rsidP="0024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-1.1 (-3.4 to 1.2)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47CF5" w:rsidRPr="005F42A3" w:rsidRDefault="005F42A3" w:rsidP="0024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-0.4 (-2.6 to 1.9)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247CF5" w:rsidRPr="00F332D1" w:rsidRDefault="00ED7D6F" w:rsidP="0024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-1.3 (-4.5 to 2.0</w:t>
            </w:r>
            <w:r w:rsidR="00F332D1">
              <w:rPr>
                <w:rFonts w:cstheme="minorHAnsi"/>
              </w:rPr>
              <w:t>)</w:t>
            </w:r>
          </w:p>
        </w:tc>
      </w:tr>
      <w:tr w:rsidR="000C372B" w:rsidRPr="00BB62D6" w:rsidTr="0061283D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239C9" w:rsidRDefault="000C372B" w:rsidP="00B239C9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B239C9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B239C9" w:rsidRDefault="00B239C9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4,934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239C9" w:rsidRDefault="00AB39AD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4,051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239C9" w:rsidRDefault="00DD1227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4,935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239C9" w:rsidRDefault="00B81885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4,828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239C9" w:rsidRDefault="00BF2986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4,730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239C9" w:rsidRDefault="00E93977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3,828</w:t>
            </w:r>
          </w:p>
        </w:tc>
      </w:tr>
      <w:tr w:rsidR="00247CF5" w:rsidRPr="00BB62D6" w:rsidTr="00403A0A">
        <w:trPr>
          <w:trHeight w:val="200"/>
        </w:trPr>
        <w:tc>
          <w:tcPr>
            <w:tcW w:w="2070" w:type="dxa"/>
            <w:tcBorders>
              <w:left w:val="nil"/>
            </w:tcBorders>
            <w:shd w:val="clear" w:color="auto" w:fill="auto"/>
            <w:noWrap/>
          </w:tcPr>
          <w:p w:rsidR="00247CF5" w:rsidRPr="00BB62D6" w:rsidRDefault="00247CF5" w:rsidP="00247CF5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</w:tcBorders>
            <w:vAlign w:val="bottom"/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247CF5" w:rsidRPr="00BB62D6" w:rsidRDefault="00247CF5" w:rsidP="00247CF5">
            <w:pPr>
              <w:jc w:val="center"/>
              <w:rPr>
                <w:rFonts w:cstheme="minorHAnsi"/>
                <w:i/>
              </w:rPr>
            </w:pPr>
          </w:p>
        </w:tc>
      </w:tr>
      <w:tr w:rsidR="00247CF5" w:rsidRPr="00BB62D6" w:rsidTr="00403A0A">
        <w:trPr>
          <w:trHeight w:val="20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</w:tcBorders>
          </w:tcPr>
          <w:p w:rsidR="00247CF5" w:rsidRDefault="00247CF5" w:rsidP="00247CF5">
            <w:pPr>
              <w:rPr>
                <w:rFonts w:cstheme="minorHAnsi"/>
                <w:sz w:val="20"/>
                <w:szCs w:val="20"/>
              </w:rPr>
            </w:pPr>
            <w:r w:rsidRPr="00BB62D6">
              <w:rPr>
                <w:rFonts w:cstheme="minorHAnsi"/>
                <w:b/>
                <w:sz w:val="20"/>
                <w:szCs w:val="20"/>
              </w:rPr>
              <w:t xml:space="preserve">Abbreviations: </w:t>
            </w:r>
            <w:r w:rsidR="00C231AF">
              <w:rPr>
                <w:rFonts w:cstheme="minorHAnsi"/>
                <w:sz w:val="20"/>
                <w:szCs w:val="20"/>
              </w:rPr>
              <w:t xml:space="preserve">voluntary medical male circumcision (VMMC); </w:t>
            </w:r>
            <w:r w:rsidRPr="00BB62D6">
              <w:rPr>
                <w:rFonts w:cstheme="minorHAnsi"/>
                <w:sz w:val="20"/>
                <w:szCs w:val="20"/>
              </w:rPr>
              <w:t>percentage point change (PP); confidence interval (CI)</w:t>
            </w:r>
          </w:p>
          <w:p w:rsidR="000554AD" w:rsidRPr="00221E2B" w:rsidRDefault="000554AD" w:rsidP="000554AD">
            <w:pPr>
              <w:rPr>
                <w:rFonts w:cstheme="minorHAnsi"/>
              </w:rPr>
            </w:pPr>
            <w:r w:rsidRPr="00221E2B">
              <w:rPr>
                <w:rFonts w:cstheme="minorHAnsi"/>
                <w:sz w:val="20"/>
                <w:szCs w:val="20"/>
              </w:rPr>
              <w:t xml:space="preserve">We measured </w:t>
            </w:r>
            <w:r>
              <w:rPr>
                <w:rFonts w:cstheme="minorHAnsi"/>
                <w:sz w:val="20"/>
                <w:szCs w:val="20"/>
              </w:rPr>
              <w:t>effect sizes (</w:t>
            </w:r>
            <w:r w:rsidRPr="00221E2B">
              <w:rPr>
                <w:rFonts w:cstheme="minorHAnsi"/>
                <w:sz w:val="20"/>
                <w:szCs w:val="20"/>
              </w:rPr>
              <w:t>percentage point changes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221E2B">
              <w:rPr>
                <w:rFonts w:cstheme="minorHAnsi"/>
                <w:sz w:val="20"/>
                <w:szCs w:val="20"/>
              </w:rPr>
              <w:t xml:space="preserve"> using linear models with individual fixed effects. </w:t>
            </w:r>
            <w:r>
              <w:rPr>
                <w:rFonts w:cstheme="minorHAnsi"/>
                <w:sz w:val="20"/>
                <w:szCs w:val="20"/>
              </w:rPr>
              <w:t>Any HIV risk-related sexual behaviors</w:t>
            </w:r>
            <w:r w:rsidRPr="00221E2B">
              <w:rPr>
                <w:rFonts w:cstheme="minorHAnsi"/>
                <w:sz w:val="20"/>
                <w:szCs w:val="20"/>
              </w:rPr>
              <w:t xml:space="preserve"> included</w:t>
            </w:r>
            <w:r>
              <w:rPr>
                <w:rFonts w:cstheme="minorHAnsi"/>
                <w:sz w:val="20"/>
                <w:szCs w:val="20"/>
              </w:rPr>
              <w:t xml:space="preserve"> at least one of the following four behaviors</w:t>
            </w:r>
            <w:r w:rsidRPr="00221E2B">
              <w:rPr>
                <w:rFonts w:cstheme="minorHAnsi"/>
                <w:sz w:val="20"/>
                <w:szCs w:val="20"/>
              </w:rPr>
              <w:t>: no</w:t>
            </w:r>
            <w:r>
              <w:rPr>
                <w:rFonts w:cstheme="minorHAnsi"/>
                <w:sz w:val="20"/>
                <w:szCs w:val="20"/>
              </w:rPr>
              <w:t>t using a</w:t>
            </w:r>
            <w:r w:rsidRPr="00221E2B">
              <w:rPr>
                <w:rFonts w:cstheme="minorHAnsi"/>
                <w:sz w:val="20"/>
                <w:szCs w:val="20"/>
              </w:rPr>
              <w:t xml:space="preserve"> condom at last sex, never using condoms with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221E2B">
              <w:rPr>
                <w:rFonts w:cstheme="minorHAnsi"/>
                <w:sz w:val="20"/>
                <w:szCs w:val="20"/>
              </w:rPr>
              <w:t xml:space="preserve"> last sexual partner, concurrent sexual partners at present, and multiple sexual partners in the past 12 months</w:t>
            </w:r>
            <w:r>
              <w:rPr>
                <w:rFonts w:cstheme="minorHAnsi"/>
                <w:sz w:val="20"/>
                <w:szCs w:val="20"/>
              </w:rPr>
              <w:t xml:space="preserve"> (effect size estimates for these in hollow blue)</w:t>
            </w:r>
            <w:r w:rsidRPr="00221E2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554AD" w:rsidRPr="00BB62D6" w:rsidRDefault="000554AD" w:rsidP="00247CF5">
            <w:pPr>
              <w:rPr>
                <w:rFonts w:cstheme="minorHAnsi"/>
                <w:sz w:val="20"/>
                <w:szCs w:val="20"/>
              </w:rPr>
            </w:pPr>
          </w:p>
          <w:p w:rsidR="00247CF5" w:rsidRDefault="00247CF5" w:rsidP="00247CF5">
            <w:pPr>
              <w:jc w:val="center"/>
              <w:rPr>
                <w:rFonts w:cstheme="minorHAnsi"/>
              </w:rPr>
            </w:pPr>
          </w:p>
          <w:p w:rsidR="00247CF5" w:rsidRPr="00BB62D6" w:rsidRDefault="00247CF5" w:rsidP="00247CF5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247CF5" w:rsidRPr="00BB62D6" w:rsidRDefault="00247CF5" w:rsidP="00247CF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7CF5" w:rsidRPr="00BB62D6" w:rsidTr="00403A0A">
        <w:trPr>
          <w:trHeight w:val="200"/>
        </w:trPr>
        <w:tc>
          <w:tcPr>
            <w:tcW w:w="2070" w:type="dxa"/>
            <w:tcBorders>
              <w:left w:val="nil"/>
            </w:tcBorders>
          </w:tcPr>
          <w:p w:rsidR="00247CF5" w:rsidRPr="00BB62D6" w:rsidRDefault="00247CF5" w:rsidP="00247CF5">
            <w:pPr>
              <w:rPr>
                <w:rFonts w:cstheme="minorHAnsi"/>
              </w:rPr>
            </w:pP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47CF5" w:rsidRPr="00BB62D6" w:rsidRDefault="00247CF5" w:rsidP="00247CF5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247CF5" w:rsidRPr="00BB62D6" w:rsidRDefault="00247CF5" w:rsidP="00247CF5">
            <w:pPr>
              <w:rPr>
                <w:rFonts w:cstheme="minorHAnsi"/>
              </w:rPr>
            </w:pPr>
          </w:p>
        </w:tc>
      </w:tr>
    </w:tbl>
    <w:p w:rsidR="00EB2406" w:rsidRDefault="00EB2406"/>
    <w:p w:rsidR="00EB2406" w:rsidRDefault="00EB2406">
      <w:r>
        <w:br w:type="page"/>
      </w:r>
    </w:p>
    <w:tbl>
      <w:tblPr>
        <w:tblpPr w:leftFromText="180" w:rightFromText="180" w:vertAnchor="text" w:horzAnchor="margin" w:tblpY="-316"/>
        <w:tblW w:w="12870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800"/>
        <w:gridCol w:w="1890"/>
        <w:gridCol w:w="1800"/>
        <w:gridCol w:w="1800"/>
      </w:tblGrid>
      <w:tr w:rsidR="00EB2406" w:rsidRPr="00BB62D6" w:rsidTr="00CB184F">
        <w:trPr>
          <w:trHeight w:val="238"/>
        </w:trPr>
        <w:tc>
          <w:tcPr>
            <w:tcW w:w="12870" w:type="dxa"/>
            <w:gridSpan w:val="7"/>
            <w:tcBorders>
              <w:left w:val="nil"/>
              <w:bottom w:val="single" w:sz="4" w:space="0" w:color="auto"/>
            </w:tcBorders>
          </w:tcPr>
          <w:p w:rsidR="00EB2406" w:rsidRPr="00BB62D6" w:rsidRDefault="00EB2406" w:rsidP="00D32D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Appendix Table 2</w:t>
            </w:r>
            <w:r w:rsidRPr="00BB62D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Sensitivity analyses:</w:t>
            </w:r>
            <w:r w:rsidRPr="00221E2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ef</w:t>
            </w:r>
            <w:r w:rsidRPr="00221E2B">
              <w:rPr>
                <w:rFonts w:cstheme="minorHAnsi"/>
                <w:b/>
              </w:rPr>
              <w:t>fect of ti</w:t>
            </w:r>
            <w:r>
              <w:rPr>
                <w:rFonts w:cstheme="minorHAnsi"/>
                <w:b/>
              </w:rPr>
              <w:t>me since circumcision on</w:t>
            </w:r>
            <w:r w:rsidRPr="00221E2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recent sex and </w:t>
            </w:r>
            <w:r w:rsidRPr="00221E2B">
              <w:rPr>
                <w:rFonts w:cstheme="minorHAnsi"/>
                <w:b/>
              </w:rPr>
              <w:t>sexual behaviors associated with increased risk of HIV transmission.</w:t>
            </w:r>
          </w:p>
        </w:tc>
      </w:tr>
      <w:tr w:rsidR="00EB2406" w:rsidRPr="00BB62D6" w:rsidTr="00CB184F">
        <w:trPr>
          <w:trHeight w:val="465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B2406" w:rsidRPr="00BB62D6" w:rsidRDefault="00EB2406" w:rsidP="00D32D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since VMMC: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vAlign w:val="center"/>
          </w:tcPr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Recent sex, past 12 mo</w:t>
            </w:r>
            <w:r>
              <w:rPr>
                <w:rFonts w:cstheme="minorHAnsi"/>
                <w:bCs/>
              </w:rPr>
              <w:t>nth</w:t>
            </w:r>
            <w:r w:rsidRPr="00403A0A">
              <w:rPr>
                <w:rFonts w:cstheme="minorHAnsi"/>
                <w:bCs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No condom use,</w:t>
            </w:r>
          </w:p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last sex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Never use condoms with last partner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Concurrent</w:t>
            </w:r>
          </w:p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partners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Multiple partners, past 12 mo</w:t>
            </w:r>
            <w:r>
              <w:rPr>
                <w:rFonts w:cstheme="minorHAnsi"/>
              </w:rPr>
              <w:t>nth</w:t>
            </w:r>
            <w:r w:rsidRPr="00403A0A">
              <w:rPr>
                <w:rFonts w:cstheme="minorHAnsi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EB2406" w:rsidRPr="00403A0A" w:rsidRDefault="00EB2406" w:rsidP="00D32D74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Any HIV risk-related sexual behavior</w:t>
            </w:r>
          </w:p>
        </w:tc>
      </w:tr>
      <w:tr w:rsidR="00EB2406" w:rsidRPr="00BB62D6" w:rsidTr="00D32D74">
        <w:trPr>
          <w:trHeight w:val="238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2406" w:rsidRPr="00BB62D6" w:rsidRDefault="00EB2406" w:rsidP="00D32D74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EB240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EB2406" w:rsidRPr="00BB62D6" w:rsidRDefault="00EB2406" w:rsidP="00D32D74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</w:tr>
      <w:tr w:rsidR="00EB2406" w:rsidRPr="00BB62D6" w:rsidTr="00D32D74">
        <w:trPr>
          <w:trHeight w:val="200"/>
        </w:trPr>
        <w:tc>
          <w:tcPr>
            <w:tcW w:w="12870" w:type="dxa"/>
            <w:gridSpan w:val="7"/>
            <w:shd w:val="clear" w:color="auto" w:fill="E7E6E6" w:themeFill="background2"/>
            <w:noWrap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color w:val="000000"/>
              </w:rPr>
              <w:t>Sensitivity analysis 1: Complete case analysis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bottom w:val="nil"/>
            </w:tcBorders>
            <w:shd w:val="clear" w:color="auto" w:fill="auto"/>
            <w:noWrap/>
          </w:tcPr>
          <w:p w:rsidR="00EB2406" w:rsidRPr="00BB62D6" w:rsidRDefault="00EB2406" w:rsidP="00D32D74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prior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:rsidR="00EB2406" w:rsidRPr="008C0B6F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-0.9 (-2.7 to 1.0)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B2406" w:rsidRPr="00640719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-2.2 (-5.8 to 1.3)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2406" w:rsidRPr="00640719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-0.7 (-4.1 to 2.8)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2406" w:rsidRPr="000F6001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-0.9 (-3.8 to 2.0)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2406" w:rsidRPr="00056010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 (-3.1 to 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B2406" w:rsidRPr="00913CD8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-1.6 (-5.7 to 2.4)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prior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:rsidR="00EB2406" w:rsidRPr="008C0B6F" w:rsidRDefault="00EB2406" w:rsidP="00D32D74">
            <w:pPr>
              <w:jc w:val="center"/>
              <w:rPr>
                <w:rFonts w:cstheme="minorHAnsi"/>
              </w:rPr>
            </w:pPr>
            <w:r w:rsidRPr="008C0B6F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EB2406" w:rsidRPr="008C0B6F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-0.4 (-2.0 to 1.2)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-2.2 (-5.3 to 0.9)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640719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-1.9 (-4.9 to 1.1)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0F6001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-1.3 (-3.9 to 1.3)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056010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 (-2.1 to 2.9)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Pr="00C3314F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-1.5 (-5.0 to 2.1)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EB2406" w:rsidRPr="008C0B6F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-1.1 (-2.2 to 2.0)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-2.1 (-6.2 to 2.1)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-2.1 (-6.0 to 1.9)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-2.9 (-6.3 to 0.4)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-1.7 (-5.0 to 1.6)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-2.8 (-7.6 to 2.0)</w:t>
            </w:r>
          </w:p>
        </w:tc>
      </w:tr>
      <w:tr w:rsidR="004D5482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4D5482" w:rsidRPr="005F4F26" w:rsidRDefault="004D5482" w:rsidP="005F4F26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4D5482" w:rsidRPr="005F4F26" w:rsidRDefault="005F4F26" w:rsidP="005F4F26">
            <w:pPr>
              <w:spacing w:before="120"/>
              <w:jc w:val="center"/>
              <w:rPr>
                <w:rFonts w:cstheme="minorHAnsi"/>
                <w:b/>
              </w:rPr>
            </w:pPr>
            <w:r w:rsidRPr="005F4F26">
              <w:rPr>
                <w:rFonts w:cstheme="minorHAnsi"/>
                <w:b/>
              </w:rPr>
              <w:t>5,061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D5482" w:rsidRPr="005F4F26" w:rsidRDefault="00AB39AD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4,162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D5482" w:rsidRPr="005F4F26" w:rsidRDefault="006404BE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5,062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D5482" w:rsidRPr="005F4F26" w:rsidRDefault="00B81885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4,950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4D5482" w:rsidRPr="005F4F26" w:rsidRDefault="00BF2986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4,860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4D5482" w:rsidRPr="005F4F26" w:rsidRDefault="00E93977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3,938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BB62D6" w:rsidRDefault="00EB2406" w:rsidP="00D32D74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0C3F6E" w:rsidRPr="00BB62D6" w:rsidTr="00D32D74">
        <w:trPr>
          <w:trHeight w:val="200"/>
        </w:trPr>
        <w:tc>
          <w:tcPr>
            <w:tcW w:w="12870" w:type="dxa"/>
            <w:gridSpan w:val="7"/>
            <w:tcBorders>
              <w:top w:val="nil"/>
            </w:tcBorders>
            <w:shd w:val="clear" w:color="auto" w:fill="E7E6E6" w:themeFill="background2"/>
            <w:noWrap/>
          </w:tcPr>
          <w:p w:rsidR="000C3F6E" w:rsidRDefault="000C3F6E" w:rsidP="000C3F6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>Sensitivity analysis 2: Dropped individuals with errors in circumcision status self-reporting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BB62D6" w:rsidRDefault="00EB2406" w:rsidP="00D32D74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prior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EB2406" w:rsidRPr="00913CD8" w:rsidRDefault="00C540C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-0.6 (-2.6 to 1.4</w:t>
            </w:r>
            <w:r w:rsidR="00EB2406">
              <w:rPr>
                <w:rFonts w:cstheme="minorHAns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EB2406" w:rsidRPr="00640719" w:rsidRDefault="00CF6D7C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-1.6</w:t>
            </w:r>
            <w:r w:rsidR="00EB2406">
              <w:rPr>
                <w:rFonts w:cstheme="minorHAnsi"/>
              </w:rPr>
              <w:t xml:space="preserve"> (-5.5 to 2.2)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847CF9" w:rsidRDefault="006341BD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 (-3.5</w:t>
            </w:r>
            <w:r w:rsidR="00EB2406">
              <w:rPr>
                <w:rFonts w:cstheme="minorHAnsi"/>
              </w:rPr>
              <w:t xml:space="preserve"> to 4.0)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0F6001" w:rsidRDefault="006341BD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-0.8 (-4.0</w:t>
            </w:r>
            <w:r w:rsidR="00EB2406">
              <w:rPr>
                <w:rFonts w:cstheme="minorHAnsi"/>
              </w:rPr>
              <w:t xml:space="preserve"> to 2.4)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A839C4" w:rsidRDefault="006341BD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 (-3.2 to 3.0</w:t>
            </w:r>
            <w:r w:rsidR="00EB2406">
              <w:rPr>
                <w:rFonts w:cstheme="minorHAns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Pr="00C3314F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-2.6 (-7.0 to 1.8)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prior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Pr="00BB62D6" w:rsidRDefault="00E93977" w:rsidP="00D32D74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EB2406" w:rsidRPr="00BB62D6">
              <w:rPr>
                <w:rFonts w:cstheme="minorHAnsi"/>
                <w:i/>
              </w:rPr>
              <w:t>ef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-0.5 (-2.2 to 1.3)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Pr="00BB62D6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-2.9 (-6.2 to 0.5)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847CF9" w:rsidRDefault="006341BD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-1.3 (-4.6 to 2.0</w:t>
            </w:r>
            <w:r w:rsidR="00EB2406">
              <w:rPr>
                <w:rFonts w:cstheme="minorHAnsi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0F6001" w:rsidRDefault="00EB2406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-0.8 (-3.6 to 2.0)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Pr="00A839C4" w:rsidRDefault="006341BD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 (-2.1 to 3.4</w:t>
            </w:r>
            <w:r w:rsidR="00EB2406">
              <w:rPr>
                <w:rFonts w:cstheme="minorHAns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Pr="00C3314F" w:rsidRDefault="00ED7D6F" w:rsidP="00D32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-2.3 (-6.1 to 1.6</w:t>
            </w:r>
            <w:r w:rsidR="00EB2406">
              <w:rPr>
                <w:rFonts w:cstheme="minorHAnsi"/>
              </w:rPr>
              <w:t>)</w:t>
            </w:r>
          </w:p>
        </w:tc>
      </w:tr>
      <w:tr w:rsidR="00EB2406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EB2406" w:rsidRPr="008C0B6F" w:rsidRDefault="00EB2406" w:rsidP="00D32D74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EB2406" w:rsidRDefault="00C540C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-1.1 (-3.7 to 1.4</w:t>
            </w:r>
            <w:r w:rsidR="00EB2406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B2406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-1.9 (-6.9 to 3.0)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6341BD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-1.0 (-5.8 to 3.8</w:t>
            </w:r>
            <w:r w:rsidR="00EB2406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6341BD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-3.0 (-7.0 to 1.1</w:t>
            </w:r>
            <w:r w:rsidR="00EB2406">
              <w:rPr>
                <w:rFonts w:cstheme="minorHAns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EB2406" w:rsidRDefault="006341BD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-2.9 (-6.8</w:t>
            </w:r>
            <w:r w:rsidR="00EB2406">
              <w:rPr>
                <w:rFonts w:cstheme="minorHAnsi"/>
                <w:color w:val="000000"/>
              </w:rPr>
              <w:t xml:space="preserve"> to 1.0)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EB2406" w:rsidRDefault="00ED7D6F" w:rsidP="00D32D74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-2.6 (-8.3 to 3.1</w:t>
            </w:r>
            <w:r w:rsidR="00EB2406">
              <w:rPr>
                <w:rFonts w:cstheme="minorHAnsi"/>
                <w:color w:val="000000"/>
              </w:rPr>
              <w:t>)</w:t>
            </w:r>
          </w:p>
        </w:tc>
      </w:tr>
      <w:tr w:rsidR="00B239C9" w:rsidRPr="00BB62D6" w:rsidTr="00D32D74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B239C9" w:rsidRPr="005F4F26" w:rsidRDefault="00B239C9" w:rsidP="00B239C9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B239C9" w:rsidRPr="00B239C9" w:rsidRDefault="00B239C9" w:rsidP="00B239C9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4,934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B239C9" w:rsidRPr="005F4F26" w:rsidRDefault="00AB39AD" w:rsidP="00B239C9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4,051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239C9" w:rsidRPr="005F4F26" w:rsidRDefault="00DD1227" w:rsidP="00B239C9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4,935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239C9" w:rsidRPr="005F4F26" w:rsidRDefault="00B81885" w:rsidP="00B239C9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4,828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239C9" w:rsidRPr="005F4F26" w:rsidRDefault="00BF2986" w:rsidP="00B239C9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4,730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B239C9" w:rsidRPr="005F4F26" w:rsidRDefault="00E93977" w:rsidP="00B239C9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</w:rPr>
              <w:t>3,828</w:t>
            </w:r>
          </w:p>
        </w:tc>
      </w:tr>
      <w:tr w:rsidR="00B239C9" w:rsidRPr="00BB62D6" w:rsidTr="00D32D74">
        <w:trPr>
          <w:trHeight w:val="200"/>
        </w:trPr>
        <w:tc>
          <w:tcPr>
            <w:tcW w:w="2070" w:type="dxa"/>
            <w:tcBorders>
              <w:left w:val="nil"/>
            </w:tcBorders>
            <w:shd w:val="clear" w:color="auto" w:fill="auto"/>
            <w:noWrap/>
          </w:tcPr>
          <w:p w:rsidR="00B239C9" w:rsidRPr="00BB62D6" w:rsidRDefault="00B239C9" w:rsidP="00B239C9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239C9" w:rsidRPr="00BB62D6" w:rsidRDefault="00B239C9" w:rsidP="00B239C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B239C9" w:rsidRPr="00BB62D6" w:rsidRDefault="00B239C9" w:rsidP="00B239C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B239C9" w:rsidRPr="00BB62D6" w:rsidRDefault="00B239C9" w:rsidP="00B239C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</w:tcBorders>
            <w:vAlign w:val="bottom"/>
          </w:tcPr>
          <w:p w:rsidR="00B239C9" w:rsidRPr="00BB62D6" w:rsidRDefault="00B239C9" w:rsidP="00B239C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B239C9" w:rsidRPr="00BB62D6" w:rsidRDefault="00B239C9" w:rsidP="00B239C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B239C9" w:rsidRPr="00BB62D6" w:rsidRDefault="00B239C9" w:rsidP="00B239C9">
            <w:pPr>
              <w:jc w:val="center"/>
              <w:rPr>
                <w:rFonts w:cstheme="minorHAnsi"/>
                <w:i/>
              </w:rPr>
            </w:pPr>
          </w:p>
        </w:tc>
      </w:tr>
      <w:tr w:rsidR="00B239C9" w:rsidRPr="00BB62D6" w:rsidTr="00D32D74">
        <w:trPr>
          <w:trHeight w:val="20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</w:tcBorders>
          </w:tcPr>
          <w:p w:rsidR="00B239C9" w:rsidRDefault="00B239C9" w:rsidP="00B239C9">
            <w:pPr>
              <w:rPr>
                <w:rFonts w:cstheme="minorHAnsi"/>
                <w:sz w:val="20"/>
                <w:szCs w:val="20"/>
              </w:rPr>
            </w:pPr>
            <w:r w:rsidRPr="00BB62D6">
              <w:rPr>
                <w:rFonts w:cstheme="minorHAnsi"/>
                <w:b/>
                <w:sz w:val="20"/>
                <w:szCs w:val="20"/>
              </w:rPr>
              <w:t xml:space="preserve">Abbreviations: </w:t>
            </w:r>
            <w:r>
              <w:rPr>
                <w:rFonts w:cstheme="minorHAnsi"/>
                <w:sz w:val="20"/>
                <w:szCs w:val="20"/>
              </w:rPr>
              <w:t xml:space="preserve">voluntary medical male circumcision (VMMC); </w:t>
            </w:r>
            <w:r w:rsidRPr="00BB62D6">
              <w:rPr>
                <w:rFonts w:cstheme="minorHAnsi"/>
                <w:sz w:val="20"/>
                <w:szCs w:val="20"/>
              </w:rPr>
              <w:t>percentage point change (PP); confidence interval (CI)</w:t>
            </w:r>
          </w:p>
          <w:p w:rsidR="00B239C9" w:rsidRPr="00221E2B" w:rsidRDefault="00B239C9" w:rsidP="00B239C9">
            <w:pPr>
              <w:rPr>
                <w:rFonts w:cstheme="minorHAnsi"/>
              </w:rPr>
            </w:pPr>
            <w:r w:rsidRPr="00221E2B">
              <w:rPr>
                <w:rFonts w:cstheme="minorHAnsi"/>
                <w:sz w:val="20"/>
                <w:szCs w:val="20"/>
              </w:rPr>
              <w:t xml:space="preserve">We measured </w:t>
            </w:r>
            <w:r>
              <w:rPr>
                <w:rFonts w:cstheme="minorHAnsi"/>
                <w:sz w:val="20"/>
                <w:szCs w:val="20"/>
              </w:rPr>
              <w:t>effect sizes (</w:t>
            </w:r>
            <w:r w:rsidRPr="00221E2B">
              <w:rPr>
                <w:rFonts w:cstheme="minorHAnsi"/>
                <w:sz w:val="20"/>
                <w:szCs w:val="20"/>
              </w:rPr>
              <w:t>percentage point changes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221E2B">
              <w:rPr>
                <w:rFonts w:cstheme="minorHAnsi"/>
                <w:sz w:val="20"/>
                <w:szCs w:val="20"/>
              </w:rPr>
              <w:t xml:space="preserve"> using linear models with individual fixed effects. </w:t>
            </w:r>
            <w:r>
              <w:rPr>
                <w:rFonts w:cstheme="minorHAnsi"/>
                <w:sz w:val="20"/>
                <w:szCs w:val="20"/>
              </w:rPr>
              <w:t>Any HIV risk-related sexual behaviors</w:t>
            </w:r>
            <w:r w:rsidRPr="00221E2B">
              <w:rPr>
                <w:rFonts w:cstheme="minorHAnsi"/>
                <w:sz w:val="20"/>
                <w:szCs w:val="20"/>
              </w:rPr>
              <w:t xml:space="preserve"> included</w:t>
            </w:r>
            <w:r>
              <w:rPr>
                <w:rFonts w:cstheme="minorHAnsi"/>
                <w:sz w:val="20"/>
                <w:szCs w:val="20"/>
              </w:rPr>
              <w:t xml:space="preserve"> at least one of the following four behaviors</w:t>
            </w:r>
            <w:r w:rsidRPr="00221E2B">
              <w:rPr>
                <w:rFonts w:cstheme="minorHAnsi"/>
                <w:sz w:val="20"/>
                <w:szCs w:val="20"/>
              </w:rPr>
              <w:t>: no</w:t>
            </w:r>
            <w:r>
              <w:rPr>
                <w:rFonts w:cstheme="minorHAnsi"/>
                <w:sz w:val="20"/>
                <w:szCs w:val="20"/>
              </w:rPr>
              <w:t>t using a</w:t>
            </w:r>
            <w:r w:rsidRPr="00221E2B">
              <w:rPr>
                <w:rFonts w:cstheme="minorHAnsi"/>
                <w:sz w:val="20"/>
                <w:szCs w:val="20"/>
              </w:rPr>
              <w:t xml:space="preserve"> condom at last sex, never using condoms with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221E2B">
              <w:rPr>
                <w:rFonts w:cstheme="minorHAnsi"/>
                <w:sz w:val="20"/>
                <w:szCs w:val="20"/>
              </w:rPr>
              <w:t xml:space="preserve"> last sexual partner, concurrent sexual partners at present, and multiple sexual partners in the past 12 months</w:t>
            </w:r>
            <w:r>
              <w:rPr>
                <w:rFonts w:cstheme="minorHAnsi"/>
                <w:sz w:val="20"/>
                <w:szCs w:val="20"/>
              </w:rPr>
              <w:t xml:space="preserve"> (effect size estimates for these in hollow blue)</w:t>
            </w:r>
            <w:r w:rsidRPr="00221E2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239C9" w:rsidRPr="00BB62D6" w:rsidRDefault="00B239C9" w:rsidP="00B239C9">
            <w:pPr>
              <w:rPr>
                <w:rFonts w:cstheme="minorHAnsi"/>
                <w:sz w:val="20"/>
                <w:szCs w:val="20"/>
              </w:rPr>
            </w:pPr>
          </w:p>
          <w:p w:rsidR="00B239C9" w:rsidRDefault="00B239C9" w:rsidP="00B239C9">
            <w:pPr>
              <w:jc w:val="center"/>
              <w:rPr>
                <w:rFonts w:cstheme="minorHAnsi"/>
              </w:rPr>
            </w:pPr>
          </w:p>
          <w:p w:rsidR="00B239C9" w:rsidRPr="00BB62D6" w:rsidRDefault="00B239C9" w:rsidP="00B239C9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B239C9" w:rsidRPr="00BB62D6" w:rsidRDefault="00B239C9" w:rsidP="00B239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239C9" w:rsidRPr="00BB62D6" w:rsidTr="00D32D74">
        <w:trPr>
          <w:trHeight w:val="200"/>
        </w:trPr>
        <w:tc>
          <w:tcPr>
            <w:tcW w:w="2070" w:type="dxa"/>
            <w:tcBorders>
              <w:left w:val="nil"/>
            </w:tcBorders>
          </w:tcPr>
          <w:p w:rsidR="00B239C9" w:rsidRPr="00BB62D6" w:rsidRDefault="00B239C9" w:rsidP="00B239C9">
            <w:pPr>
              <w:rPr>
                <w:rFonts w:cstheme="minorHAnsi"/>
              </w:rPr>
            </w:pP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B239C9" w:rsidRPr="00BB62D6" w:rsidRDefault="00B239C9" w:rsidP="00B239C9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B239C9" w:rsidRPr="00BB62D6" w:rsidRDefault="00B239C9" w:rsidP="00B239C9">
            <w:pPr>
              <w:rPr>
                <w:rFonts w:cstheme="minorHAnsi"/>
              </w:rPr>
            </w:pPr>
          </w:p>
        </w:tc>
      </w:tr>
    </w:tbl>
    <w:p w:rsidR="000C372B" w:rsidRDefault="000C372B">
      <w:pPr>
        <w:sectPr w:rsidR="000C372B" w:rsidSect="00403A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316"/>
        <w:tblW w:w="12870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800"/>
        <w:gridCol w:w="1890"/>
        <w:gridCol w:w="1800"/>
        <w:gridCol w:w="1800"/>
      </w:tblGrid>
      <w:tr w:rsidR="000C372B" w:rsidRPr="00BB62D6" w:rsidTr="00346E42">
        <w:trPr>
          <w:trHeight w:val="238"/>
        </w:trPr>
        <w:tc>
          <w:tcPr>
            <w:tcW w:w="12870" w:type="dxa"/>
            <w:gridSpan w:val="7"/>
            <w:tcBorders>
              <w:left w:val="nil"/>
              <w:bottom w:val="single" w:sz="4" w:space="0" w:color="auto"/>
            </w:tcBorders>
          </w:tcPr>
          <w:p w:rsidR="000C372B" w:rsidRPr="00BB62D6" w:rsidRDefault="000C372B" w:rsidP="000C372B">
            <w:pPr>
              <w:rPr>
                <w:rFonts w:cstheme="minorHAnsi"/>
                <w:b/>
              </w:rPr>
            </w:pPr>
            <w:r w:rsidRPr="00FE6D0A">
              <w:rPr>
                <w:rFonts w:cstheme="minorHAnsi"/>
                <w:b/>
              </w:rPr>
              <w:lastRenderedPageBreak/>
              <w:t xml:space="preserve">Appendix Table </w:t>
            </w:r>
            <w:r>
              <w:rPr>
                <w:rFonts w:cstheme="minorHAnsi"/>
                <w:b/>
              </w:rPr>
              <w:t>3</w:t>
            </w:r>
            <w:r w:rsidRPr="00FE6D0A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Sub-group</w:t>
            </w:r>
            <w:r w:rsidRPr="00FE6D0A">
              <w:rPr>
                <w:rFonts w:cstheme="minorHAnsi"/>
                <w:b/>
              </w:rPr>
              <w:t xml:space="preserve"> analyses: effect of VMMC on recent sex</w:t>
            </w:r>
            <w:r w:rsidRPr="00FE6D0A">
              <w:rPr>
                <w:rFonts w:cstheme="minorHAnsi"/>
              </w:rPr>
              <w:t xml:space="preserve"> </w:t>
            </w:r>
            <w:r w:rsidRPr="00FE6D0A">
              <w:rPr>
                <w:rFonts w:cstheme="minorHAnsi"/>
                <w:b/>
              </w:rPr>
              <w:t xml:space="preserve">and sexual behaviors associated with increased risk of HIV </w:t>
            </w:r>
            <w:r w:rsidRPr="00221E2B">
              <w:rPr>
                <w:rFonts w:cstheme="minorHAnsi"/>
                <w:b/>
              </w:rPr>
              <w:t>transmission</w:t>
            </w:r>
          </w:p>
        </w:tc>
      </w:tr>
      <w:tr w:rsidR="000C372B" w:rsidRPr="00BB62D6" w:rsidTr="00346E42">
        <w:trPr>
          <w:trHeight w:val="465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0C372B" w:rsidRPr="00BB62D6" w:rsidRDefault="000C372B" w:rsidP="00346E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Circumcision status: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Recent sex, past 12 mo</w:t>
            </w:r>
            <w:r>
              <w:rPr>
                <w:rFonts w:cstheme="minorHAnsi"/>
                <w:bCs/>
              </w:rPr>
              <w:t>nth</w:t>
            </w:r>
            <w:r w:rsidRPr="00403A0A">
              <w:rPr>
                <w:rFonts w:cstheme="minorHAnsi"/>
                <w:bCs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No condom use,</w:t>
            </w:r>
          </w:p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last sex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Never use condoms with last partner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Concurrent</w:t>
            </w:r>
          </w:p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partners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Multiple partners, past 12 mo</w:t>
            </w:r>
            <w:r>
              <w:rPr>
                <w:rFonts w:cstheme="minorHAnsi"/>
              </w:rPr>
              <w:t>nth</w:t>
            </w:r>
            <w:r w:rsidRPr="00403A0A">
              <w:rPr>
                <w:rFonts w:cstheme="minorHAnsi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Any HIV risk-related sexual behavior</w:t>
            </w:r>
          </w:p>
        </w:tc>
      </w:tr>
      <w:tr w:rsidR="000C372B" w:rsidRPr="00BB62D6" w:rsidTr="00346E42">
        <w:trPr>
          <w:trHeight w:val="238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2B" w:rsidRPr="00BB62D6" w:rsidRDefault="000C372B" w:rsidP="00346E42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72B" w:rsidRPr="00BB62D6" w:rsidRDefault="000C372B" w:rsidP="00346E42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12870" w:type="dxa"/>
            <w:gridSpan w:val="7"/>
            <w:shd w:val="clear" w:color="auto" w:fill="E7E6E6" w:themeFill="background2"/>
            <w:noWrap/>
          </w:tcPr>
          <w:p w:rsidR="000C372B" w:rsidRPr="00BB62D6" w:rsidRDefault="000C372B" w:rsidP="000C372B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color w:val="000000"/>
              </w:rPr>
              <w:t>Sub-group 1:</w:t>
            </w:r>
            <w:r w:rsidR="00797CF6">
              <w:rPr>
                <w:rFonts w:cstheme="minorHAnsi"/>
                <w:b/>
                <w:i/>
                <w:color w:val="000000"/>
              </w:rPr>
              <w:t xml:space="preserve"> Age at baseline &lt; median (18 years)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bottom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Non-circumcised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i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Circumcised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BB62D6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-0.7 (-3.5 to 2.0</w:t>
            </w:r>
            <w:r w:rsidR="000C372B">
              <w:rPr>
                <w:rFonts w:cstheme="minorHAnsi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B62D6" w:rsidRDefault="00A85C4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-1.8 (-8.1 to 4.4)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309AD" w:rsidRDefault="00AB39AD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-3.9 (-8.9 to 1.2)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309AD" w:rsidRDefault="005F004F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-3.9 (-8.3 to 0.6)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F42A3" w:rsidRDefault="002206FC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-1.7 (-6.1 to 2.7)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053439" w:rsidRDefault="003F12E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-2.0 (-9.6 to 5.7</w:t>
            </w:r>
            <w:r w:rsidR="000C372B">
              <w:rPr>
                <w:rFonts w:cstheme="minorHAnsi"/>
              </w:rPr>
              <w:t>)</w:t>
            </w:r>
          </w:p>
        </w:tc>
      </w:tr>
      <w:tr w:rsidR="009470E7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9470E7" w:rsidRPr="005F4F26" w:rsidRDefault="009470E7" w:rsidP="005F4F26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9470E7" w:rsidRPr="005F4F26" w:rsidRDefault="005F4F26" w:rsidP="005F4F26">
            <w:pPr>
              <w:spacing w:before="120"/>
              <w:jc w:val="center"/>
              <w:rPr>
                <w:rFonts w:cstheme="minorHAnsi"/>
                <w:b/>
              </w:rPr>
            </w:pPr>
            <w:r w:rsidRPr="005F4F26">
              <w:rPr>
                <w:rFonts w:cstheme="minorHAnsi"/>
                <w:b/>
              </w:rPr>
              <w:t>2,617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A85C44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1,799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AB39AD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2,618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5F004F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2,533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2206FC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2,430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3F12E4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1,606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12870" w:type="dxa"/>
            <w:gridSpan w:val="7"/>
            <w:tcBorders>
              <w:top w:val="nil"/>
            </w:tcBorders>
            <w:shd w:val="clear" w:color="auto" w:fill="E7E6E6" w:themeFill="background2"/>
            <w:noWrap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Sub-group 2: </w:t>
            </w:r>
            <w:r w:rsidR="000F2FFF">
              <w:rPr>
                <w:rFonts w:cstheme="minorHAnsi"/>
                <w:b/>
                <w:i/>
                <w:color w:val="000000"/>
              </w:rPr>
              <w:t xml:space="preserve"> Age at baseline </w:t>
            </w:r>
            <w:r w:rsidR="000F2FFF">
              <w:rPr>
                <w:rFonts w:cstheme="minorHAnsi"/>
                <w:b/>
                <w:i/>
                <w:color w:val="000000"/>
              </w:rPr>
              <w:t>&gt;</w:t>
            </w:r>
            <w:r w:rsidR="00797CF6">
              <w:rPr>
                <w:rFonts w:cstheme="minorHAnsi"/>
                <w:b/>
                <w:i/>
                <w:color w:val="000000"/>
              </w:rPr>
              <w:t xml:space="preserve"> median (18 years)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Non-circumcised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i/>
                <w:color w:val="000000"/>
              </w:rPr>
            </w:pPr>
            <w:r w:rsidRPr="00BB62D6">
              <w:rPr>
                <w:rFonts w:cstheme="minorHAnsi"/>
                <w:i/>
                <w:color w:val="000000"/>
              </w:rPr>
              <w:t>Circumcised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BB62D6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 (-0.4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B62D6" w:rsidRDefault="00A85C4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-0.6 (-2.4 to 1.2)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309AD" w:rsidRDefault="00AB39AD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 (-1.9 to 1.7)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F42A3" w:rsidRDefault="005F004F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-0.3 (-1.7 to 1.2)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5F42A3" w:rsidRDefault="007F751C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 (-1.2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F332D1" w:rsidRDefault="003F12E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-1.0 (-3.1 to 1.1)</w:t>
            </w:r>
          </w:p>
        </w:tc>
      </w:tr>
      <w:tr w:rsidR="009470E7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9470E7" w:rsidRPr="005F4F26" w:rsidRDefault="009470E7" w:rsidP="005F4F26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9470E7" w:rsidRPr="005F4F26" w:rsidRDefault="005F4F26" w:rsidP="005F4F26">
            <w:pPr>
              <w:spacing w:before="120"/>
              <w:jc w:val="center"/>
              <w:rPr>
                <w:rFonts w:cstheme="minorHAnsi"/>
                <w:b/>
              </w:rPr>
            </w:pPr>
            <w:r w:rsidRPr="005F4F26">
              <w:rPr>
                <w:rFonts w:cstheme="minorHAnsi"/>
                <w:b/>
              </w:rPr>
              <w:t>2,504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A85C44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2,404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AB39AD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2,504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5F004F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2,475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7F751C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2,479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3F12E4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2,365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left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</w:tcBorders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</w:tcBorders>
          </w:tcPr>
          <w:p w:rsidR="000C372B" w:rsidRDefault="000C372B" w:rsidP="00346E42">
            <w:pPr>
              <w:rPr>
                <w:rFonts w:cstheme="minorHAnsi"/>
                <w:sz w:val="20"/>
                <w:szCs w:val="20"/>
              </w:rPr>
            </w:pPr>
            <w:r w:rsidRPr="00BB62D6">
              <w:rPr>
                <w:rFonts w:cstheme="minorHAnsi"/>
                <w:b/>
                <w:sz w:val="20"/>
                <w:szCs w:val="20"/>
              </w:rPr>
              <w:t xml:space="preserve">Abbreviations: </w:t>
            </w:r>
            <w:r>
              <w:rPr>
                <w:rFonts w:cstheme="minorHAnsi"/>
                <w:sz w:val="20"/>
                <w:szCs w:val="20"/>
              </w:rPr>
              <w:t xml:space="preserve">voluntary medical male circumcision (VMMC); </w:t>
            </w:r>
            <w:r w:rsidRPr="00BB62D6">
              <w:rPr>
                <w:rFonts w:cstheme="minorHAnsi"/>
                <w:sz w:val="20"/>
                <w:szCs w:val="20"/>
              </w:rPr>
              <w:t>percentage point change (PP); confidence interval (CI)</w:t>
            </w:r>
          </w:p>
          <w:p w:rsidR="000C372B" w:rsidRPr="00221E2B" w:rsidRDefault="000C372B" w:rsidP="00346E42">
            <w:pPr>
              <w:rPr>
                <w:rFonts w:cstheme="minorHAnsi"/>
              </w:rPr>
            </w:pPr>
            <w:r w:rsidRPr="00221E2B">
              <w:rPr>
                <w:rFonts w:cstheme="minorHAnsi"/>
                <w:sz w:val="20"/>
                <w:szCs w:val="20"/>
              </w:rPr>
              <w:t xml:space="preserve">We measured </w:t>
            </w:r>
            <w:r>
              <w:rPr>
                <w:rFonts w:cstheme="minorHAnsi"/>
                <w:sz w:val="20"/>
                <w:szCs w:val="20"/>
              </w:rPr>
              <w:t>effect sizes (</w:t>
            </w:r>
            <w:r w:rsidRPr="00221E2B">
              <w:rPr>
                <w:rFonts w:cstheme="minorHAnsi"/>
                <w:sz w:val="20"/>
                <w:szCs w:val="20"/>
              </w:rPr>
              <w:t>percentage point changes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221E2B">
              <w:rPr>
                <w:rFonts w:cstheme="minorHAnsi"/>
                <w:sz w:val="20"/>
                <w:szCs w:val="20"/>
              </w:rPr>
              <w:t xml:space="preserve"> using linear models with individual fixed effects. </w:t>
            </w:r>
            <w:r>
              <w:rPr>
                <w:rFonts w:cstheme="minorHAnsi"/>
                <w:sz w:val="20"/>
                <w:szCs w:val="20"/>
              </w:rPr>
              <w:t>Any HIV risk-related sexual behaviors</w:t>
            </w:r>
            <w:r w:rsidRPr="00221E2B">
              <w:rPr>
                <w:rFonts w:cstheme="minorHAnsi"/>
                <w:sz w:val="20"/>
                <w:szCs w:val="20"/>
              </w:rPr>
              <w:t xml:space="preserve"> included</w:t>
            </w:r>
            <w:r>
              <w:rPr>
                <w:rFonts w:cstheme="minorHAnsi"/>
                <w:sz w:val="20"/>
                <w:szCs w:val="20"/>
              </w:rPr>
              <w:t xml:space="preserve"> at least one of the following four behaviors</w:t>
            </w:r>
            <w:r w:rsidRPr="00221E2B">
              <w:rPr>
                <w:rFonts w:cstheme="minorHAnsi"/>
                <w:sz w:val="20"/>
                <w:szCs w:val="20"/>
              </w:rPr>
              <w:t>: no</w:t>
            </w:r>
            <w:r>
              <w:rPr>
                <w:rFonts w:cstheme="minorHAnsi"/>
                <w:sz w:val="20"/>
                <w:szCs w:val="20"/>
              </w:rPr>
              <w:t>t using a</w:t>
            </w:r>
            <w:r w:rsidRPr="00221E2B">
              <w:rPr>
                <w:rFonts w:cstheme="minorHAnsi"/>
                <w:sz w:val="20"/>
                <w:szCs w:val="20"/>
              </w:rPr>
              <w:t xml:space="preserve"> condom at last sex, never using condoms with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221E2B">
              <w:rPr>
                <w:rFonts w:cstheme="minorHAnsi"/>
                <w:sz w:val="20"/>
                <w:szCs w:val="20"/>
              </w:rPr>
              <w:t xml:space="preserve"> last sexual partner, concurrent sexual partners at present, and multiple sexual partners in the past 12 months</w:t>
            </w:r>
            <w:r>
              <w:rPr>
                <w:rFonts w:cstheme="minorHAnsi"/>
                <w:sz w:val="20"/>
                <w:szCs w:val="20"/>
              </w:rPr>
              <w:t xml:space="preserve"> (effect size estimates for these in hollow blue)</w:t>
            </w:r>
            <w:r w:rsidRPr="00221E2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C372B" w:rsidRPr="00BB62D6" w:rsidRDefault="000C372B" w:rsidP="00346E42">
            <w:pPr>
              <w:rPr>
                <w:rFonts w:cstheme="minorHAnsi"/>
                <w:sz w:val="20"/>
                <w:szCs w:val="20"/>
              </w:rPr>
            </w:pPr>
          </w:p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left w:val="nil"/>
            </w:tcBorders>
          </w:tcPr>
          <w:p w:rsidR="000C372B" w:rsidRPr="00BB62D6" w:rsidRDefault="000C372B" w:rsidP="00346E42">
            <w:pPr>
              <w:rPr>
                <w:rFonts w:cstheme="minorHAnsi"/>
              </w:rPr>
            </w:pP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0C372B" w:rsidRPr="00BB62D6" w:rsidRDefault="000C372B" w:rsidP="00346E42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rPr>
                <w:rFonts w:cstheme="minorHAnsi"/>
              </w:rPr>
            </w:pPr>
          </w:p>
        </w:tc>
      </w:tr>
    </w:tbl>
    <w:p w:rsidR="000C372B" w:rsidRDefault="000C372B" w:rsidP="000C372B"/>
    <w:p w:rsidR="000C372B" w:rsidRDefault="000C372B" w:rsidP="000C372B">
      <w:r>
        <w:br w:type="page"/>
      </w:r>
    </w:p>
    <w:tbl>
      <w:tblPr>
        <w:tblpPr w:leftFromText="180" w:rightFromText="180" w:vertAnchor="text" w:horzAnchor="margin" w:tblpY="-316"/>
        <w:tblW w:w="12870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00"/>
        <w:gridCol w:w="1800"/>
        <w:gridCol w:w="1890"/>
        <w:gridCol w:w="1800"/>
        <w:gridCol w:w="1800"/>
      </w:tblGrid>
      <w:tr w:rsidR="000C372B" w:rsidRPr="00BB62D6" w:rsidTr="00346E42">
        <w:trPr>
          <w:trHeight w:val="238"/>
        </w:trPr>
        <w:tc>
          <w:tcPr>
            <w:tcW w:w="12870" w:type="dxa"/>
            <w:gridSpan w:val="7"/>
            <w:tcBorders>
              <w:left w:val="nil"/>
              <w:bottom w:val="single" w:sz="4" w:space="0" w:color="auto"/>
            </w:tcBorders>
          </w:tcPr>
          <w:p w:rsidR="000C372B" w:rsidRPr="00BB62D6" w:rsidRDefault="000C372B" w:rsidP="000C3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Appendix Table 4</w:t>
            </w:r>
            <w:r w:rsidRPr="00BB62D6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Sub-group analyses:</w:t>
            </w:r>
            <w:r w:rsidRPr="00221E2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ef</w:t>
            </w:r>
            <w:r w:rsidRPr="00221E2B">
              <w:rPr>
                <w:rFonts w:cstheme="minorHAnsi"/>
                <w:b/>
              </w:rPr>
              <w:t>fect of ti</w:t>
            </w:r>
            <w:r>
              <w:rPr>
                <w:rFonts w:cstheme="minorHAnsi"/>
                <w:b/>
              </w:rPr>
              <w:t>me since circumcision on</w:t>
            </w:r>
            <w:r w:rsidRPr="00221E2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recent sex and </w:t>
            </w:r>
            <w:r w:rsidRPr="00221E2B">
              <w:rPr>
                <w:rFonts w:cstheme="minorHAnsi"/>
                <w:b/>
              </w:rPr>
              <w:t>sexual behaviors associated with increased risk of HIV transmission.</w:t>
            </w:r>
          </w:p>
        </w:tc>
      </w:tr>
      <w:tr w:rsidR="000C372B" w:rsidRPr="00BB62D6" w:rsidTr="00346E42">
        <w:trPr>
          <w:trHeight w:val="465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0C372B" w:rsidRPr="00BB62D6" w:rsidRDefault="000C372B" w:rsidP="00346E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since VMMC: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Recent sex, past 12 mo</w:t>
            </w:r>
            <w:r>
              <w:rPr>
                <w:rFonts w:cstheme="minorHAnsi"/>
                <w:bCs/>
              </w:rPr>
              <w:t>nth</w:t>
            </w:r>
            <w:r w:rsidRPr="00403A0A">
              <w:rPr>
                <w:rFonts w:cstheme="minorHAnsi"/>
                <w:bCs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No condom use,</w:t>
            </w:r>
          </w:p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last sex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Never use condoms with last partner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Concurrent</w:t>
            </w:r>
          </w:p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partners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</w:rPr>
              <w:t>Multiple partners, past 12 mo</w:t>
            </w:r>
            <w:r>
              <w:rPr>
                <w:rFonts w:cstheme="minorHAnsi"/>
              </w:rPr>
              <w:t>nth</w:t>
            </w:r>
            <w:r w:rsidRPr="00403A0A">
              <w:rPr>
                <w:rFonts w:cstheme="minorHAnsi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0C372B" w:rsidRPr="00403A0A" w:rsidRDefault="000C372B" w:rsidP="00346E42">
            <w:pPr>
              <w:jc w:val="center"/>
              <w:rPr>
                <w:rFonts w:cstheme="minorHAnsi"/>
              </w:rPr>
            </w:pPr>
            <w:r w:rsidRPr="00403A0A">
              <w:rPr>
                <w:rFonts w:cstheme="minorHAnsi"/>
                <w:bCs/>
              </w:rPr>
              <w:t>Any HIV risk-related sexual behavior</w:t>
            </w:r>
          </w:p>
        </w:tc>
      </w:tr>
      <w:tr w:rsidR="000C372B" w:rsidRPr="00BB62D6" w:rsidTr="00346E42">
        <w:trPr>
          <w:trHeight w:val="238"/>
        </w:trPr>
        <w:tc>
          <w:tcPr>
            <w:tcW w:w="207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72B" w:rsidRPr="00BB62D6" w:rsidRDefault="000C372B" w:rsidP="00346E42">
            <w:pPr>
              <w:rPr>
                <w:rFonts w:cstheme="minorHAnsi"/>
                <w:b/>
              </w:rPr>
            </w:pPr>
          </w:p>
        </w:tc>
        <w:tc>
          <w:tcPr>
            <w:tcW w:w="171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b/>
                <w:i/>
              </w:rPr>
              <w:t>PP (95% CI)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0C372B" w:rsidRPr="00BB62D6" w:rsidRDefault="000C372B" w:rsidP="00346E42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</w:tr>
      <w:tr w:rsidR="009470E7" w:rsidRPr="00BB62D6" w:rsidTr="00346E42">
        <w:trPr>
          <w:trHeight w:val="200"/>
        </w:trPr>
        <w:tc>
          <w:tcPr>
            <w:tcW w:w="12870" w:type="dxa"/>
            <w:gridSpan w:val="7"/>
            <w:shd w:val="clear" w:color="auto" w:fill="E7E6E6" w:themeFill="background2"/>
            <w:noWrap/>
          </w:tcPr>
          <w:p w:rsidR="009470E7" w:rsidRPr="00BB62D6" w:rsidRDefault="009470E7" w:rsidP="009470E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color w:val="000000"/>
              </w:rPr>
              <w:t>Sub-group 1</w:t>
            </w:r>
            <w:r w:rsidR="00797CF6">
              <w:rPr>
                <w:rFonts w:cstheme="minorHAnsi"/>
                <w:b/>
                <w:i/>
                <w:color w:val="000000"/>
              </w:rPr>
              <w:t>: Age at baseline &lt; median (18 years</w:t>
            </w:r>
            <w:r>
              <w:rPr>
                <w:rFonts w:cstheme="minorHAnsi"/>
                <w:b/>
                <w:i/>
                <w:color w:val="000000"/>
              </w:rPr>
              <w:t>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bottom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auto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prior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:rsidR="000C372B" w:rsidRPr="008C0B6F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-3.5 (-7.6 to 0.7)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C372B" w:rsidRPr="00640719" w:rsidRDefault="00A85C4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-6.2 (-15.4 to 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640719" w:rsidRDefault="00D5412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-4.8 (-12.5 to 2.9)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0F6001" w:rsidRDefault="00285628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-2.2 (-8.9 to 4.6)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056010" w:rsidRDefault="009B0C4A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-0.3 (-7.0 to 6.4)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C372B" w:rsidRPr="00913CD8" w:rsidRDefault="003F12E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-3.1 (-14.5 to 8.3)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prior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vAlign w:val="bottom"/>
          </w:tcPr>
          <w:p w:rsidR="000C372B" w:rsidRPr="008C0B6F" w:rsidRDefault="000C372B" w:rsidP="00346E42">
            <w:pPr>
              <w:jc w:val="center"/>
              <w:rPr>
                <w:rFonts w:cstheme="minorHAnsi"/>
              </w:rPr>
            </w:pPr>
            <w:r w:rsidRPr="008C0B6F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8C0B6F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-2.2 (-5.9 to 1.4)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B62D6" w:rsidRDefault="00A85C4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-6.7 (-14.9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640719" w:rsidRDefault="00D5412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-5.7 (-12.5 to 1.1)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0F6001" w:rsidRDefault="00285628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-3.4 (-9.3 to 2.6)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056010" w:rsidRDefault="009B0C4A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-0.7 (-6.6 to 5.2)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C3314F" w:rsidRDefault="003F12E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-2.9 (</w:t>
            </w:r>
            <w:r w:rsidR="00A55EAA">
              <w:rPr>
                <w:rFonts w:cstheme="minorHAnsi"/>
              </w:rPr>
              <w:t>-</w:t>
            </w:r>
            <w:bookmarkStart w:id="0" w:name="_GoBack"/>
            <w:bookmarkEnd w:id="0"/>
            <w:r>
              <w:rPr>
                <w:rFonts w:cstheme="minorHAnsi"/>
              </w:rPr>
              <w:t>12.9 to 7.1)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8C0B6F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-2.9 (-7.4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A85C44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-2.0 (-12.2 to 8.1)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D54124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-7.2 (-15.4 to 1.1)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285628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-7.3 (14.5 to -0.0)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9B0C4A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-3.6 (-10.8 to 3.6)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3F12E4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-4.4 (-16.7 to 7.9)</w:t>
            </w:r>
          </w:p>
        </w:tc>
      </w:tr>
      <w:tr w:rsidR="009470E7" w:rsidRPr="005F4F2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9470E7" w:rsidRPr="005F4F26" w:rsidRDefault="009470E7" w:rsidP="005F4F26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9470E7" w:rsidRPr="005F4F26" w:rsidRDefault="005F4F26" w:rsidP="005F4F26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2,617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A85C44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1,799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D54124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2,618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285628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2,533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9B0C4A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2,430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3F12E4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1,606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9470E7" w:rsidRPr="00BB62D6" w:rsidTr="00346E42">
        <w:trPr>
          <w:trHeight w:val="200"/>
        </w:trPr>
        <w:tc>
          <w:tcPr>
            <w:tcW w:w="12870" w:type="dxa"/>
            <w:gridSpan w:val="7"/>
            <w:tcBorders>
              <w:top w:val="nil"/>
            </w:tcBorders>
            <w:shd w:val="clear" w:color="auto" w:fill="E7E6E6" w:themeFill="background2"/>
            <w:noWrap/>
          </w:tcPr>
          <w:p w:rsidR="009470E7" w:rsidRDefault="009470E7" w:rsidP="00797CF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Sub-group </w:t>
            </w:r>
            <w:r w:rsidR="000F2FFF">
              <w:rPr>
                <w:rFonts w:cstheme="minorHAnsi"/>
                <w:b/>
                <w:i/>
                <w:color w:val="000000"/>
              </w:rPr>
              <w:t xml:space="preserve">2:  Age at baseline </w:t>
            </w:r>
            <w:r w:rsidR="000F2FFF">
              <w:rPr>
                <w:rFonts w:cstheme="minorHAnsi"/>
                <w:b/>
                <w:i/>
                <w:color w:val="000000"/>
              </w:rPr>
              <w:t>&gt;</w:t>
            </w:r>
            <w:r w:rsidR="00797CF6">
              <w:rPr>
                <w:rFonts w:cstheme="minorHAnsi"/>
                <w:b/>
                <w:i/>
                <w:color w:val="000000"/>
              </w:rPr>
              <w:t xml:space="preserve"> median (18 years</w:t>
            </w:r>
            <w:r>
              <w:rPr>
                <w:rFonts w:cstheme="minorHAnsi"/>
                <w:b/>
                <w:i/>
                <w:color w:val="000000"/>
              </w:rPr>
              <w:t>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jc w:val="right"/>
              <w:rPr>
                <w:rFonts w:cstheme="minorHAnsi"/>
                <w:i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0C372B" w:rsidP="00346E42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prior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0C372B" w:rsidRPr="00913CD8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 (-7.6 to 1.7)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0C372B" w:rsidRPr="00640719" w:rsidRDefault="00A85C4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-0.9 (-3.2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847CF9" w:rsidRDefault="00D5412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 (-0.8 to 4.1)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0F6001" w:rsidRDefault="00285628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-0.4 (-2.3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A839C4" w:rsidRDefault="009B0C4A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 (-1.8 to 1.9)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C3314F" w:rsidRDefault="003F12E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-1.0 (-3.8 to 1.7)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prior</w:t>
            </w: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  <w:r w:rsidRPr="00BB62D6">
              <w:rPr>
                <w:rFonts w:cstheme="minorHAnsi"/>
                <w:i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B62D6" w:rsidRDefault="003F12E4" w:rsidP="00346E42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0C372B" w:rsidRPr="00BB62D6">
              <w:rPr>
                <w:rFonts w:cstheme="minorHAnsi"/>
                <w:i/>
              </w:rPr>
              <w:t>ef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1 year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Pr="00BB62D6" w:rsidRDefault="005F4F26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 (-0.6 to 1.5)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BB62D6" w:rsidRDefault="00A85C4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 (-2.1 to 2.00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847CF9" w:rsidRDefault="00D5412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 (-1.8 to 2.5)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0F6001" w:rsidRDefault="00285628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-0.3 (-2.0 to 1.4)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Pr="00A839C4" w:rsidRDefault="009B0C4A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 (-0.9 to 2.3)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Pr="00C3314F" w:rsidRDefault="003F12E4" w:rsidP="00346E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-0.7 (-3.2 to 1.7)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0C372B" w:rsidRPr="008C0B6F" w:rsidRDefault="000C372B" w:rsidP="00346E42">
            <w:pPr>
              <w:jc w:val="right"/>
              <w:rPr>
                <w:rFonts w:cstheme="minorHAnsi"/>
                <w:i/>
              </w:rPr>
            </w:pPr>
            <w:r w:rsidRPr="008C0B6F">
              <w:rPr>
                <w:rFonts w:cstheme="minorHAnsi"/>
                <w:i/>
                <w:color w:val="000000"/>
              </w:rPr>
              <w:t>&gt;1 year  post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0C372B" w:rsidRDefault="005F4F26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1.4 (-0.0 to 2.9)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A85C44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-3.1 (-6.0 to -0.1)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D54124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1.0 (-1.9 to 4.0)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285628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-0.6 (-3.9 to 1.7)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C372B" w:rsidRDefault="009B0C4A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-1.0 (-3.3 to 1.2)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0C372B" w:rsidRDefault="003F12E4" w:rsidP="00346E4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-3.1 (-6.5 to 0.4)</w:t>
            </w:r>
          </w:p>
        </w:tc>
      </w:tr>
      <w:tr w:rsidR="009470E7" w:rsidRPr="00BB62D6" w:rsidTr="00346E42">
        <w:trPr>
          <w:trHeight w:val="200"/>
        </w:trPr>
        <w:tc>
          <w:tcPr>
            <w:tcW w:w="2070" w:type="dxa"/>
            <w:tcBorders>
              <w:top w:val="nil"/>
            </w:tcBorders>
            <w:shd w:val="clear" w:color="auto" w:fill="auto"/>
            <w:noWrap/>
          </w:tcPr>
          <w:p w:rsidR="009470E7" w:rsidRPr="005F4F26" w:rsidRDefault="009470E7" w:rsidP="005F4F26">
            <w:pPr>
              <w:spacing w:before="120"/>
              <w:jc w:val="right"/>
              <w:rPr>
                <w:rFonts w:cstheme="minorHAnsi"/>
                <w:b/>
                <w:i/>
                <w:color w:val="000000"/>
              </w:rPr>
            </w:pPr>
            <w:r w:rsidRPr="005F4F26">
              <w:rPr>
                <w:rFonts w:cstheme="minorHAnsi"/>
                <w:b/>
                <w:i/>
                <w:color w:val="000000"/>
              </w:rPr>
              <w:t>N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bottom"/>
          </w:tcPr>
          <w:p w:rsidR="009470E7" w:rsidRPr="005F4F26" w:rsidRDefault="005F4F26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2,504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A85C44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2,404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D54124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2,504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285628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2,475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470E7" w:rsidRPr="005F4F26" w:rsidRDefault="009B0C4A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2,479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9470E7" w:rsidRPr="005F4F26" w:rsidRDefault="003F12E4" w:rsidP="005F4F26">
            <w:pPr>
              <w:spacing w:before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2,365</w:t>
            </w: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left w:val="nil"/>
            </w:tcBorders>
            <w:shd w:val="clear" w:color="auto" w:fill="auto"/>
            <w:noWrap/>
          </w:tcPr>
          <w:p w:rsidR="000C372B" w:rsidRPr="00BB62D6" w:rsidRDefault="000C372B" w:rsidP="00346E42">
            <w:pPr>
              <w:rPr>
                <w:rFonts w:cstheme="minorHAnsi"/>
                <w:color w:val="000000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0" w:type="dxa"/>
            <w:tcBorders>
              <w:left w:val="nil"/>
            </w:tcBorders>
            <w:vAlign w:val="bottom"/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jc w:val="center"/>
              <w:rPr>
                <w:rFonts w:cstheme="minorHAnsi"/>
                <w:i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11070" w:type="dxa"/>
            <w:gridSpan w:val="6"/>
            <w:tcBorders>
              <w:top w:val="single" w:sz="4" w:space="0" w:color="auto"/>
              <w:left w:val="nil"/>
            </w:tcBorders>
          </w:tcPr>
          <w:p w:rsidR="000C372B" w:rsidRDefault="000C372B" w:rsidP="00346E42">
            <w:pPr>
              <w:rPr>
                <w:rFonts w:cstheme="minorHAnsi"/>
                <w:sz w:val="20"/>
                <w:szCs w:val="20"/>
              </w:rPr>
            </w:pPr>
            <w:r w:rsidRPr="00BB62D6">
              <w:rPr>
                <w:rFonts w:cstheme="minorHAnsi"/>
                <w:b/>
                <w:sz w:val="20"/>
                <w:szCs w:val="20"/>
              </w:rPr>
              <w:t xml:space="preserve">Abbreviations: </w:t>
            </w:r>
            <w:r>
              <w:rPr>
                <w:rFonts w:cstheme="minorHAnsi"/>
                <w:sz w:val="20"/>
                <w:szCs w:val="20"/>
              </w:rPr>
              <w:t xml:space="preserve">voluntary medical male circumcision (VMMC); </w:t>
            </w:r>
            <w:r w:rsidRPr="00BB62D6">
              <w:rPr>
                <w:rFonts w:cstheme="minorHAnsi"/>
                <w:sz w:val="20"/>
                <w:szCs w:val="20"/>
              </w:rPr>
              <w:t>percentage point change (PP); confidence interval (CI)</w:t>
            </w:r>
          </w:p>
          <w:p w:rsidR="000C372B" w:rsidRPr="00221E2B" w:rsidRDefault="000C372B" w:rsidP="00346E42">
            <w:pPr>
              <w:rPr>
                <w:rFonts w:cstheme="minorHAnsi"/>
              </w:rPr>
            </w:pPr>
            <w:r w:rsidRPr="00221E2B">
              <w:rPr>
                <w:rFonts w:cstheme="minorHAnsi"/>
                <w:sz w:val="20"/>
                <w:szCs w:val="20"/>
              </w:rPr>
              <w:t xml:space="preserve">We measured </w:t>
            </w:r>
            <w:r>
              <w:rPr>
                <w:rFonts w:cstheme="minorHAnsi"/>
                <w:sz w:val="20"/>
                <w:szCs w:val="20"/>
              </w:rPr>
              <w:t>effect sizes (</w:t>
            </w:r>
            <w:r w:rsidRPr="00221E2B">
              <w:rPr>
                <w:rFonts w:cstheme="minorHAnsi"/>
                <w:sz w:val="20"/>
                <w:szCs w:val="20"/>
              </w:rPr>
              <w:t>percentage point changes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221E2B">
              <w:rPr>
                <w:rFonts w:cstheme="minorHAnsi"/>
                <w:sz w:val="20"/>
                <w:szCs w:val="20"/>
              </w:rPr>
              <w:t xml:space="preserve"> using linear models with individual fixed effects. </w:t>
            </w:r>
            <w:r>
              <w:rPr>
                <w:rFonts w:cstheme="minorHAnsi"/>
                <w:sz w:val="20"/>
                <w:szCs w:val="20"/>
              </w:rPr>
              <w:t>Any HIV risk-related sexual behaviors</w:t>
            </w:r>
            <w:r w:rsidRPr="00221E2B">
              <w:rPr>
                <w:rFonts w:cstheme="minorHAnsi"/>
                <w:sz w:val="20"/>
                <w:szCs w:val="20"/>
              </w:rPr>
              <w:t xml:space="preserve"> included</w:t>
            </w:r>
            <w:r>
              <w:rPr>
                <w:rFonts w:cstheme="minorHAnsi"/>
                <w:sz w:val="20"/>
                <w:szCs w:val="20"/>
              </w:rPr>
              <w:t xml:space="preserve"> at least one of the following four behaviors</w:t>
            </w:r>
            <w:r w:rsidRPr="00221E2B">
              <w:rPr>
                <w:rFonts w:cstheme="minorHAnsi"/>
                <w:sz w:val="20"/>
                <w:szCs w:val="20"/>
              </w:rPr>
              <w:t>: no</w:t>
            </w:r>
            <w:r>
              <w:rPr>
                <w:rFonts w:cstheme="minorHAnsi"/>
                <w:sz w:val="20"/>
                <w:szCs w:val="20"/>
              </w:rPr>
              <w:t>t using a</w:t>
            </w:r>
            <w:r w:rsidRPr="00221E2B">
              <w:rPr>
                <w:rFonts w:cstheme="minorHAnsi"/>
                <w:sz w:val="20"/>
                <w:szCs w:val="20"/>
              </w:rPr>
              <w:t xml:space="preserve"> condom at last sex, never using condoms with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221E2B">
              <w:rPr>
                <w:rFonts w:cstheme="minorHAnsi"/>
                <w:sz w:val="20"/>
                <w:szCs w:val="20"/>
              </w:rPr>
              <w:t xml:space="preserve"> last sexual partner, concurrent sexual partners at present, and multiple sexual partners in the past 12 months</w:t>
            </w:r>
            <w:r>
              <w:rPr>
                <w:rFonts w:cstheme="minorHAnsi"/>
                <w:sz w:val="20"/>
                <w:szCs w:val="20"/>
              </w:rPr>
              <w:t xml:space="preserve"> (effect size estimates for these in hollow blue)</w:t>
            </w:r>
            <w:r w:rsidRPr="00221E2B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C372B" w:rsidRPr="00BB62D6" w:rsidRDefault="000C372B" w:rsidP="00346E42">
            <w:pPr>
              <w:rPr>
                <w:rFonts w:cstheme="minorHAnsi"/>
                <w:sz w:val="20"/>
                <w:szCs w:val="20"/>
              </w:rPr>
            </w:pPr>
          </w:p>
          <w:p w:rsidR="000C372B" w:rsidRPr="00BB62D6" w:rsidRDefault="000C372B" w:rsidP="00346E42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0C372B" w:rsidRPr="00BB62D6" w:rsidRDefault="000C372B" w:rsidP="00346E4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372B" w:rsidRPr="00BB62D6" w:rsidTr="00346E42">
        <w:trPr>
          <w:trHeight w:val="200"/>
        </w:trPr>
        <w:tc>
          <w:tcPr>
            <w:tcW w:w="2070" w:type="dxa"/>
            <w:tcBorders>
              <w:left w:val="nil"/>
            </w:tcBorders>
          </w:tcPr>
          <w:p w:rsidR="000C372B" w:rsidRPr="00BB62D6" w:rsidRDefault="000C372B" w:rsidP="00346E42">
            <w:pPr>
              <w:rPr>
                <w:rFonts w:cstheme="minorHAnsi"/>
              </w:rPr>
            </w:pPr>
          </w:p>
        </w:tc>
        <w:tc>
          <w:tcPr>
            <w:tcW w:w="9000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0C372B" w:rsidRPr="00BB62D6" w:rsidRDefault="000C372B" w:rsidP="00346E42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0C372B" w:rsidRPr="00BB62D6" w:rsidRDefault="000C372B" w:rsidP="00346E42">
            <w:pPr>
              <w:rPr>
                <w:rFonts w:cstheme="minorHAnsi"/>
              </w:rPr>
            </w:pPr>
          </w:p>
        </w:tc>
      </w:tr>
    </w:tbl>
    <w:p w:rsidR="000F6457" w:rsidRDefault="000F6457"/>
    <w:sectPr w:rsidR="000F6457" w:rsidSect="00403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0A"/>
    <w:rsid w:val="000007A3"/>
    <w:rsid w:val="0000284F"/>
    <w:rsid w:val="000034F5"/>
    <w:rsid w:val="000036A7"/>
    <w:rsid w:val="00004597"/>
    <w:rsid w:val="0000536D"/>
    <w:rsid w:val="000054F7"/>
    <w:rsid w:val="00005A9D"/>
    <w:rsid w:val="000079B7"/>
    <w:rsid w:val="0001014A"/>
    <w:rsid w:val="000101D9"/>
    <w:rsid w:val="00010DEF"/>
    <w:rsid w:val="000133AD"/>
    <w:rsid w:val="0002185D"/>
    <w:rsid w:val="00021BBB"/>
    <w:rsid w:val="00022B11"/>
    <w:rsid w:val="00023826"/>
    <w:rsid w:val="00030A8B"/>
    <w:rsid w:val="00030C16"/>
    <w:rsid w:val="00031561"/>
    <w:rsid w:val="00032F06"/>
    <w:rsid w:val="0003399B"/>
    <w:rsid w:val="00033D9B"/>
    <w:rsid w:val="00034268"/>
    <w:rsid w:val="000362AD"/>
    <w:rsid w:val="0003677C"/>
    <w:rsid w:val="00037B55"/>
    <w:rsid w:val="00037E79"/>
    <w:rsid w:val="000403F7"/>
    <w:rsid w:val="0004151B"/>
    <w:rsid w:val="0004407F"/>
    <w:rsid w:val="00044274"/>
    <w:rsid w:val="00044619"/>
    <w:rsid w:val="00044684"/>
    <w:rsid w:val="00044D7F"/>
    <w:rsid w:val="000459BE"/>
    <w:rsid w:val="00046855"/>
    <w:rsid w:val="00047880"/>
    <w:rsid w:val="00047E02"/>
    <w:rsid w:val="00050063"/>
    <w:rsid w:val="00050B0E"/>
    <w:rsid w:val="000532EB"/>
    <w:rsid w:val="00053439"/>
    <w:rsid w:val="0005524C"/>
    <w:rsid w:val="000554AD"/>
    <w:rsid w:val="00055BDE"/>
    <w:rsid w:val="00056C52"/>
    <w:rsid w:val="00060B4B"/>
    <w:rsid w:val="00060B7F"/>
    <w:rsid w:val="00061812"/>
    <w:rsid w:val="00064DAD"/>
    <w:rsid w:val="0006750F"/>
    <w:rsid w:val="00067E24"/>
    <w:rsid w:val="00075CA8"/>
    <w:rsid w:val="00080FBB"/>
    <w:rsid w:val="000827E0"/>
    <w:rsid w:val="00086D69"/>
    <w:rsid w:val="00087B9A"/>
    <w:rsid w:val="00087BF1"/>
    <w:rsid w:val="00093580"/>
    <w:rsid w:val="00096E9C"/>
    <w:rsid w:val="000A48BC"/>
    <w:rsid w:val="000B120C"/>
    <w:rsid w:val="000B49E5"/>
    <w:rsid w:val="000B5CD2"/>
    <w:rsid w:val="000B6704"/>
    <w:rsid w:val="000B7C62"/>
    <w:rsid w:val="000C06E4"/>
    <w:rsid w:val="000C2A10"/>
    <w:rsid w:val="000C372B"/>
    <w:rsid w:val="000C3F6E"/>
    <w:rsid w:val="000C4334"/>
    <w:rsid w:val="000C51C1"/>
    <w:rsid w:val="000C67B9"/>
    <w:rsid w:val="000C7061"/>
    <w:rsid w:val="000D0FC2"/>
    <w:rsid w:val="000D208F"/>
    <w:rsid w:val="000D295F"/>
    <w:rsid w:val="000D2B05"/>
    <w:rsid w:val="000D2B85"/>
    <w:rsid w:val="000D4830"/>
    <w:rsid w:val="000D4970"/>
    <w:rsid w:val="000D4C8F"/>
    <w:rsid w:val="000D7588"/>
    <w:rsid w:val="000E0D96"/>
    <w:rsid w:val="000E0FE5"/>
    <w:rsid w:val="000E1227"/>
    <w:rsid w:val="000E14F9"/>
    <w:rsid w:val="000E2604"/>
    <w:rsid w:val="000E2FA4"/>
    <w:rsid w:val="000E417A"/>
    <w:rsid w:val="000E6E6A"/>
    <w:rsid w:val="000E75DB"/>
    <w:rsid w:val="000F14BC"/>
    <w:rsid w:val="000F1527"/>
    <w:rsid w:val="000F1BD6"/>
    <w:rsid w:val="000F1ED2"/>
    <w:rsid w:val="000F2FFF"/>
    <w:rsid w:val="000F46B5"/>
    <w:rsid w:val="000F52A4"/>
    <w:rsid w:val="000F5FBC"/>
    <w:rsid w:val="000F6457"/>
    <w:rsid w:val="001016E5"/>
    <w:rsid w:val="00104C0C"/>
    <w:rsid w:val="00105F1E"/>
    <w:rsid w:val="00107117"/>
    <w:rsid w:val="00110276"/>
    <w:rsid w:val="00110CF5"/>
    <w:rsid w:val="00113569"/>
    <w:rsid w:val="00115486"/>
    <w:rsid w:val="00115E7B"/>
    <w:rsid w:val="00116DC0"/>
    <w:rsid w:val="00123BF1"/>
    <w:rsid w:val="00124F92"/>
    <w:rsid w:val="00126339"/>
    <w:rsid w:val="00126BFB"/>
    <w:rsid w:val="00132791"/>
    <w:rsid w:val="0013291E"/>
    <w:rsid w:val="00135533"/>
    <w:rsid w:val="0014004A"/>
    <w:rsid w:val="00144B63"/>
    <w:rsid w:val="001461B4"/>
    <w:rsid w:val="00150544"/>
    <w:rsid w:val="00152163"/>
    <w:rsid w:val="00152A02"/>
    <w:rsid w:val="00156886"/>
    <w:rsid w:val="00171A2F"/>
    <w:rsid w:val="00173E57"/>
    <w:rsid w:val="001745BD"/>
    <w:rsid w:val="001768AF"/>
    <w:rsid w:val="00176913"/>
    <w:rsid w:val="00176B70"/>
    <w:rsid w:val="001814FD"/>
    <w:rsid w:val="00184831"/>
    <w:rsid w:val="001849F9"/>
    <w:rsid w:val="00185C0F"/>
    <w:rsid w:val="0018718B"/>
    <w:rsid w:val="00187603"/>
    <w:rsid w:val="00187BE0"/>
    <w:rsid w:val="00191CB7"/>
    <w:rsid w:val="00193527"/>
    <w:rsid w:val="0019685F"/>
    <w:rsid w:val="001A1117"/>
    <w:rsid w:val="001A1D44"/>
    <w:rsid w:val="001A2154"/>
    <w:rsid w:val="001A5121"/>
    <w:rsid w:val="001A543D"/>
    <w:rsid w:val="001A5661"/>
    <w:rsid w:val="001A7B1D"/>
    <w:rsid w:val="001A7CF0"/>
    <w:rsid w:val="001B0C4A"/>
    <w:rsid w:val="001B2028"/>
    <w:rsid w:val="001B237D"/>
    <w:rsid w:val="001B35A8"/>
    <w:rsid w:val="001B36DB"/>
    <w:rsid w:val="001B6797"/>
    <w:rsid w:val="001C031D"/>
    <w:rsid w:val="001C0972"/>
    <w:rsid w:val="001C11CE"/>
    <w:rsid w:val="001C1D6F"/>
    <w:rsid w:val="001C41FB"/>
    <w:rsid w:val="001C58D2"/>
    <w:rsid w:val="001C6C33"/>
    <w:rsid w:val="001C7CFF"/>
    <w:rsid w:val="001D2A67"/>
    <w:rsid w:val="001D2E49"/>
    <w:rsid w:val="001D3F1D"/>
    <w:rsid w:val="001E09EC"/>
    <w:rsid w:val="001E1654"/>
    <w:rsid w:val="001E2873"/>
    <w:rsid w:val="001E4255"/>
    <w:rsid w:val="001E76D5"/>
    <w:rsid w:val="001E7C61"/>
    <w:rsid w:val="001F0172"/>
    <w:rsid w:val="001F1927"/>
    <w:rsid w:val="001F1DDF"/>
    <w:rsid w:val="001F3508"/>
    <w:rsid w:val="001F403C"/>
    <w:rsid w:val="001F6E8F"/>
    <w:rsid w:val="00200489"/>
    <w:rsid w:val="0020074D"/>
    <w:rsid w:val="00201E4F"/>
    <w:rsid w:val="00203123"/>
    <w:rsid w:val="00205E05"/>
    <w:rsid w:val="002067C9"/>
    <w:rsid w:val="002070F5"/>
    <w:rsid w:val="0021165E"/>
    <w:rsid w:val="0021198B"/>
    <w:rsid w:val="00215DA6"/>
    <w:rsid w:val="00216673"/>
    <w:rsid w:val="00217C92"/>
    <w:rsid w:val="002203A1"/>
    <w:rsid w:val="002206FC"/>
    <w:rsid w:val="00220CE2"/>
    <w:rsid w:val="002211FA"/>
    <w:rsid w:val="00221F8E"/>
    <w:rsid w:val="00222DF8"/>
    <w:rsid w:val="00224344"/>
    <w:rsid w:val="00224F3F"/>
    <w:rsid w:val="00231C17"/>
    <w:rsid w:val="0023267B"/>
    <w:rsid w:val="0024128F"/>
    <w:rsid w:val="00241815"/>
    <w:rsid w:val="00243B1B"/>
    <w:rsid w:val="0024525E"/>
    <w:rsid w:val="0024572F"/>
    <w:rsid w:val="002467A2"/>
    <w:rsid w:val="00247CF5"/>
    <w:rsid w:val="00250CED"/>
    <w:rsid w:val="002515F5"/>
    <w:rsid w:val="00251F9F"/>
    <w:rsid w:val="002542C6"/>
    <w:rsid w:val="002554A9"/>
    <w:rsid w:val="00255647"/>
    <w:rsid w:val="00255A38"/>
    <w:rsid w:val="00255D3B"/>
    <w:rsid w:val="00261A80"/>
    <w:rsid w:val="00270404"/>
    <w:rsid w:val="0027095B"/>
    <w:rsid w:val="00271214"/>
    <w:rsid w:val="00273C8D"/>
    <w:rsid w:val="0027551D"/>
    <w:rsid w:val="00277E63"/>
    <w:rsid w:val="0028021C"/>
    <w:rsid w:val="002810DF"/>
    <w:rsid w:val="00281BFB"/>
    <w:rsid w:val="00282CE4"/>
    <w:rsid w:val="002837EA"/>
    <w:rsid w:val="002855C3"/>
    <w:rsid w:val="00285628"/>
    <w:rsid w:val="00286E74"/>
    <w:rsid w:val="002873A6"/>
    <w:rsid w:val="00287DD9"/>
    <w:rsid w:val="002908CF"/>
    <w:rsid w:val="00291EC5"/>
    <w:rsid w:val="00296D39"/>
    <w:rsid w:val="002A1BA7"/>
    <w:rsid w:val="002A391F"/>
    <w:rsid w:val="002A3F32"/>
    <w:rsid w:val="002A4284"/>
    <w:rsid w:val="002A4C6F"/>
    <w:rsid w:val="002B03C4"/>
    <w:rsid w:val="002B21A7"/>
    <w:rsid w:val="002B312C"/>
    <w:rsid w:val="002B38F8"/>
    <w:rsid w:val="002B472E"/>
    <w:rsid w:val="002B7EF1"/>
    <w:rsid w:val="002C2A88"/>
    <w:rsid w:val="002C31BD"/>
    <w:rsid w:val="002C3219"/>
    <w:rsid w:val="002C4C7A"/>
    <w:rsid w:val="002C6B2B"/>
    <w:rsid w:val="002C6D4C"/>
    <w:rsid w:val="002C79D4"/>
    <w:rsid w:val="002C7E38"/>
    <w:rsid w:val="002D2358"/>
    <w:rsid w:val="002D39FD"/>
    <w:rsid w:val="002D48E3"/>
    <w:rsid w:val="002D524A"/>
    <w:rsid w:val="002D7DDE"/>
    <w:rsid w:val="002E1194"/>
    <w:rsid w:val="002E11CD"/>
    <w:rsid w:val="002E1E62"/>
    <w:rsid w:val="002E1F97"/>
    <w:rsid w:val="002E1FB2"/>
    <w:rsid w:val="002E4C4C"/>
    <w:rsid w:val="002E7411"/>
    <w:rsid w:val="002F4A3A"/>
    <w:rsid w:val="002F64F3"/>
    <w:rsid w:val="00301AE9"/>
    <w:rsid w:val="0030201D"/>
    <w:rsid w:val="00303AB7"/>
    <w:rsid w:val="0030475F"/>
    <w:rsid w:val="00306574"/>
    <w:rsid w:val="00307F4F"/>
    <w:rsid w:val="00310202"/>
    <w:rsid w:val="003125E9"/>
    <w:rsid w:val="00312857"/>
    <w:rsid w:val="00312D55"/>
    <w:rsid w:val="00313358"/>
    <w:rsid w:val="003133D8"/>
    <w:rsid w:val="00313A5E"/>
    <w:rsid w:val="0031400B"/>
    <w:rsid w:val="00316B49"/>
    <w:rsid w:val="003179DE"/>
    <w:rsid w:val="00317DC4"/>
    <w:rsid w:val="00321538"/>
    <w:rsid w:val="00323FA0"/>
    <w:rsid w:val="003253ED"/>
    <w:rsid w:val="003306CF"/>
    <w:rsid w:val="00333239"/>
    <w:rsid w:val="003333DC"/>
    <w:rsid w:val="0033384D"/>
    <w:rsid w:val="0033521E"/>
    <w:rsid w:val="003358DF"/>
    <w:rsid w:val="0033619A"/>
    <w:rsid w:val="0033794C"/>
    <w:rsid w:val="003414D8"/>
    <w:rsid w:val="003418E0"/>
    <w:rsid w:val="00342D59"/>
    <w:rsid w:val="00343B71"/>
    <w:rsid w:val="003461EE"/>
    <w:rsid w:val="0034730A"/>
    <w:rsid w:val="00347973"/>
    <w:rsid w:val="003506F9"/>
    <w:rsid w:val="0035158B"/>
    <w:rsid w:val="003521B2"/>
    <w:rsid w:val="003528ED"/>
    <w:rsid w:val="00352B49"/>
    <w:rsid w:val="00352C85"/>
    <w:rsid w:val="00356011"/>
    <w:rsid w:val="00356474"/>
    <w:rsid w:val="00356690"/>
    <w:rsid w:val="00357C05"/>
    <w:rsid w:val="00357EBC"/>
    <w:rsid w:val="00357EFB"/>
    <w:rsid w:val="003607C2"/>
    <w:rsid w:val="00360D1F"/>
    <w:rsid w:val="00364B03"/>
    <w:rsid w:val="00365688"/>
    <w:rsid w:val="003658E9"/>
    <w:rsid w:val="003668A1"/>
    <w:rsid w:val="00370E94"/>
    <w:rsid w:val="003711FC"/>
    <w:rsid w:val="0037374C"/>
    <w:rsid w:val="00373F34"/>
    <w:rsid w:val="00377518"/>
    <w:rsid w:val="003778F6"/>
    <w:rsid w:val="0038095D"/>
    <w:rsid w:val="00380BC2"/>
    <w:rsid w:val="0038257C"/>
    <w:rsid w:val="00382D7D"/>
    <w:rsid w:val="00383861"/>
    <w:rsid w:val="00384297"/>
    <w:rsid w:val="0038467C"/>
    <w:rsid w:val="00393545"/>
    <w:rsid w:val="00394DE6"/>
    <w:rsid w:val="0039699F"/>
    <w:rsid w:val="003971D1"/>
    <w:rsid w:val="00397691"/>
    <w:rsid w:val="00397B6B"/>
    <w:rsid w:val="003A059C"/>
    <w:rsid w:val="003A651D"/>
    <w:rsid w:val="003A7AAC"/>
    <w:rsid w:val="003B2C55"/>
    <w:rsid w:val="003B3805"/>
    <w:rsid w:val="003B3964"/>
    <w:rsid w:val="003B3B14"/>
    <w:rsid w:val="003B42A1"/>
    <w:rsid w:val="003B451E"/>
    <w:rsid w:val="003B6321"/>
    <w:rsid w:val="003B71AA"/>
    <w:rsid w:val="003B75C6"/>
    <w:rsid w:val="003B7685"/>
    <w:rsid w:val="003B7736"/>
    <w:rsid w:val="003B7B9E"/>
    <w:rsid w:val="003C3237"/>
    <w:rsid w:val="003C61B1"/>
    <w:rsid w:val="003D0E1E"/>
    <w:rsid w:val="003D22EC"/>
    <w:rsid w:val="003D31EF"/>
    <w:rsid w:val="003D35C6"/>
    <w:rsid w:val="003D4A05"/>
    <w:rsid w:val="003D6B81"/>
    <w:rsid w:val="003E0437"/>
    <w:rsid w:val="003E3130"/>
    <w:rsid w:val="003E42DD"/>
    <w:rsid w:val="003E482B"/>
    <w:rsid w:val="003E55EA"/>
    <w:rsid w:val="003E6B75"/>
    <w:rsid w:val="003F0353"/>
    <w:rsid w:val="003F12E4"/>
    <w:rsid w:val="003F13FD"/>
    <w:rsid w:val="003F391B"/>
    <w:rsid w:val="003F49CB"/>
    <w:rsid w:val="003F7979"/>
    <w:rsid w:val="00400E0F"/>
    <w:rsid w:val="00400E7A"/>
    <w:rsid w:val="00403A0A"/>
    <w:rsid w:val="00403A46"/>
    <w:rsid w:val="00403A9F"/>
    <w:rsid w:val="00403BDA"/>
    <w:rsid w:val="0040443D"/>
    <w:rsid w:val="004049A6"/>
    <w:rsid w:val="004057D9"/>
    <w:rsid w:val="00407A9D"/>
    <w:rsid w:val="00413074"/>
    <w:rsid w:val="004132A6"/>
    <w:rsid w:val="00416861"/>
    <w:rsid w:val="00420A83"/>
    <w:rsid w:val="00422293"/>
    <w:rsid w:val="00424867"/>
    <w:rsid w:val="00430043"/>
    <w:rsid w:val="00433C30"/>
    <w:rsid w:val="00435E34"/>
    <w:rsid w:val="0043614F"/>
    <w:rsid w:val="0043631E"/>
    <w:rsid w:val="00440A78"/>
    <w:rsid w:val="004436F0"/>
    <w:rsid w:val="00443B60"/>
    <w:rsid w:val="00446D45"/>
    <w:rsid w:val="00450000"/>
    <w:rsid w:val="00450E55"/>
    <w:rsid w:val="00452B9D"/>
    <w:rsid w:val="00452F51"/>
    <w:rsid w:val="00453BED"/>
    <w:rsid w:val="00460277"/>
    <w:rsid w:val="00461A6F"/>
    <w:rsid w:val="00462CDA"/>
    <w:rsid w:val="004635E1"/>
    <w:rsid w:val="00463CCE"/>
    <w:rsid w:val="00464481"/>
    <w:rsid w:val="004644D8"/>
    <w:rsid w:val="004645B1"/>
    <w:rsid w:val="004679B8"/>
    <w:rsid w:val="00470F43"/>
    <w:rsid w:val="00471E02"/>
    <w:rsid w:val="00475496"/>
    <w:rsid w:val="004761F6"/>
    <w:rsid w:val="004765CB"/>
    <w:rsid w:val="00477B74"/>
    <w:rsid w:val="00481324"/>
    <w:rsid w:val="00481EA0"/>
    <w:rsid w:val="004851BC"/>
    <w:rsid w:val="00487067"/>
    <w:rsid w:val="004909F2"/>
    <w:rsid w:val="00493DBC"/>
    <w:rsid w:val="004A0DAD"/>
    <w:rsid w:val="004A20E3"/>
    <w:rsid w:val="004A4BA1"/>
    <w:rsid w:val="004A51E4"/>
    <w:rsid w:val="004A611B"/>
    <w:rsid w:val="004A78B1"/>
    <w:rsid w:val="004B1A62"/>
    <w:rsid w:val="004B3EE5"/>
    <w:rsid w:val="004B4221"/>
    <w:rsid w:val="004B6055"/>
    <w:rsid w:val="004B6092"/>
    <w:rsid w:val="004B66EE"/>
    <w:rsid w:val="004B6BFB"/>
    <w:rsid w:val="004B7069"/>
    <w:rsid w:val="004C12CB"/>
    <w:rsid w:val="004C5F9C"/>
    <w:rsid w:val="004C6EF2"/>
    <w:rsid w:val="004C6F14"/>
    <w:rsid w:val="004C7667"/>
    <w:rsid w:val="004D11EF"/>
    <w:rsid w:val="004D20C3"/>
    <w:rsid w:val="004D259F"/>
    <w:rsid w:val="004D46AB"/>
    <w:rsid w:val="004D5482"/>
    <w:rsid w:val="004D5A28"/>
    <w:rsid w:val="004D5D93"/>
    <w:rsid w:val="004D768B"/>
    <w:rsid w:val="004E1202"/>
    <w:rsid w:val="004E1399"/>
    <w:rsid w:val="004E15AB"/>
    <w:rsid w:val="004E1BAF"/>
    <w:rsid w:val="004E3F0D"/>
    <w:rsid w:val="004E5162"/>
    <w:rsid w:val="004E5230"/>
    <w:rsid w:val="004E652D"/>
    <w:rsid w:val="004F113E"/>
    <w:rsid w:val="004F2F7F"/>
    <w:rsid w:val="004F4AAB"/>
    <w:rsid w:val="004F640E"/>
    <w:rsid w:val="004F6ED8"/>
    <w:rsid w:val="005004A1"/>
    <w:rsid w:val="00501631"/>
    <w:rsid w:val="0050290D"/>
    <w:rsid w:val="00503C76"/>
    <w:rsid w:val="005055AA"/>
    <w:rsid w:val="00506480"/>
    <w:rsid w:val="00511CB7"/>
    <w:rsid w:val="00512ECA"/>
    <w:rsid w:val="00516630"/>
    <w:rsid w:val="00521391"/>
    <w:rsid w:val="00521A78"/>
    <w:rsid w:val="00524D5E"/>
    <w:rsid w:val="00524E82"/>
    <w:rsid w:val="00526678"/>
    <w:rsid w:val="005305EA"/>
    <w:rsid w:val="00530962"/>
    <w:rsid w:val="005309AD"/>
    <w:rsid w:val="00531D50"/>
    <w:rsid w:val="005344EF"/>
    <w:rsid w:val="005349D1"/>
    <w:rsid w:val="00537B96"/>
    <w:rsid w:val="005425E4"/>
    <w:rsid w:val="00542D15"/>
    <w:rsid w:val="00542E06"/>
    <w:rsid w:val="00543125"/>
    <w:rsid w:val="005517DE"/>
    <w:rsid w:val="00554757"/>
    <w:rsid w:val="00556FB6"/>
    <w:rsid w:val="00557B8C"/>
    <w:rsid w:val="00557DDD"/>
    <w:rsid w:val="00560D52"/>
    <w:rsid w:val="0056398A"/>
    <w:rsid w:val="005639B6"/>
    <w:rsid w:val="00563EF4"/>
    <w:rsid w:val="00566A06"/>
    <w:rsid w:val="00567FA8"/>
    <w:rsid w:val="00570094"/>
    <w:rsid w:val="005703A9"/>
    <w:rsid w:val="00570627"/>
    <w:rsid w:val="0057148D"/>
    <w:rsid w:val="005724E5"/>
    <w:rsid w:val="005724F6"/>
    <w:rsid w:val="0057757B"/>
    <w:rsid w:val="00583B1F"/>
    <w:rsid w:val="005847EB"/>
    <w:rsid w:val="00586D7B"/>
    <w:rsid w:val="0059191D"/>
    <w:rsid w:val="00591C9A"/>
    <w:rsid w:val="00591D09"/>
    <w:rsid w:val="00593F21"/>
    <w:rsid w:val="0059525B"/>
    <w:rsid w:val="005968E9"/>
    <w:rsid w:val="005A0F5E"/>
    <w:rsid w:val="005A1789"/>
    <w:rsid w:val="005A1FB9"/>
    <w:rsid w:val="005A4CE0"/>
    <w:rsid w:val="005A7656"/>
    <w:rsid w:val="005A7DFF"/>
    <w:rsid w:val="005B0E0D"/>
    <w:rsid w:val="005B5B66"/>
    <w:rsid w:val="005B603F"/>
    <w:rsid w:val="005C189A"/>
    <w:rsid w:val="005C1998"/>
    <w:rsid w:val="005C26FA"/>
    <w:rsid w:val="005C2EFB"/>
    <w:rsid w:val="005C571E"/>
    <w:rsid w:val="005C6926"/>
    <w:rsid w:val="005D004D"/>
    <w:rsid w:val="005D0651"/>
    <w:rsid w:val="005D07DF"/>
    <w:rsid w:val="005D3050"/>
    <w:rsid w:val="005D48D8"/>
    <w:rsid w:val="005D5495"/>
    <w:rsid w:val="005D6080"/>
    <w:rsid w:val="005E0644"/>
    <w:rsid w:val="005E07DB"/>
    <w:rsid w:val="005E2411"/>
    <w:rsid w:val="005E3C7C"/>
    <w:rsid w:val="005E42C1"/>
    <w:rsid w:val="005E591D"/>
    <w:rsid w:val="005E7339"/>
    <w:rsid w:val="005F004F"/>
    <w:rsid w:val="005F085A"/>
    <w:rsid w:val="005F0D1F"/>
    <w:rsid w:val="005F1073"/>
    <w:rsid w:val="005F31FE"/>
    <w:rsid w:val="005F330B"/>
    <w:rsid w:val="005F42A3"/>
    <w:rsid w:val="005F436F"/>
    <w:rsid w:val="005F4F26"/>
    <w:rsid w:val="005F7A3C"/>
    <w:rsid w:val="006015A0"/>
    <w:rsid w:val="00602FF1"/>
    <w:rsid w:val="00604D52"/>
    <w:rsid w:val="006079F5"/>
    <w:rsid w:val="00607FD1"/>
    <w:rsid w:val="0061125F"/>
    <w:rsid w:val="0061275E"/>
    <w:rsid w:val="006165DB"/>
    <w:rsid w:val="0061696D"/>
    <w:rsid w:val="006175FE"/>
    <w:rsid w:val="00621EE0"/>
    <w:rsid w:val="00622E1C"/>
    <w:rsid w:val="006232B5"/>
    <w:rsid w:val="0062391C"/>
    <w:rsid w:val="006244A1"/>
    <w:rsid w:val="00625250"/>
    <w:rsid w:val="006254C8"/>
    <w:rsid w:val="00625501"/>
    <w:rsid w:val="00625B3D"/>
    <w:rsid w:val="0062649F"/>
    <w:rsid w:val="00627980"/>
    <w:rsid w:val="00627D69"/>
    <w:rsid w:val="00631582"/>
    <w:rsid w:val="0063268A"/>
    <w:rsid w:val="00632858"/>
    <w:rsid w:val="00633169"/>
    <w:rsid w:val="006341BD"/>
    <w:rsid w:val="00634391"/>
    <w:rsid w:val="00636009"/>
    <w:rsid w:val="00640107"/>
    <w:rsid w:val="006401A8"/>
    <w:rsid w:val="006404BE"/>
    <w:rsid w:val="00640652"/>
    <w:rsid w:val="00642853"/>
    <w:rsid w:val="00644FAF"/>
    <w:rsid w:val="006474C8"/>
    <w:rsid w:val="0065006F"/>
    <w:rsid w:val="00650310"/>
    <w:rsid w:val="006520CB"/>
    <w:rsid w:val="00652692"/>
    <w:rsid w:val="00652AF4"/>
    <w:rsid w:val="006579C0"/>
    <w:rsid w:val="00657DCC"/>
    <w:rsid w:val="00657E1E"/>
    <w:rsid w:val="00663215"/>
    <w:rsid w:val="00663738"/>
    <w:rsid w:val="006649BB"/>
    <w:rsid w:val="00664DF4"/>
    <w:rsid w:val="006713AA"/>
    <w:rsid w:val="00674F32"/>
    <w:rsid w:val="00675180"/>
    <w:rsid w:val="006760B3"/>
    <w:rsid w:val="006772D3"/>
    <w:rsid w:val="00677EAE"/>
    <w:rsid w:val="00681CC2"/>
    <w:rsid w:val="00681FEE"/>
    <w:rsid w:val="0068321F"/>
    <w:rsid w:val="006851EB"/>
    <w:rsid w:val="00685A00"/>
    <w:rsid w:val="006862CB"/>
    <w:rsid w:val="00686983"/>
    <w:rsid w:val="00686A4A"/>
    <w:rsid w:val="00690399"/>
    <w:rsid w:val="0069244F"/>
    <w:rsid w:val="00694A53"/>
    <w:rsid w:val="00694AAE"/>
    <w:rsid w:val="00696B31"/>
    <w:rsid w:val="00696D0D"/>
    <w:rsid w:val="006A3533"/>
    <w:rsid w:val="006A3676"/>
    <w:rsid w:val="006A4805"/>
    <w:rsid w:val="006A606A"/>
    <w:rsid w:val="006B0A9D"/>
    <w:rsid w:val="006B1A92"/>
    <w:rsid w:val="006B3BFF"/>
    <w:rsid w:val="006B47B0"/>
    <w:rsid w:val="006B6092"/>
    <w:rsid w:val="006C164D"/>
    <w:rsid w:val="006C1B7F"/>
    <w:rsid w:val="006C1EB4"/>
    <w:rsid w:val="006C2BAB"/>
    <w:rsid w:val="006C3596"/>
    <w:rsid w:val="006C5A77"/>
    <w:rsid w:val="006C5D17"/>
    <w:rsid w:val="006C6FFF"/>
    <w:rsid w:val="006D0C4C"/>
    <w:rsid w:val="006D14C3"/>
    <w:rsid w:val="006D1623"/>
    <w:rsid w:val="006D19E1"/>
    <w:rsid w:val="006D1C7C"/>
    <w:rsid w:val="006D467D"/>
    <w:rsid w:val="006D6C53"/>
    <w:rsid w:val="006E0222"/>
    <w:rsid w:val="006E1CCF"/>
    <w:rsid w:val="006E2373"/>
    <w:rsid w:val="006E2DC3"/>
    <w:rsid w:val="006E7A57"/>
    <w:rsid w:val="006F0A02"/>
    <w:rsid w:val="006F35BA"/>
    <w:rsid w:val="007012CC"/>
    <w:rsid w:val="00701ADF"/>
    <w:rsid w:val="00704943"/>
    <w:rsid w:val="00706807"/>
    <w:rsid w:val="00707973"/>
    <w:rsid w:val="00710F81"/>
    <w:rsid w:val="00711BE7"/>
    <w:rsid w:val="007121E3"/>
    <w:rsid w:val="0071269D"/>
    <w:rsid w:val="007209C8"/>
    <w:rsid w:val="00723561"/>
    <w:rsid w:val="00723B2F"/>
    <w:rsid w:val="00723B72"/>
    <w:rsid w:val="00730DE4"/>
    <w:rsid w:val="007317C0"/>
    <w:rsid w:val="00732C25"/>
    <w:rsid w:val="00733164"/>
    <w:rsid w:val="00733247"/>
    <w:rsid w:val="00736AD7"/>
    <w:rsid w:val="007425A2"/>
    <w:rsid w:val="007465E9"/>
    <w:rsid w:val="00751294"/>
    <w:rsid w:val="00751ED1"/>
    <w:rsid w:val="00751ED2"/>
    <w:rsid w:val="00752CC0"/>
    <w:rsid w:val="00754B59"/>
    <w:rsid w:val="00755136"/>
    <w:rsid w:val="0075656A"/>
    <w:rsid w:val="00757C50"/>
    <w:rsid w:val="0076017C"/>
    <w:rsid w:val="0076067A"/>
    <w:rsid w:val="0076653F"/>
    <w:rsid w:val="007665C9"/>
    <w:rsid w:val="007669E9"/>
    <w:rsid w:val="00767DA3"/>
    <w:rsid w:val="00770C31"/>
    <w:rsid w:val="00772487"/>
    <w:rsid w:val="00774B6E"/>
    <w:rsid w:val="00775986"/>
    <w:rsid w:val="007763A3"/>
    <w:rsid w:val="00777336"/>
    <w:rsid w:val="0078390A"/>
    <w:rsid w:val="00784435"/>
    <w:rsid w:val="0078469F"/>
    <w:rsid w:val="0078604D"/>
    <w:rsid w:val="007907C9"/>
    <w:rsid w:val="0079116B"/>
    <w:rsid w:val="00793233"/>
    <w:rsid w:val="00794CC8"/>
    <w:rsid w:val="00794DF2"/>
    <w:rsid w:val="00795D9E"/>
    <w:rsid w:val="00796D6C"/>
    <w:rsid w:val="00797CF6"/>
    <w:rsid w:val="007A057F"/>
    <w:rsid w:val="007A13E1"/>
    <w:rsid w:val="007A1E14"/>
    <w:rsid w:val="007A2142"/>
    <w:rsid w:val="007A36BC"/>
    <w:rsid w:val="007A4DBA"/>
    <w:rsid w:val="007A55C2"/>
    <w:rsid w:val="007A69AF"/>
    <w:rsid w:val="007A7A83"/>
    <w:rsid w:val="007A7B58"/>
    <w:rsid w:val="007B0730"/>
    <w:rsid w:val="007B425F"/>
    <w:rsid w:val="007B4CC8"/>
    <w:rsid w:val="007B4D68"/>
    <w:rsid w:val="007B6629"/>
    <w:rsid w:val="007C0341"/>
    <w:rsid w:val="007C046F"/>
    <w:rsid w:val="007C2F0F"/>
    <w:rsid w:val="007C2FEE"/>
    <w:rsid w:val="007C55A0"/>
    <w:rsid w:val="007C605C"/>
    <w:rsid w:val="007D0388"/>
    <w:rsid w:val="007D2373"/>
    <w:rsid w:val="007D6132"/>
    <w:rsid w:val="007E1423"/>
    <w:rsid w:val="007E26AD"/>
    <w:rsid w:val="007E3443"/>
    <w:rsid w:val="007E41ED"/>
    <w:rsid w:val="007E59A4"/>
    <w:rsid w:val="007E6265"/>
    <w:rsid w:val="007E6955"/>
    <w:rsid w:val="007E75AF"/>
    <w:rsid w:val="007F043A"/>
    <w:rsid w:val="007F2F91"/>
    <w:rsid w:val="007F47F3"/>
    <w:rsid w:val="007F55D4"/>
    <w:rsid w:val="007F5C01"/>
    <w:rsid w:val="007F751C"/>
    <w:rsid w:val="007F7D0D"/>
    <w:rsid w:val="0080248A"/>
    <w:rsid w:val="0080267B"/>
    <w:rsid w:val="00802A1C"/>
    <w:rsid w:val="00803274"/>
    <w:rsid w:val="00804EA7"/>
    <w:rsid w:val="00805131"/>
    <w:rsid w:val="00805714"/>
    <w:rsid w:val="0080674C"/>
    <w:rsid w:val="008071D1"/>
    <w:rsid w:val="00807303"/>
    <w:rsid w:val="00807D94"/>
    <w:rsid w:val="00810C07"/>
    <w:rsid w:val="00812494"/>
    <w:rsid w:val="00813668"/>
    <w:rsid w:val="00813D97"/>
    <w:rsid w:val="008151D3"/>
    <w:rsid w:val="00816152"/>
    <w:rsid w:val="00824959"/>
    <w:rsid w:val="008258AD"/>
    <w:rsid w:val="00825D95"/>
    <w:rsid w:val="00827949"/>
    <w:rsid w:val="00827B7F"/>
    <w:rsid w:val="008330ED"/>
    <w:rsid w:val="008350C3"/>
    <w:rsid w:val="0083594F"/>
    <w:rsid w:val="00837D2C"/>
    <w:rsid w:val="00840BCC"/>
    <w:rsid w:val="00840DE9"/>
    <w:rsid w:val="00843EFB"/>
    <w:rsid w:val="00844038"/>
    <w:rsid w:val="0084418A"/>
    <w:rsid w:val="0084428C"/>
    <w:rsid w:val="008446D0"/>
    <w:rsid w:val="00845A28"/>
    <w:rsid w:val="008465BE"/>
    <w:rsid w:val="0085158A"/>
    <w:rsid w:val="00852E61"/>
    <w:rsid w:val="00853D3F"/>
    <w:rsid w:val="00853EDD"/>
    <w:rsid w:val="008541C9"/>
    <w:rsid w:val="00854880"/>
    <w:rsid w:val="00855651"/>
    <w:rsid w:val="00855964"/>
    <w:rsid w:val="00856D8A"/>
    <w:rsid w:val="00856FC7"/>
    <w:rsid w:val="00860DE7"/>
    <w:rsid w:val="0086152E"/>
    <w:rsid w:val="008620E0"/>
    <w:rsid w:val="00862294"/>
    <w:rsid w:val="00864264"/>
    <w:rsid w:val="0086489A"/>
    <w:rsid w:val="0087107B"/>
    <w:rsid w:val="00872812"/>
    <w:rsid w:val="00873521"/>
    <w:rsid w:val="00873DDA"/>
    <w:rsid w:val="008740FD"/>
    <w:rsid w:val="008756ED"/>
    <w:rsid w:val="008769D6"/>
    <w:rsid w:val="00880384"/>
    <w:rsid w:val="0088211F"/>
    <w:rsid w:val="00883440"/>
    <w:rsid w:val="00883809"/>
    <w:rsid w:val="008851A2"/>
    <w:rsid w:val="00885572"/>
    <w:rsid w:val="00885787"/>
    <w:rsid w:val="00886DC1"/>
    <w:rsid w:val="00887D54"/>
    <w:rsid w:val="00887F77"/>
    <w:rsid w:val="00891639"/>
    <w:rsid w:val="0089673F"/>
    <w:rsid w:val="008972B2"/>
    <w:rsid w:val="008978B3"/>
    <w:rsid w:val="008A0881"/>
    <w:rsid w:val="008A1CB8"/>
    <w:rsid w:val="008A2D58"/>
    <w:rsid w:val="008A4AA1"/>
    <w:rsid w:val="008A753D"/>
    <w:rsid w:val="008A7558"/>
    <w:rsid w:val="008A7C9B"/>
    <w:rsid w:val="008B035C"/>
    <w:rsid w:val="008B0832"/>
    <w:rsid w:val="008B0A65"/>
    <w:rsid w:val="008B2E5B"/>
    <w:rsid w:val="008B2EF0"/>
    <w:rsid w:val="008B3752"/>
    <w:rsid w:val="008B3BD7"/>
    <w:rsid w:val="008B57C5"/>
    <w:rsid w:val="008B72EC"/>
    <w:rsid w:val="008B7A86"/>
    <w:rsid w:val="008B7D10"/>
    <w:rsid w:val="008C01DE"/>
    <w:rsid w:val="008C02B7"/>
    <w:rsid w:val="008C3F95"/>
    <w:rsid w:val="008C5ECD"/>
    <w:rsid w:val="008C60EC"/>
    <w:rsid w:val="008C7126"/>
    <w:rsid w:val="008C760C"/>
    <w:rsid w:val="008D060A"/>
    <w:rsid w:val="008D0D42"/>
    <w:rsid w:val="008D30DD"/>
    <w:rsid w:val="008D342A"/>
    <w:rsid w:val="008D446D"/>
    <w:rsid w:val="008D636E"/>
    <w:rsid w:val="008D6E83"/>
    <w:rsid w:val="008D79F0"/>
    <w:rsid w:val="008E3267"/>
    <w:rsid w:val="008E4641"/>
    <w:rsid w:val="008E4AA1"/>
    <w:rsid w:val="008E5B6F"/>
    <w:rsid w:val="008E6964"/>
    <w:rsid w:val="008F0AAE"/>
    <w:rsid w:val="008F0D57"/>
    <w:rsid w:val="008F374B"/>
    <w:rsid w:val="008F3F4C"/>
    <w:rsid w:val="008F463D"/>
    <w:rsid w:val="008F5001"/>
    <w:rsid w:val="008F5C1A"/>
    <w:rsid w:val="008F71F3"/>
    <w:rsid w:val="008F7E80"/>
    <w:rsid w:val="00900F26"/>
    <w:rsid w:val="00902E4F"/>
    <w:rsid w:val="00905DA7"/>
    <w:rsid w:val="009065AC"/>
    <w:rsid w:val="00912BF0"/>
    <w:rsid w:val="00912F6E"/>
    <w:rsid w:val="00913E27"/>
    <w:rsid w:val="009140F2"/>
    <w:rsid w:val="00914DC3"/>
    <w:rsid w:val="00915B65"/>
    <w:rsid w:val="00916385"/>
    <w:rsid w:val="00920A1B"/>
    <w:rsid w:val="009254C4"/>
    <w:rsid w:val="009258FE"/>
    <w:rsid w:val="009268D5"/>
    <w:rsid w:val="00927891"/>
    <w:rsid w:val="00930019"/>
    <w:rsid w:val="00930C94"/>
    <w:rsid w:val="00931866"/>
    <w:rsid w:val="00933BD1"/>
    <w:rsid w:val="00934378"/>
    <w:rsid w:val="0093565E"/>
    <w:rsid w:val="009415B3"/>
    <w:rsid w:val="00941AA5"/>
    <w:rsid w:val="0094304D"/>
    <w:rsid w:val="0094346D"/>
    <w:rsid w:val="00943605"/>
    <w:rsid w:val="009447FA"/>
    <w:rsid w:val="00946A35"/>
    <w:rsid w:val="009470E7"/>
    <w:rsid w:val="00947DCE"/>
    <w:rsid w:val="00947E65"/>
    <w:rsid w:val="00950038"/>
    <w:rsid w:val="00951FAD"/>
    <w:rsid w:val="00953AD5"/>
    <w:rsid w:val="0095420F"/>
    <w:rsid w:val="00955B59"/>
    <w:rsid w:val="009575BC"/>
    <w:rsid w:val="00962DF9"/>
    <w:rsid w:val="00963D50"/>
    <w:rsid w:val="0096420A"/>
    <w:rsid w:val="00964DF8"/>
    <w:rsid w:val="00970683"/>
    <w:rsid w:val="009749AD"/>
    <w:rsid w:val="00974F08"/>
    <w:rsid w:val="00976E92"/>
    <w:rsid w:val="009772F1"/>
    <w:rsid w:val="0097764B"/>
    <w:rsid w:val="009826BE"/>
    <w:rsid w:val="009834D5"/>
    <w:rsid w:val="009845CE"/>
    <w:rsid w:val="00984BCC"/>
    <w:rsid w:val="00986F27"/>
    <w:rsid w:val="0098778D"/>
    <w:rsid w:val="00987C54"/>
    <w:rsid w:val="00992016"/>
    <w:rsid w:val="009944F2"/>
    <w:rsid w:val="009A0D9E"/>
    <w:rsid w:val="009A292B"/>
    <w:rsid w:val="009A46D5"/>
    <w:rsid w:val="009A61E9"/>
    <w:rsid w:val="009A63AB"/>
    <w:rsid w:val="009A7337"/>
    <w:rsid w:val="009B0C4A"/>
    <w:rsid w:val="009B4E24"/>
    <w:rsid w:val="009B6BBA"/>
    <w:rsid w:val="009B6C27"/>
    <w:rsid w:val="009B6FF3"/>
    <w:rsid w:val="009C05FB"/>
    <w:rsid w:val="009C12A0"/>
    <w:rsid w:val="009C15A0"/>
    <w:rsid w:val="009C1964"/>
    <w:rsid w:val="009C3385"/>
    <w:rsid w:val="009C5CC5"/>
    <w:rsid w:val="009C73EE"/>
    <w:rsid w:val="009C7760"/>
    <w:rsid w:val="009D3A4B"/>
    <w:rsid w:val="009D3D5B"/>
    <w:rsid w:val="009E4802"/>
    <w:rsid w:val="009E504C"/>
    <w:rsid w:val="009E589B"/>
    <w:rsid w:val="009E6C4B"/>
    <w:rsid w:val="009E6F4D"/>
    <w:rsid w:val="009F053F"/>
    <w:rsid w:val="009F2044"/>
    <w:rsid w:val="009F25E8"/>
    <w:rsid w:val="009F27F2"/>
    <w:rsid w:val="009F3E67"/>
    <w:rsid w:val="009F41C7"/>
    <w:rsid w:val="009F5B05"/>
    <w:rsid w:val="009F6155"/>
    <w:rsid w:val="009F76B3"/>
    <w:rsid w:val="009F7ECE"/>
    <w:rsid w:val="00A00888"/>
    <w:rsid w:val="00A010BF"/>
    <w:rsid w:val="00A01B36"/>
    <w:rsid w:val="00A01DE2"/>
    <w:rsid w:val="00A03CF5"/>
    <w:rsid w:val="00A03DF0"/>
    <w:rsid w:val="00A03F4E"/>
    <w:rsid w:val="00A07D36"/>
    <w:rsid w:val="00A11A9A"/>
    <w:rsid w:val="00A148D4"/>
    <w:rsid w:val="00A20B6E"/>
    <w:rsid w:val="00A2208B"/>
    <w:rsid w:val="00A233A7"/>
    <w:rsid w:val="00A25A4C"/>
    <w:rsid w:val="00A25EBE"/>
    <w:rsid w:val="00A2660F"/>
    <w:rsid w:val="00A26AB4"/>
    <w:rsid w:val="00A26AF2"/>
    <w:rsid w:val="00A27FDD"/>
    <w:rsid w:val="00A30963"/>
    <w:rsid w:val="00A319C1"/>
    <w:rsid w:val="00A319E3"/>
    <w:rsid w:val="00A356F4"/>
    <w:rsid w:val="00A40EF8"/>
    <w:rsid w:val="00A40F26"/>
    <w:rsid w:val="00A42389"/>
    <w:rsid w:val="00A44462"/>
    <w:rsid w:val="00A523D6"/>
    <w:rsid w:val="00A52B9F"/>
    <w:rsid w:val="00A52EE9"/>
    <w:rsid w:val="00A5376A"/>
    <w:rsid w:val="00A5547D"/>
    <w:rsid w:val="00A55EAA"/>
    <w:rsid w:val="00A60A1A"/>
    <w:rsid w:val="00A62D83"/>
    <w:rsid w:val="00A63360"/>
    <w:rsid w:val="00A64B9A"/>
    <w:rsid w:val="00A65D93"/>
    <w:rsid w:val="00A65DF3"/>
    <w:rsid w:val="00A66300"/>
    <w:rsid w:val="00A67185"/>
    <w:rsid w:val="00A70FF9"/>
    <w:rsid w:val="00A710B1"/>
    <w:rsid w:val="00A71BBC"/>
    <w:rsid w:val="00A7235D"/>
    <w:rsid w:val="00A7283E"/>
    <w:rsid w:val="00A733D4"/>
    <w:rsid w:val="00A74B17"/>
    <w:rsid w:val="00A75257"/>
    <w:rsid w:val="00A779D6"/>
    <w:rsid w:val="00A80E22"/>
    <w:rsid w:val="00A82D05"/>
    <w:rsid w:val="00A83E12"/>
    <w:rsid w:val="00A8410B"/>
    <w:rsid w:val="00A845DA"/>
    <w:rsid w:val="00A85C44"/>
    <w:rsid w:val="00A85FDF"/>
    <w:rsid w:val="00A873FF"/>
    <w:rsid w:val="00A87545"/>
    <w:rsid w:val="00A876E4"/>
    <w:rsid w:val="00A91C69"/>
    <w:rsid w:val="00A91D83"/>
    <w:rsid w:val="00A9587E"/>
    <w:rsid w:val="00AA1910"/>
    <w:rsid w:val="00AA21CF"/>
    <w:rsid w:val="00AA26F4"/>
    <w:rsid w:val="00AA32EA"/>
    <w:rsid w:val="00AA3A01"/>
    <w:rsid w:val="00AA3D3A"/>
    <w:rsid w:val="00AA5F5E"/>
    <w:rsid w:val="00AB069C"/>
    <w:rsid w:val="00AB102B"/>
    <w:rsid w:val="00AB364E"/>
    <w:rsid w:val="00AB36E5"/>
    <w:rsid w:val="00AB39AD"/>
    <w:rsid w:val="00AB3A0A"/>
    <w:rsid w:val="00AB59F3"/>
    <w:rsid w:val="00AB5EDA"/>
    <w:rsid w:val="00AB60DA"/>
    <w:rsid w:val="00AB6E4B"/>
    <w:rsid w:val="00AC5231"/>
    <w:rsid w:val="00AC571A"/>
    <w:rsid w:val="00AC65A8"/>
    <w:rsid w:val="00AD595F"/>
    <w:rsid w:val="00AD5B73"/>
    <w:rsid w:val="00AD61F9"/>
    <w:rsid w:val="00AE07A9"/>
    <w:rsid w:val="00AE0A48"/>
    <w:rsid w:val="00AE2B83"/>
    <w:rsid w:val="00AE5025"/>
    <w:rsid w:val="00AE50C2"/>
    <w:rsid w:val="00AF0AE6"/>
    <w:rsid w:val="00AF0EF4"/>
    <w:rsid w:val="00AF1BE2"/>
    <w:rsid w:val="00AF1F2A"/>
    <w:rsid w:val="00AF1F5A"/>
    <w:rsid w:val="00AF3996"/>
    <w:rsid w:val="00AF4257"/>
    <w:rsid w:val="00AF7632"/>
    <w:rsid w:val="00B03C02"/>
    <w:rsid w:val="00B03D03"/>
    <w:rsid w:val="00B07DD8"/>
    <w:rsid w:val="00B104F3"/>
    <w:rsid w:val="00B116EE"/>
    <w:rsid w:val="00B12619"/>
    <w:rsid w:val="00B12C71"/>
    <w:rsid w:val="00B13704"/>
    <w:rsid w:val="00B14C45"/>
    <w:rsid w:val="00B15785"/>
    <w:rsid w:val="00B15A96"/>
    <w:rsid w:val="00B21F0A"/>
    <w:rsid w:val="00B239C9"/>
    <w:rsid w:val="00B30127"/>
    <w:rsid w:val="00B30D13"/>
    <w:rsid w:val="00B3135F"/>
    <w:rsid w:val="00B351B1"/>
    <w:rsid w:val="00B37F47"/>
    <w:rsid w:val="00B410C6"/>
    <w:rsid w:val="00B42474"/>
    <w:rsid w:val="00B42B89"/>
    <w:rsid w:val="00B43B4E"/>
    <w:rsid w:val="00B44097"/>
    <w:rsid w:val="00B462D1"/>
    <w:rsid w:val="00B50497"/>
    <w:rsid w:val="00B504FD"/>
    <w:rsid w:val="00B51462"/>
    <w:rsid w:val="00B516B7"/>
    <w:rsid w:val="00B53FF1"/>
    <w:rsid w:val="00B54B5F"/>
    <w:rsid w:val="00B54DEA"/>
    <w:rsid w:val="00B5632C"/>
    <w:rsid w:val="00B56FDC"/>
    <w:rsid w:val="00B5783B"/>
    <w:rsid w:val="00B625C9"/>
    <w:rsid w:val="00B62A69"/>
    <w:rsid w:val="00B640D6"/>
    <w:rsid w:val="00B647D5"/>
    <w:rsid w:val="00B64D2C"/>
    <w:rsid w:val="00B656A1"/>
    <w:rsid w:val="00B6793D"/>
    <w:rsid w:val="00B725DE"/>
    <w:rsid w:val="00B74566"/>
    <w:rsid w:val="00B76233"/>
    <w:rsid w:val="00B77010"/>
    <w:rsid w:val="00B779F6"/>
    <w:rsid w:val="00B77FBF"/>
    <w:rsid w:val="00B80EF6"/>
    <w:rsid w:val="00B81885"/>
    <w:rsid w:val="00B902BA"/>
    <w:rsid w:val="00B969D5"/>
    <w:rsid w:val="00B96E8C"/>
    <w:rsid w:val="00B97CF8"/>
    <w:rsid w:val="00BA5027"/>
    <w:rsid w:val="00BA5511"/>
    <w:rsid w:val="00BA75CF"/>
    <w:rsid w:val="00BB18D3"/>
    <w:rsid w:val="00BB2080"/>
    <w:rsid w:val="00BB2EDD"/>
    <w:rsid w:val="00BB30BD"/>
    <w:rsid w:val="00BB4B35"/>
    <w:rsid w:val="00BB4FDC"/>
    <w:rsid w:val="00BB529F"/>
    <w:rsid w:val="00BB583F"/>
    <w:rsid w:val="00BB6317"/>
    <w:rsid w:val="00BB6A4D"/>
    <w:rsid w:val="00BC02CC"/>
    <w:rsid w:val="00BC0D7E"/>
    <w:rsid w:val="00BC208F"/>
    <w:rsid w:val="00BC2294"/>
    <w:rsid w:val="00BC3C28"/>
    <w:rsid w:val="00BC4119"/>
    <w:rsid w:val="00BD26FC"/>
    <w:rsid w:val="00BD29A9"/>
    <w:rsid w:val="00BD2D46"/>
    <w:rsid w:val="00BD4BA6"/>
    <w:rsid w:val="00BD4E27"/>
    <w:rsid w:val="00BD55C0"/>
    <w:rsid w:val="00BD5F14"/>
    <w:rsid w:val="00BD7E8C"/>
    <w:rsid w:val="00BE0116"/>
    <w:rsid w:val="00BE0C2E"/>
    <w:rsid w:val="00BE40FE"/>
    <w:rsid w:val="00BE5131"/>
    <w:rsid w:val="00BF1BC5"/>
    <w:rsid w:val="00BF1E1B"/>
    <w:rsid w:val="00BF2986"/>
    <w:rsid w:val="00BF3747"/>
    <w:rsid w:val="00BF4D0F"/>
    <w:rsid w:val="00BF742C"/>
    <w:rsid w:val="00C0057A"/>
    <w:rsid w:val="00C00C0F"/>
    <w:rsid w:val="00C05440"/>
    <w:rsid w:val="00C10253"/>
    <w:rsid w:val="00C109CE"/>
    <w:rsid w:val="00C10B50"/>
    <w:rsid w:val="00C11054"/>
    <w:rsid w:val="00C11B8A"/>
    <w:rsid w:val="00C136DA"/>
    <w:rsid w:val="00C1684C"/>
    <w:rsid w:val="00C17B01"/>
    <w:rsid w:val="00C231AF"/>
    <w:rsid w:val="00C3239C"/>
    <w:rsid w:val="00C33DDE"/>
    <w:rsid w:val="00C34E22"/>
    <w:rsid w:val="00C40541"/>
    <w:rsid w:val="00C417DD"/>
    <w:rsid w:val="00C43BBB"/>
    <w:rsid w:val="00C4676C"/>
    <w:rsid w:val="00C469E3"/>
    <w:rsid w:val="00C47421"/>
    <w:rsid w:val="00C50747"/>
    <w:rsid w:val="00C53193"/>
    <w:rsid w:val="00C540C6"/>
    <w:rsid w:val="00C54EDE"/>
    <w:rsid w:val="00C55DCD"/>
    <w:rsid w:val="00C56DD4"/>
    <w:rsid w:val="00C57326"/>
    <w:rsid w:val="00C618ED"/>
    <w:rsid w:val="00C61EB9"/>
    <w:rsid w:val="00C62092"/>
    <w:rsid w:val="00C63908"/>
    <w:rsid w:val="00C63ED3"/>
    <w:rsid w:val="00C65789"/>
    <w:rsid w:val="00C66CEE"/>
    <w:rsid w:val="00C70DA6"/>
    <w:rsid w:val="00C7346B"/>
    <w:rsid w:val="00C74E28"/>
    <w:rsid w:val="00C816A3"/>
    <w:rsid w:val="00C82B45"/>
    <w:rsid w:val="00C84655"/>
    <w:rsid w:val="00C87F88"/>
    <w:rsid w:val="00C90414"/>
    <w:rsid w:val="00C91D29"/>
    <w:rsid w:val="00C9220E"/>
    <w:rsid w:val="00C93A6A"/>
    <w:rsid w:val="00C93AF2"/>
    <w:rsid w:val="00C96525"/>
    <w:rsid w:val="00C9669B"/>
    <w:rsid w:val="00C96F2F"/>
    <w:rsid w:val="00C9709B"/>
    <w:rsid w:val="00C9787E"/>
    <w:rsid w:val="00CA05B4"/>
    <w:rsid w:val="00CA1B7B"/>
    <w:rsid w:val="00CA51C7"/>
    <w:rsid w:val="00CA6C06"/>
    <w:rsid w:val="00CA6CEF"/>
    <w:rsid w:val="00CB007F"/>
    <w:rsid w:val="00CB184F"/>
    <w:rsid w:val="00CB3D04"/>
    <w:rsid w:val="00CB3E6D"/>
    <w:rsid w:val="00CB67A5"/>
    <w:rsid w:val="00CB7E7C"/>
    <w:rsid w:val="00CC1E6E"/>
    <w:rsid w:val="00CC418F"/>
    <w:rsid w:val="00CD182E"/>
    <w:rsid w:val="00CD4761"/>
    <w:rsid w:val="00CD491A"/>
    <w:rsid w:val="00CE0852"/>
    <w:rsid w:val="00CE0EC0"/>
    <w:rsid w:val="00CE20D4"/>
    <w:rsid w:val="00CE3655"/>
    <w:rsid w:val="00CE394A"/>
    <w:rsid w:val="00CE65BA"/>
    <w:rsid w:val="00CE7A53"/>
    <w:rsid w:val="00CF16BC"/>
    <w:rsid w:val="00CF1A35"/>
    <w:rsid w:val="00CF1F23"/>
    <w:rsid w:val="00CF2393"/>
    <w:rsid w:val="00CF2E9E"/>
    <w:rsid w:val="00CF6003"/>
    <w:rsid w:val="00CF6D7C"/>
    <w:rsid w:val="00CF7F09"/>
    <w:rsid w:val="00CF7F12"/>
    <w:rsid w:val="00D013FB"/>
    <w:rsid w:val="00D01FA2"/>
    <w:rsid w:val="00D02DB6"/>
    <w:rsid w:val="00D03405"/>
    <w:rsid w:val="00D04B64"/>
    <w:rsid w:val="00D04FB7"/>
    <w:rsid w:val="00D04FEB"/>
    <w:rsid w:val="00D067FA"/>
    <w:rsid w:val="00D1006F"/>
    <w:rsid w:val="00D11BC5"/>
    <w:rsid w:val="00D11C69"/>
    <w:rsid w:val="00D133B1"/>
    <w:rsid w:val="00D13F55"/>
    <w:rsid w:val="00D1505E"/>
    <w:rsid w:val="00D177D4"/>
    <w:rsid w:val="00D17A9C"/>
    <w:rsid w:val="00D17FC7"/>
    <w:rsid w:val="00D220CE"/>
    <w:rsid w:val="00D23C30"/>
    <w:rsid w:val="00D23E05"/>
    <w:rsid w:val="00D310E8"/>
    <w:rsid w:val="00D315F6"/>
    <w:rsid w:val="00D31BFB"/>
    <w:rsid w:val="00D35B8A"/>
    <w:rsid w:val="00D36274"/>
    <w:rsid w:val="00D36D69"/>
    <w:rsid w:val="00D43972"/>
    <w:rsid w:val="00D444D2"/>
    <w:rsid w:val="00D44C3C"/>
    <w:rsid w:val="00D47E1F"/>
    <w:rsid w:val="00D5000C"/>
    <w:rsid w:val="00D530FD"/>
    <w:rsid w:val="00D5312C"/>
    <w:rsid w:val="00D53808"/>
    <w:rsid w:val="00D53ECD"/>
    <w:rsid w:val="00D54124"/>
    <w:rsid w:val="00D5630C"/>
    <w:rsid w:val="00D5655D"/>
    <w:rsid w:val="00D63F53"/>
    <w:rsid w:val="00D643F1"/>
    <w:rsid w:val="00D66AAE"/>
    <w:rsid w:val="00D66C28"/>
    <w:rsid w:val="00D66EC8"/>
    <w:rsid w:val="00D6744F"/>
    <w:rsid w:val="00D703D6"/>
    <w:rsid w:val="00D73EE7"/>
    <w:rsid w:val="00D74062"/>
    <w:rsid w:val="00D777CB"/>
    <w:rsid w:val="00D8039E"/>
    <w:rsid w:val="00D81D3E"/>
    <w:rsid w:val="00D831A7"/>
    <w:rsid w:val="00D87419"/>
    <w:rsid w:val="00D90554"/>
    <w:rsid w:val="00D92084"/>
    <w:rsid w:val="00D943F9"/>
    <w:rsid w:val="00D968BA"/>
    <w:rsid w:val="00DA05B1"/>
    <w:rsid w:val="00DA1010"/>
    <w:rsid w:val="00DA1A07"/>
    <w:rsid w:val="00DA2944"/>
    <w:rsid w:val="00DA395B"/>
    <w:rsid w:val="00DA676B"/>
    <w:rsid w:val="00DA68FF"/>
    <w:rsid w:val="00DB05AE"/>
    <w:rsid w:val="00DB12B9"/>
    <w:rsid w:val="00DB22CB"/>
    <w:rsid w:val="00DB3AE4"/>
    <w:rsid w:val="00DB414F"/>
    <w:rsid w:val="00DB4831"/>
    <w:rsid w:val="00DB5544"/>
    <w:rsid w:val="00DB5B16"/>
    <w:rsid w:val="00DB689D"/>
    <w:rsid w:val="00DB7AA8"/>
    <w:rsid w:val="00DB7E7D"/>
    <w:rsid w:val="00DC0704"/>
    <w:rsid w:val="00DC3E19"/>
    <w:rsid w:val="00DC516E"/>
    <w:rsid w:val="00DC69CF"/>
    <w:rsid w:val="00DD1227"/>
    <w:rsid w:val="00DD21CB"/>
    <w:rsid w:val="00DD34DE"/>
    <w:rsid w:val="00DD607B"/>
    <w:rsid w:val="00DD70F0"/>
    <w:rsid w:val="00DE0201"/>
    <w:rsid w:val="00DE0F18"/>
    <w:rsid w:val="00DE5397"/>
    <w:rsid w:val="00DE5A6A"/>
    <w:rsid w:val="00DE751C"/>
    <w:rsid w:val="00DF0DC3"/>
    <w:rsid w:val="00DF0F9A"/>
    <w:rsid w:val="00DF1745"/>
    <w:rsid w:val="00DF450A"/>
    <w:rsid w:val="00DF591D"/>
    <w:rsid w:val="00E003A2"/>
    <w:rsid w:val="00E00533"/>
    <w:rsid w:val="00E02020"/>
    <w:rsid w:val="00E02BCD"/>
    <w:rsid w:val="00E02DC4"/>
    <w:rsid w:val="00E03006"/>
    <w:rsid w:val="00E030E9"/>
    <w:rsid w:val="00E0333B"/>
    <w:rsid w:val="00E1091A"/>
    <w:rsid w:val="00E12EBB"/>
    <w:rsid w:val="00E135CF"/>
    <w:rsid w:val="00E14901"/>
    <w:rsid w:val="00E15214"/>
    <w:rsid w:val="00E15C46"/>
    <w:rsid w:val="00E16412"/>
    <w:rsid w:val="00E209EF"/>
    <w:rsid w:val="00E2108A"/>
    <w:rsid w:val="00E24330"/>
    <w:rsid w:val="00E249AC"/>
    <w:rsid w:val="00E24D34"/>
    <w:rsid w:val="00E24D9E"/>
    <w:rsid w:val="00E25543"/>
    <w:rsid w:val="00E25FC3"/>
    <w:rsid w:val="00E26686"/>
    <w:rsid w:val="00E27130"/>
    <w:rsid w:val="00E27E33"/>
    <w:rsid w:val="00E3036E"/>
    <w:rsid w:val="00E34FB0"/>
    <w:rsid w:val="00E408F8"/>
    <w:rsid w:val="00E42C0D"/>
    <w:rsid w:val="00E4388E"/>
    <w:rsid w:val="00E43E6A"/>
    <w:rsid w:val="00E46DF9"/>
    <w:rsid w:val="00E50420"/>
    <w:rsid w:val="00E51F54"/>
    <w:rsid w:val="00E54685"/>
    <w:rsid w:val="00E56D22"/>
    <w:rsid w:val="00E56D64"/>
    <w:rsid w:val="00E57378"/>
    <w:rsid w:val="00E64C95"/>
    <w:rsid w:val="00E668C5"/>
    <w:rsid w:val="00E66F50"/>
    <w:rsid w:val="00E708EB"/>
    <w:rsid w:val="00E72088"/>
    <w:rsid w:val="00E75540"/>
    <w:rsid w:val="00E76097"/>
    <w:rsid w:val="00E84632"/>
    <w:rsid w:val="00E84793"/>
    <w:rsid w:val="00E84811"/>
    <w:rsid w:val="00E84C3C"/>
    <w:rsid w:val="00E8524E"/>
    <w:rsid w:val="00E87B0A"/>
    <w:rsid w:val="00E90B8F"/>
    <w:rsid w:val="00E92381"/>
    <w:rsid w:val="00E93977"/>
    <w:rsid w:val="00E94780"/>
    <w:rsid w:val="00E959E4"/>
    <w:rsid w:val="00E96A87"/>
    <w:rsid w:val="00E97E76"/>
    <w:rsid w:val="00EA33AD"/>
    <w:rsid w:val="00EA5142"/>
    <w:rsid w:val="00EB0560"/>
    <w:rsid w:val="00EB09BF"/>
    <w:rsid w:val="00EB0F8C"/>
    <w:rsid w:val="00EB1904"/>
    <w:rsid w:val="00EB2406"/>
    <w:rsid w:val="00EB36BF"/>
    <w:rsid w:val="00EB3E1B"/>
    <w:rsid w:val="00EB455B"/>
    <w:rsid w:val="00EB6608"/>
    <w:rsid w:val="00EC03D7"/>
    <w:rsid w:val="00EC1084"/>
    <w:rsid w:val="00EC2AAD"/>
    <w:rsid w:val="00EC382C"/>
    <w:rsid w:val="00EC3F6B"/>
    <w:rsid w:val="00EC4F78"/>
    <w:rsid w:val="00EC66CB"/>
    <w:rsid w:val="00EC7759"/>
    <w:rsid w:val="00ED5978"/>
    <w:rsid w:val="00ED7011"/>
    <w:rsid w:val="00ED72F4"/>
    <w:rsid w:val="00ED7D6F"/>
    <w:rsid w:val="00EE0379"/>
    <w:rsid w:val="00EE0EEE"/>
    <w:rsid w:val="00EE1805"/>
    <w:rsid w:val="00EE6F90"/>
    <w:rsid w:val="00EF1E3B"/>
    <w:rsid w:val="00EF2EAB"/>
    <w:rsid w:val="00EF30FA"/>
    <w:rsid w:val="00EF39EF"/>
    <w:rsid w:val="00EF5180"/>
    <w:rsid w:val="00EF530D"/>
    <w:rsid w:val="00F023C5"/>
    <w:rsid w:val="00F038D1"/>
    <w:rsid w:val="00F03E87"/>
    <w:rsid w:val="00F04859"/>
    <w:rsid w:val="00F04AE7"/>
    <w:rsid w:val="00F0549B"/>
    <w:rsid w:val="00F120C7"/>
    <w:rsid w:val="00F127DA"/>
    <w:rsid w:val="00F16808"/>
    <w:rsid w:val="00F17339"/>
    <w:rsid w:val="00F20BCC"/>
    <w:rsid w:val="00F20BE3"/>
    <w:rsid w:val="00F2127C"/>
    <w:rsid w:val="00F21300"/>
    <w:rsid w:val="00F21E2C"/>
    <w:rsid w:val="00F22685"/>
    <w:rsid w:val="00F23990"/>
    <w:rsid w:val="00F242C9"/>
    <w:rsid w:val="00F24B39"/>
    <w:rsid w:val="00F2527E"/>
    <w:rsid w:val="00F25E7B"/>
    <w:rsid w:val="00F27301"/>
    <w:rsid w:val="00F31232"/>
    <w:rsid w:val="00F332D1"/>
    <w:rsid w:val="00F36514"/>
    <w:rsid w:val="00F42B56"/>
    <w:rsid w:val="00F50299"/>
    <w:rsid w:val="00F503D3"/>
    <w:rsid w:val="00F509DD"/>
    <w:rsid w:val="00F512FC"/>
    <w:rsid w:val="00F51504"/>
    <w:rsid w:val="00F56467"/>
    <w:rsid w:val="00F57C9F"/>
    <w:rsid w:val="00F60BEB"/>
    <w:rsid w:val="00F62681"/>
    <w:rsid w:val="00F675CA"/>
    <w:rsid w:val="00F702C2"/>
    <w:rsid w:val="00F706DF"/>
    <w:rsid w:val="00F717B5"/>
    <w:rsid w:val="00F718B2"/>
    <w:rsid w:val="00F719B2"/>
    <w:rsid w:val="00F7472D"/>
    <w:rsid w:val="00F74965"/>
    <w:rsid w:val="00F7761A"/>
    <w:rsid w:val="00F77CA8"/>
    <w:rsid w:val="00F8072E"/>
    <w:rsid w:val="00F80A68"/>
    <w:rsid w:val="00F83C25"/>
    <w:rsid w:val="00F84A4E"/>
    <w:rsid w:val="00F90460"/>
    <w:rsid w:val="00F91148"/>
    <w:rsid w:val="00F959B1"/>
    <w:rsid w:val="00F96D39"/>
    <w:rsid w:val="00F97A60"/>
    <w:rsid w:val="00FA2199"/>
    <w:rsid w:val="00FA2A3B"/>
    <w:rsid w:val="00FA3976"/>
    <w:rsid w:val="00FA4243"/>
    <w:rsid w:val="00FA52C7"/>
    <w:rsid w:val="00FB261C"/>
    <w:rsid w:val="00FB26E3"/>
    <w:rsid w:val="00FB298B"/>
    <w:rsid w:val="00FB3C0B"/>
    <w:rsid w:val="00FB46E4"/>
    <w:rsid w:val="00FB474C"/>
    <w:rsid w:val="00FB617F"/>
    <w:rsid w:val="00FB6C02"/>
    <w:rsid w:val="00FC0F2A"/>
    <w:rsid w:val="00FC1D53"/>
    <w:rsid w:val="00FC214C"/>
    <w:rsid w:val="00FC4D8D"/>
    <w:rsid w:val="00FC58D7"/>
    <w:rsid w:val="00FC6414"/>
    <w:rsid w:val="00FD0B20"/>
    <w:rsid w:val="00FD44E1"/>
    <w:rsid w:val="00FD4C93"/>
    <w:rsid w:val="00FD636B"/>
    <w:rsid w:val="00FD661F"/>
    <w:rsid w:val="00FD67AA"/>
    <w:rsid w:val="00FE03E9"/>
    <w:rsid w:val="00FE2189"/>
    <w:rsid w:val="00FE24A2"/>
    <w:rsid w:val="00FE2BDC"/>
    <w:rsid w:val="00FE39CC"/>
    <w:rsid w:val="00FE52DF"/>
    <w:rsid w:val="00FE614F"/>
    <w:rsid w:val="00FE6D0A"/>
    <w:rsid w:val="00FE6F87"/>
    <w:rsid w:val="00FE73A7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4E165-771C-471A-9855-DB82F915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Ortblad</dc:creator>
  <cp:keywords/>
  <dc:description/>
  <cp:lastModifiedBy>Katrina Ortblad</cp:lastModifiedBy>
  <cp:revision>24</cp:revision>
  <dcterms:created xsi:type="dcterms:W3CDTF">2018-09-27T16:43:00Z</dcterms:created>
  <dcterms:modified xsi:type="dcterms:W3CDTF">2018-10-19T18:26:00Z</dcterms:modified>
</cp:coreProperties>
</file>