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2299" w14:textId="77777777" w:rsidR="00A965C5" w:rsidRPr="0031468D" w:rsidRDefault="00A965C5" w:rsidP="0031468D">
      <w:pPr>
        <w:shd w:val="clear" w:color="auto" w:fill="FFFFFF" w:themeFill="background1"/>
        <w:ind w:hanging="810"/>
        <w:rPr>
          <w:rFonts w:asciiTheme="majorHAnsi" w:hAnsiTheme="majorHAnsi" w:cstheme="majorHAnsi"/>
          <w:b/>
          <w:sz w:val="22"/>
          <w:szCs w:val="22"/>
        </w:rPr>
      </w:pPr>
      <w:r w:rsidRPr="0031468D">
        <w:rPr>
          <w:rFonts w:asciiTheme="majorHAnsi" w:hAnsiTheme="majorHAnsi" w:cstheme="majorHAnsi"/>
          <w:b/>
          <w:sz w:val="22"/>
          <w:szCs w:val="22"/>
        </w:rPr>
        <w:t xml:space="preserve">Supplemental Tables/ Figures </w:t>
      </w:r>
    </w:p>
    <w:p w14:paraId="4FF5A8F6" w14:textId="27FDDB10" w:rsidR="00C43E8F" w:rsidRPr="0031468D" w:rsidRDefault="00871B51" w:rsidP="0031468D">
      <w:pPr>
        <w:shd w:val="clear" w:color="auto" w:fill="FFFFFF" w:themeFill="background1"/>
        <w:ind w:hanging="81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Sensitivity analyse</w:t>
      </w:r>
      <w:r w:rsidR="00C43E8F" w:rsidRPr="0031468D">
        <w:rPr>
          <w:rFonts w:asciiTheme="majorHAnsi" w:hAnsiTheme="majorHAnsi" w:cstheme="majorHAnsi"/>
          <w:b/>
          <w:sz w:val="22"/>
          <w:szCs w:val="22"/>
        </w:rPr>
        <w:t>s</w:t>
      </w:r>
    </w:p>
    <w:p w14:paraId="49474A05" w14:textId="77777777" w:rsidR="008F3321" w:rsidRPr="0031468D" w:rsidRDefault="008F3321" w:rsidP="0031468D">
      <w:pPr>
        <w:shd w:val="clear" w:color="auto" w:fill="FFFFFF" w:themeFill="background1"/>
        <w:rPr>
          <w:rFonts w:ascii="Calibri" w:hAnsi="Calibri"/>
          <w:b/>
          <w:sz w:val="22"/>
          <w:szCs w:val="22"/>
        </w:rPr>
      </w:pPr>
    </w:p>
    <w:p w14:paraId="744CCE6D" w14:textId="78143772" w:rsidR="00C43E8F" w:rsidRPr="0031468D" w:rsidRDefault="00A965C5" w:rsidP="000B7639">
      <w:pPr>
        <w:shd w:val="clear" w:color="auto" w:fill="FFFFFF" w:themeFill="background1"/>
        <w:ind w:hanging="851"/>
        <w:rPr>
          <w:rFonts w:ascii="Calibri" w:hAnsi="Calibri"/>
          <w:sz w:val="20"/>
          <w:szCs w:val="20"/>
        </w:rPr>
      </w:pPr>
      <w:r w:rsidRPr="0031468D">
        <w:rPr>
          <w:rFonts w:ascii="Calibri" w:hAnsi="Calibri"/>
          <w:sz w:val="22"/>
          <w:szCs w:val="22"/>
        </w:rPr>
        <w:t>Table 1</w:t>
      </w:r>
      <w:r w:rsidR="00C43E8F" w:rsidRPr="0031468D">
        <w:rPr>
          <w:rFonts w:ascii="Calibri" w:hAnsi="Calibri"/>
          <w:sz w:val="22"/>
          <w:szCs w:val="22"/>
        </w:rPr>
        <w:t xml:space="preserve">. Baseline </w:t>
      </w:r>
      <w:r w:rsidR="00E85264">
        <w:rPr>
          <w:rFonts w:ascii="Calibri" w:hAnsi="Calibri"/>
          <w:sz w:val="22"/>
          <w:szCs w:val="22"/>
        </w:rPr>
        <w:t>c</w:t>
      </w:r>
      <w:r w:rsidR="00C43E8F" w:rsidRPr="0031468D">
        <w:rPr>
          <w:rFonts w:ascii="Calibri" w:hAnsi="Calibri"/>
          <w:sz w:val="22"/>
          <w:szCs w:val="22"/>
        </w:rPr>
        <w:t>haracteristics of patients with CD4</w:t>
      </w:r>
      <w:r w:rsidR="00303F4F">
        <w:rPr>
          <w:rFonts w:ascii="Calibri" w:hAnsi="Calibri"/>
          <w:sz w:val="22"/>
          <w:szCs w:val="22"/>
        </w:rPr>
        <w:t xml:space="preserve"> </w:t>
      </w:r>
      <w:r w:rsidR="00B873C2">
        <w:rPr>
          <w:rFonts w:ascii="Calibri" w:hAnsi="Calibri"/>
          <w:sz w:val="22"/>
          <w:szCs w:val="22"/>
        </w:rPr>
        <w:t xml:space="preserve">cell </w:t>
      </w:r>
      <w:r w:rsidR="0039065E">
        <w:rPr>
          <w:rFonts w:ascii="Calibri" w:hAnsi="Calibri"/>
          <w:sz w:val="22"/>
          <w:szCs w:val="22"/>
        </w:rPr>
        <w:t xml:space="preserve">count </w:t>
      </w:r>
      <w:r w:rsidR="00C43E8F" w:rsidRPr="0031468D">
        <w:rPr>
          <w:rFonts w:ascii="Calibri" w:hAnsi="Calibri"/>
          <w:sz w:val="22"/>
          <w:szCs w:val="22"/>
        </w:rPr>
        <w:t>&lt;100 cells/mm</w:t>
      </w:r>
      <w:r w:rsidR="00C43E8F" w:rsidRPr="0031468D">
        <w:rPr>
          <w:rFonts w:ascii="Calibri" w:hAnsi="Calibri"/>
          <w:sz w:val="22"/>
          <w:szCs w:val="22"/>
          <w:vertAlign w:val="superscript"/>
        </w:rPr>
        <w:t>3</w:t>
      </w:r>
      <w:r w:rsidR="00C43E8F" w:rsidRPr="0031468D">
        <w:rPr>
          <w:rFonts w:ascii="Calibri" w:hAnsi="Calibri"/>
          <w:sz w:val="22"/>
          <w:szCs w:val="22"/>
        </w:rPr>
        <w:t xml:space="preserve"> at </w:t>
      </w:r>
      <w:r w:rsidR="000B7639">
        <w:rPr>
          <w:rFonts w:ascii="Calibri" w:hAnsi="Calibri"/>
          <w:sz w:val="22"/>
          <w:szCs w:val="22"/>
        </w:rPr>
        <w:t>ART</w:t>
      </w:r>
      <w:r w:rsidR="003F0A59" w:rsidRPr="0031468D">
        <w:rPr>
          <w:rFonts w:ascii="Calibri" w:hAnsi="Calibri"/>
          <w:sz w:val="22"/>
          <w:szCs w:val="22"/>
        </w:rPr>
        <w:t xml:space="preserve"> </w:t>
      </w:r>
      <w:r w:rsidR="00C43E8F" w:rsidRPr="0031468D">
        <w:rPr>
          <w:rFonts w:ascii="Calibri" w:hAnsi="Calibri"/>
          <w:sz w:val="22"/>
          <w:szCs w:val="22"/>
        </w:rPr>
        <w:t>initiation (n=2,101)</w:t>
      </w:r>
    </w:p>
    <w:tbl>
      <w:tblPr>
        <w:tblW w:w="106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139"/>
        <w:gridCol w:w="1145"/>
        <w:gridCol w:w="1139"/>
        <w:gridCol w:w="1415"/>
        <w:gridCol w:w="886"/>
        <w:gridCol w:w="1524"/>
      </w:tblGrid>
      <w:tr w:rsidR="0031468D" w:rsidRPr="0031468D" w14:paraId="7C594C8F" w14:textId="77777777" w:rsidTr="00DB70D2">
        <w:trPr>
          <w:trHeight w:val="2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EBB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Baseline Characteristics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7E48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Overalll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FD7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Non-macrolide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6338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Macrolide use</w:t>
            </w:r>
          </w:p>
        </w:tc>
      </w:tr>
      <w:tr w:rsidR="0031468D" w:rsidRPr="0031468D" w14:paraId="3CBD705D" w14:textId="77777777" w:rsidTr="00DB70D2">
        <w:trPr>
          <w:trHeight w:val="25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AF566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0FD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C8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F1F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E0B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48C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11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31468D" w:rsidRPr="0031468D" w14:paraId="1AB7173C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828A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D16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2,101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47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1,929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E3D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31468D" w:rsidRPr="0031468D" w14:paraId="68428E10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27FE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Age at ART Initiation (years)                     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B3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962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41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43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716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46E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33FBCAE3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08D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18-29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2AEA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6B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25.61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8A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F28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25.92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380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D0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22.09</w:t>
            </w:r>
          </w:p>
        </w:tc>
      </w:tr>
      <w:tr w:rsidR="0031468D" w:rsidRPr="0031468D" w14:paraId="2855F66B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30A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30-39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8E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97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45.36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93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889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81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46.09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2C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48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37.21</w:t>
            </w:r>
          </w:p>
        </w:tc>
      </w:tr>
      <w:tr w:rsidR="0031468D" w:rsidRPr="0031468D" w14:paraId="79E3DC7A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358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40-49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A7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4A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20.47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DFA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381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94A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19.75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22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D78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28.49</w:t>
            </w:r>
          </w:p>
        </w:tc>
      </w:tr>
      <w:tr w:rsidR="0031468D" w:rsidRPr="0031468D" w14:paraId="0FE48DB1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62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≥50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34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CF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8.57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352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159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38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8.24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64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F8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12.21</w:t>
            </w:r>
          </w:p>
        </w:tc>
      </w:tr>
      <w:tr w:rsidR="0031468D" w:rsidRPr="0031468D" w14:paraId="2127EB70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E2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Median (IQR)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D5FC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34.8 (29.9 - 41.1)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0E5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34.5 (29.8-40.7)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84EB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37.2 (30.7-44.1)</w:t>
            </w:r>
          </w:p>
        </w:tc>
      </w:tr>
      <w:tr w:rsidR="0031468D" w:rsidRPr="0031468D" w14:paraId="298CD0EF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E6C8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7E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FE8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E2DA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82E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56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74A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7F14C8E2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C8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Male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15D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1,580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10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75.20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A9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1,439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8B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74.60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71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5A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81.98</w:t>
            </w:r>
          </w:p>
        </w:tc>
      </w:tr>
      <w:tr w:rsidR="0031468D" w:rsidRPr="0031468D" w14:paraId="3B62952F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719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Female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3C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C2A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24.80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D0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490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4B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25.40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86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E2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18.02</w:t>
            </w:r>
          </w:p>
        </w:tc>
      </w:tr>
      <w:tr w:rsidR="0031468D" w:rsidRPr="0031468D" w14:paraId="7EF69ABE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847" w14:textId="12B49C60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HIV mode</w:t>
            </w:r>
            <w:r w:rsidR="003F0A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of</w:t>
            </w: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exposure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B3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B80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45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0B74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FB5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FEE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243F2E8E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0B2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Heterosexual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384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C16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14.23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288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246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98F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12.75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5E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C2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30.81</w:t>
            </w:r>
          </w:p>
        </w:tc>
      </w:tr>
      <w:tr w:rsidR="0031468D" w:rsidRPr="0031468D" w14:paraId="79EB5744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69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Homosexual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AE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1,505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E5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71.63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FF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1,400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DE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72.58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1C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E8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61.05</w:t>
            </w:r>
          </w:p>
        </w:tc>
      </w:tr>
      <w:tr w:rsidR="0031468D" w:rsidRPr="0031468D" w14:paraId="19F586E1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95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Others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51A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90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14.14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EB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BC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14.67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15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9F8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8.14</w:t>
            </w:r>
          </w:p>
        </w:tc>
      </w:tr>
      <w:tr w:rsidR="0031468D" w:rsidRPr="0031468D" w14:paraId="2DCD1CD4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9A9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HBV status (n=1,617 tested)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3D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F66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92F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1A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C4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FB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64EBA348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DB5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Negative (% tested)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78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1,439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A5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88.99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B0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1,298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5F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88.78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B2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B8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90.97</w:t>
            </w:r>
          </w:p>
        </w:tc>
      </w:tr>
      <w:tr w:rsidR="0031468D" w:rsidRPr="0031468D" w14:paraId="7C8A45D0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0CD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Positive (% tested)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4A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204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11.01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59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164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24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11.22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4DA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82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9.03</w:t>
            </w:r>
          </w:p>
        </w:tc>
      </w:tr>
      <w:tr w:rsidR="0031468D" w:rsidRPr="0031468D" w14:paraId="56635E42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7DA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 xml:space="preserve">Missing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9C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E7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23.04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35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467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998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24.21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BF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12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9.88</w:t>
            </w:r>
          </w:p>
        </w:tc>
      </w:tr>
      <w:tr w:rsidR="0031468D" w:rsidRPr="0031468D" w14:paraId="261A5185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E2C4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HCV status (n=1,524 tested)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5C69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E80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3D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9C2A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0E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55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719CF55F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1F9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Negative (% tested)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25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1,233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ED4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80.91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17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1,093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6DE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79.15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2F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19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97.90</w:t>
            </w:r>
          </w:p>
        </w:tc>
      </w:tr>
      <w:tr w:rsidR="0031468D" w:rsidRPr="0031468D" w14:paraId="381D06C4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656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Positive (% tested)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F9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E8A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19.09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2C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288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74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20.85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7DA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3BB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2.10</w:t>
            </w:r>
          </w:p>
        </w:tc>
      </w:tr>
      <w:tr w:rsidR="0031468D" w:rsidRPr="0031468D" w14:paraId="5B0BBB3C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6FE2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 xml:space="preserve">Missing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136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577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29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27.46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EB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548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138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28.41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452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A8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16.86</w:t>
            </w:r>
          </w:p>
        </w:tc>
      </w:tr>
      <w:tr w:rsidR="0031468D" w:rsidRPr="0031468D" w14:paraId="7107EA42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67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Baseline CD4 (cells/mm3)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D25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614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46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00A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1398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A0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1686FEE2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445" w14:textId="492919EA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≤50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434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1,345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611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64.02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A0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1,202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21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62.31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73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A4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83.14</w:t>
            </w:r>
          </w:p>
        </w:tc>
      </w:tr>
      <w:tr w:rsidR="0031468D" w:rsidRPr="0031468D" w14:paraId="5AFA308E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F3D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51-100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9A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4D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35.98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DE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727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4A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37.69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0C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4FE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16.86</w:t>
            </w:r>
          </w:p>
        </w:tc>
      </w:tr>
      <w:tr w:rsidR="0031468D" w:rsidRPr="0031468D" w14:paraId="0DA3E4F4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25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Median (IQR)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770A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36 (15-64)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AFC0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38 (16-66)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08A2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25(12-45)</w:t>
            </w:r>
          </w:p>
        </w:tc>
      </w:tr>
      <w:tr w:rsidR="0031468D" w:rsidRPr="0031468D" w14:paraId="6740D011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DA9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Viral load (copies/ml)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F0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E5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5330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27E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7E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E79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74AA5BD7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389" w14:textId="05CEF33E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≤100,000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62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2E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21.89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99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3B7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20.84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5F9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F4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33.72</w:t>
            </w:r>
          </w:p>
        </w:tc>
      </w:tr>
      <w:tr w:rsidR="0031468D" w:rsidRPr="0031468D" w14:paraId="4E4A0A77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806" w14:textId="6F565302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≥100,000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0DD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B1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29.80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D8D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534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FD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27.68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76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2C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53.49</w:t>
            </w:r>
          </w:p>
        </w:tc>
      </w:tr>
      <w:tr w:rsidR="0031468D" w:rsidRPr="0031468D" w14:paraId="0854F8DC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91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Missing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36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1,015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04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48.31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6A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993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0F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51.48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118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D6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12.79</w:t>
            </w:r>
          </w:p>
        </w:tc>
      </w:tr>
      <w:tr w:rsidR="0031468D" w:rsidRPr="0031468D" w14:paraId="745CAF19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47B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 xml:space="preserve">Median (IQR) 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543E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120,000 (1086-372000)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9507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120,000 (48,200-373,000)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2AD4" w14:textId="77777777" w:rsidR="00C12437" w:rsidRPr="0031468D" w:rsidRDefault="00C12437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118,755 (56,000-368,600)</w:t>
            </w:r>
          </w:p>
        </w:tc>
      </w:tr>
      <w:tr w:rsidR="0031468D" w:rsidRPr="0031468D" w14:paraId="70884C93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91B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Prior AIDS diagnosis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09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0F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3542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0A4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35D0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55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4BDD52DF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FD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None known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53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1,176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D4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55.97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9F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1,120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40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58.06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79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38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32.56</w:t>
            </w:r>
          </w:p>
        </w:tc>
      </w:tr>
      <w:tr w:rsidR="0031468D" w:rsidRPr="0031468D" w14:paraId="600021A2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FA3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5E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925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F8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44.03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35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74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41.94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A1A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83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67.44</w:t>
            </w:r>
          </w:p>
        </w:tc>
      </w:tr>
      <w:tr w:rsidR="0031468D" w:rsidRPr="0031468D" w14:paraId="7E9C2D36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885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Initial ART Regimen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F2AD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EB4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E4E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D1B6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8FB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461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01E1D642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7A1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NNRTI-based therapy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9F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1,836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61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87.39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2B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1,707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A1B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88.49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DF30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2D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75.00</w:t>
            </w:r>
          </w:p>
        </w:tc>
      </w:tr>
      <w:tr w:rsidR="0031468D" w:rsidRPr="0031468D" w14:paraId="73A210D0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CA5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Other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86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57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12.61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2A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222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E43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11.51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6A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F5A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25.00</w:t>
            </w:r>
          </w:p>
        </w:tc>
      </w:tr>
      <w:tr w:rsidR="0031468D" w:rsidRPr="0031468D" w14:paraId="3BCB751A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FE64" w14:textId="6186DE27" w:rsidR="00C12437" w:rsidRPr="0031468D" w:rsidRDefault="00DB70D2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Cotrimoxazole use at </w:t>
            </w:r>
            <w:r w:rsidR="00C12437"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B7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7AD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14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809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DE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99C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4BD78C3D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F7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39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5E6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25.70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12C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E83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26.02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49E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5DA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22.09</w:t>
            </w:r>
          </w:p>
        </w:tc>
      </w:tr>
      <w:tr w:rsidR="0031468D" w:rsidRPr="0031468D" w14:paraId="65575769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A8F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71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1,561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0B6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74.30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A6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1,427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53F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73.98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895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462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77.91</w:t>
            </w:r>
          </w:p>
        </w:tc>
      </w:tr>
      <w:tr w:rsidR="0031468D" w:rsidRPr="0031468D" w14:paraId="21994171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4B3E" w14:textId="7E9DCFEE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Other chemoprophylaxis use a</w:t>
            </w:r>
            <w:r w:rsidR="00DB70D2"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</w:t>
            </w:r>
            <w:r w:rsidRPr="0031468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baseline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87DB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979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AA5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672B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D6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568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1468D" w:rsidRPr="0031468D" w14:paraId="552648CB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CDE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98B1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1,219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969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58.02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55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1,151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3C98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59.67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E5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87E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39.53</w:t>
            </w:r>
          </w:p>
        </w:tc>
      </w:tr>
      <w:tr w:rsidR="0031468D" w:rsidRPr="0031468D" w14:paraId="1B802C19" w14:textId="77777777" w:rsidTr="00DB70D2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6857" w14:textId="77777777" w:rsidR="00C12437" w:rsidRPr="0031468D" w:rsidRDefault="00C12437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6AE38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882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614D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A157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778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C54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40.33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0456C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115" w14:textId="77777777" w:rsidR="00C12437" w:rsidRPr="0031468D" w:rsidRDefault="00C12437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468D">
              <w:rPr>
                <w:rFonts w:ascii="Calibri" w:eastAsia="Times New Roman" w:hAnsi="Calibri" w:cs="Times New Roman"/>
                <w:sz w:val="20"/>
                <w:szCs w:val="20"/>
              </w:rPr>
              <w:t>60.47</w:t>
            </w:r>
          </w:p>
        </w:tc>
      </w:tr>
    </w:tbl>
    <w:p w14:paraId="55C64FB8" w14:textId="6B96AF7E" w:rsidR="00DA2E9F" w:rsidRPr="0031468D" w:rsidRDefault="00545034" w:rsidP="006F67B2">
      <w:pPr>
        <w:shd w:val="clear" w:color="auto" w:fill="FFFFFF" w:themeFill="background1"/>
        <w:ind w:hanging="851"/>
        <w:rPr>
          <w:rFonts w:ascii="Calibri" w:hAnsi="Calibri"/>
          <w:sz w:val="20"/>
          <w:szCs w:val="20"/>
        </w:rPr>
        <w:sectPr w:rsidR="00DA2E9F" w:rsidRPr="0031468D" w:rsidSect="00BE1FC7">
          <w:footerReference w:type="default" r:id="rId9"/>
          <w:pgSz w:w="12240" w:h="15840"/>
          <w:pgMar w:top="993" w:right="1800" w:bottom="851" w:left="1800" w:header="708" w:footer="708" w:gutter="0"/>
          <w:cols w:space="708"/>
          <w:docGrid w:linePitch="360"/>
        </w:sectPr>
      </w:pPr>
      <w:r w:rsidRPr="0031468D">
        <w:rPr>
          <w:rFonts w:ascii="Calibri" w:hAnsi="Calibri"/>
          <w:sz w:val="18"/>
          <w:szCs w:val="18"/>
        </w:rPr>
        <w:t>*Values are n (% total) unless otherwise specified. IQR=</w:t>
      </w:r>
      <w:proofErr w:type="spellStart"/>
      <w:r w:rsidRPr="0031468D">
        <w:rPr>
          <w:rFonts w:ascii="Calibri" w:hAnsi="Calibri"/>
          <w:sz w:val="18"/>
          <w:szCs w:val="18"/>
        </w:rPr>
        <w:t>interquatile</w:t>
      </w:r>
      <w:proofErr w:type="spellEnd"/>
      <w:r w:rsidRPr="0031468D">
        <w:rPr>
          <w:rFonts w:ascii="Calibri" w:hAnsi="Calibri"/>
          <w:sz w:val="18"/>
          <w:szCs w:val="18"/>
        </w:rPr>
        <w:t xml:space="preserve"> range, HCV=Hepatitis C virus, HBV=</w:t>
      </w:r>
      <w:proofErr w:type="spellStart"/>
      <w:r w:rsidRPr="0031468D">
        <w:rPr>
          <w:rFonts w:ascii="Calibri" w:hAnsi="Calibri"/>
          <w:sz w:val="18"/>
          <w:szCs w:val="18"/>
        </w:rPr>
        <w:t>Hepativis</w:t>
      </w:r>
      <w:proofErr w:type="spellEnd"/>
      <w:r w:rsidRPr="0031468D">
        <w:rPr>
          <w:rFonts w:ascii="Calibri" w:hAnsi="Calibri"/>
          <w:sz w:val="18"/>
          <w:szCs w:val="18"/>
        </w:rPr>
        <w:t xml:space="preserve"> B virus</w:t>
      </w:r>
      <w:r w:rsidR="003F0A59">
        <w:rPr>
          <w:rFonts w:ascii="Calibri" w:hAnsi="Calibri"/>
          <w:sz w:val="18"/>
          <w:szCs w:val="18"/>
        </w:rPr>
        <w:t>,</w:t>
      </w:r>
      <w:r w:rsidR="000B7639">
        <w:rPr>
          <w:rFonts w:ascii="Calibri" w:hAnsi="Calibri"/>
          <w:sz w:val="18"/>
          <w:szCs w:val="18"/>
        </w:rPr>
        <w:t xml:space="preserve"> </w:t>
      </w:r>
      <w:r w:rsidR="003F0A59">
        <w:rPr>
          <w:rFonts w:ascii="Calibri" w:hAnsi="Calibri"/>
          <w:sz w:val="18"/>
          <w:szCs w:val="18"/>
        </w:rPr>
        <w:t>ART=antiretroviral therapy, NNRTI=non-nucleoside reverse transcriptase in</w:t>
      </w:r>
    </w:p>
    <w:p w14:paraId="654B4C22" w14:textId="54223947" w:rsidR="00C43E8F" w:rsidRPr="006F67B2" w:rsidRDefault="00C43E8F" w:rsidP="006F67B2">
      <w:p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0B7639">
        <w:rPr>
          <w:rFonts w:ascii="Calibri" w:hAnsi="Calibri"/>
          <w:sz w:val="22"/>
          <w:szCs w:val="22"/>
        </w:rPr>
        <w:lastRenderedPageBreak/>
        <w:t xml:space="preserve">Table </w:t>
      </w:r>
      <w:r w:rsidR="00A965C5" w:rsidRPr="0039065E">
        <w:rPr>
          <w:rFonts w:ascii="Calibri" w:hAnsi="Calibri"/>
          <w:sz w:val="22"/>
          <w:szCs w:val="22"/>
        </w:rPr>
        <w:t>2</w:t>
      </w:r>
      <w:r w:rsidRPr="0039065E">
        <w:rPr>
          <w:rFonts w:ascii="Calibri" w:hAnsi="Calibri"/>
          <w:sz w:val="22"/>
          <w:szCs w:val="22"/>
        </w:rPr>
        <w:t xml:space="preserve">. </w:t>
      </w:r>
      <w:r w:rsidR="00463995" w:rsidRPr="0039065E">
        <w:rPr>
          <w:rFonts w:ascii="Calibri" w:hAnsi="Calibri"/>
          <w:sz w:val="22"/>
          <w:szCs w:val="22"/>
        </w:rPr>
        <w:t xml:space="preserve">Risk </w:t>
      </w:r>
      <w:r w:rsidR="00E85264" w:rsidRPr="0039065E">
        <w:rPr>
          <w:rFonts w:ascii="Calibri" w:hAnsi="Calibri"/>
          <w:sz w:val="22"/>
          <w:szCs w:val="22"/>
        </w:rPr>
        <w:t>f</w:t>
      </w:r>
      <w:r w:rsidR="00463995" w:rsidRPr="0039065E">
        <w:rPr>
          <w:rFonts w:ascii="Calibri" w:hAnsi="Calibri"/>
          <w:sz w:val="22"/>
          <w:szCs w:val="22"/>
        </w:rPr>
        <w:t>actors a</w:t>
      </w:r>
      <w:r w:rsidR="002724CC" w:rsidRPr="0039065E">
        <w:rPr>
          <w:rFonts w:ascii="Calibri" w:hAnsi="Calibri"/>
          <w:sz w:val="22"/>
          <w:szCs w:val="22"/>
        </w:rPr>
        <w:t>ssociated with AIDS-</w:t>
      </w:r>
      <w:r w:rsidR="00463995" w:rsidRPr="0039065E">
        <w:rPr>
          <w:rFonts w:ascii="Calibri" w:hAnsi="Calibri"/>
          <w:sz w:val="22"/>
          <w:szCs w:val="22"/>
        </w:rPr>
        <w:t xml:space="preserve">defining </w:t>
      </w:r>
      <w:r w:rsidR="00562653" w:rsidRPr="0039065E">
        <w:rPr>
          <w:rFonts w:ascii="Calibri" w:hAnsi="Calibri"/>
          <w:sz w:val="22"/>
          <w:szCs w:val="22"/>
        </w:rPr>
        <w:t>conditions</w:t>
      </w:r>
      <w:r w:rsidR="00463995" w:rsidRPr="00586A0D">
        <w:rPr>
          <w:rFonts w:ascii="Calibri" w:hAnsi="Calibri"/>
          <w:sz w:val="22"/>
          <w:szCs w:val="22"/>
        </w:rPr>
        <w:t xml:space="preserve"> or HIV-associated</w:t>
      </w:r>
      <w:r w:rsidR="00C110DC" w:rsidRPr="00303F4F">
        <w:rPr>
          <w:rFonts w:ascii="Calibri" w:hAnsi="Calibri"/>
          <w:sz w:val="22"/>
          <w:szCs w:val="22"/>
        </w:rPr>
        <w:t xml:space="preserve"> mortality</w:t>
      </w:r>
      <w:r w:rsidR="00463995" w:rsidRPr="00303F4F">
        <w:rPr>
          <w:rFonts w:ascii="Calibri" w:hAnsi="Calibri"/>
          <w:sz w:val="22"/>
          <w:szCs w:val="22"/>
        </w:rPr>
        <w:t xml:space="preserve"> </w:t>
      </w:r>
      <w:r w:rsidR="003F0A59" w:rsidRPr="00303F4F">
        <w:rPr>
          <w:rFonts w:ascii="Calibri" w:hAnsi="Calibri"/>
          <w:sz w:val="22"/>
          <w:szCs w:val="22"/>
        </w:rPr>
        <w:t>among</w:t>
      </w:r>
      <w:r w:rsidR="000B7639" w:rsidRPr="00303F4F">
        <w:rPr>
          <w:rFonts w:ascii="Calibri" w:hAnsi="Calibri"/>
          <w:sz w:val="22"/>
          <w:szCs w:val="22"/>
        </w:rPr>
        <w:t xml:space="preserve"> </w:t>
      </w:r>
      <w:r w:rsidRPr="006F67B2">
        <w:rPr>
          <w:rFonts w:ascii="Calibri" w:hAnsi="Calibri"/>
          <w:sz w:val="22"/>
          <w:szCs w:val="22"/>
        </w:rPr>
        <w:t>patients with CD4 cell count of &lt;100 mm</w:t>
      </w:r>
      <w:r w:rsidRPr="006F67B2">
        <w:rPr>
          <w:rFonts w:ascii="Calibri" w:hAnsi="Calibri"/>
          <w:sz w:val="22"/>
          <w:szCs w:val="22"/>
          <w:vertAlign w:val="superscript"/>
        </w:rPr>
        <w:t>3</w:t>
      </w:r>
      <w:r w:rsidR="00430AF1" w:rsidRPr="006F67B2">
        <w:rPr>
          <w:rFonts w:ascii="Calibri" w:hAnsi="Calibri"/>
          <w:sz w:val="22"/>
          <w:szCs w:val="22"/>
        </w:rPr>
        <w:t xml:space="preserve"> at ART initiation </w:t>
      </w:r>
    </w:p>
    <w:tbl>
      <w:tblPr>
        <w:tblW w:w="137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376"/>
        <w:gridCol w:w="1318"/>
        <w:gridCol w:w="943"/>
        <w:gridCol w:w="811"/>
        <w:gridCol w:w="817"/>
        <w:gridCol w:w="693"/>
        <w:gridCol w:w="693"/>
        <w:gridCol w:w="698"/>
        <w:gridCol w:w="654"/>
        <w:gridCol w:w="567"/>
        <w:gridCol w:w="763"/>
        <w:gridCol w:w="765"/>
        <w:gridCol w:w="828"/>
      </w:tblGrid>
      <w:tr w:rsidR="0031468D" w:rsidRPr="0031468D" w14:paraId="4927A6FD" w14:textId="77777777" w:rsidTr="00F75A34">
        <w:trPr>
          <w:trHeight w:val="25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F20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025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Follow-up years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61C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No. of AIDS or deaths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292A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Rate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F80B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95% CI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7165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Univariate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20C3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Multivariate</w:t>
            </w:r>
          </w:p>
        </w:tc>
      </w:tr>
      <w:tr w:rsidR="0031468D" w:rsidRPr="0031468D" w14:paraId="5B16C463" w14:textId="77777777" w:rsidTr="00F75A34">
        <w:trPr>
          <w:trHeight w:val="9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231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C68D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C95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DF33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62B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C32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 xml:space="preserve">HR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27AE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95% CI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B6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p-value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497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 xml:space="preserve">HR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813F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95% CI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230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p-value</w:t>
            </w:r>
          </w:p>
        </w:tc>
      </w:tr>
      <w:tr w:rsidR="0031468D" w:rsidRPr="0031468D" w14:paraId="3E7884DD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0C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C7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2227.43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0B9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98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5.52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DE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8DC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5F6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47F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9C2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02D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07A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94C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4A4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9B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69D28460" w14:textId="77777777" w:rsidTr="00F75A34">
        <w:trPr>
          <w:trHeight w:val="25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EE2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Age at ART Initiation (years)                           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5C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D0C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4DB4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BC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D1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B8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8F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11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12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72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78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F1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BA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47298C91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558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Per 10 year increase in age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EA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2227.43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FD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123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AB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E4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DC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026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CE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48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FB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05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18F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D5D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4D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0.022</w:t>
            </w:r>
          </w:p>
        </w:tc>
      </w:tr>
      <w:tr w:rsidR="0031468D" w:rsidRPr="0031468D" w14:paraId="6DB1F1C9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F5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BB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BA43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AF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09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0B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2A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57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AA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D9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0CC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73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90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3C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4F7DEB1A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AA9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Male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9B4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1646.40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0E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62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65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593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E96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8C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38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80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6E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18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9D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D8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62C9DD13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D5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E3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581.03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D3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3C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07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2C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C6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F5E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D5C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1D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DD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1A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1F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C26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0.349</w:t>
            </w:r>
          </w:p>
        </w:tc>
      </w:tr>
      <w:tr w:rsidR="0031468D" w:rsidRPr="0031468D" w14:paraId="7A07EFD4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1A02" w14:textId="2C34681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HIV mode</w:t>
            </w:r>
            <w:r w:rsidR="003F0A5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of</w:t>
            </w: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exposure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C57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709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7F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BA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28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AF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0D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D6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44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80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344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D4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05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145F6C97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EA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Heterosexual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7EA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332.05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6B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4A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D6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43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10.06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4D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BF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68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0E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774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5E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DC3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98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2120B926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75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Homosexual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E1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1568.85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DB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CE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2D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30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6.84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DE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9A7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DA6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45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0C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10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D6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F4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0.984</w:t>
            </w:r>
          </w:p>
        </w:tc>
      </w:tr>
      <w:tr w:rsidR="0031468D" w:rsidRPr="0031468D" w14:paraId="773F3E40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5A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Other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A2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326.52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6E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D9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EF5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3D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7.24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F7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F7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8C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82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D0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50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3B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0E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0.310</w:t>
            </w:r>
          </w:p>
        </w:tc>
      </w:tr>
      <w:tr w:rsidR="0031468D" w:rsidRPr="0031468D" w14:paraId="73D8B77D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70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HBV status (n=1,041 tested)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880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E39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75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CD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6C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DE3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CB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4B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B3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15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8D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19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49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1422176F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B4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Negative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A3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1541.54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1A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A60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73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395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6.60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02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C2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0E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85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8A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38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FC3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0F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6FC26197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BD8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Positive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42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193.83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83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A2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5A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2.78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6C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C6B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D8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78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A2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587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C3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C8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88F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0.112</w:t>
            </w:r>
          </w:p>
        </w:tc>
      </w:tr>
      <w:tr w:rsidR="0031468D" w:rsidRPr="0031468D" w14:paraId="13B0B1C3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36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Missing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98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492.05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1D0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6F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BC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78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8.96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4B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AB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97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44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99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67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BA1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84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742F0BC4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D2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HCV status (n=981 tested)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38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2F8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C6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28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256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06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17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C6D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BA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03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65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CE8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47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471C6BB0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436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 xml:space="preserve">Negative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C1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1309.13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BC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48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CF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C5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BB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EC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1D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48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C2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B53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0C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B4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254BA821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A5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 xml:space="preserve">Positive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4E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266.00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73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B85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BF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84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5D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409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029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E1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F4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2EE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4E6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5EA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0.48</w:t>
            </w:r>
          </w:p>
        </w:tc>
      </w:tr>
      <w:tr w:rsidR="0031468D" w:rsidRPr="0031468D" w14:paraId="068815B7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3F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 xml:space="preserve">Missing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D91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652.29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B18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3C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4.75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08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81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D75B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5D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36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EE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421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857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0B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FDB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08AD6D7C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6F4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CD4 (cells/mm3)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3E5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057E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89B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73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C5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C8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65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A65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A5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ED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FF2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26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99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3CAE011E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98B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Per 10 cell increase in CD4 counts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58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2227.43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F6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74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5.52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42C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80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5C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08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04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85E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ED9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2B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3E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FC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0.001</w:t>
            </w:r>
          </w:p>
        </w:tc>
      </w:tr>
      <w:tr w:rsidR="0031468D" w:rsidRPr="0031468D" w14:paraId="41C62817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6F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Viral load (copies/ml)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EC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AE2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83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673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49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0A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9F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724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D3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A3F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7B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84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C6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742A2A95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50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≤ 100,000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DF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558.61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43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279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5.37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B92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3E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7.68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95D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14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71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95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CD2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52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7B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292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3288361D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48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≥ 100,000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0FB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764.97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491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84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6.27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C7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F4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8.33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5B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78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E96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27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74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86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65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14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0.863</w:t>
            </w:r>
          </w:p>
        </w:tc>
      </w:tr>
      <w:tr w:rsidR="0031468D" w:rsidRPr="0031468D" w14:paraId="0601AF4F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57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Missing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BC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903.85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8D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9B4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4.98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22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38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6.67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79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A04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45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52E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3E1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A77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A8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2D4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0187E05E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75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Prior AIDS diagnosis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31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ABC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5A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CA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A10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58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ED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B9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624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F51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E2C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72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3B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5580F967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20E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None known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5DD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1247.85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00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37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4.49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B5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879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5.83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00B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AF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01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50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6E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72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44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6B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2677983E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13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FAE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979.58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F0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63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6.84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08F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5.38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F6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8.69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3C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0C5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36C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F2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07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B62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DD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3B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0.119</w:t>
            </w:r>
          </w:p>
        </w:tc>
      </w:tr>
      <w:tr w:rsidR="0031468D" w:rsidRPr="0031468D" w14:paraId="5D352DE0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31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ART Regimen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BD7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073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D845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FD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AC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6A0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B7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543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28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A2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09B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322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66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790EC7A4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C423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NNRTI-based therapy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3C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1904.99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D2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B87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5.25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93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BD0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6.39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17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1F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D3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F0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16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2F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63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04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4CEB2B79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A1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Other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41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322.44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5F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79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861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D4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10.73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C23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FFB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B32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DF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94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79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88F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86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0.776</w:t>
            </w:r>
          </w:p>
        </w:tc>
      </w:tr>
      <w:tr w:rsidR="0031468D" w:rsidRPr="0031468D" w14:paraId="5F65E143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900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Macrolide use at baseline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86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2F0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442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20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D17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527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C0E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72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EA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007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D39B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20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DB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024A6804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A3E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EB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2122.73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40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104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8C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08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5D4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5.94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0B2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34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34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09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D7D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89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33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FF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363BBC68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14C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006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104.70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50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C0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18.15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DEB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11.58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5B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28.45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E49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CA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7D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2.87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E5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EF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EB8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ADC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CB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0.217</w:t>
            </w:r>
          </w:p>
        </w:tc>
      </w:tr>
      <w:tr w:rsidR="0031468D" w:rsidRPr="0031468D" w14:paraId="1D4519D9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55D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Cotrimoxazole use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3A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0580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D812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27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50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1ED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274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9D2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D80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460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4A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8ED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C2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1D036D42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00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410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1255.99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FB9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8D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5.65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79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17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7.13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F5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651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34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0E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91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FE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D7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BD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497291EB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D44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DB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971.44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74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608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5.35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58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16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7.02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5DF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4C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9CE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27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45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19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781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87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0.015</w:t>
            </w:r>
          </w:p>
        </w:tc>
      </w:tr>
      <w:tr w:rsidR="0031468D" w:rsidRPr="0031468D" w14:paraId="5D892BAD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B6CB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Other chemoprophylaxis use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C1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D018" w14:textId="77777777" w:rsidR="00B87AB8" w:rsidRPr="0031468D" w:rsidRDefault="00B87AB8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E96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94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54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C3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27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166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1FA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561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C0BF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64D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CC8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31468D" w:rsidRPr="0031468D" w14:paraId="6132DA51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1F9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4D67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1571.51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2A4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D909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4.77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EFA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3.81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60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5.98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E8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20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F4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D36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0A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6C6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BF2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75E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31468D" w:rsidRPr="0031468D" w14:paraId="0B72592A" w14:textId="77777777" w:rsidTr="00F75A34">
        <w:trPr>
          <w:trHeight w:val="2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5F7" w14:textId="77777777" w:rsidR="00B87AB8" w:rsidRPr="0031468D" w:rsidRDefault="00B87AB8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9A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655.92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E8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3E61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7.32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ECD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5.51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E2F78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9.71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001D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11335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945A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7BB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E31F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1593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5EE0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1.64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33C" w14:textId="77777777" w:rsidR="00B87AB8" w:rsidRPr="0031468D" w:rsidRDefault="00B87AB8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68D">
              <w:rPr>
                <w:rFonts w:ascii="Calibri" w:eastAsia="Times New Roman" w:hAnsi="Calibri" w:cs="Times New Roman"/>
                <w:sz w:val="18"/>
                <w:szCs w:val="18"/>
              </w:rPr>
              <w:t>0.886</w:t>
            </w:r>
          </w:p>
        </w:tc>
      </w:tr>
    </w:tbl>
    <w:p w14:paraId="0D76CAC6" w14:textId="0F738FC3" w:rsidR="00A432FA" w:rsidRPr="0031468D" w:rsidRDefault="006C4B63" w:rsidP="009F08B0">
      <w:pPr>
        <w:shd w:val="clear" w:color="auto" w:fill="FFFFFF" w:themeFill="background1"/>
        <w:rPr>
          <w:rFonts w:ascii="Calibri" w:hAnsi="Calibri"/>
          <w:sz w:val="20"/>
          <w:szCs w:val="20"/>
        </w:rPr>
        <w:sectPr w:rsidR="00A432FA" w:rsidRPr="0031468D" w:rsidSect="009F08B0">
          <w:footerReference w:type="default" r:id="rId10"/>
          <w:pgSz w:w="15840" w:h="12240" w:orient="landscape"/>
          <w:pgMar w:top="567" w:right="851" w:bottom="567" w:left="851" w:header="397" w:footer="709" w:gutter="0"/>
          <w:cols w:space="708"/>
          <w:docGrid w:linePitch="360"/>
        </w:sectPr>
      </w:pPr>
      <w:r w:rsidRPr="0031468D">
        <w:rPr>
          <w:rFonts w:ascii="Calibri" w:hAnsi="Calibri"/>
          <w:sz w:val="18"/>
          <w:szCs w:val="18"/>
        </w:rPr>
        <w:t>*</w:t>
      </w:r>
      <w:r w:rsidR="00C43E8F" w:rsidRPr="0031468D">
        <w:rPr>
          <w:rFonts w:ascii="Calibri" w:hAnsi="Calibri"/>
          <w:sz w:val="18"/>
          <w:szCs w:val="18"/>
        </w:rPr>
        <w:t>Patients with missing data were included but hazard ratio (HRs) for missing categories are not reported.</w:t>
      </w:r>
      <w:r w:rsidR="002134F6" w:rsidRPr="0031468D">
        <w:rPr>
          <w:rFonts w:ascii="Calibri" w:hAnsi="Calibri"/>
          <w:sz w:val="18"/>
          <w:szCs w:val="18"/>
        </w:rPr>
        <w:t xml:space="preserve"> </w:t>
      </w:r>
      <w:r w:rsidR="00C203A4" w:rsidRPr="0031468D">
        <w:rPr>
          <w:rFonts w:ascii="Calibri" w:hAnsi="Calibri"/>
          <w:sz w:val="18"/>
          <w:szCs w:val="18"/>
        </w:rPr>
        <w:t>Despite not reaching</w:t>
      </w:r>
      <w:r w:rsidR="00E006A5">
        <w:rPr>
          <w:rFonts w:ascii="Calibri" w:hAnsi="Calibri"/>
          <w:sz w:val="18"/>
          <w:szCs w:val="18"/>
        </w:rPr>
        <w:t xml:space="preserve"> </w:t>
      </w:r>
      <w:r w:rsidR="00C203A4" w:rsidRPr="0031468D">
        <w:rPr>
          <w:rFonts w:ascii="Calibri" w:hAnsi="Calibri"/>
          <w:sz w:val="18"/>
          <w:szCs w:val="18"/>
        </w:rPr>
        <w:t>significance</w:t>
      </w:r>
      <w:r w:rsidR="004B4FB4" w:rsidRPr="0031468D">
        <w:rPr>
          <w:rFonts w:ascii="Calibri" w:hAnsi="Calibri"/>
          <w:sz w:val="18"/>
          <w:szCs w:val="18"/>
        </w:rPr>
        <w:t xml:space="preserve"> in the univariate analysis</w:t>
      </w:r>
      <w:r w:rsidR="00C203A4" w:rsidRPr="0031468D">
        <w:rPr>
          <w:rFonts w:ascii="Calibri" w:hAnsi="Calibri"/>
          <w:sz w:val="18"/>
          <w:szCs w:val="18"/>
        </w:rPr>
        <w:t>, macrolide use and cotrimoxazole use were included</w:t>
      </w:r>
      <w:r w:rsidR="00DC7BAD" w:rsidRPr="0031468D">
        <w:rPr>
          <w:rFonts w:ascii="Calibri" w:hAnsi="Calibri"/>
          <w:sz w:val="18"/>
          <w:szCs w:val="18"/>
        </w:rPr>
        <w:t xml:space="preserve"> in the multivariate analysis.</w:t>
      </w:r>
      <w:r w:rsidR="00C203A4" w:rsidRPr="0031468D">
        <w:rPr>
          <w:rFonts w:ascii="Calibri" w:hAnsi="Calibri"/>
          <w:sz w:val="18"/>
          <w:szCs w:val="18"/>
        </w:rPr>
        <w:t xml:space="preserve"> </w:t>
      </w:r>
      <w:r w:rsidR="00A432FA">
        <w:rPr>
          <w:rFonts w:ascii="Calibri" w:hAnsi="Calibri"/>
          <w:sz w:val="18"/>
          <w:szCs w:val="18"/>
        </w:rPr>
        <w:t>ART=antiretroviral therapy, NNRTI=non-nucleoside reverse transcriptase inhibit</w:t>
      </w:r>
    </w:p>
    <w:p w14:paraId="195C7CD0" w14:textId="62F3D955" w:rsidR="00EC7C36" w:rsidRPr="0031468D" w:rsidRDefault="00EC7C36" w:rsidP="006F67B2">
      <w:p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31468D">
        <w:rPr>
          <w:rFonts w:ascii="Calibri" w:hAnsi="Calibri"/>
          <w:sz w:val="22"/>
          <w:szCs w:val="22"/>
        </w:rPr>
        <w:lastRenderedPageBreak/>
        <w:t xml:space="preserve">Table </w:t>
      </w:r>
      <w:r w:rsidR="00A965C5" w:rsidRPr="0031468D">
        <w:rPr>
          <w:rFonts w:ascii="Calibri" w:hAnsi="Calibri"/>
          <w:sz w:val="22"/>
          <w:szCs w:val="22"/>
        </w:rPr>
        <w:t>3</w:t>
      </w:r>
      <w:r w:rsidRPr="0031468D">
        <w:rPr>
          <w:rFonts w:ascii="Calibri" w:hAnsi="Calibri"/>
          <w:sz w:val="22"/>
          <w:szCs w:val="22"/>
        </w:rPr>
        <w:t xml:space="preserve">. Risk </w:t>
      </w:r>
      <w:r w:rsidR="00E85264">
        <w:rPr>
          <w:rFonts w:ascii="Calibri" w:hAnsi="Calibri"/>
          <w:sz w:val="22"/>
          <w:szCs w:val="22"/>
        </w:rPr>
        <w:t>fa</w:t>
      </w:r>
      <w:r w:rsidRPr="0031468D">
        <w:rPr>
          <w:rFonts w:ascii="Calibri" w:hAnsi="Calibri"/>
          <w:sz w:val="22"/>
          <w:szCs w:val="22"/>
        </w:rPr>
        <w:t xml:space="preserve">ctors associated with </w:t>
      </w:r>
      <w:r w:rsidR="00C110DC" w:rsidRPr="0031468D">
        <w:rPr>
          <w:rFonts w:ascii="Calibri" w:hAnsi="Calibri"/>
          <w:sz w:val="22"/>
          <w:szCs w:val="22"/>
        </w:rPr>
        <w:t>HIV</w:t>
      </w:r>
      <w:r w:rsidRPr="0031468D">
        <w:rPr>
          <w:rFonts w:ascii="Calibri" w:hAnsi="Calibri"/>
          <w:sz w:val="22"/>
          <w:szCs w:val="22"/>
        </w:rPr>
        <w:t xml:space="preserve">-associated mortality </w:t>
      </w:r>
      <w:r w:rsidR="003F0A59">
        <w:rPr>
          <w:rFonts w:ascii="Calibri" w:hAnsi="Calibri"/>
          <w:sz w:val="22"/>
          <w:szCs w:val="22"/>
        </w:rPr>
        <w:t xml:space="preserve">among </w:t>
      </w:r>
      <w:r w:rsidRPr="0031468D">
        <w:rPr>
          <w:rFonts w:ascii="Calibri" w:hAnsi="Calibri"/>
          <w:sz w:val="22"/>
          <w:szCs w:val="22"/>
        </w:rPr>
        <w:t xml:space="preserve">patients with CD4 </w:t>
      </w:r>
      <w:r w:rsidR="00B873C2">
        <w:rPr>
          <w:rFonts w:ascii="Calibri" w:hAnsi="Calibri"/>
          <w:sz w:val="22"/>
          <w:szCs w:val="22"/>
        </w:rPr>
        <w:t xml:space="preserve">cell </w:t>
      </w:r>
      <w:r w:rsidRPr="0031468D">
        <w:rPr>
          <w:rFonts w:ascii="Calibri" w:hAnsi="Calibri"/>
          <w:sz w:val="22"/>
          <w:szCs w:val="22"/>
        </w:rPr>
        <w:t xml:space="preserve">count &lt;100 </w:t>
      </w:r>
      <w:r w:rsidR="0039065E">
        <w:rPr>
          <w:rFonts w:ascii="Calibri" w:hAnsi="Calibri"/>
          <w:sz w:val="22"/>
          <w:szCs w:val="22"/>
        </w:rPr>
        <w:t>cells/</w:t>
      </w:r>
      <w:r w:rsidRPr="0031468D">
        <w:rPr>
          <w:rFonts w:ascii="Calibri" w:hAnsi="Calibri"/>
          <w:sz w:val="22"/>
          <w:szCs w:val="22"/>
        </w:rPr>
        <w:t>mm</w:t>
      </w:r>
      <w:r w:rsidRPr="0031468D">
        <w:rPr>
          <w:rFonts w:ascii="Calibri" w:hAnsi="Calibri"/>
          <w:sz w:val="22"/>
          <w:szCs w:val="22"/>
          <w:vertAlign w:val="superscript"/>
        </w:rPr>
        <w:t>3</w:t>
      </w:r>
      <w:r w:rsidR="00E006A5">
        <w:rPr>
          <w:rFonts w:ascii="Calibri" w:hAnsi="Calibri"/>
          <w:sz w:val="22"/>
          <w:szCs w:val="22"/>
        </w:rPr>
        <w:t xml:space="preserve"> at ART initiation </w:t>
      </w:r>
    </w:p>
    <w:tbl>
      <w:tblPr>
        <w:tblW w:w="14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836"/>
        <w:gridCol w:w="1073"/>
        <w:gridCol w:w="973"/>
        <w:gridCol w:w="973"/>
        <w:gridCol w:w="830"/>
        <w:gridCol w:w="707"/>
        <w:gridCol w:w="567"/>
        <w:gridCol w:w="795"/>
        <w:gridCol w:w="623"/>
        <w:gridCol w:w="850"/>
        <w:gridCol w:w="851"/>
        <w:gridCol w:w="834"/>
      </w:tblGrid>
      <w:tr w:rsidR="0031468D" w:rsidRPr="0031468D" w14:paraId="04660E2D" w14:textId="77777777" w:rsidTr="00F75A34">
        <w:trPr>
          <w:trHeight w:val="1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9236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20E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Follow-up years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DDE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Deaths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A2FC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 xml:space="preserve">Rate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88A0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95% CI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04E4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Univariate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376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Multivariate</w:t>
            </w:r>
          </w:p>
        </w:tc>
      </w:tr>
      <w:tr w:rsidR="0031468D" w:rsidRPr="0031468D" w14:paraId="59098D21" w14:textId="77777777" w:rsidTr="00F75A34">
        <w:trPr>
          <w:trHeight w:val="7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2B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489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F2B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282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137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8CC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 xml:space="preserve">HR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923F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(95%CI)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09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p-value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60E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 xml:space="preserve">HR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9F81" w14:textId="77777777" w:rsidR="0047544A" w:rsidRPr="0031468D" w:rsidRDefault="0047544A" w:rsidP="0031468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(95%CI)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D2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p-value</w:t>
            </w:r>
          </w:p>
        </w:tc>
      </w:tr>
      <w:tr w:rsidR="0031468D" w:rsidRPr="0031468D" w14:paraId="63509F14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FFA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Total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39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2381.90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0E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5B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7F5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4E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60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6E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E1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21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0A4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75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C8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7E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4C54F9E7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A44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Age at ART Initiation (years)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B6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232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66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0B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E9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81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FF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74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5D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9C7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6F6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02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06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74D681F3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E36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Per 10 year increase in age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05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2381.90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6F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1F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7B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AB6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1B8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22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28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F2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0.133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0E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94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B6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7B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0.153</w:t>
            </w:r>
          </w:p>
        </w:tc>
      </w:tr>
      <w:tr w:rsidR="0031468D" w:rsidRPr="0031468D" w14:paraId="72D2511B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BD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Sex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3E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8F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EA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2B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5F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ED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0F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E6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BD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9E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5ED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71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F3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401F0BD2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2D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Male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47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1766.92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BC1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A9E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A31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99D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3.28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FC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641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8E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79D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79E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6F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34A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0B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0BAF0DAC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3D2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33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614.98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2BF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A1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E6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9FC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3.64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33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32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29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42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8F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35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7C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EF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0.788</w:t>
            </w:r>
          </w:p>
        </w:tc>
      </w:tr>
      <w:tr w:rsidR="0031468D" w:rsidRPr="0031468D" w14:paraId="4890EFA5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998" w14:textId="7CE81193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HIV mode</w:t>
            </w:r>
            <w:r w:rsidR="003F0A59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of</w:t>
            </w: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exposure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93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9B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10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BA6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F9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EB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9F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CCD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E1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3C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EB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518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44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42AA74D7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D5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Heterosexual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89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356.14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9A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3F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AF7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DF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4.86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E5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78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0DA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06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C1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04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2C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16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59C8F9D8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45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Homosexual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4F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1675.06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D9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9A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38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30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89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96D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B4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64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3D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FDF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51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34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0.707</w:t>
            </w:r>
          </w:p>
        </w:tc>
      </w:tr>
      <w:tr w:rsidR="0031468D" w:rsidRPr="0031468D" w14:paraId="59E98294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A82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Other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A4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350.70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87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B82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8B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29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5.30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A4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A3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B2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F5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0.639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9B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21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47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68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0.786</w:t>
            </w:r>
          </w:p>
        </w:tc>
      </w:tr>
      <w:tr w:rsidR="0031468D" w:rsidRPr="0031468D" w14:paraId="61E32718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C0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HBV status (n=1,041 tested)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F28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2A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C9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F9E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E7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4D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D1B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21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18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F3D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56B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79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088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06010B01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90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92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1654.09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30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1C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39D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1.47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10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2.88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3E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1E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F32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DF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40D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795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87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BC0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7AA831FE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56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7B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205.97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1B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67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46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21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6.48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1E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DF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FA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59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0.411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D20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B1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37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C61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0.635</w:t>
            </w:r>
          </w:p>
        </w:tc>
      </w:tr>
      <w:tr w:rsidR="0031468D" w:rsidRPr="0031468D" w14:paraId="61BFACF3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9D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DA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521.84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39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07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52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B68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2A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2E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A8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77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E5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BF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6B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6.23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B7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0.226</w:t>
            </w:r>
          </w:p>
        </w:tc>
      </w:tr>
      <w:tr w:rsidR="0031468D" w:rsidRPr="0031468D" w14:paraId="306DC62B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DC5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HCV status (n=981 tested)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FD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B3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8A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34C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608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57C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9C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BAF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2C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BD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53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6C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6C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43686DB7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31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 xml:space="preserve">Negative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08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1402.81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FE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98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998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86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8F2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E64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BEC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C4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C52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F9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F1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F7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1E6CA43D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EBD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 xml:space="preserve">Positive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8D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291.04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820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A1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D4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917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6.82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0C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F3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F7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6.63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58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599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B6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02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8.85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7B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0.145</w:t>
            </w:r>
          </w:p>
        </w:tc>
      </w:tr>
      <w:tr w:rsidR="0031468D" w:rsidRPr="0031468D" w14:paraId="4466F313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C3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 xml:space="preserve">Missing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14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688.05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0B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A9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05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13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3.62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D4C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6C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F4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05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00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E0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B1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B2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66FE410B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0AA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CD4 (cells/mm3)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DE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308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A36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53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A3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B7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C1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65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12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34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E45C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812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5F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43887CE4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2C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Per 10 cell increase in CD4 counts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DF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2381.90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7B9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26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41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0DC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74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00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CB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1C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&lt;0.001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DA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049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91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3B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&lt;0.001</w:t>
            </w:r>
          </w:p>
        </w:tc>
      </w:tr>
      <w:tr w:rsidR="0031468D" w:rsidRPr="0031468D" w14:paraId="232C1CCF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23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Viral load (copies/ml)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38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AC8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66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3A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1F6C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D1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07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4A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E76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D6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114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73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F5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39BA52F1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02D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≤ 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E6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1444.21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3B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17.00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C9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0E8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8A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12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4B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78E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C9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6E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4B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11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06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75F72380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8A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≥ 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A2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347.12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D32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18.00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AD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F2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A8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8.23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90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BE7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27D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4.66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F1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B282" w14:textId="44C22BD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CB96" w14:textId="179396B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9B2" w14:textId="5E6313A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</w:t>
            </w:r>
            <w:r w:rsidR="00C06F43" w:rsidRPr="0031468D">
              <w:rPr>
                <w:rFonts w:ascii="Calibri" w:eastAsia="Times New Roman" w:hAnsi="Calibri" w:cs="Times New Roman"/>
                <w:sz w:val="19"/>
                <w:szCs w:val="19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36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0.796</w:t>
            </w:r>
          </w:p>
        </w:tc>
      </w:tr>
      <w:tr w:rsidR="0031468D" w:rsidRPr="0031468D" w14:paraId="16A48496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5F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Missing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574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590.58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E0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21.00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76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75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1A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5.45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94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77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61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77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709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00D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EB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82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1A4C624D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381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Prior AIDS diagnosis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29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65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14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00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0F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70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31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2FC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B0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25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8C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D2A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F4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5D5A56EA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DB5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None known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1B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1343.92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FA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32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0BB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5D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1.94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CF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6E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C24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9A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9CB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1B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0B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6C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6E1FA00B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8C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Yes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2F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1037.98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F0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AE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25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D2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5.25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DB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1B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7FF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CD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&lt;0.001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AF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FAC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DC7" w14:textId="0754FC7C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14.87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166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&lt;0.001</w:t>
            </w:r>
          </w:p>
        </w:tc>
      </w:tr>
      <w:tr w:rsidR="0031468D" w:rsidRPr="0031468D" w14:paraId="487960C6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76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ART Regimen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23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00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FB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97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C1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89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BB8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7C4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0D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53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B7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A8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1D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70A2A66D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59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NNRTI-based therapy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42C" w14:textId="12A644B0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2038.66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D5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47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3464" w14:textId="7D18BB15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2.3</w:t>
            </w:r>
            <w:r w:rsidR="00C06F43" w:rsidRPr="0031468D">
              <w:rPr>
                <w:rFonts w:ascii="Calibri" w:eastAsia="Times New Roman" w:hAnsi="Calibri" w:cs="Times New Roman"/>
                <w:sz w:val="19"/>
                <w:szCs w:val="19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C39C" w14:textId="2640CF4B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500" w14:textId="578DF8E2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</w:t>
            </w:r>
            <w:r w:rsidR="00C06F43" w:rsidRPr="0031468D">
              <w:rPr>
                <w:rFonts w:ascii="Calibri" w:eastAsia="Times New Roman" w:hAnsi="Calibri" w:cs="Times New Roman"/>
                <w:sz w:val="19"/>
                <w:szCs w:val="19"/>
              </w:rPr>
              <w:t>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5D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FF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97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0C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DB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4A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AB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D7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4AC8B6D4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864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Other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42D" w14:textId="13B3D810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343.23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8C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09B" w14:textId="33AEF6D9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2.62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CE1" w14:textId="51695593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405" w14:textId="6431C658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5.0</w:t>
            </w:r>
            <w:r w:rsidR="00C06F43" w:rsidRPr="0031468D">
              <w:rPr>
                <w:rFonts w:ascii="Calibri" w:eastAsia="Times New Roman" w:hAnsi="Calibri" w:cs="Times New Roman"/>
                <w:sz w:val="19"/>
                <w:szCs w:val="19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D50" w14:textId="2580FA48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CAD" w14:textId="0D8900D1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0ED" w14:textId="7AD9B88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A4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0.974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0F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8F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DF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11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0.786</w:t>
            </w:r>
          </w:p>
        </w:tc>
      </w:tr>
      <w:tr w:rsidR="0031468D" w:rsidRPr="0031468D" w14:paraId="1E2D44A0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AF1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Macrolide use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070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67F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E9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E9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8F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D3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68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75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C2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A88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DA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034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68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5B737DF6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757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05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2266.57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DD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95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43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1.79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AC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93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B5A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6B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6D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3A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9D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21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EC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708EDAE7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3F6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Yes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D2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115.33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A2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8B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BA4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B8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8.07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2C6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29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9F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63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DA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0B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5B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49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0.034</w:t>
            </w:r>
          </w:p>
        </w:tc>
      </w:tr>
      <w:tr w:rsidR="0031468D" w:rsidRPr="0031468D" w14:paraId="4E90CA4E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11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Cotrimoxazole use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FC8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95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A2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672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09CF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0E3B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AF1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DC9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4A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65E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98C6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AF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97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68C95952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C2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07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1351.89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FE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BAA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C0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1.49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1B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3.09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898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0B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7B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FC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587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B5A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7B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35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470A0116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B0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 xml:space="preserve">Yes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607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1030.01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CC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53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2.62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3F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1.80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35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16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0.57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6D4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36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F0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0.054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DEB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BF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6D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44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0.003</w:t>
            </w:r>
          </w:p>
        </w:tc>
      </w:tr>
      <w:tr w:rsidR="0031468D" w:rsidRPr="0031468D" w14:paraId="3BBB2211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98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Other chemoprophylaxis use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4B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523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0B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4BE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BF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D52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79F5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93B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938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150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E34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95A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79D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</w:p>
        </w:tc>
      </w:tr>
      <w:tr w:rsidR="0031468D" w:rsidRPr="0031468D" w14:paraId="01ABE757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37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0C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1670.56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5D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0A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D9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1.40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AE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2.78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9BB1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91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FC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84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BC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07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CBB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58E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-</w:t>
            </w:r>
          </w:p>
        </w:tc>
      </w:tr>
      <w:tr w:rsidR="0031468D" w:rsidRPr="0031468D" w14:paraId="01468441" w14:textId="77777777" w:rsidTr="00F75A34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A469" w14:textId="77777777" w:rsidR="0047544A" w:rsidRPr="0031468D" w:rsidRDefault="0047544A" w:rsidP="0031468D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Yes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5A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711.34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D8B9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A6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3.23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BE33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C5C48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4.87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0102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952C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A4F4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1B06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0.551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B515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C2DD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08920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2.49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FBF" w14:textId="77777777" w:rsidR="0047544A" w:rsidRPr="0031468D" w:rsidRDefault="0047544A" w:rsidP="0031468D">
            <w:pPr>
              <w:shd w:val="clear" w:color="auto" w:fill="FFFFFF" w:themeFill="background1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31468D">
              <w:rPr>
                <w:rFonts w:ascii="Calibri" w:eastAsia="Times New Roman" w:hAnsi="Calibri" w:cs="Times New Roman"/>
                <w:sz w:val="19"/>
                <w:szCs w:val="19"/>
              </w:rPr>
              <w:t>0.721</w:t>
            </w:r>
          </w:p>
        </w:tc>
      </w:tr>
    </w:tbl>
    <w:p w14:paraId="3E1A74C8" w14:textId="77777777" w:rsidR="00A432FA" w:rsidRPr="0031468D" w:rsidRDefault="00DE3DF8" w:rsidP="009F08B0">
      <w:pPr>
        <w:shd w:val="clear" w:color="auto" w:fill="FFFFFF" w:themeFill="background1"/>
        <w:jc w:val="both"/>
        <w:rPr>
          <w:rFonts w:ascii="Calibri" w:hAnsi="Calibri"/>
          <w:sz w:val="18"/>
          <w:szCs w:val="18"/>
        </w:rPr>
      </w:pPr>
      <w:r w:rsidRPr="0031468D">
        <w:rPr>
          <w:rFonts w:ascii="Calibri" w:hAnsi="Calibri"/>
          <w:sz w:val="18"/>
          <w:szCs w:val="18"/>
        </w:rPr>
        <w:t>*Patients with missing data were included but hazard ratio (HRs) for missing categories are not reported</w:t>
      </w:r>
      <w:r w:rsidR="00C203A4" w:rsidRPr="0031468D">
        <w:rPr>
          <w:rFonts w:ascii="Calibri" w:hAnsi="Calibri"/>
          <w:sz w:val="18"/>
          <w:szCs w:val="18"/>
        </w:rPr>
        <w:t>.</w:t>
      </w:r>
      <w:r w:rsidR="00A432FA">
        <w:rPr>
          <w:rFonts w:ascii="Calibri" w:hAnsi="Calibri"/>
          <w:sz w:val="18"/>
          <w:szCs w:val="18"/>
        </w:rPr>
        <w:t xml:space="preserve"> ART=antiretroviral therapy, NNRTI=non-nucleoside reverse transcriptase inhibitor</w:t>
      </w:r>
      <w:r w:rsidR="00A432FA" w:rsidRPr="0031468D">
        <w:rPr>
          <w:rFonts w:ascii="Calibri" w:hAnsi="Calibri"/>
          <w:sz w:val="18"/>
          <w:szCs w:val="18"/>
        </w:rPr>
        <w:t>.</w:t>
      </w:r>
    </w:p>
    <w:p w14:paraId="17FEE56A" w14:textId="77777777" w:rsidR="00A432FA" w:rsidRPr="0031468D" w:rsidRDefault="00A432FA" w:rsidP="00A432FA">
      <w:pPr>
        <w:shd w:val="clear" w:color="auto" w:fill="FFFFFF" w:themeFill="background1"/>
        <w:rPr>
          <w:rFonts w:ascii="Calibri" w:hAnsi="Calibri"/>
          <w:sz w:val="20"/>
          <w:szCs w:val="20"/>
        </w:rPr>
        <w:sectPr w:rsidR="00A432FA" w:rsidRPr="0031468D" w:rsidSect="009F08B0">
          <w:footerReference w:type="default" r:id="rId11"/>
          <w:pgSz w:w="15840" w:h="12240" w:orient="landscape"/>
          <w:pgMar w:top="567" w:right="851" w:bottom="567" w:left="851" w:header="709" w:footer="709" w:gutter="0"/>
          <w:cols w:space="708"/>
          <w:docGrid w:linePitch="360"/>
        </w:sectPr>
      </w:pPr>
    </w:p>
    <w:p w14:paraId="22163F75" w14:textId="4319568F" w:rsidR="00DE3DF8" w:rsidRPr="0031468D" w:rsidRDefault="00DE3DF8" w:rsidP="0031468D">
      <w:pPr>
        <w:shd w:val="clear" w:color="auto" w:fill="FFFFFF" w:themeFill="background1"/>
        <w:ind w:right="-306" w:hanging="567"/>
        <w:rPr>
          <w:rFonts w:ascii="Calibri" w:hAnsi="Calibri"/>
          <w:sz w:val="18"/>
          <w:szCs w:val="18"/>
        </w:rPr>
      </w:pPr>
    </w:p>
    <w:p w14:paraId="042B3035" w14:textId="2FE29AC8" w:rsidR="00A965C5" w:rsidRPr="0031468D" w:rsidRDefault="00024FC3" w:rsidP="0031468D">
      <w:pPr>
        <w:shd w:val="clear" w:color="auto" w:fill="FFFFFF" w:themeFill="background1"/>
        <w:ind w:right="-306" w:hanging="567"/>
        <w:rPr>
          <w:rFonts w:ascii="Calibri" w:hAnsi="Calibri"/>
          <w:sz w:val="18"/>
          <w:szCs w:val="18"/>
        </w:rPr>
      </w:pPr>
      <w:r w:rsidRPr="0031468D">
        <w:rPr>
          <w:rFonts w:ascii="Calibri" w:hAnsi="Calibri"/>
          <w:noProof/>
          <w:sz w:val="18"/>
          <w:szCs w:val="18"/>
          <w:lang w:val="en-US"/>
        </w:rPr>
        <w:drawing>
          <wp:anchor distT="0" distB="0" distL="114300" distR="114300" simplePos="0" relativeHeight="251680768" behindDoc="0" locked="0" layoutInCell="1" allowOverlap="1" wp14:anchorId="37916003" wp14:editId="1BBCB8BF">
            <wp:simplePos x="0" y="0"/>
            <wp:positionH relativeFrom="column">
              <wp:posOffset>358140</wp:posOffset>
            </wp:positionH>
            <wp:positionV relativeFrom="paragraph">
              <wp:posOffset>701675</wp:posOffset>
            </wp:positionV>
            <wp:extent cx="3464560" cy="2519680"/>
            <wp:effectExtent l="25400" t="25400" r="15240" b="20320"/>
            <wp:wrapThrough wrapText="bothSides">
              <wp:wrapPolygon edited="0">
                <wp:start x="-158" y="-218"/>
                <wp:lineTo x="-158" y="21556"/>
                <wp:lineTo x="21537" y="21556"/>
                <wp:lineTo x="21537" y="-218"/>
                <wp:lineTo x="-158" y="-21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19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68D">
        <w:rPr>
          <w:rFonts w:ascii="Calibri" w:hAnsi="Calibri"/>
          <w:noProof/>
          <w:sz w:val="18"/>
          <w:szCs w:val="18"/>
          <w:lang w:val="en-US"/>
        </w:rPr>
        <w:drawing>
          <wp:anchor distT="0" distB="0" distL="114300" distR="114300" simplePos="0" relativeHeight="251681792" behindDoc="0" locked="0" layoutInCell="1" allowOverlap="1" wp14:anchorId="79A8624A" wp14:editId="03005681">
            <wp:simplePos x="0" y="0"/>
            <wp:positionH relativeFrom="column">
              <wp:posOffset>4210050</wp:posOffset>
            </wp:positionH>
            <wp:positionV relativeFrom="paragraph">
              <wp:posOffset>695960</wp:posOffset>
            </wp:positionV>
            <wp:extent cx="3561715" cy="2589530"/>
            <wp:effectExtent l="25400" t="25400" r="19685" b="26670"/>
            <wp:wrapThrough wrapText="bothSides">
              <wp:wrapPolygon edited="0">
                <wp:start x="-154" y="-212"/>
                <wp:lineTo x="-154" y="21611"/>
                <wp:lineTo x="21565" y="21611"/>
                <wp:lineTo x="21565" y="-212"/>
                <wp:lineTo x="-154" y="-212"/>
              </wp:wrapPolygon>
            </wp:wrapThrough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5895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497F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7A7ADF57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11B1A2C8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3754AAB4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2A6AAF27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548005D8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9443F46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552F483E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16013F2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32EDF281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741DD811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19A0D84D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122EF4CA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590E44E9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3B9960E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0CB739C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35901289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0F0956D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0F5E2CF3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328509BC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25E87291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01C4D423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784921DB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52C2C16F" w14:textId="2358AB9F" w:rsidR="00A965C5" w:rsidRPr="0031468D" w:rsidRDefault="006F67B2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  <w:r w:rsidRPr="0031468D">
        <w:rPr>
          <w:rFonts w:ascii="Calibri" w:hAnsi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29191" wp14:editId="51A484E0">
                <wp:simplePos x="0" y="0"/>
                <wp:positionH relativeFrom="column">
                  <wp:posOffset>269240</wp:posOffset>
                </wp:positionH>
                <wp:positionV relativeFrom="paragraph">
                  <wp:posOffset>100965</wp:posOffset>
                </wp:positionV>
                <wp:extent cx="7585075" cy="447040"/>
                <wp:effectExtent l="0" t="0" r="0" b="0"/>
                <wp:wrapThrough wrapText="bothSides">
                  <wp:wrapPolygon edited="0">
                    <wp:start x="181" y="614"/>
                    <wp:lineTo x="181" y="20250"/>
                    <wp:lineTo x="21410" y="20250"/>
                    <wp:lineTo x="21410" y="614"/>
                    <wp:lineTo x="181" y="614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507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B0D1E" w14:textId="65575927" w:rsidR="00A432FA" w:rsidRPr="0058470A" w:rsidRDefault="00A432FA" w:rsidP="009A3DF9">
                            <w:pPr>
                              <w:ind w:left="709" w:hanging="709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igure 1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A3DF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Pat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ients with CD4 count &lt;100</w:t>
                            </w:r>
                            <w:r w:rsidRPr="009A3DF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cells/mm</w:t>
                            </w:r>
                            <w:r w:rsidRPr="009A3DF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vertAlign w:val="superscript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24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at antiretroviral therapy initiation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  <w:r w:rsidR="00F9324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umulative proba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bi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lities of a) AIDS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defining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condition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HIV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-associated mortality by macrolide use and b)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HIV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-associated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mortality </w:t>
                            </w:r>
                            <w:r w:rsidRPr="005847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by macrolide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9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pt;margin-top:7.95pt;width:597.25pt;height:3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" filled="f" stroked="f">
                <v:textbox>
                  <w:txbxContent>
                    <w:p w14:paraId="7B9B0D1E" w14:textId="65575927" w:rsidR="00A432FA" w:rsidRPr="0058470A" w:rsidRDefault="00A432FA" w:rsidP="009A3DF9">
                      <w:pPr>
                        <w:ind w:left="709" w:hanging="709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igure 1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  <w:r w:rsidRPr="009A3DF9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Pat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ients with CD4 count &lt;100</w:t>
                      </w:r>
                      <w:r w:rsidRPr="009A3DF9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cells/mm</w:t>
                      </w:r>
                      <w:r w:rsidRPr="009A3DF9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vertAlign w:val="superscript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3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F9324C">
                        <w:rPr>
                          <w:rFonts w:ascii="Calibri" w:hAnsi="Calibri"/>
                          <w:sz w:val="20"/>
                          <w:szCs w:val="20"/>
                        </w:rPr>
                        <w:t>at antiretroviral therapy initiation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  <w:r w:rsidR="00F9324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>umulative proba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bi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>lities of a) AIDS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>defining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condition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HIV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-associated mortality by macrolide use and b)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HIV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-associated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mortality </w:t>
                      </w:r>
                      <w:r w:rsidRPr="0058470A">
                        <w:rPr>
                          <w:rFonts w:ascii="Calibri" w:hAnsi="Calibri"/>
                          <w:sz w:val="20"/>
                          <w:szCs w:val="20"/>
                        </w:rPr>
                        <w:t>by macrolide use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3573CD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27B08AA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294A7E17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54416EF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6AC28F4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4228B758" w14:textId="77777777" w:rsidR="00A965C5" w:rsidRPr="0031468D" w:rsidRDefault="00A965C5" w:rsidP="0031468D">
      <w:pPr>
        <w:shd w:val="clear" w:color="auto" w:fill="FFFFFF" w:themeFill="background1"/>
        <w:rPr>
          <w:rFonts w:ascii="Calibri" w:hAnsi="Calibri"/>
          <w:sz w:val="18"/>
          <w:szCs w:val="18"/>
        </w:rPr>
      </w:pPr>
    </w:p>
    <w:p w14:paraId="64845DDE" w14:textId="2F0E8C60" w:rsidR="00FD6ABD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  <w:r w:rsidRPr="0031468D">
        <w:rPr>
          <w:rFonts w:ascii="Calibri" w:hAnsi="Calibri"/>
          <w:sz w:val="18"/>
          <w:szCs w:val="18"/>
        </w:rPr>
        <w:tab/>
      </w:r>
    </w:p>
    <w:p w14:paraId="5C2C1DCF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23806D5C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10F03020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6972FCF6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7B5F5230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12E10010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5CCC2CC5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1FDE5BEF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3079958D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436AFEC4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7ABC760C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2B09AA30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4C20CD4D" w14:textId="77777777" w:rsidR="00E006A5" w:rsidRPr="0031468D" w:rsidRDefault="00E006A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67D7692E" w14:textId="77777777" w:rsidR="00E006A5" w:rsidRPr="0031468D" w:rsidRDefault="00E006A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264CE9D3" w14:textId="77777777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page" w:horzAnchor="page" w:tblpX="911" w:tblpY="1059"/>
        <w:tblW w:w="14177" w:type="dxa"/>
        <w:tblLayout w:type="fixed"/>
        <w:tblLook w:val="04A0" w:firstRow="1" w:lastRow="0" w:firstColumn="1" w:lastColumn="0" w:noHBand="0" w:noVBand="1"/>
      </w:tblPr>
      <w:tblGrid>
        <w:gridCol w:w="3134"/>
        <w:gridCol w:w="1110"/>
        <w:gridCol w:w="1393"/>
        <w:gridCol w:w="886"/>
        <w:gridCol w:w="818"/>
        <w:gridCol w:w="818"/>
        <w:gridCol w:w="773"/>
        <w:gridCol w:w="674"/>
        <w:gridCol w:w="567"/>
        <w:gridCol w:w="850"/>
        <w:gridCol w:w="828"/>
        <w:gridCol w:w="590"/>
        <w:gridCol w:w="708"/>
        <w:gridCol w:w="1028"/>
      </w:tblGrid>
      <w:tr w:rsidR="0031468D" w:rsidRPr="0031468D" w14:paraId="70FC4207" w14:textId="77777777" w:rsidTr="00E85264">
        <w:trPr>
          <w:trHeight w:val="21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8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03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Follow-up years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9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No. of AIDS or deaths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4A1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Rate 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063F0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95% CI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0EF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Univariate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6C80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Multivariate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E4D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02A32C5" w14:textId="77777777" w:rsidTr="00E85264">
        <w:trPr>
          <w:trHeight w:val="18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07A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1D9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B26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C1A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25124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721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HR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25A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(95%CI)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74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p-value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9D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HR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837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(95%CI)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4B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p-value</w:t>
            </w:r>
          </w:p>
        </w:tc>
      </w:tr>
      <w:tr w:rsidR="0031468D" w:rsidRPr="0031468D" w14:paraId="78458F5C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89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8CD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1347.0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F9E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19E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386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11C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8A4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7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FD9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3F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39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FFE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3A1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E02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5BDA79A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00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Age at ART Initiation (years)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2D9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28B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B28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A78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043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9C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4B9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43F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24B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EBE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F2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B2D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9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30261AB7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9A2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Per 10 year increase in age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E65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1347.0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59B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3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0E7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B76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C6A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E5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9B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71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D65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DB5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3A0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27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0.790</w:t>
            </w:r>
          </w:p>
        </w:tc>
      </w:tr>
      <w:tr w:rsidR="0031468D" w:rsidRPr="0031468D" w14:paraId="1BBB0C1F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F2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1E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D3F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A1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BA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005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745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A3F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43E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A4F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86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29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89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650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6DEAFB1C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D2C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Male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347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1034.0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C8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C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ACD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31B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F3E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DE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ECA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BC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D16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A6B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F1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EA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3F96F5E3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575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Female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42F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313.0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3C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13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02D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6C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18.9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38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6B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5D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BE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90D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4EB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B9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34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0.131</w:t>
            </w:r>
          </w:p>
        </w:tc>
      </w:tr>
      <w:tr w:rsidR="0031468D" w:rsidRPr="0031468D" w14:paraId="3A2F035B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CCF3" w14:textId="72199D2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HIV mode </w:t>
            </w:r>
            <w:r w:rsidR="003F0A59">
              <w:rPr>
                <w:rFonts w:ascii="Calibri" w:hAnsi="Calibri"/>
                <w:b/>
                <w:bCs/>
                <w:sz w:val="18"/>
                <w:szCs w:val="18"/>
              </w:rPr>
              <w:t xml:space="preserve">of </w:t>
            </w: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exposure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4B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FE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C67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E1F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F04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10C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6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B86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C0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433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51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1EC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F5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356A0802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4B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Heterosexual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4EC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197.2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074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15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D89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88C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24.7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054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07A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8F3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3F1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1B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CD7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2F4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99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0EC50CC8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2C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Homosexual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325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936.0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944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13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6C2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6F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15.9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CB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83D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3EA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51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EA0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089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D1A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8C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0.964</w:t>
            </w:r>
          </w:p>
        </w:tc>
      </w:tr>
      <w:tr w:rsidR="0031468D" w:rsidRPr="0031468D" w14:paraId="40DDC128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153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Other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DB6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213.8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6C6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C7C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DA0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311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19.0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CE9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8BB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A8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447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BED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BC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54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037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0.819</w:t>
            </w:r>
          </w:p>
        </w:tc>
      </w:tr>
      <w:tr w:rsidR="0031468D" w:rsidRPr="0031468D" w14:paraId="60269F94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0F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HBV status (n=1,041 tested)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325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5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74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05E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CB6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04A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A3D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E7F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B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38D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86A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4F2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368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65A66A9F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E13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86E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924.3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FA8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E5D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5A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484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15.4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700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9FE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0ED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1F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854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5A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56D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B8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7F18580A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22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Positive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1D0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114.1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4E6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E71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F6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9A7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22.9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D57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009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75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3A0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46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31D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FF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A9C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0.915</w:t>
            </w:r>
          </w:p>
        </w:tc>
      </w:tr>
      <w:tr w:rsidR="0031468D" w:rsidRPr="0031468D" w14:paraId="08976CB6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82E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Missing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8B5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308.6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B99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8AA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283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0C0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22.5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D23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CE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CF7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17F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75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22C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C9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AB9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73B1EAF6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AD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HCV status (n=981 tested)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10D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CD8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F5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1BC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3D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22D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23A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116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CF6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13A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F63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675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DDD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3070E3CB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8F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Negative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C12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761.4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59F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817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DAA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FEC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B2D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E14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3DF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AE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C7B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1E6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751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0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3218B719" w14:textId="77777777" w:rsidTr="0031468D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B4D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857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174.4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1F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58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62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18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21.2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DA5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9F9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9A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22BB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B67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BD4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9E9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7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0.212</w:t>
            </w:r>
          </w:p>
        </w:tc>
      </w:tr>
      <w:tr w:rsidR="0031468D" w:rsidRPr="0031468D" w14:paraId="0DA4CABB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15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Missing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67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411.2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86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CA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C2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527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BD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475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10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6E7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418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67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1DB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AC6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4E85A385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D3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CD4 (cells/mm3)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9B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4B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51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1F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B70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92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53E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DED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21B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5A0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915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AB8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9F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18C096C3" w14:textId="77777777" w:rsidTr="0031468D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09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Per 10 cell increase in CD4 counts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838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1347.0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AFB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E4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D82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A63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23E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6CD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68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FE01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2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E41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E63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313E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0.009</w:t>
            </w:r>
          </w:p>
        </w:tc>
      </w:tr>
      <w:tr w:rsidR="0031468D" w:rsidRPr="0031468D" w14:paraId="6848F5FB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6FB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Viral load (copies/ml)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D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B9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5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446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AF4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454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878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9AD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8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B1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6C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51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E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CFF8761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818A" w14:textId="003D0C8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≤100,000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5F6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797.2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FB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D7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8D7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AB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B43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7C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F0E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9EB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4E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5F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6E7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063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304C7CDF" w14:textId="77777777" w:rsidTr="0031468D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89CD" w14:textId="411643C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≥100,000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571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201.9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CA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ED1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22.3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5F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AA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29.9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118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25F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431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33C7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0.117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BE3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E56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7A6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ED7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0.617</w:t>
            </w:r>
          </w:p>
        </w:tc>
      </w:tr>
      <w:tr w:rsidR="0031468D" w:rsidRPr="0031468D" w14:paraId="46D23E44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54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Missing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07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347.9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2D3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F43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D72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AFF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22.2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035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855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095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BA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07C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61E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151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BBB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42A7E3F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32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Prior AIDS diagnosis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91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33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D6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AF1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166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38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8E8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8D0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B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EC5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A5F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BEF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39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074BC747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A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None known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B52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662.1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0D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944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174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787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967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8C6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F28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45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C40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3B4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00A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781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7F415B52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95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F85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684.8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25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089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499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23A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E35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251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F52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86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BF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D8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F3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BE2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0.935</w:t>
            </w:r>
          </w:p>
        </w:tc>
      </w:tr>
      <w:tr w:rsidR="0031468D" w:rsidRPr="0031468D" w14:paraId="4A0E1A1D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440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ART Regimen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FE3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0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19A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E8F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89B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30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7A1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1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8D0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621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11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AD8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CF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6945E1C8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957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NNRTI-based therapy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C24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1163.0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2C0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94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766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734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15.6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574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8C5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08D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54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FFD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8AA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428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EB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029E19B9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9DE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Other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B3F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184.0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659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681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F5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A98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25.2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A98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AC9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872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CE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C17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9F2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A79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E8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0.898</w:t>
            </w:r>
          </w:p>
        </w:tc>
      </w:tr>
      <w:tr w:rsidR="0031468D" w:rsidRPr="0031468D" w14:paraId="0D6D3E88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D6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Macrolide use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B4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0E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15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B5D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F0E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05C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E6C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369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C0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765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AFE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3C4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6A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6316217A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2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700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1253.8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82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BB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249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908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375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526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1EC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48B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18D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6B1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46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80B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52F4E918" w14:textId="77777777" w:rsidTr="0031468D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25F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CDC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93.2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ED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61D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54.7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CCC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41.6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B27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72.0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B14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DAC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B0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F4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&lt;.0.001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CA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AFE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32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4.80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7870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&lt;.0.001</w:t>
            </w:r>
          </w:p>
        </w:tc>
      </w:tr>
      <w:tr w:rsidR="0031468D" w:rsidRPr="0031468D" w14:paraId="51C24E21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2B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Cotrimoxazole use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E75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0D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179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6D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97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C3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E2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BCF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941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1FD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2B0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9BC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4B9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7041D54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E9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F93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542.3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D70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0C2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CBA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8D1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EFC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E2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10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9B2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F4F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B05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F8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33C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63435B58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6A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Yes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6E6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804.7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04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EB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35B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39B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2C7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CF8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5E3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143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1AB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8F7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A02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B5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0.447</w:t>
            </w:r>
          </w:p>
        </w:tc>
      </w:tr>
      <w:tr w:rsidR="0031468D" w:rsidRPr="0031468D" w14:paraId="19DCD55E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1C0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Other chemoprophylaxis use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294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A3B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E85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059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2D9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EB1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231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9F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23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E80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3E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54A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72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72E9FB11" w14:textId="77777777" w:rsidTr="00E85264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2B9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6C1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934.1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851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235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B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50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F3E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D4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3E6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86F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2B9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1D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72F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369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7A22C313" w14:textId="77777777" w:rsidTr="0031468D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A35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939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412.9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41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F5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A29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475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23.3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595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D61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2EF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B527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502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261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31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D2C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0.791</w:t>
            </w:r>
          </w:p>
        </w:tc>
      </w:tr>
    </w:tbl>
    <w:p w14:paraId="279523B9" w14:textId="2DBB7586" w:rsidR="00267482" w:rsidRPr="00072D4D" w:rsidRDefault="00A965C5" w:rsidP="00267482">
      <w:pPr>
        <w:rPr>
          <w:rFonts w:ascii="Calibri" w:hAnsi="Calibri"/>
          <w:sz w:val="20"/>
          <w:szCs w:val="18"/>
        </w:rPr>
      </w:pPr>
      <w:r w:rsidRPr="00072D4D">
        <w:rPr>
          <w:rFonts w:ascii="Calibri" w:hAnsi="Calibri"/>
          <w:sz w:val="20"/>
          <w:szCs w:val="18"/>
        </w:rPr>
        <w:t>Table 4. Ri</w:t>
      </w:r>
      <w:r w:rsidR="002724CC" w:rsidRPr="00072D4D">
        <w:rPr>
          <w:rFonts w:ascii="Calibri" w:hAnsi="Calibri"/>
          <w:sz w:val="20"/>
          <w:szCs w:val="18"/>
        </w:rPr>
        <w:t xml:space="preserve">sk </w:t>
      </w:r>
      <w:r w:rsidR="00E85264" w:rsidRPr="00072D4D">
        <w:rPr>
          <w:rFonts w:ascii="Calibri" w:hAnsi="Calibri"/>
          <w:sz w:val="20"/>
          <w:szCs w:val="18"/>
        </w:rPr>
        <w:t>f</w:t>
      </w:r>
      <w:r w:rsidR="002724CC" w:rsidRPr="00072D4D">
        <w:rPr>
          <w:rFonts w:ascii="Calibri" w:hAnsi="Calibri"/>
          <w:sz w:val="20"/>
          <w:szCs w:val="18"/>
        </w:rPr>
        <w:t xml:space="preserve">actors </w:t>
      </w:r>
      <w:r w:rsidR="00072D4D" w:rsidRPr="00072D4D">
        <w:rPr>
          <w:rFonts w:ascii="Calibri" w:hAnsi="Calibri"/>
          <w:sz w:val="20"/>
          <w:szCs w:val="18"/>
        </w:rPr>
        <w:t>associated with</w:t>
      </w:r>
      <w:r w:rsidR="002724CC" w:rsidRPr="00072D4D">
        <w:rPr>
          <w:rFonts w:ascii="Calibri" w:hAnsi="Calibri"/>
          <w:sz w:val="20"/>
          <w:szCs w:val="18"/>
        </w:rPr>
        <w:t xml:space="preserve"> AIDS-</w:t>
      </w:r>
      <w:r w:rsidRPr="00072D4D">
        <w:rPr>
          <w:rFonts w:ascii="Calibri" w:hAnsi="Calibri"/>
          <w:sz w:val="20"/>
          <w:szCs w:val="18"/>
        </w:rPr>
        <w:t xml:space="preserve">defining </w:t>
      </w:r>
      <w:r w:rsidR="00562653" w:rsidRPr="00072D4D">
        <w:rPr>
          <w:rFonts w:ascii="Calibri" w:hAnsi="Calibri"/>
          <w:sz w:val="20"/>
          <w:szCs w:val="18"/>
        </w:rPr>
        <w:t>conditions</w:t>
      </w:r>
      <w:r w:rsidRPr="00072D4D">
        <w:rPr>
          <w:rFonts w:ascii="Calibri" w:hAnsi="Calibri"/>
          <w:sz w:val="20"/>
          <w:szCs w:val="18"/>
        </w:rPr>
        <w:t xml:space="preserve"> or HIV-associated mortality</w:t>
      </w:r>
      <w:r w:rsidR="00267482" w:rsidRPr="00072D4D">
        <w:rPr>
          <w:rFonts w:ascii="Calibri" w:hAnsi="Calibri"/>
          <w:sz w:val="20"/>
          <w:szCs w:val="18"/>
        </w:rPr>
        <w:t xml:space="preserve"> among </w:t>
      </w:r>
      <w:r w:rsidRPr="00072D4D">
        <w:rPr>
          <w:rFonts w:ascii="Calibri" w:hAnsi="Calibri"/>
          <w:sz w:val="20"/>
          <w:szCs w:val="18"/>
        </w:rPr>
        <w:t xml:space="preserve">patients with CD4 </w:t>
      </w:r>
      <w:r w:rsidR="00B873C2">
        <w:rPr>
          <w:rFonts w:ascii="Calibri" w:hAnsi="Calibri"/>
          <w:sz w:val="20"/>
          <w:szCs w:val="18"/>
        </w:rPr>
        <w:t xml:space="preserve">cell </w:t>
      </w:r>
      <w:r w:rsidRPr="00072D4D">
        <w:rPr>
          <w:rFonts w:ascii="Calibri" w:hAnsi="Calibri"/>
          <w:sz w:val="20"/>
          <w:szCs w:val="18"/>
        </w:rPr>
        <w:t>count &lt;50</w:t>
      </w:r>
      <w:r w:rsidR="00267482" w:rsidRPr="00072D4D">
        <w:rPr>
          <w:rFonts w:ascii="Calibri" w:hAnsi="Calibri"/>
          <w:sz w:val="20"/>
          <w:szCs w:val="18"/>
        </w:rPr>
        <w:t xml:space="preserve"> cells/mm3</w:t>
      </w:r>
      <w:r w:rsidR="00E006A5" w:rsidRPr="00072D4D">
        <w:rPr>
          <w:rFonts w:ascii="Calibri" w:hAnsi="Calibri"/>
          <w:sz w:val="20"/>
          <w:szCs w:val="18"/>
        </w:rPr>
        <w:t xml:space="preserve"> at ART initiation</w:t>
      </w:r>
      <w:r w:rsidR="00267482" w:rsidRPr="00072D4D">
        <w:rPr>
          <w:rFonts w:ascii="Calibri" w:hAnsi="Calibri"/>
          <w:sz w:val="20"/>
          <w:szCs w:val="18"/>
        </w:rPr>
        <w:t>*</w:t>
      </w:r>
    </w:p>
    <w:p w14:paraId="510D50D1" w14:textId="25B5A53A" w:rsidR="00E006A5" w:rsidRPr="0031468D" w:rsidRDefault="00332661" w:rsidP="006F67B2">
      <w:pPr>
        <w:rPr>
          <w:rFonts w:ascii="Calibri" w:hAnsi="Calibri"/>
          <w:sz w:val="18"/>
          <w:szCs w:val="18"/>
        </w:rPr>
      </w:pPr>
      <w:r w:rsidRPr="00072D4D">
        <w:rPr>
          <w:rFonts w:ascii="Calibri" w:hAnsi="Calibri"/>
          <w:sz w:val="18"/>
          <w:szCs w:val="18"/>
        </w:rPr>
        <w:t>*</w:t>
      </w:r>
      <w:r w:rsidR="006F67B2">
        <w:rPr>
          <w:rFonts w:ascii="Calibri" w:hAnsi="Calibri"/>
          <w:sz w:val="18"/>
          <w:szCs w:val="18"/>
        </w:rPr>
        <w:t>S</w:t>
      </w:r>
      <w:r w:rsidR="00267482" w:rsidRPr="00072D4D">
        <w:rPr>
          <w:rFonts w:ascii="Calibri" w:hAnsi="Calibri"/>
          <w:sz w:val="18"/>
          <w:szCs w:val="18"/>
        </w:rPr>
        <w:t xml:space="preserve">ensitivity </w:t>
      </w:r>
      <w:proofErr w:type="spellStart"/>
      <w:r w:rsidR="00267482" w:rsidRPr="00072D4D">
        <w:rPr>
          <w:rFonts w:ascii="Calibri" w:hAnsi="Calibri"/>
          <w:sz w:val="18"/>
          <w:szCs w:val="18"/>
        </w:rPr>
        <w:t>analaysis</w:t>
      </w:r>
      <w:proofErr w:type="spellEnd"/>
      <w:r w:rsidR="00267482" w:rsidRPr="00072D4D">
        <w:rPr>
          <w:rFonts w:ascii="Calibri" w:hAnsi="Calibri"/>
          <w:sz w:val="18"/>
          <w:szCs w:val="18"/>
        </w:rPr>
        <w:t xml:space="preserve"> done if 50% LTFU patients were assumed to experience HIV-associated death</w:t>
      </w:r>
      <w:r w:rsidR="006F67B2">
        <w:rPr>
          <w:rFonts w:ascii="Calibri" w:hAnsi="Calibri"/>
          <w:sz w:val="18"/>
          <w:szCs w:val="18"/>
        </w:rPr>
        <w:t xml:space="preserve">. </w:t>
      </w:r>
      <w:r w:rsidR="00A965C5" w:rsidRPr="0031468D">
        <w:rPr>
          <w:rFonts w:ascii="Calibri" w:hAnsi="Calibri"/>
          <w:sz w:val="18"/>
          <w:szCs w:val="18"/>
        </w:rPr>
        <w:t>Patients with missing data were included but hazard ratio (HRs) for missing categories are not reported.</w:t>
      </w:r>
      <w:r w:rsidR="00871B51">
        <w:rPr>
          <w:rFonts w:ascii="Calibri" w:hAnsi="Calibri"/>
          <w:sz w:val="18"/>
          <w:szCs w:val="18"/>
        </w:rPr>
        <w:t xml:space="preserve"> LTFU = loss to follow up</w:t>
      </w:r>
      <w:r w:rsidR="00072D4D">
        <w:rPr>
          <w:rFonts w:ascii="Calibri" w:hAnsi="Calibri"/>
          <w:sz w:val="18"/>
          <w:szCs w:val="18"/>
        </w:rPr>
        <w:t xml:space="preserve">, </w:t>
      </w:r>
      <w:r w:rsidR="00E006A5">
        <w:rPr>
          <w:rFonts w:ascii="Calibri" w:hAnsi="Calibri"/>
          <w:sz w:val="18"/>
          <w:szCs w:val="18"/>
        </w:rPr>
        <w:t>ART=antiretroviral therapy, NNRTI=non-nucleoside reverse transcriptase inhibitor</w:t>
      </w:r>
      <w:r w:rsidR="00E006A5" w:rsidRPr="0031468D">
        <w:rPr>
          <w:rFonts w:ascii="Calibri" w:hAnsi="Calibri"/>
          <w:sz w:val="18"/>
          <w:szCs w:val="18"/>
        </w:rPr>
        <w:t>.</w:t>
      </w:r>
    </w:p>
    <w:p w14:paraId="06D2987A" w14:textId="18AD7279" w:rsidR="00A965C5" w:rsidRPr="0031468D" w:rsidRDefault="00A965C5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</w:p>
    <w:p w14:paraId="58302735" w14:textId="198EA056" w:rsidR="00A965C5" w:rsidRPr="006F67B2" w:rsidRDefault="00A965C5" w:rsidP="0031468D">
      <w:pPr>
        <w:shd w:val="clear" w:color="auto" w:fill="FFFFFF" w:themeFill="background1"/>
        <w:tabs>
          <w:tab w:val="left" w:pos="5610"/>
        </w:tabs>
        <w:ind w:hanging="540"/>
        <w:rPr>
          <w:rFonts w:ascii="Calibri" w:hAnsi="Calibri"/>
          <w:sz w:val="20"/>
          <w:szCs w:val="20"/>
        </w:rPr>
      </w:pPr>
      <w:r w:rsidRPr="006F67B2">
        <w:rPr>
          <w:rFonts w:ascii="Calibri" w:hAnsi="Calibri"/>
          <w:sz w:val="20"/>
          <w:szCs w:val="20"/>
        </w:rPr>
        <w:lastRenderedPageBreak/>
        <w:t xml:space="preserve">Table </w:t>
      </w:r>
      <w:r w:rsidR="0031468D" w:rsidRPr="006F67B2">
        <w:rPr>
          <w:rFonts w:ascii="Calibri" w:hAnsi="Calibri"/>
          <w:sz w:val="20"/>
          <w:szCs w:val="20"/>
        </w:rPr>
        <w:t>5</w:t>
      </w:r>
      <w:r w:rsidRPr="006F67B2">
        <w:rPr>
          <w:rFonts w:ascii="Calibri" w:hAnsi="Calibri"/>
          <w:sz w:val="20"/>
          <w:szCs w:val="20"/>
        </w:rPr>
        <w:t xml:space="preserve">. Risk </w:t>
      </w:r>
      <w:r w:rsidR="00E85264" w:rsidRPr="006F67B2">
        <w:rPr>
          <w:rFonts w:ascii="Calibri" w:hAnsi="Calibri"/>
          <w:sz w:val="20"/>
          <w:szCs w:val="20"/>
        </w:rPr>
        <w:t>f</w:t>
      </w:r>
      <w:r w:rsidRPr="006F67B2">
        <w:rPr>
          <w:rFonts w:ascii="Calibri" w:hAnsi="Calibri"/>
          <w:sz w:val="20"/>
          <w:szCs w:val="20"/>
        </w:rPr>
        <w:t xml:space="preserve">actors </w:t>
      </w:r>
      <w:r w:rsidR="00072D4D" w:rsidRPr="006F67B2">
        <w:rPr>
          <w:rFonts w:ascii="Calibri" w:hAnsi="Calibri"/>
          <w:sz w:val="20"/>
          <w:szCs w:val="20"/>
        </w:rPr>
        <w:t>associated with</w:t>
      </w:r>
      <w:r w:rsidRPr="006F67B2">
        <w:rPr>
          <w:rFonts w:ascii="Calibri" w:hAnsi="Calibri"/>
          <w:sz w:val="20"/>
          <w:szCs w:val="20"/>
        </w:rPr>
        <w:t xml:space="preserve"> HIV-associated mortality</w:t>
      </w:r>
      <w:r w:rsidR="00CA04B4" w:rsidRPr="006F67B2">
        <w:rPr>
          <w:rFonts w:ascii="Calibri" w:hAnsi="Calibri"/>
          <w:sz w:val="20"/>
          <w:szCs w:val="20"/>
        </w:rPr>
        <w:t xml:space="preserve"> among</w:t>
      </w:r>
      <w:r w:rsidRPr="006F67B2">
        <w:rPr>
          <w:rFonts w:ascii="Calibri" w:hAnsi="Calibri"/>
          <w:sz w:val="20"/>
          <w:szCs w:val="20"/>
        </w:rPr>
        <w:t xml:space="preserve"> patients with CD4 </w:t>
      </w:r>
      <w:r w:rsidR="00B873C2">
        <w:rPr>
          <w:rFonts w:ascii="Calibri" w:hAnsi="Calibri"/>
          <w:sz w:val="20"/>
          <w:szCs w:val="20"/>
        </w:rPr>
        <w:t xml:space="preserve">cell </w:t>
      </w:r>
      <w:r w:rsidRPr="006F67B2">
        <w:rPr>
          <w:rFonts w:ascii="Calibri" w:hAnsi="Calibri"/>
          <w:sz w:val="20"/>
          <w:szCs w:val="20"/>
        </w:rPr>
        <w:t>count &lt;50 cells/mm</w:t>
      </w:r>
      <w:r w:rsidRPr="006F67B2">
        <w:rPr>
          <w:rFonts w:ascii="Calibri" w:hAnsi="Calibri"/>
          <w:sz w:val="20"/>
          <w:szCs w:val="20"/>
          <w:vertAlign w:val="superscript"/>
        </w:rPr>
        <w:t>3</w:t>
      </w:r>
      <w:r w:rsidR="00E006A5" w:rsidRPr="006F67B2">
        <w:rPr>
          <w:rFonts w:ascii="Calibri" w:hAnsi="Calibri"/>
          <w:sz w:val="20"/>
          <w:szCs w:val="20"/>
        </w:rPr>
        <w:t xml:space="preserve"> at ART initiation</w:t>
      </w:r>
      <w:r w:rsidR="000A0673" w:rsidRPr="006F67B2">
        <w:rPr>
          <w:rFonts w:ascii="Calibri" w:hAnsi="Calibri"/>
          <w:sz w:val="20"/>
          <w:szCs w:val="20"/>
        </w:rPr>
        <w:t>*</w:t>
      </w:r>
    </w:p>
    <w:tbl>
      <w:tblPr>
        <w:tblpPr w:leftFromText="180" w:rightFromText="180" w:vertAnchor="text" w:horzAnchor="page" w:tblpX="875" w:tblpY="213"/>
        <w:tblW w:w="14283" w:type="dxa"/>
        <w:tblLayout w:type="fixed"/>
        <w:tblLook w:val="04A0" w:firstRow="1" w:lastRow="0" w:firstColumn="1" w:lastColumn="0" w:noHBand="0" w:noVBand="1"/>
      </w:tblPr>
      <w:tblGrid>
        <w:gridCol w:w="3216"/>
        <w:gridCol w:w="989"/>
        <w:gridCol w:w="1432"/>
        <w:gridCol w:w="992"/>
        <w:gridCol w:w="709"/>
        <w:gridCol w:w="850"/>
        <w:gridCol w:w="671"/>
        <w:gridCol w:w="605"/>
        <w:gridCol w:w="709"/>
        <w:gridCol w:w="851"/>
        <w:gridCol w:w="769"/>
        <w:gridCol w:w="768"/>
        <w:gridCol w:w="769"/>
        <w:gridCol w:w="953"/>
      </w:tblGrid>
      <w:tr w:rsidR="0031468D" w:rsidRPr="0031468D" w14:paraId="52EE8F6A" w14:textId="77777777" w:rsidTr="00E85264">
        <w:trPr>
          <w:trHeight w:val="228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008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  <w:p w14:paraId="6CE9566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FC8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Follow-up years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64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Deaths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09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Rate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BD3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95% CI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E60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Univariate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A9B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Multivariate</w:t>
            </w:r>
          </w:p>
        </w:tc>
      </w:tr>
      <w:tr w:rsidR="0031468D" w:rsidRPr="0031468D" w14:paraId="19CD438F" w14:textId="77777777" w:rsidTr="00E85264">
        <w:trPr>
          <w:trHeight w:val="228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C47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568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93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989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839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D19D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HR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D72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(95%CI)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8D5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p-value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455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HR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0666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(95%CI)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805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p-value</w:t>
            </w:r>
          </w:p>
        </w:tc>
      </w:tr>
      <w:tr w:rsidR="0031468D" w:rsidRPr="0031468D" w14:paraId="4946FC61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B4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FA5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1466.85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B4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A56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72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C5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E0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5C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54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3F7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98E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229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EAC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C2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62E32A7B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EE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Age at ART Initiation (years) 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FD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F3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B4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B23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F09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D00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E60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5E9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AE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E9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67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3A2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7E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14E6A9EB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10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Per 10 year increase in age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D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1466.85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A9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1D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81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37C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26A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F8E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E27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87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0.298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D5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E44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91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75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0.590</w:t>
            </w:r>
          </w:p>
        </w:tc>
      </w:tr>
      <w:tr w:rsidR="0031468D" w:rsidRPr="0031468D" w14:paraId="7BCE3416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08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85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C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048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CA1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74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BD3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086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E86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6A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C05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DB5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7D9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9DD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19B4B623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360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F5D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1129.94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717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64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B48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855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2C1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16A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6D5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BC7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7E6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B08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126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46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6F4E0B49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3D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D32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336.91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B4F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2E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368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0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50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686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CD2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F8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D51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599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392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D5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0.357</w:t>
            </w:r>
          </w:p>
        </w:tc>
      </w:tr>
      <w:tr w:rsidR="0031468D" w:rsidRPr="0031468D" w14:paraId="6994A8CE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2B9" w14:textId="3BFAED50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HIV mode </w:t>
            </w:r>
            <w:r w:rsidR="003F0A59">
              <w:rPr>
                <w:rFonts w:ascii="Calibri" w:hAnsi="Calibri"/>
                <w:b/>
                <w:bCs/>
                <w:sz w:val="18"/>
                <w:szCs w:val="18"/>
              </w:rPr>
              <w:t xml:space="preserve">of </w:t>
            </w: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exposure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58C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59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43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6AC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AC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744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03F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EBD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BF9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FD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361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753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BB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11FF4656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21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Heterosexual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608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213.64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45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61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446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6D5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18.43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DD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EC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2CF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36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7F9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D95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C67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6CF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2158679C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09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bookmarkStart w:id="0" w:name="_GoBack" w:colFirst="3" w:colLast="3"/>
            <w:r w:rsidRPr="0031468D">
              <w:rPr>
                <w:rFonts w:ascii="Calibri" w:hAnsi="Calibri"/>
                <w:sz w:val="18"/>
                <w:szCs w:val="18"/>
              </w:rPr>
              <w:t>Homosexual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BFA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1019.33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595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D80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EB9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37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B5B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31B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9D4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4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C2F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717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E0F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36A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0.253</w:t>
            </w:r>
          </w:p>
        </w:tc>
      </w:tr>
      <w:bookmarkEnd w:id="0"/>
      <w:tr w:rsidR="0031468D" w:rsidRPr="0031468D" w14:paraId="182D1AE6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0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Other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ACC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233.88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EAF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1C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9D4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237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15.82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17D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993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25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364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AB3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29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C1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DE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0.857</w:t>
            </w:r>
          </w:p>
        </w:tc>
      </w:tr>
      <w:tr w:rsidR="0031468D" w:rsidRPr="0031468D" w14:paraId="18787038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A8B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HBV status (n=1,041 tested)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96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47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C6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F7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AD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F6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E71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4E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5BD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67F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94E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D0D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BB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798E4150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E50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A28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1009.88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C1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1C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09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D7A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BBC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70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636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9D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8E8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502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947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0D2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694A5C3A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9F3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Positive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AB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122.63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C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6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72C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CD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18.26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25F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261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14C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50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DB9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BB2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911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10B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0.507</w:t>
            </w:r>
          </w:p>
        </w:tc>
      </w:tr>
      <w:tr w:rsidR="0031468D" w:rsidRPr="0031468D" w14:paraId="0A0E9277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00C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Missing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893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334.34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086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70E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EA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65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15.97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896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7F5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2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AB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A03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2BE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398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A62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161F6EAF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9B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HCV status (n=981 tested)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4C4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3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08B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BF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6D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155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5C2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86E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F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AD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FD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68E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9E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7D95C3D5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ED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Negative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08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835.26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53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04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E3D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997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9AE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25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B04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AF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2C0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1A6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00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68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531824CB" w14:textId="77777777" w:rsidTr="0031468D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B3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C83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192.18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6E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B0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5C4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21B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18.01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02E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3.10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61A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384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62DD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&lt;0.001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C14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BC6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6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4.14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FD70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0.008</w:t>
            </w:r>
          </w:p>
        </w:tc>
      </w:tr>
      <w:tr w:rsidR="0031468D" w:rsidRPr="0031468D" w14:paraId="42F4EB5C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B1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Missing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1E9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439.42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E77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6F9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9F8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70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AAF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532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9FB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C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5F7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E26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5DE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86B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DE2D45C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F5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CD4 (cells/mm3)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CC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DB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7B3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0B7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417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959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277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BC2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A3B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B73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24A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184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CCF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31468D" w:rsidRPr="0031468D" w14:paraId="4E683CE6" w14:textId="77777777" w:rsidTr="0031468D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E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Per 10 cell increase in CD4 counts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FB1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1466.85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56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A8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37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D8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BB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21B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632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41B8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BD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C2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CE7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693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0.036</w:t>
            </w:r>
          </w:p>
        </w:tc>
      </w:tr>
      <w:tr w:rsidR="0031468D" w:rsidRPr="0031468D" w14:paraId="75F60225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57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Viral load (copies/ml)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B1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59C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11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C40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A36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66B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27D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52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C9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5D9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166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E9B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22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355BDE22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32D5" w14:textId="0A72B85A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≤100,000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1D1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868.23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39F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BCC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CDA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518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35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F00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A4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573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5EC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C51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E46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463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340E2665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C78" w14:textId="6E170DCA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≥100,000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D15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224.12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CC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19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DF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CE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17.57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4C1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B23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F4F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4D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0.214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42A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23B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E08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36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0.336</w:t>
            </w:r>
          </w:p>
        </w:tc>
      </w:tr>
      <w:tr w:rsidR="0031468D" w:rsidRPr="0031468D" w14:paraId="67456F06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01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Missing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E2B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374.50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64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8A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667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12F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590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50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055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54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B97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500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57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1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4C063924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23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Prior AIDS diagnosis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42B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3F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6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A61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6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E2B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CD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DEC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35B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450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5F1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894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B8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1F1D0DCB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0A6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None known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93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733.41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69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941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11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2B6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48B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30F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18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351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CBE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568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25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822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144F20F7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64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80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733.44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4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E2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DEF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F0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142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0DF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530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B7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0.546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DA8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2A6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CEE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DF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0.140</w:t>
            </w:r>
          </w:p>
        </w:tc>
      </w:tr>
      <w:tr w:rsidR="0031468D" w:rsidRPr="0031468D" w14:paraId="61F19F46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6AF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ART Regimen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3B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599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0D2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D6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C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DC3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7BC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4BD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6D4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6E7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25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185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F4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6D4AF809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A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NNRTI-based therapy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62D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1272.07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ED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FE8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F37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A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10.34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EB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6ED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4A7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DB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C2C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A76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38F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CF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716BE84B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6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Others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F00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194.78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75D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9A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728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DD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19.61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CEC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9C9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FC7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3B5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72B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DF9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B3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23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0.495</w:t>
            </w:r>
          </w:p>
        </w:tc>
      </w:tr>
      <w:tr w:rsidR="0031468D" w:rsidRPr="0031468D" w14:paraId="39C1D8DA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D9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Macrolide use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7A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91C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784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4F7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F9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124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F7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2F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AC9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2C4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1F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87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1E0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0D8F44B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EE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2DC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1365.26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3C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8C3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404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8D0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EF3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9D9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D77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4D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AF4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8AA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4FC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A19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519CF9E5" w14:textId="77777777" w:rsidTr="0031468D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B91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702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101.59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841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9D8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38.39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2EB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28.05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41E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52.54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E93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134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C0B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22D9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&lt;0.001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5B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CBF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57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4.19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F4B0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0.003</w:t>
            </w:r>
          </w:p>
        </w:tc>
      </w:tr>
      <w:tr w:rsidR="0031468D" w:rsidRPr="0031468D" w14:paraId="2BC0E713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73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>Cotrimoxazole use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F3D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4C0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3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E7A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58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76B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5AF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D74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9F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E9F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CB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C8E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84D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666431BD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9BD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76E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582.35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55C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EB3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80A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DD1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75D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2D1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AF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58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46A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BFB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D96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C7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4DA758FF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176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 xml:space="preserve">Yes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619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884.50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CC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C0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C6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382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11.89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E36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A93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D74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A0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99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B43A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C2E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DE3C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0.227</w:t>
            </w:r>
          </w:p>
        </w:tc>
      </w:tr>
      <w:tr w:rsidR="0031468D" w:rsidRPr="0031468D" w14:paraId="386675E1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072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1468D">
              <w:rPr>
                <w:rFonts w:ascii="Calibri" w:hAnsi="Calibri"/>
                <w:b/>
                <w:bCs/>
                <w:sz w:val="18"/>
                <w:szCs w:val="18"/>
              </w:rPr>
              <w:t xml:space="preserve">Other chemoprophylaxis use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45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D4A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125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2BA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B1A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796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5CC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E0F0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78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047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2D8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F6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3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1468D" w:rsidRPr="0031468D" w14:paraId="5175C4D1" w14:textId="77777777" w:rsidTr="00E85264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1ABE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DB5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1007.65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7D2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E9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7.74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B8BF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54D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98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0029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2B77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56C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4B3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1E5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2978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E03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1468D" w:rsidRPr="0031468D" w14:paraId="07DB8C38" w14:textId="77777777" w:rsidTr="0031468D">
        <w:trPr>
          <w:trHeight w:val="22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5A12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3DB5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459.20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0213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6B0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12.41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669AB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B0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16.09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96CD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EE2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D9B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2.21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0FCDB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F084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E36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AC06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1.96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891" w14:textId="77777777" w:rsidR="00A965C5" w:rsidRPr="0031468D" w:rsidRDefault="00A965C5" w:rsidP="0031468D">
            <w:pPr>
              <w:shd w:val="clear" w:color="auto" w:fill="FFFFFF" w:themeFill="background1"/>
              <w:tabs>
                <w:tab w:val="left" w:pos="5610"/>
              </w:tabs>
              <w:rPr>
                <w:rFonts w:ascii="Calibri" w:hAnsi="Calibri"/>
                <w:sz w:val="18"/>
                <w:szCs w:val="18"/>
              </w:rPr>
            </w:pPr>
            <w:r w:rsidRPr="0031468D">
              <w:rPr>
                <w:rFonts w:ascii="Calibri" w:hAnsi="Calibri"/>
                <w:sz w:val="18"/>
                <w:szCs w:val="18"/>
              </w:rPr>
              <w:t>0.343</w:t>
            </w:r>
          </w:p>
        </w:tc>
      </w:tr>
    </w:tbl>
    <w:p w14:paraId="7817C4FC" w14:textId="71F4D918" w:rsidR="00A965C5" w:rsidRPr="00332661" w:rsidRDefault="00CA04B4" w:rsidP="0031468D">
      <w:pPr>
        <w:shd w:val="clear" w:color="auto" w:fill="FFFFFF" w:themeFill="background1"/>
        <w:tabs>
          <w:tab w:val="left" w:pos="5610"/>
        </w:tabs>
        <w:rPr>
          <w:rFonts w:ascii="Calibri" w:hAnsi="Calibri"/>
          <w:sz w:val="18"/>
          <w:szCs w:val="18"/>
        </w:rPr>
      </w:pPr>
      <w:r w:rsidRPr="00332661">
        <w:rPr>
          <w:rFonts w:ascii="Calibri" w:hAnsi="Calibri"/>
          <w:sz w:val="18"/>
          <w:szCs w:val="18"/>
        </w:rPr>
        <w:t>*</w:t>
      </w:r>
      <w:r w:rsidR="006F67B2">
        <w:rPr>
          <w:rFonts w:ascii="Calibri" w:hAnsi="Calibri"/>
          <w:sz w:val="18"/>
          <w:szCs w:val="18"/>
        </w:rPr>
        <w:t>S</w:t>
      </w:r>
      <w:r w:rsidRPr="00332661">
        <w:rPr>
          <w:rFonts w:ascii="Calibri" w:hAnsi="Calibri"/>
          <w:sz w:val="18"/>
          <w:szCs w:val="18"/>
        </w:rPr>
        <w:t xml:space="preserve">ensitivity </w:t>
      </w:r>
      <w:proofErr w:type="spellStart"/>
      <w:r w:rsidRPr="00332661">
        <w:rPr>
          <w:rFonts w:ascii="Calibri" w:hAnsi="Calibri"/>
          <w:sz w:val="18"/>
          <w:szCs w:val="18"/>
        </w:rPr>
        <w:t>analaysis</w:t>
      </w:r>
      <w:proofErr w:type="spellEnd"/>
      <w:r w:rsidRPr="00332661">
        <w:rPr>
          <w:rFonts w:ascii="Calibri" w:hAnsi="Calibri"/>
          <w:sz w:val="18"/>
          <w:szCs w:val="18"/>
        </w:rPr>
        <w:t xml:space="preserve"> done if 50% LTFU patients were assumed to experience HIV-associated death</w:t>
      </w:r>
      <w:r w:rsidR="006F67B2">
        <w:rPr>
          <w:rFonts w:ascii="Calibri" w:hAnsi="Calibri"/>
          <w:sz w:val="18"/>
          <w:szCs w:val="18"/>
        </w:rPr>
        <w:t xml:space="preserve">. </w:t>
      </w:r>
      <w:r w:rsidR="00A965C5" w:rsidRPr="00332661">
        <w:rPr>
          <w:rFonts w:ascii="Calibri" w:hAnsi="Calibri"/>
          <w:sz w:val="18"/>
          <w:szCs w:val="18"/>
        </w:rPr>
        <w:t>Patients with missing data were included but hazard ratio (HRs) for missing categories are not reported</w:t>
      </w:r>
      <w:r w:rsidR="00871B51" w:rsidRPr="00332661">
        <w:rPr>
          <w:rFonts w:ascii="Calibri" w:hAnsi="Calibri"/>
          <w:sz w:val="18"/>
          <w:szCs w:val="18"/>
        </w:rPr>
        <w:t>. LTFU = loss to follow up</w:t>
      </w:r>
      <w:r w:rsidR="00E006A5">
        <w:rPr>
          <w:rFonts w:ascii="Calibri" w:hAnsi="Calibri"/>
          <w:sz w:val="18"/>
          <w:szCs w:val="18"/>
        </w:rPr>
        <w:t xml:space="preserve">. </w:t>
      </w:r>
      <w:r w:rsidR="00E006A5" w:rsidRPr="00E006A5">
        <w:rPr>
          <w:rFonts w:ascii="Calibri" w:hAnsi="Calibri"/>
          <w:sz w:val="18"/>
          <w:szCs w:val="18"/>
        </w:rPr>
        <w:t xml:space="preserve"> </w:t>
      </w:r>
      <w:r w:rsidR="00E006A5">
        <w:rPr>
          <w:rFonts w:ascii="Calibri" w:hAnsi="Calibri"/>
          <w:sz w:val="18"/>
          <w:szCs w:val="18"/>
        </w:rPr>
        <w:t>ART=antiretroviral therapy, NNRTI=non-nucleoside reverse transcriptase inhibitor</w:t>
      </w:r>
      <w:r w:rsidR="00E006A5" w:rsidRPr="0031468D">
        <w:rPr>
          <w:rFonts w:ascii="Calibri" w:hAnsi="Calibri"/>
          <w:sz w:val="18"/>
          <w:szCs w:val="18"/>
        </w:rPr>
        <w:t>.</w:t>
      </w:r>
    </w:p>
    <w:sectPr w:rsidR="00A965C5" w:rsidRPr="00332661" w:rsidSect="00C203A4">
      <w:pgSz w:w="15840" w:h="12240" w:orient="landscape"/>
      <w:pgMar w:top="568" w:right="81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45F0" w14:textId="77777777" w:rsidR="00F9360D" w:rsidRDefault="00F9360D" w:rsidP="000738FB">
      <w:r>
        <w:separator/>
      </w:r>
    </w:p>
  </w:endnote>
  <w:endnote w:type="continuationSeparator" w:id="0">
    <w:p w14:paraId="4203DC2B" w14:textId="77777777" w:rsidR="00F9360D" w:rsidRDefault="00F9360D" w:rsidP="0007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38139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1B45A0FC" w14:textId="6CB805C4" w:rsidR="00A432FA" w:rsidRPr="000738FB" w:rsidRDefault="00A432FA">
        <w:pPr>
          <w:pStyle w:val="Footer"/>
          <w:jc w:val="right"/>
          <w:rPr>
            <w:rFonts w:asciiTheme="majorHAnsi" w:hAnsiTheme="majorHAnsi"/>
            <w:sz w:val="22"/>
            <w:szCs w:val="22"/>
          </w:rPr>
        </w:pPr>
        <w:r w:rsidRPr="000738FB">
          <w:rPr>
            <w:rFonts w:asciiTheme="majorHAnsi" w:hAnsiTheme="majorHAnsi"/>
            <w:sz w:val="22"/>
            <w:szCs w:val="22"/>
          </w:rPr>
          <w:fldChar w:fldCharType="begin"/>
        </w:r>
        <w:r w:rsidRPr="000738FB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0738FB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6</w:t>
        </w:r>
        <w:r w:rsidRPr="000738FB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12ACBBB0" w14:textId="77777777" w:rsidR="00A432FA" w:rsidRDefault="00A43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70182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25B1D773" w14:textId="77777777" w:rsidR="00A432FA" w:rsidRPr="000738FB" w:rsidRDefault="00A432FA">
        <w:pPr>
          <w:pStyle w:val="Footer"/>
          <w:jc w:val="right"/>
          <w:rPr>
            <w:rFonts w:asciiTheme="majorHAnsi" w:hAnsiTheme="majorHAnsi"/>
            <w:sz w:val="22"/>
            <w:szCs w:val="22"/>
          </w:rPr>
        </w:pPr>
        <w:r w:rsidRPr="000738FB">
          <w:rPr>
            <w:rFonts w:asciiTheme="majorHAnsi" w:hAnsiTheme="majorHAnsi"/>
            <w:sz w:val="22"/>
            <w:szCs w:val="22"/>
          </w:rPr>
          <w:fldChar w:fldCharType="begin"/>
        </w:r>
        <w:r w:rsidRPr="000738FB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0738FB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6</w:t>
        </w:r>
        <w:r w:rsidRPr="000738FB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32A327B3" w14:textId="77777777" w:rsidR="00A432FA" w:rsidRDefault="00A43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9590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2D70D5DA" w14:textId="77777777" w:rsidR="00A432FA" w:rsidRPr="000738FB" w:rsidRDefault="00A432FA">
        <w:pPr>
          <w:pStyle w:val="Footer"/>
          <w:jc w:val="right"/>
          <w:rPr>
            <w:rFonts w:asciiTheme="majorHAnsi" w:hAnsiTheme="majorHAnsi"/>
            <w:sz w:val="22"/>
            <w:szCs w:val="22"/>
          </w:rPr>
        </w:pPr>
        <w:r w:rsidRPr="000738FB">
          <w:rPr>
            <w:rFonts w:asciiTheme="majorHAnsi" w:hAnsiTheme="majorHAnsi"/>
            <w:sz w:val="22"/>
            <w:szCs w:val="22"/>
          </w:rPr>
          <w:fldChar w:fldCharType="begin"/>
        </w:r>
        <w:r w:rsidRPr="000738FB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0738FB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6</w:t>
        </w:r>
        <w:r w:rsidRPr="000738FB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5CC8D540" w14:textId="77777777" w:rsidR="00A432FA" w:rsidRDefault="00A43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856D" w14:textId="77777777" w:rsidR="00F9360D" w:rsidRDefault="00F9360D" w:rsidP="000738FB">
      <w:r>
        <w:separator/>
      </w:r>
    </w:p>
  </w:footnote>
  <w:footnote w:type="continuationSeparator" w:id="0">
    <w:p w14:paraId="517C40C1" w14:textId="77777777" w:rsidR="00F9360D" w:rsidRDefault="00F9360D" w:rsidP="0007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24C57"/>
    <w:multiLevelType w:val="hybridMultilevel"/>
    <w:tmpl w:val="83E8DB58"/>
    <w:lvl w:ilvl="0" w:tplc="91306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A07"/>
    <w:multiLevelType w:val="multilevel"/>
    <w:tmpl w:val="6C14CFB2"/>
    <w:lvl w:ilvl="0">
      <w:start w:val="2"/>
      <w:numFmt w:val="decimal"/>
      <w:lvlText w:val="%1."/>
      <w:lvlJc w:val="left"/>
      <w:pPr>
        <w:ind w:left="460" w:hanging="4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16D80892"/>
    <w:multiLevelType w:val="hybridMultilevel"/>
    <w:tmpl w:val="EF96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87A"/>
    <w:multiLevelType w:val="hybridMultilevel"/>
    <w:tmpl w:val="C5A8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903"/>
    <w:multiLevelType w:val="hybridMultilevel"/>
    <w:tmpl w:val="B6264756"/>
    <w:lvl w:ilvl="0" w:tplc="1C820D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5772"/>
    <w:multiLevelType w:val="hybridMultilevel"/>
    <w:tmpl w:val="4066D820"/>
    <w:lvl w:ilvl="0" w:tplc="66206402">
      <w:start w:val="4"/>
      <w:numFmt w:val="bullet"/>
      <w:lvlText w:val=""/>
      <w:lvlJc w:val="left"/>
      <w:pPr>
        <w:ind w:left="-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7" w15:restartNumberingAfterBreak="0">
    <w:nsid w:val="28F56D71"/>
    <w:multiLevelType w:val="hybridMultilevel"/>
    <w:tmpl w:val="9842B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F367E"/>
    <w:multiLevelType w:val="multilevel"/>
    <w:tmpl w:val="9C502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3726F4"/>
    <w:multiLevelType w:val="hybridMultilevel"/>
    <w:tmpl w:val="FE7EE24A"/>
    <w:lvl w:ilvl="0" w:tplc="E36056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36859"/>
    <w:multiLevelType w:val="multilevel"/>
    <w:tmpl w:val="17A8E58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5201B6"/>
    <w:multiLevelType w:val="hybridMultilevel"/>
    <w:tmpl w:val="8B4C4FCC"/>
    <w:lvl w:ilvl="0" w:tplc="5F70D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C31CB"/>
    <w:multiLevelType w:val="multilevel"/>
    <w:tmpl w:val="CB78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676E36"/>
    <w:multiLevelType w:val="hybridMultilevel"/>
    <w:tmpl w:val="8132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56490B"/>
    <w:multiLevelType w:val="hybridMultilevel"/>
    <w:tmpl w:val="00A6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97829"/>
    <w:multiLevelType w:val="hybridMultilevel"/>
    <w:tmpl w:val="1632D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53A82"/>
    <w:multiLevelType w:val="hybridMultilevel"/>
    <w:tmpl w:val="B4C0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4A"/>
    <w:rsid w:val="00016290"/>
    <w:rsid w:val="00024FC3"/>
    <w:rsid w:val="00044405"/>
    <w:rsid w:val="0005267E"/>
    <w:rsid w:val="00062AFB"/>
    <w:rsid w:val="00072D4D"/>
    <w:rsid w:val="000738FB"/>
    <w:rsid w:val="00076EC2"/>
    <w:rsid w:val="000A0673"/>
    <w:rsid w:val="000A322C"/>
    <w:rsid w:val="000B1D99"/>
    <w:rsid w:val="000B2EC3"/>
    <w:rsid w:val="000B6D79"/>
    <w:rsid w:val="000B7639"/>
    <w:rsid w:val="000C415C"/>
    <w:rsid w:val="000C6C51"/>
    <w:rsid w:val="000C7BEB"/>
    <w:rsid w:val="001020DA"/>
    <w:rsid w:val="0010575E"/>
    <w:rsid w:val="00110E98"/>
    <w:rsid w:val="00111929"/>
    <w:rsid w:val="00114265"/>
    <w:rsid w:val="0011623F"/>
    <w:rsid w:val="001201DC"/>
    <w:rsid w:val="00126F82"/>
    <w:rsid w:val="00140D9C"/>
    <w:rsid w:val="00157C99"/>
    <w:rsid w:val="00162471"/>
    <w:rsid w:val="001804B4"/>
    <w:rsid w:val="00183651"/>
    <w:rsid w:val="00195391"/>
    <w:rsid w:val="001A346F"/>
    <w:rsid w:val="001A47A1"/>
    <w:rsid w:val="001C59D4"/>
    <w:rsid w:val="001D194D"/>
    <w:rsid w:val="001E3112"/>
    <w:rsid w:val="001E363C"/>
    <w:rsid w:val="001F2753"/>
    <w:rsid w:val="00200E1B"/>
    <w:rsid w:val="002134F6"/>
    <w:rsid w:val="00215033"/>
    <w:rsid w:val="00235B7B"/>
    <w:rsid w:val="00237004"/>
    <w:rsid w:val="00255A99"/>
    <w:rsid w:val="00260AE6"/>
    <w:rsid w:val="00267482"/>
    <w:rsid w:val="002724CC"/>
    <w:rsid w:val="002734FA"/>
    <w:rsid w:val="00274296"/>
    <w:rsid w:val="00276069"/>
    <w:rsid w:val="00286C73"/>
    <w:rsid w:val="00287555"/>
    <w:rsid w:val="00292097"/>
    <w:rsid w:val="002A17AB"/>
    <w:rsid w:val="002B31A6"/>
    <w:rsid w:val="002B43B5"/>
    <w:rsid w:val="002C0365"/>
    <w:rsid w:val="002E0E3C"/>
    <w:rsid w:val="002E4ACE"/>
    <w:rsid w:val="002F0D94"/>
    <w:rsid w:val="002F6C7E"/>
    <w:rsid w:val="00301669"/>
    <w:rsid w:val="00303F4F"/>
    <w:rsid w:val="00304052"/>
    <w:rsid w:val="0031468D"/>
    <w:rsid w:val="00315374"/>
    <w:rsid w:val="00332661"/>
    <w:rsid w:val="00343CDD"/>
    <w:rsid w:val="0035704A"/>
    <w:rsid w:val="0039065E"/>
    <w:rsid w:val="00395C29"/>
    <w:rsid w:val="003B2442"/>
    <w:rsid w:val="003B2C33"/>
    <w:rsid w:val="003B35CF"/>
    <w:rsid w:val="003B7B16"/>
    <w:rsid w:val="003C075E"/>
    <w:rsid w:val="003C4EF9"/>
    <w:rsid w:val="003E7DCA"/>
    <w:rsid w:val="003F0A59"/>
    <w:rsid w:val="003F166F"/>
    <w:rsid w:val="003F7EC3"/>
    <w:rsid w:val="00430AF1"/>
    <w:rsid w:val="00430FCD"/>
    <w:rsid w:val="00440353"/>
    <w:rsid w:val="0044084B"/>
    <w:rsid w:val="00447B11"/>
    <w:rsid w:val="00450E95"/>
    <w:rsid w:val="00454261"/>
    <w:rsid w:val="00462DCA"/>
    <w:rsid w:val="00463995"/>
    <w:rsid w:val="00473E45"/>
    <w:rsid w:val="0047544A"/>
    <w:rsid w:val="00475763"/>
    <w:rsid w:val="004A014F"/>
    <w:rsid w:val="004B3DC7"/>
    <w:rsid w:val="004B4FB4"/>
    <w:rsid w:val="004C0A43"/>
    <w:rsid w:val="004C1EA4"/>
    <w:rsid w:val="004D1F7E"/>
    <w:rsid w:val="004D2421"/>
    <w:rsid w:val="004F0839"/>
    <w:rsid w:val="004F5261"/>
    <w:rsid w:val="00511959"/>
    <w:rsid w:val="0051661C"/>
    <w:rsid w:val="00516F19"/>
    <w:rsid w:val="00545034"/>
    <w:rsid w:val="00545FAE"/>
    <w:rsid w:val="00562653"/>
    <w:rsid w:val="00563B20"/>
    <w:rsid w:val="005833B0"/>
    <w:rsid w:val="0058470A"/>
    <w:rsid w:val="00586A0D"/>
    <w:rsid w:val="00597377"/>
    <w:rsid w:val="005B3094"/>
    <w:rsid w:val="005E1119"/>
    <w:rsid w:val="005E2021"/>
    <w:rsid w:val="005E2CCC"/>
    <w:rsid w:val="005E3F0F"/>
    <w:rsid w:val="005F3712"/>
    <w:rsid w:val="00612231"/>
    <w:rsid w:val="00644949"/>
    <w:rsid w:val="0066432E"/>
    <w:rsid w:val="006719DF"/>
    <w:rsid w:val="006802B6"/>
    <w:rsid w:val="0068647B"/>
    <w:rsid w:val="006A4648"/>
    <w:rsid w:val="006B771E"/>
    <w:rsid w:val="006C4B63"/>
    <w:rsid w:val="006D15B4"/>
    <w:rsid w:val="006D17CE"/>
    <w:rsid w:val="006D2E52"/>
    <w:rsid w:val="006E116D"/>
    <w:rsid w:val="006E1FAA"/>
    <w:rsid w:val="006E6F5B"/>
    <w:rsid w:val="006F67B2"/>
    <w:rsid w:val="00703DD8"/>
    <w:rsid w:val="00705CC5"/>
    <w:rsid w:val="007159B3"/>
    <w:rsid w:val="00722B65"/>
    <w:rsid w:val="00742FB2"/>
    <w:rsid w:val="00764F58"/>
    <w:rsid w:val="00770B2B"/>
    <w:rsid w:val="00775E43"/>
    <w:rsid w:val="00785E53"/>
    <w:rsid w:val="00790DFA"/>
    <w:rsid w:val="00791470"/>
    <w:rsid w:val="007929B5"/>
    <w:rsid w:val="007A598B"/>
    <w:rsid w:val="007B2C95"/>
    <w:rsid w:val="007B54F6"/>
    <w:rsid w:val="007C0E50"/>
    <w:rsid w:val="007C2FB5"/>
    <w:rsid w:val="007C5C3F"/>
    <w:rsid w:val="007D31B0"/>
    <w:rsid w:val="007D404B"/>
    <w:rsid w:val="007E759F"/>
    <w:rsid w:val="00837EE1"/>
    <w:rsid w:val="00847A03"/>
    <w:rsid w:val="00852B8E"/>
    <w:rsid w:val="0085555E"/>
    <w:rsid w:val="00871B51"/>
    <w:rsid w:val="00876EC9"/>
    <w:rsid w:val="008826BB"/>
    <w:rsid w:val="0088797D"/>
    <w:rsid w:val="008B3059"/>
    <w:rsid w:val="008C4AE4"/>
    <w:rsid w:val="008F3321"/>
    <w:rsid w:val="008F7A8A"/>
    <w:rsid w:val="009030DC"/>
    <w:rsid w:val="009037D6"/>
    <w:rsid w:val="00904BE7"/>
    <w:rsid w:val="00905F51"/>
    <w:rsid w:val="009070B4"/>
    <w:rsid w:val="009103D4"/>
    <w:rsid w:val="009173F3"/>
    <w:rsid w:val="00917726"/>
    <w:rsid w:val="0092477E"/>
    <w:rsid w:val="0093243D"/>
    <w:rsid w:val="00933355"/>
    <w:rsid w:val="00944A97"/>
    <w:rsid w:val="00952D73"/>
    <w:rsid w:val="00962A2E"/>
    <w:rsid w:val="00976349"/>
    <w:rsid w:val="00976C70"/>
    <w:rsid w:val="00983A27"/>
    <w:rsid w:val="00992E7B"/>
    <w:rsid w:val="0099451F"/>
    <w:rsid w:val="009A3DF9"/>
    <w:rsid w:val="009C1257"/>
    <w:rsid w:val="009D0142"/>
    <w:rsid w:val="009D7BBF"/>
    <w:rsid w:val="009E295A"/>
    <w:rsid w:val="009F08B0"/>
    <w:rsid w:val="009F3D85"/>
    <w:rsid w:val="009F666B"/>
    <w:rsid w:val="00A171FA"/>
    <w:rsid w:val="00A225B6"/>
    <w:rsid w:val="00A37509"/>
    <w:rsid w:val="00A432FA"/>
    <w:rsid w:val="00A46267"/>
    <w:rsid w:val="00A635B0"/>
    <w:rsid w:val="00A756C6"/>
    <w:rsid w:val="00A85AC4"/>
    <w:rsid w:val="00A965C5"/>
    <w:rsid w:val="00AA593E"/>
    <w:rsid w:val="00AA6D12"/>
    <w:rsid w:val="00AC27F1"/>
    <w:rsid w:val="00AC3813"/>
    <w:rsid w:val="00AD44D2"/>
    <w:rsid w:val="00AE1799"/>
    <w:rsid w:val="00AF3DCF"/>
    <w:rsid w:val="00AF6716"/>
    <w:rsid w:val="00B071F6"/>
    <w:rsid w:val="00B126AE"/>
    <w:rsid w:val="00B16BB7"/>
    <w:rsid w:val="00B21BF1"/>
    <w:rsid w:val="00B26DBF"/>
    <w:rsid w:val="00B31279"/>
    <w:rsid w:val="00B56164"/>
    <w:rsid w:val="00B652C1"/>
    <w:rsid w:val="00B77BDF"/>
    <w:rsid w:val="00B873C2"/>
    <w:rsid w:val="00B87AB8"/>
    <w:rsid w:val="00B928C9"/>
    <w:rsid w:val="00BA0F04"/>
    <w:rsid w:val="00BA28CC"/>
    <w:rsid w:val="00BB6AB7"/>
    <w:rsid w:val="00BD3069"/>
    <w:rsid w:val="00BD6AB5"/>
    <w:rsid w:val="00BE1FC7"/>
    <w:rsid w:val="00BE7CB4"/>
    <w:rsid w:val="00BF345C"/>
    <w:rsid w:val="00BF4EE0"/>
    <w:rsid w:val="00BF6D12"/>
    <w:rsid w:val="00C01676"/>
    <w:rsid w:val="00C01B41"/>
    <w:rsid w:val="00C03F5B"/>
    <w:rsid w:val="00C051D8"/>
    <w:rsid w:val="00C0624B"/>
    <w:rsid w:val="00C06F43"/>
    <w:rsid w:val="00C110DC"/>
    <w:rsid w:val="00C12437"/>
    <w:rsid w:val="00C203A4"/>
    <w:rsid w:val="00C21840"/>
    <w:rsid w:val="00C3059C"/>
    <w:rsid w:val="00C339BB"/>
    <w:rsid w:val="00C347DD"/>
    <w:rsid w:val="00C369B1"/>
    <w:rsid w:val="00C43E8F"/>
    <w:rsid w:val="00C524E1"/>
    <w:rsid w:val="00C600E8"/>
    <w:rsid w:val="00C61205"/>
    <w:rsid w:val="00C61F04"/>
    <w:rsid w:val="00C676B0"/>
    <w:rsid w:val="00C7451B"/>
    <w:rsid w:val="00CA04B4"/>
    <w:rsid w:val="00CB60EF"/>
    <w:rsid w:val="00CC3D0C"/>
    <w:rsid w:val="00CC4E25"/>
    <w:rsid w:val="00CC5D4E"/>
    <w:rsid w:val="00CD3823"/>
    <w:rsid w:val="00CD544C"/>
    <w:rsid w:val="00CE576D"/>
    <w:rsid w:val="00CF32C3"/>
    <w:rsid w:val="00CF381F"/>
    <w:rsid w:val="00D06D53"/>
    <w:rsid w:val="00D17673"/>
    <w:rsid w:val="00D260FF"/>
    <w:rsid w:val="00D3193F"/>
    <w:rsid w:val="00D330D2"/>
    <w:rsid w:val="00D41036"/>
    <w:rsid w:val="00D43C76"/>
    <w:rsid w:val="00D46AC8"/>
    <w:rsid w:val="00D548ED"/>
    <w:rsid w:val="00D56089"/>
    <w:rsid w:val="00D64D3B"/>
    <w:rsid w:val="00D66286"/>
    <w:rsid w:val="00D7640E"/>
    <w:rsid w:val="00D76CF2"/>
    <w:rsid w:val="00D810B0"/>
    <w:rsid w:val="00D831A7"/>
    <w:rsid w:val="00D876C4"/>
    <w:rsid w:val="00D9161B"/>
    <w:rsid w:val="00DA2E9F"/>
    <w:rsid w:val="00DA2FAD"/>
    <w:rsid w:val="00DB70D2"/>
    <w:rsid w:val="00DC49AF"/>
    <w:rsid w:val="00DC7BAD"/>
    <w:rsid w:val="00DE3DF8"/>
    <w:rsid w:val="00DF0D05"/>
    <w:rsid w:val="00DF3C90"/>
    <w:rsid w:val="00DF5B09"/>
    <w:rsid w:val="00E006A5"/>
    <w:rsid w:val="00E030EC"/>
    <w:rsid w:val="00E060A3"/>
    <w:rsid w:val="00E1703D"/>
    <w:rsid w:val="00E17F88"/>
    <w:rsid w:val="00E217E8"/>
    <w:rsid w:val="00E263AA"/>
    <w:rsid w:val="00E31045"/>
    <w:rsid w:val="00E401AA"/>
    <w:rsid w:val="00E435D8"/>
    <w:rsid w:val="00E45B84"/>
    <w:rsid w:val="00E66175"/>
    <w:rsid w:val="00E736BB"/>
    <w:rsid w:val="00E76B38"/>
    <w:rsid w:val="00E8233C"/>
    <w:rsid w:val="00E85264"/>
    <w:rsid w:val="00EA204C"/>
    <w:rsid w:val="00EA3648"/>
    <w:rsid w:val="00EA523C"/>
    <w:rsid w:val="00EC48F3"/>
    <w:rsid w:val="00EC7328"/>
    <w:rsid w:val="00EC7C36"/>
    <w:rsid w:val="00EE66D2"/>
    <w:rsid w:val="00EE69CB"/>
    <w:rsid w:val="00EF248A"/>
    <w:rsid w:val="00EF3556"/>
    <w:rsid w:val="00EF60E8"/>
    <w:rsid w:val="00F1150C"/>
    <w:rsid w:val="00F12A3C"/>
    <w:rsid w:val="00F27B63"/>
    <w:rsid w:val="00F3255A"/>
    <w:rsid w:val="00F36C3D"/>
    <w:rsid w:val="00F414CE"/>
    <w:rsid w:val="00F50F7D"/>
    <w:rsid w:val="00F539B0"/>
    <w:rsid w:val="00F608D4"/>
    <w:rsid w:val="00F65B05"/>
    <w:rsid w:val="00F6710D"/>
    <w:rsid w:val="00F75A34"/>
    <w:rsid w:val="00F82AB0"/>
    <w:rsid w:val="00F87A56"/>
    <w:rsid w:val="00F9324C"/>
    <w:rsid w:val="00F9360D"/>
    <w:rsid w:val="00F95BD4"/>
    <w:rsid w:val="00FC26D7"/>
    <w:rsid w:val="00FC5F6A"/>
    <w:rsid w:val="00FD2F11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76EA8"/>
  <w14:defaultImageDpi w14:val="300"/>
  <w15:docId w15:val="{3F2688D3-9362-4EEC-B032-16DBA29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FB"/>
  </w:style>
  <w:style w:type="paragraph" w:styleId="Footer">
    <w:name w:val="footer"/>
    <w:basedOn w:val="Normal"/>
    <w:link w:val="FooterChar"/>
    <w:uiPriority w:val="99"/>
    <w:unhideWhenUsed/>
    <w:rsid w:val="0007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FB"/>
  </w:style>
  <w:style w:type="paragraph" w:styleId="BalloonText">
    <w:name w:val="Balloon Text"/>
    <w:basedOn w:val="Normal"/>
    <w:link w:val="BalloonTextChar"/>
    <w:uiPriority w:val="99"/>
    <w:semiHidden/>
    <w:unhideWhenUsed/>
    <w:rsid w:val="002A1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8E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3700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700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3700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3700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700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700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700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700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7004"/>
    <w:pPr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0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3700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A965C5"/>
  </w:style>
  <w:style w:type="paragraph" w:styleId="Revision">
    <w:name w:val="Revision"/>
    <w:hidden/>
    <w:uiPriority w:val="99"/>
    <w:semiHidden/>
    <w:rsid w:val="003F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Kirby Institute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A7411-37CF-9947-AC40-6E2BC382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 of Macrolide Prophylactic Therapy on AIDS-defining conditions and HIV-related mortality</vt:lpstr>
    </vt:vector>
  </TitlesOfParts>
  <Company>Hewlett-Packard Company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Macrolide Prophylactic Therapy on AIDS-defining conditions and HIV-related mortality</dc:title>
  <dc:creator>The Kirby Institute</dc:creator>
  <cp:lastModifiedBy>MARK PASAYAN MD</cp:lastModifiedBy>
  <cp:revision>5</cp:revision>
  <dcterms:created xsi:type="dcterms:W3CDTF">2018-11-06T15:48:00Z</dcterms:created>
  <dcterms:modified xsi:type="dcterms:W3CDTF">2018-11-08T04:29:00Z</dcterms:modified>
</cp:coreProperties>
</file>