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7419D" w14:textId="0F726842" w:rsidR="008C679F" w:rsidRPr="00943CC0" w:rsidRDefault="00934852" w:rsidP="00C13D47">
      <w:pPr>
        <w:pStyle w:val="Heading1"/>
        <w:rPr>
          <w:color w:val="000000" w:themeColor="text1"/>
        </w:rPr>
      </w:pPr>
      <w:r w:rsidRPr="00943CC0">
        <w:rPr>
          <w:color w:val="000000" w:themeColor="text1"/>
        </w:rPr>
        <w:t>Appendix 1: Respondent Driven Sampling Diagnostics</w:t>
      </w:r>
    </w:p>
    <w:p w14:paraId="48ED2536" w14:textId="436BF551" w:rsidR="008C679F" w:rsidRPr="00943CC0" w:rsidRDefault="005B1CCC" w:rsidP="00934852">
      <w:pPr>
        <w:rPr>
          <w:color w:val="000000" w:themeColor="text1"/>
        </w:rPr>
      </w:pPr>
      <w:r w:rsidRPr="00943CC0">
        <w:rPr>
          <w:color w:val="000000" w:themeColor="text1"/>
        </w:rPr>
        <w:t>W</w:t>
      </w:r>
      <w:r w:rsidR="004447CD" w:rsidRPr="00943CC0">
        <w:rPr>
          <w:color w:val="000000" w:themeColor="text1"/>
        </w:rPr>
        <w:t>e have reported in detail on the RDS diagnostics for these surveys in relation to the main SAPPH-</w:t>
      </w:r>
      <w:proofErr w:type="spellStart"/>
      <w:r w:rsidR="004447CD" w:rsidRPr="00943CC0">
        <w:rPr>
          <w:color w:val="000000" w:themeColor="text1"/>
        </w:rPr>
        <w:t>IRe</w:t>
      </w:r>
      <w:proofErr w:type="spellEnd"/>
      <w:r w:rsidR="004447CD" w:rsidRPr="00943CC0">
        <w:rPr>
          <w:color w:val="000000" w:themeColor="text1"/>
        </w:rPr>
        <w:t xml:space="preserve"> trial finding</w:t>
      </w:r>
      <w:r w:rsidR="00391DF5" w:rsidRPr="00943CC0">
        <w:rPr>
          <w:color w:val="000000" w:themeColor="text1"/>
        </w:rPr>
        <w:fldChar w:fldCharType="begin"/>
      </w:r>
      <w:r w:rsidR="00EF4CC8" w:rsidRPr="00943CC0">
        <w:rPr>
          <w:color w:val="000000" w:themeColor="text1"/>
        </w:rPr>
        <w:instrText xml:space="preserve"> ADDIN EN.CITE &lt;EndNote&gt;&lt;Cite&gt;&lt;Author&gt;Cowan&lt;/Author&gt;&lt;Year&gt;2017&lt;/Year&gt;&lt;RecNum&gt;371&lt;/RecNum&gt;&lt;DisplayText&gt;&lt;style face="superscript"&gt;1&lt;/style&gt;&lt;/DisplayText&gt;&lt;record&gt;&lt;rec-number&gt;371&lt;/rec-number&gt;&lt;foreign-keys&gt;&lt;key app="EN" db-id="szdtrr2w6pp0tde0vap5xa0vwrvrwf0xvtzs" timestamp="1504538388"&gt;371&lt;/key&gt;&lt;/foreign-keys&gt;&lt;ref-type name="Journal Article"&gt;17&lt;/ref-type&gt;&lt;contributors&gt;&lt;authors&gt;&lt;author&gt;Cowan, F.&lt;/author&gt;&lt;author&gt;Davey, C.&lt;/author&gt;&lt;author&gt;Fearon, E.&lt;/author&gt;&lt;author&gt;Mushati, P.&lt;/author&gt;&lt;author&gt;Dirawo, J.&lt;/author&gt;&lt;author&gt;Chabata, S.T.&lt;/author&gt;&lt;author&gt;Cambiano, V.&lt;/author&gt;&lt;author&gt;Napierala-Mavedzenge, S&lt;/author&gt;&lt;author&gt;Hanisch, D.&lt;/author&gt;&lt;author&gt;Wong-Gruenwald, R.&lt;/author&gt;&lt;author&gt;Masuka, N.&lt;/author&gt;&lt;author&gt;Mabugo, T.&lt;/author&gt;&lt;author&gt;Hatzold, K.&lt;/author&gt;&lt;author&gt;Mugurungi, O.&lt;/author&gt;&lt;author&gt;Busza, J.&lt;/author&gt;&lt;author&gt;Phillips, A.&lt;/author&gt;&lt;author&gt;Hargreaves, J.R.&lt;/author&gt;&lt;/authors&gt;&lt;/contributors&gt;&lt;titles&gt;&lt;title&gt;Randomised trial of a combination intervention to empower female sex workers in Zimbabwe to link and adhere to antiretrovirals for treatment and prevention&lt;/title&gt;&lt;secondary-title&gt;(Submitted)&lt;/secondary-title&gt;&lt;/titles&gt;&lt;periodical&gt;&lt;full-title&gt;(Submitted)&lt;/full-title&gt;&lt;/periodical&gt;&lt;dates&gt;&lt;year&gt;2017&lt;/year&gt;&lt;/dates&gt;&lt;urls&gt;&lt;/urls&gt;&lt;/record&gt;&lt;/Cite&gt;&lt;/EndNote&gt;</w:instrText>
      </w:r>
      <w:r w:rsidR="00391DF5" w:rsidRPr="00943CC0">
        <w:rPr>
          <w:color w:val="000000" w:themeColor="text1"/>
        </w:rPr>
        <w:fldChar w:fldCharType="separate"/>
      </w:r>
      <w:r w:rsidR="00EF4CC8" w:rsidRPr="00943CC0">
        <w:rPr>
          <w:noProof/>
          <w:color w:val="000000" w:themeColor="text1"/>
          <w:vertAlign w:val="superscript"/>
        </w:rPr>
        <w:t>1</w:t>
      </w:r>
      <w:r w:rsidR="00391DF5" w:rsidRPr="00943CC0">
        <w:rPr>
          <w:color w:val="000000" w:themeColor="text1"/>
        </w:rPr>
        <w:fldChar w:fldCharType="end"/>
      </w:r>
      <w:r w:rsidR="00391DF5" w:rsidRPr="00943CC0">
        <w:rPr>
          <w:color w:val="000000" w:themeColor="text1"/>
        </w:rPr>
        <w:t>. H</w:t>
      </w:r>
      <w:r w:rsidR="004447CD" w:rsidRPr="00943CC0">
        <w:rPr>
          <w:color w:val="000000" w:themeColor="text1"/>
        </w:rPr>
        <w:t>ere</w:t>
      </w:r>
      <w:r w:rsidR="00EF4CC8" w:rsidRPr="00943CC0">
        <w:rPr>
          <w:color w:val="000000" w:themeColor="text1"/>
        </w:rPr>
        <w:t>,</w:t>
      </w:r>
      <w:r w:rsidR="004447CD" w:rsidRPr="00943CC0">
        <w:rPr>
          <w:color w:val="000000" w:themeColor="text1"/>
        </w:rPr>
        <w:t xml:space="preserve"> we considered recruitment dynamics as they related to the prevention cascade framewor</w:t>
      </w:r>
      <w:r w:rsidR="00773473" w:rsidRPr="00943CC0">
        <w:rPr>
          <w:color w:val="000000" w:themeColor="text1"/>
        </w:rPr>
        <w:t>k</w:t>
      </w:r>
      <w:r w:rsidR="00EF4CC8" w:rsidRPr="00943CC0">
        <w:rPr>
          <w:color w:val="000000" w:themeColor="text1"/>
        </w:rPr>
        <w:t>, examining</w:t>
      </w:r>
      <w:r w:rsidR="00DD5729" w:rsidRPr="00943CC0">
        <w:rPr>
          <w:color w:val="000000" w:themeColor="text1"/>
        </w:rPr>
        <w:t xml:space="preserve"> recruitment tree</w:t>
      </w:r>
      <w:r w:rsidR="00EF4CC8" w:rsidRPr="00943CC0">
        <w:rPr>
          <w:color w:val="000000" w:themeColor="text1"/>
        </w:rPr>
        <w:t>s</w:t>
      </w:r>
      <w:r w:rsidR="00DD5729" w:rsidRPr="00943CC0">
        <w:rPr>
          <w:color w:val="000000" w:themeColor="text1"/>
        </w:rPr>
        <w:t xml:space="preserve"> by</w:t>
      </w:r>
      <w:r w:rsidR="004447CD" w:rsidRPr="00943CC0">
        <w:rPr>
          <w:color w:val="000000" w:themeColor="text1"/>
        </w:rPr>
        <w:t xml:space="preserve"> ad</w:t>
      </w:r>
      <w:r w:rsidR="00773473" w:rsidRPr="00943CC0">
        <w:rPr>
          <w:color w:val="000000" w:themeColor="text1"/>
        </w:rPr>
        <w:t xml:space="preserve">herence to condoms and to </w:t>
      </w:r>
      <w:proofErr w:type="spellStart"/>
      <w:r w:rsidR="00773473" w:rsidRPr="00943CC0">
        <w:rPr>
          <w:color w:val="000000" w:themeColor="text1"/>
        </w:rPr>
        <w:t>PrEP</w:t>
      </w:r>
      <w:proofErr w:type="spellEnd"/>
      <w:r w:rsidR="00DD5729" w:rsidRPr="00943CC0">
        <w:rPr>
          <w:color w:val="000000" w:themeColor="text1"/>
        </w:rPr>
        <w:t>,</w:t>
      </w:r>
      <w:r w:rsidR="00773473" w:rsidRPr="00943CC0">
        <w:rPr>
          <w:color w:val="000000" w:themeColor="text1"/>
        </w:rPr>
        <w:t xml:space="preserve"> and </w:t>
      </w:r>
      <w:r w:rsidR="004447CD" w:rsidRPr="00943CC0">
        <w:rPr>
          <w:color w:val="000000" w:themeColor="text1"/>
        </w:rPr>
        <w:t xml:space="preserve">the extent to which estimates </w:t>
      </w:r>
      <w:r w:rsidR="00AF1796" w:rsidRPr="00943CC0">
        <w:rPr>
          <w:color w:val="000000" w:themeColor="text1"/>
        </w:rPr>
        <w:t xml:space="preserve">of adherence to condoms and </w:t>
      </w:r>
      <w:proofErr w:type="spellStart"/>
      <w:r w:rsidR="00AF1796" w:rsidRPr="00943CC0">
        <w:rPr>
          <w:color w:val="000000" w:themeColor="text1"/>
        </w:rPr>
        <w:t>PrEP</w:t>
      </w:r>
      <w:proofErr w:type="spellEnd"/>
      <w:r w:rsidR="00AF1796" w:rsidRPr="00943CC0">
        <w:rPr>
          <w:color w:val="000000" w:themeColor="text1"/>
        </w:rPr>
        <w:t xml:space="preserve"> </w:t>
      </w:r>
      <w:r w:rsidR="004447CD" w:rsidRPr="00943CC0">
        <w:rPr>
          <w:color w:val="000000" w:themeColor="text1"/>
        </w:rPr>
        <w:t>had conver</w:t>
      </w:r>
      <w:r w:rsidR="00773473" w:rsidRPr="00943CC0">
        <w:rPr>
          <w:color w:val="000000" w:themeColor="text1"/>
        </w:rPr>
        <w:t>ged as the sample accumulated</w:t>
      </w:r>
      <w:r w:rsidR="004447CD" w:rsidRPr="00943CC0">
        <w:rPr>
          <w:color w:val="000000" w:themeColor="text1"/>
        </w:rPr>
        <w:t xml:space="preserve">. </w:t>
      </w:r>
      <w:r w:rsidR="00753CC6" w:rsidRPr="00943CC0">
        <w:rPr>
          <w:color w:val="000000" w:themeColor="text1"/>
        </w:rPr>
        <w:t>A</w:t>
      </w:r>
      <w:r w:rsidR="004B774C" w:rsidRPr="00943CC0">
        <w:rPr>
          <w:color w:val="000000" w:themeColor="text1"/>
        </w:rPr>
        <w:t>s recruitment included both HIV-</w:t>
      </w:r>
      <w:r w:rsidR="00753CC6" w:rsidRPr="00943CC0">
        <w:rPr>
          <w:color w:val="000000" w:themeColor="text1"/>
        </w:rPr>
        <w:t>positive and negative FSW, we include all in our diagnostics report (n=1439).</w:t>
      </w:r>
    </w:p>
    <w:p w14:paraId="4CAF615A" w14:textId="77777777" w:rsidR="0050365D" w:rsidRPr="00943CC0" w:rsidRDefault="0050365D" w:rsidP="00934852">
      <w:pPr>
        <w:rPr>
          <w:color w:val="000000" w:themeColor="text1"/>
        </w:rPr>
      </w:pPr>
    </w:p>
    <w:p w14:paraId="7F36940E" w14:textId="2F830A77" w:rsidR="0050365D" w:rsidRPr="00943CC0" w:rsidRDefault="00DD5729" w:rsidP="00934852">
      <w:pPr>
        <w:rPr>
          <w:color w:val="000000" w:themeColor="text1"/>
        </w:rPr>
      </w:pPr>
      <w:proofErr w:type="spellStart"/>
      <w:r w:rsidRPr="00943CC0">
        <w:rPr>
          <w:color w:val="000000" w:themeColor="text1"/>
        </w:rPr>
        <w:t>PrEP</w:t>
      </w:r>
      <w:proofErr w:type="spellEnd"/>
      <w:r w:rsidRPr="00943CC0">
        <w:rPr>
          <w:color w:val="000000" w:themeColor="text1"/>
        </w:rPr>
        <w:t xml:space="preserve"> and condom adherence did not appear to concentrate in any particular recruitment chains (example tree, Figure 1). </w:t>
      </w:r>
      <w:r w:rsidR="0050365D" w:rsidRPr="00943CC0">
        <w:rPr>
          <w:color w:val="000000" w:themeColor="text1"/>
        </w:rPr>
        <w:t xml:space="preserve">RDS-weighted estimates for adherence to </w:t>
      </w:r>
      <w:proofErr w:type="spellStart"/>
      <w:r w:rsidR="0050365D" w:rsidRPr="00943CC0">
        <w:rPr>
          <w:color w:val="000000" w:themeColor="text1"/>
        </w:rPr>
        <w:t>PrEP</w:t>
      </w:r>
      <w:proofErr w:type="spellEnd"/>
      <w:r w:rsidR="0050365D" w:rsidRPr="00943CC0">
        <w:rPr>
          <w:color w:val="000000" w:themeColor="text1"/>
        </w:rPr>
        <w:t xml:space="preserve"> appeared to converge well in each site</w:t>
      </w:r>
      <w:r w:rsidR="00D6217C" w:rsidRPr="00943CC0">
        <w:rPr>
          <w:color w:val="000000" w:themeColor="text1"/>
        </w:rPr>
        <w:t xml:space="preserve"> (Figure 3)</w:t>
      </w:r>
      <w:r w:rsidR="0050365D" w:rsidRPr="00943CC0">
        <w:rPr>
          <w:color w:val="000000" w:themeColor="text1"/>
        </w:rPr>
        <w:t>, and adherence to condoms well in four sites</w:t>
      </w:r>
      <w:r w:rsidR="00D6217C" w:rsidRPr="00943CC0">
        <w:rPr>
          <w:color w:val="000000" w:themeColor="text1"/>
        </w:rPr>
        <w:t xml:space="preserve"> (Figure 2)</w:t>
      </w:r>
      <w:r w:rsidR="0050365D" w:rsidRPr="00943CC0">
        <w:rPr>
          <w:color w:val="000000" w:themeColor="text1"/>
        </w:rPr>
        <w:t>. In three sites</w:t>
      </w:r>
      <w:r w:rsidR="00EF4CC8" w:rsidRPr="00943CC0">
        <w:rPr>
          <w:color w:val="000000" w:themeColor="text1"/>
        </w:rPr>
        <w:t>,</w:t>
      </w:r>
      <w:r w:rsidR="0050365D" w:rsidRPr="00943CC0">
        <w:rPr>
          <w:color w:val="000000" w:themeColor="text1"/>
        </w:rPr>
        <w:t xml:space="preserve"> it is possible the adherence to condoms estimate might have risen furt</w:t>
      </w:r>
      <w:r w:rsidR="00393C97" w:rsidRPr="00943CC0">
        <w:rPr>
          <w:color w:val="000000" w:themeColor="text1"/>
        </w:rPr>
        <w:t>her with additional recruitment, and therefore we might have underestimated condom adherence when pooling the data.</w:t>
      </w:r>
    </w:p>
    <w:p w14:paraId="1CC023AD" w14:textId="77777777" w:rsidR="00D6217C" w:rsidRPr="00943CC0" w:rsidRDefault="00D6217C" w:rsidP="00934852">
      <w:pPr>
        <w:rPr>
          <w:color w:val="000000" w:themeColor="text1"/>
        </w:rPr>
      </w:pPr>
    </w:p>
    <w:p w14:paraId="5D3B22DA" w14:textId="77777777" w:rsidR="00B62660" w:rsidRPr="00943CC0" w:rsidRDefault="00B62660" w:rsidP="00934852">
      <w:pPr>
        <w:rPr>
          <w:color w:val="000000" w:themeColor="text1"/>
        </w:rPr>
      </w:pPr>
    </w:p>
    <w:p w14:paraId="0D01456E" w14:textId="77777777" w:rsidR="000946E4" w:rsidRPr="00943CC0" w:rsidRDefault="000946E4" w:rsidP="00934852">
      <w:pPr>
        <w:rPr>
          <w:b/>
          <w:color w:val="000000" w:themeColor="text1"/>
        </w:rPr>
        <w:sectPr w:rsidR="000946E4" w:rsidRPr="00943CC0" w:rsidSect="00EC43EC">
          <w:pgSz w:w="11900" w:h="16840"/>
          <w:pgMar w:top="1440" w:right="1440" w:bottom="1440" w:left="1440" w:header="720" w:footer="720" w:gutter="0"/>
          <w:cols w:space="720"/>
          <w:docGrid w:linePitch="360"/>
        </w:sectPr>
      </w:pPr>
    </w:p>
    <w:p w14:paraId="213A861F" w14:textId="51354D79" w:rsidR="000239E8" w:rsidRPr="00943CC0" w:rsidRDefault="00B62660" w:rsidP="00934852">
      <w:pPr>
        <w:rPr>
          <w:b/>
          <w:color w:val="000000" w:themeColor="text1"/>
        </w:rPr>
      </w:pPr>
      <w:r w:rsidRPr="00943CC0">
        <w:rPr>
          <w:b/>
          <w:color w:val="000000" w:themeColor="text1"/>
        </w:rPr>
        <w:lastRenderedPageBreak/>
        <w:t>Appendix</w:t>
      </w:r>
      <w:r w:rsidR="001F7962" w:rsidRPr="00943CC0">
        <w:rPr>
          <w:b/>
          <w:color w:val="000000" w:themeColor="text1"/>
        </w:rPr>
        <w:t xml:space="preserve"> 1</w:t>
      </w:r>
      <w:r w:rsidRPr="00943CC0">
        <w:rPr>
          <w:b/>
          <w:color w:val="000000" w:themeColor="text1"/>
        </w:rPr>
        <w:t xml:space="preserve"> Figure </w:t>
      </w:r>
      <w:proofErr w:type="gramStart"/>
      <w:r w:rsidRPr="00943CC0">
        <w:rPr>
          <w:b/>
          <w:color w:val="000000" w:themeColor="text1"/>
        </w:rPr>
        <w:t>1 :</w:t>
      </w:r>
      <w:proofErr w:type="gramEnd"/>
      <w:r w:rsidRPr="00943CC0">
        <w:rPr>
          <w:b/>
          <w:color w:val="000000" w:themeColor="text1"/>
        </w:rPr>
        <w:t xml:space="preserve"> One </w:t>
      </w:r>
      <w:r w:rsidR="00BE5AA4" w:rsidRPr="00943CC0">
        <w:rPr>
          <w:b/>
          <w:color w:val="000000" w:themeColor="text1"/>
        </w:rPr>
        <w:t xml:space="preserve">example </w:t>
      </w:r>
      <w:r w:rsidRPr="00943CC0">
        <w:rPr>
          <w:b/>
          <w:color w:val="000000" w:themeColor="text1"/>
        </w:rPr>
        <w:t>site’</w:t>
      </w:r>
      <w:r w:rsidR="00CD3109" w:rsidRPr="00943CC0">
        <w:rPr>
          <w:b/>
          <w:color w:val="000000" w:themeColor="text1"/>
        </w:rPr>
        <w:t xml:space="preserve">s recruitment trees by </w:t>
      </w:r>
      <w:r w:rsidR="00EF4CC8" w:rsidRPr="00943CC0">
        <w:rPr>
          <w:b/>
          <w:color w:val="000000" w:themeColor="text1"/>
        </w:rPr>
        <w:t xml:space="preserve">HIV status and </w:t>
      </w:r>
      <w:r w:rsidR="00CD3109" w:rsidRPr="00943CC0">
        <w:rPr>
          <w:b/>
          <w:color w:val="000000" w:themeColor="text1"/>
        </w:rPr>
        <w:t>A)</w:t>
      </w:r>
      <w:r w:rsidRPr="00943CC0">
        <w:rPr>
          <w:b/>
          <w:color w:val="000000" w:themeColor="text1"/>
        </w:rPr>
        <w:t xml:space="preserve"> adherence to condoms</w:t>
      </w:r>
      <w:r w:rsidR="00CD3109" w:rsidRPr="00943CC0">
        <w:rPr>
          <w:b/>
          <w:color w:val="000000" w:themeColor="text1"/>
        </w:rPr>
        <w:t>;</w:t>
      </w:r>
      <w:r w:rsidRPr="00943CC0">
        <w:rPr>
          <w:b/>
          <w:color w:val="000000" w:themeColor="text1"/>
        </w:rPr>
        <w:t xml:space="preserve"> and </w:t>
      </w:r>
      <w:r w:rsidR="00CD3109" w:rsidRPr="00943CC0">
        <w:rPr>
          <w:b/>
          <w:color w:val="000000" w:themeColor="text1"/>
        </w:rPr>
        <w:t xml:space="preserve">B) </w:t>
      </w:r>
      <w:r w:rsidR="00753CC6" w:rsidRPr="00943CC0">
        <w:rPr>
          <w:b/>
          <w:color w:val="000000" w:themeColor="text1"/>
        </w:rPr>
        <w:t xml:space="preserve">adherence to </w:t>
      </w:r>
      <w:proofErr w:type="spellStart"/>
      <w:r w:rsidR="00753CC6" w:rsidRPr="00943CC0">
        <w:rPr>
          <w:b/>
          <w:color w:val="000000" w:themeColor="text1"/>
        </w:rPr>
        <w:t>PrEP</w:t>
      </w:r>
      <w:proofErr w:type="spellEnd"/>
      <w:r w:rsidR="00753CC6" w:rsidRPr="00943CC0">
        <w:rPr>
          <w:b/>
          <w:color w:val="000000" w:themeColor="text1"/>
        </w:rPr>
        <w:t xml:space="preserve"> among all FSW at the </w:t>
      </w:r>
      <w:r w:rsidR="000946E4" w:rsidRPr="00943CC0">
        <w:rPr>
          <w:b/>
          <w:color w:val="000000" w:themeColor="text1"/>
        </w:rPr>
        <w:t xml:space="preserve">seven </w:t>
      </w:r>
      <w:r w:rsidR="00753CC6" w:rsidRPr="00943CC0">
        <w:rPr>
          <w:b/>
          <w:color w:val="000000" w:themeColor="text1"/>
        </w:rPr>
        <w:t>site</w:t>
      </w:r>
      <w:r w:rsidR="000239E8" w:rsidRPr="00943CC0">
        <w:rPr>
          <w:b/>
          <w:color w:val="000000" w:themeColor="text1"/>
        </w:rPr>
        <w:t>s (n=1439)</w:t>
      </w:r>
    </w:p>
    <w:p w14:paraId="2C4024F8" w14:textId="276D7050" w:rsidR="00CD3109" w:rsidRPr="00943CC0" w:rsidRDefault="00CD3109" w:rsidP="00934852">
      <w:pPr>
        <w:rPr>
          <w:i/>
          <w:color w:val="000000" w:themeColor="text1"/>
        </w:rPr>
      </w:pPr>
      <w:r w:rsidRPr="00943CC0">
        <w:rPr>
          <w:i/>
          <w:color w:val="000000" w:themeColor="text1"/>
        </w:rPr>
        <w:t>Circles are participants and lines are recruitment ties. The top of each chain is the seed participant, with her recruits below and so on.</w:t>
      </w:r>
    </w:p>
    <w:p w14:paraId="50348B4D" w14:textId="77777777" w:rsidR="000239E8" w:rsidRPr="00943CC0" w:rsidRDefault="000239E8" w:rsidP="00934852">
      <w:pPr>
        <w:rPr>
          <w:b/>
          <w:color w:val="000000" w:themeColor="text1"/>
        </w:rPr>
      </w:pPr>
    </w:p>
    <w:p w14:paraId="43BA9DB4" w14:textId="6F54BF44" w:rsidR="000239E8" w:rsidRPr="00943CC0" w:rsidRDefault="000239E8" w:rsidP="00934852">
      <w:pPr>
        <w:rPr>
          <w:b/>
          <w:color w:val="000000" w:themeColor="text1"/>
        </w:rPr>
      </w:pPr>
      <w:r w:rsidRPr="00943CC0">
        <w:rPr>
          <w:b/>
          <w:color w:val="000000" w:themeColor="text1"/>
        </w:rPr>
        <w:t>A</w:t>
      </w:r>
      <w:r w:rsidRPr="00943CC0">
        <w:rPr>
          <w:b/>
          <w:color w:val="000000" w:themeColor="text1"/>
        </w:rPr>
        <w:tab/>
      </w:r>
      <w:r w:rsidRPr="00943CC0">
        <w:rPr>
          <w:b/>
          <w:color w:val="000000" w:themeColor="text1"/>
        </w:rPr>
        <w:tab/>
      </w:r>
      <w:r w:rsidRPr="00943CC0">
        <w:rPr>
          <w:b/>
          <w:color w:val="000000" w:themeColor="text1"/>
        </w:rPr>
        <w:tab/>
      </w:r>
      <w:r w:rsidRPr="00943CC0">
        <w:rPr>
          <w:b/>
          <w:color w:val="000000" w:themeColor="text1"/>
        </w:rPr>
        <w:tab/>
      </w:r>
      <w:r w:rsidRPr="00943CC0">
        <w:rPr>
          <w:b/>
          <w:color w:val="000000" w:themeColor="text1"/>
        </w:rPr>
        <w:tab/>
      </w:r>
      <w:r w:rsidRPr="00943CC0">
        <w:rPr>
          <w:b/>
          <w:color w:val="000000" w:themeColor="text1"/>
        </w:rPr>
        <w:tab/>
      </w:r>
      <w:r w:rsidRPr="00943CC0">
        <w:rPr>
          <w:b/>
          <w:color w:val="000000" w:themeColor="text1"/>
        </w:rPr>
        <w:tab/>
      </w:r>
      <w:r w:rsidRPr="00943CC0">
        <w:rPr>
          <w:b/>
          <w:color w:val="000000" w:themeColor="text1"/>
        </w:rPr>
        <w:tab/>
      </w:r>
      <w:r w:rsidRPr="00943CC0">
        <w:rPr>
          <w:b/>
          <w:color w:val="000000" w:themeColor="text1"/>
        </w:rPr>
        <w:tab/>
        <w:t>B</w:t>
      </w:r>
    </w:p>
    <w:p w14:paraId="7655E882" w14:textId="6651673C" w:rsidR="00B62660" w:rsidRPr="00943CC0" w:rsidRDefault="00D6217C" w:rsidP="00934852">
      <w:pPr>
        <w:rPr>
          <w:color w:val="000000" w:themeColor="text1"/>
        </w:rPr>
      </w:pPr>
      <w:r w:rsidRPr="00943CC0">
        <w:rPr>
          <w:noProof/>
          <w:color w:val="000000" w:themeColor="text1"/>
          <w:lang w:eastAsia="en-GB"/>
        </w:rPr>
        <w:drawing>
          <wp:inline distT="0" distB="0" distL="0" distR="0" wp14:anchorId="5BF24A6D" wp14:editId="74F623ED">
            <wp:extent cx="3371731" cy="4608732"/>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86999" cy="4629602"/>
                    </a:xfrm>
                    <a:prstGeom prst="rect">
                      <a:avLst/>
                    </a:prstGeom>
                  </pic:spPr>
                </pic:pic>
              </a:graphicData>
            </a:graphic>
          </wp:inline>
        </w:drawing>
      </w:r>
      <w:r w:rsidR="00BE5AA4" w:rsidRPr="00943CC0">
        <w:rPr>
          <w:noProof/>
          <w:color w:val="000000" w:themeColor="text1"/>
          <w:lang w:eastAsia="en-GB"/>
        </w:rPr>
        <w:t xml:space="preserve"> </w:t>
      </w:r>
      <w:r w:rsidR="00BE5AA4" w:rsidRPr="00943CC0">
        <w:rPr>
          <w:noProof/>
          <w:color w:val="000000" w:themeColor="text1"/>
          <w:lang w:eastAsia="en-GB"/>
        </w:rPr>
        <w:drawing>
          <wp:inline distT="0" distB="0" distL="0" distR="0" wp14:anchorId="7DA26BDD" wp14:editId="749C539A">
            <wp:extent cx="3186245" cy="474647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9969" cy="4781820"/>
                    </a:xfrm>
                    <a:prstGeom prst="rect">
                      <a:avLst/>
                    </a:prstGeom>
                  </pic:spPr>
                </pic:pic>
              </a:graphicData>
            </a:graphic>
          </wp:inline>
        </w:drawing>
      </w:r>
    </w:p>
    <w:p w14:paraId="1BD27B63" w14:textId="77777777" w:rsidR="00A020C9" w:rsidRPr="00943CC0" w:rsidRDefault="00A020C9" w:rsidP="00934852">
      <w:pPr>
        <w:rPr>
          <w:b/>
          <w:color w:val="000000" w:themeColor="text1"/>
        </w:rPr>
        <w:sectPr w:rsidR="00A020C9" w:rsidRPr="00943CC0" w:rsidSect="000946E4">
          <w:pgSz w:w="16840" w:h="11900" w:orient="landscape"/>
          <w:pgMar w:top="1440" w:right="1440" w:bottom="1440" w:left="1440" w:header="720" w:footer="720" w:gutter="0"/>
          <w:cols w:space="720"/>
          <w:docGrid w:linePitch="360"/>
        </w:sectPr>
      </w:pPr>
    </w:p>
    <w:p w14:paraId="52C4BEDC" w14:textId="3E7D7A45" w:rsidR="00C13D47" w:rsidRPr="00943CC0" w:rsidRDefault="00C13D47" w:rsidP="00934852">
      <w:pPr>
        <w:rPr>
          <w:b/>
          <w:color w:val="000000" w:themeColor="text1"/>
        </w:rPr>
      </w:pPr>
      <w:r w:rsidRPr="00943CC0">
        <w:rPr>
          <w:b/>
          <w:color w:val="000000" w:themeColor="text1"/>
        </w:rPr>
        <w:t>Appendix</w:t>
      </w:r>
      <w:r w:rsidR="001F7962" w:rsidRPr="00943CC0">
        <w:rPr>
          <w:b/>
          <w:color w:val="000000" w:themeColor="text1"/>
        </w:rPr>
        <w:t xml:space="preserve"> 1</w:t>
      </w:r>
      <w:r w:rsidRPr="00943CC0">
        <w:rPr>
          <w:b/>
          <w:color w:val="000000" w:themeColor="text1"/>
        </w:rPr>
        <w:t xml:space="preserve"> Figure</w:t>
      </w:r>
      <w:r w:rsidR="00D828A0" w:rsidRPr="00943CC0">
        <w:rPr>
          <w:b/>
          <w:color w:val="000000" w:themeColor="text1"/>
        </w:rPr>
        <w:t xml:space="preserve"> 2: Convergence of estimates of</w:t>
      </w:r>
      <w:r w:rsidR="001F7962" w:rsidRPr="00943CC0">
        <w:rPr>
          <w:b/>
          <w:color w:val="000000" w:themeColor="text1"/>
        </w:rPr>
        <w:t xml:space="preserve"> </w:t>
      </w:r>
      <w:r w:rsidRPr="00943CC0">
        <w:rPr>
          <w:b/>
          <w:color w:val="000000" w:themeColor="text1"/>
        </w:rPr>
        <w:t xml:space="preserve">adherence to condoms </w:t>
      </w:r>
      <w:r w:rsidR="00D828A0" w:rsidRPr="00943CC0">
        <w:rPr>
          <w:b/>
          <w:color w:val="000000" w:themeColor="text1"/>
        </w:rPr>
        <w:t>in seven sites</w:t>
      </w:r>
    </w:p>
    <w:p w14:paraId="26B31ADE" w14:textId="6865E013" w:rsidR="00D828A0" w:rsidRPr="00943CC0" w:rsidRDefault="005C7B92" w:rsidP="00934852">
      <w:pPr>
        <w:rPr>
          <w:i/>
          <w:color w:val="000000" w:themeColor="text1"/>
          <w:sz w:val="20"/>
          <w:szCs w:val="20"/>
        </w:rPr>
      </w:pPr>
      <w:r w:rsidRPr="00943CC0">
        <w:rPr>
          <w:i/>
          <w:color w:val="000000" w:themeColor="text1"/>
          <w:sz w:val="20"/>
          <w:szCs w:val="20"/>
        </w:rPr>
        <w:t>For each plot, the solid line</w:t>
      </w:r>
      <w:r w:rsidR="00D828A0" w:rsidRPr="00943CC0">
        <w:rPr>
          <w:i/>
          <w:color w:val="000000" w:themeColor="text1"/>
          <w:sz w:val="20"/>
          <w:szCs w:val="20"/>
        </w:rPr>
        <w:t xml:space="preserve"> shows the cumulative RDS-II weighted estimate of adherence to condoms as the sample size increased.</w:t>
      </w:r>
      <w:r w:rsidRPr="00943CC0">
        <w:rPr>
          <w:i/>
          <w:color w:val="000000" w:themeColor="text1"/>
          <w:sz w:val="20"/>
          <w:szCs w:val="20"/>
        </w:rPr>
        <w:t xml:space="preserve"> The dotted line shows the final estimate.</w:t>
      </w:r>
    </w:p>
    <w:p w14:paraId="504A0DE9" w14:textId="7DBDA321" w:rsidR="00D4750E" w:rsidRPr="00943CC0" w:rsidRDefault="00D4750E" w:rsidP="00934852">
      <w:pPr>
        <w:rPr>
          <w:i/>
          <w:color w:val="000000" w:themeColor="text1"/>
          <w:sz w:val="20"/>
          <w:szCs w:val="20"/>
        </w:rPr>
      </w:pPr>
      <w:r w:rsidRPr="00943CC0">
        <w:rPr>
          <w:i/>
          <w:color w:val="000000" w:themeColor="text1"/>
          <w:sz w:val="20"/>
          <w:szCs w:val="20"/>
        </w:rPr>
        <w:t>Note that estimates are out of all women in these denominators</w:t>
      </w:r>
      <w:r w:rsidR="00A70C27" w:rsidRPr="00943CC0">
        <w:rPr>
          <w:i/>
          <w:color w:val="000000" w:themeColor="text1"/>
          <w:sz w:val="20"/>
          <w:szCs w:val="20"/>
        </w:rPr>
        <w:t xml:space="preserve"> </w:t>
      </w:r>
      <w:r w:rsidRPr="00943CC0">
        <w:rPr>
          <w:i/>
          <w:color w:val="000000" w:themeColor="text1"/>
          <w:sz w:val="20"/>
          <w:szCs w:val="20"/>
        </w:rPr>
        <w:t>(n=1439 total</w:t>
      </w:r>
      <w:r w:rsidR="004B774C" w:rsidRPr="00943CC0">
        <w:rPr>
          <w:i/>
          <w:color w:val="000000" w:themeColor="text1"/>
          <w:sz w:val="20"/>
          <w:szCs w:val="20"/>
        </w:rPr>
        <w:t xml:space="preserve"> recruited</w:t>
      </w:r>
      <w:r w:rsidR="004C7469" w:rsidRPr="00943CC0">
        <w:rPr>
          <w:i/>
          <w:color w:val="000000" w:themeColor="text1"/>
          <w:sz w:val="20"/>
          <w:szCs w:val="20"/>
        </w:rPr>
        <w:t>), not only those 611 HIV-</w:t>
      </w:r>
      <w:r w:rsidRPr="00943CC0">
        <w:rPr>
          <w:i/>
          <w:color w:val="000000" w:themeColor="text1"/>
          <w:sz w:val="20"/>
          <w:szCs w:val="20"/>
        </w:rPr>
        <w:t>negative, as in the main analysis.</w:t>
      </w:r>
    </w:p>
    <w:p w14:paraId="347C3EA1" w14:textId="61811A20" w:rsidR="001F7962" w:rsidRPr="00943CC0" w:rsidRDefault="00A020C9" w:rsidP="00934852">
      <w:pPr>
        <w:rPr>
          <w:b/>
          <w:color w:val="000000" w:themeColor="text1"/>
        </w:rPr>
      </w:pPr>
      <w:r w:rsidRPr="00943CC0">
        <w:rPr>
          <w:b/>
          <w:noProof/>
          <w:color w:val="000000" w:themeColor="text1"/>
          <w:lang w:eastAsia="en-GB"/>
        </w:rPr>
        <w:drawing>
          <wp:inline distT="0" distB="0" distL="0" distR="0" wp14:anchorId="01314D69" wp14:editId="37D78C05">
            <wp:extent cx="2144947" cy="2071459"/>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8103" cy="2093822"/>
                    </a:xfrm>
                    <a:prstGeom prst="rect">
                      <a:avLst/>
                    </a:prstGeom>
                  </pic:spPr>
                </pic:pic>
              </a:graphicData>
            </a:graphic>
          </wp:inline>
        </w:drawing>
      </w:r>
      <w:r w:rsidR="000E59B7" w:rsidRPr="00943CC0">
        <w:rPr>
          <w:noProof/>
          <w:color w:val="000000" w:themeColor="text1"/>
          <w:lang w:eastAsia="en-GB"/>
        </w:rPr>
        <w:t xml:space="preserve"> </w:t>
      </w:r>
      <w:r w:rsidR="000E59B7" w:rsidRPr="00943CC0">
        <w:rPr>
          <w:b/>
          <w:noProof/>
          <w:color w:val="000000" w:themeColor="text1"/>
          <w:lang w:eastAsia="en-GB"/>
        </w:rPr>
        <w:drawing>
          <wp:inline distT="0" distB="0" distL="0" distR="0" wp14:anchorId="09FD686D" wp14:editId="523DC780">
            <wp:extent cx="2116774" cy="20652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6803" cy="2123824"/>
                    </a:xfrm>
                    <a:prstGeom prst="rect">
                      <a:avLst/>
                    </a:prstGeom>
                  </pic:spPr>
                </pic:pic>
              </a:graphicData>
            </a:graphic>
          </wp:inline>
        </w:drawing>
      </w:r>
      <w:r w:rsidR="000E59B7" w:rsidRPr="00943CC0">
        <w:rPr>
          <w:noProof/>
          <w:color w:val="000000" w:themeColor="text1"/>
          <w:lang w:eastAsia="en-GB"/>
        </w:rPr>
        <w:t xml:space="preserve"> </w:t>
      </w:r>
      <w:r w:rsidR="000E59B7" w:rsidRPr="00943CC0">
        <w:rPr>
          <w:noProof/>
          <w:color w:val="000000" w:themeColor="text1"/>
          <w:lang w:eastAsia="en-GB"/>
        </w:rPr>
        <w:drawing>
          <wp:inline distT="0" distB="0" distL="0" distR="0" wp14:anchorId="2A670508" wp14:editId="6A032E5F">
            <wp:extent cx="2144949" cy="2071459"/>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1686" cy="2116595"/>
                    </a:xfrm>
                    <a:prstGeom prst="rect">
                      <a:avLst/>
                    </a:prstGeom>
                  </pic:spPr>
                </pic:pic>
              </a:graphicData>
            </a:graphic>
          </wp:inline>
        </w:drawing>
      </w:r>
      <w:r w:rsidR="00E5400B" w:rsidRPr="00943CC0">
        <w:rPr>
          <w:noProof/>
          <w:color w:val="000000" w:themeColor="text1"/>
          <w:lang w:eastAsia="en-GB"/>
        </w:rPr>
        <w:t xml:space="preserve"> </w:t>
      </w:r>
      <w:r w:rsidR="00E5400B" w:rsidRPr="00943CC0">
        <w:rPr>
          <w:noProof/>
          <w:color w:val="000000" w:themeColor="text1"/>
          <w:lang w:eastAsia="en-GB"/>
        </w:rPr>
        <w:drawing>
          <wp:inline distT="0" distB="0" distL="0" distR="0" wp14:anchorId="2B8BFC59" wp14:editId="32BFC242">
            <wp:extent cx="2110924" cy="20342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4262" cy="2076009"/>
                    </a:xfrm>
                    <a:prstGeom prst="rect">
                      <a:avLst/>
                    </a:prstGeom>
                  </pic:spPr>
                </pic:pic>
              </a:graphicData>
            </a:graphic>
          </wp:inline>
        </w:drawing>
      </w:r>
    </w:p>
    <w:p w14:paraId="7330B672" w14:textId="77777777" w:rsidR="00C34201" w:rsidRPr="00943CC0" w:rsidRDefault="00C34201" w:rsidP="00934852">
      <w:pPr>
        <w:rPr>
          <w:b/>
          <w:color w:val="000000" w:themeColor="text1"/>
        </w:rPr>
      </w:pPr>
    </w:p>
    <w:p w14:paraId="6E505DEF" w14:textId="77777777" w:rsidR="005C7B92" w:rsidRPr="00943CC0" w:rsidRDefault="00E5400B" w:rsidP="00934852">
      <w:pPr>
        <w:rPr>
          <w:noProof/>
          <w:color w:val="000000" w:themeColor="text1"/>
          <w:lang w:eastAsia="en-GB"/>
        </w:rPr>
        <w:sectPr w:rsidR="005C7B92" w:rsidRPr="00943CC0" w:rsidSect="00A020C9">
          <w:pgSz w:w="16840" w:h="11900" w:orient="landscape"/>
          <w:pgMar w:top="1440" w:right="1440" w:bottom="1440" w:left="1440" w:header="720" w:footer="720" w:gutter="0"/>
          <w:cols w:space="720"/>
          <w:docGrid w:linePitch="360"/>
        </w:sectPr>
      </w:pPr>
      <w:r w:rsidRPr="00943CC0">
        <w:rPr>
          <w:b/>
          <w:noProof/>
          <w:color w:val="000000" w:themeColor="text1"/>
          <w:lang w:eastAsia="en-GB"/>
        </w:rPr>
        <w:drawing>
          <wp:inline distT="0" distB="0" distL="0" distR="0" wp14:anchorId="74621093" wp14:editId="6304845C">
            <wp:extent cx="2146935" cy="2077605"/>
            <wp:effectExtent l="0" t="0" r="1206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6813" cy="2096841"/>
                    </a:xfrm>
                    <a:prstGeom prst="rect">
                      <a:avLst/>
                    </a:prstGeom>
                  </pic:spPr>
                </pic:pic>
              </a:graphicData>
            </a:graphic>
          </wp:inline>
        </w:drawing>
      </w:r>
      <w:r w:rsidRPr="00943CC0">
        <w:rPr>
          <w:noProof/>
          <w:color w:val="000000" w:themeColor="text1"/>
          <w:lang w:eastAsia="en-GB"/>
        </w:rPr>
        <w:t xml:space="preserve"> </w:t>
      </w:r>
      <w:r w:rsidRPr="00943CC0">
        <w:rPr>
          <w:b/>
          <w:noProof/>
          <w:color w:val="000000" w:themeColor="text1"/>
          <w:lang w:eastAsia="en-GB"/>
        </w:rPr>
        <w:drawing>
          <wp:inline distT="0" distB="0" distL="0" distR="0" wp14:anchorId="50E873E4" wp14:editId="54EAB338">
            <wp:extent cx="2090228" cy="201430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8078" cy="2031503"/>
                    </a:xfrm>
                    <a:prstGeom prst="rect">
                      <a:avLst/>
                    </a:prstGeom>
                  </pic:spPr>
                </pic:pic>
              </a:graphicData>
            </a:graphic>
          </wp:inline>
        </w:drawing>
      </w:r>
      <w:r w:rsidRPr="00943CC0">
        <w:rPr>
          <w:noProof/>
          <w:color w:val="000000" w:themeColor="text1"/>
          <w:lang w:eastAsia="en-GB"/>
        </w:rPr>
        <w:t xml:space="preserve"> </w:t>
      </w:r>
      <w:r w:rsidRPr="00943CC0">
        <w:rPr>
          <w:noProof/>
          <w:color w:val="000000" w:themeColor="text1"/>
          <w:lang w:eastAsia="en-GB"/>
        </w:rPr>
        <w:drawing>
          <wp:inline distT="0" distB="0" distL="0" distR="0" wp14:anchorId="4366DD44" wp14:editId="30666AEB">
            <wp:extent cx="2108200" cy="20112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27794" cy="2029900"/>
                    </a:xfrm>
                    <a:prstGeom prst="rect">
                      <a:avLst/>
                    </a:prstGeom>
                  </pic:spPr>
                </pic:pic>
              </a:graphicData>
            </a:graphic>
          </wp:inline>
        </w:drawing>
      </w:r>
    </w:p>
    <w:p w14:paraId="1C308546" w14:textId="0A2B3D77" w:rsidR="005C7B92" w:rsidRPr="00943CC0" w:rsidRDefault="005C7B92" w:rsidP="005C7B92">
      <w:pPr>
        <w:rPr>
          <w:b/>
          <w:color w:val="000000" w:themeColor="text1"/>
        </w:rPr>
      </w:pPr>
      <w:r w:rsidRPr="00943CC0">
        <w:rPr>
          <w:b/>
          <w:color w:val="000000" w:themeColor="text1"/>
        </w:rPr>
        <w:t xml:space="preserve">Appendix 1 Figure 3: Convergence of estimates of adherence to </w:t>
      </w:r>
      <w:proofErr w:type="spellStart"/>
      <w:r w:rsidRPr="00943CC0">
        <w:rPr>
          <w:b/>
          <w:color w:val="000000" w:themeColor="text1"/>
        </w:rPr>
        <w:t>PrEP</w:t>
      </w:r>
      <w:proofErr w:type="spellEnd"/>
      <w:r w:rsidRPr="00943CC0">
        <w:rPr>
          <w:b/>
          <w:color w:val="000000" w:themeColor="text1"/>
        </w:rPr>
        <w:t xml:space="preserve"> in seven sites</w:t>
      </w:r>
    </w:p>
    <w:p w14:paraId="1793BBED" w14:textId="620E838E" w:rsidR="005C7B92" w:rsidRPr="00943CC0" w:rsidRDefault="005C7B92" w:rsidP="005C7B92">
      <w:pPr>
        <w:rPr>
          <w:i/>
          <w:color w:val="000000" w:themeColor="text1"/>
          <w:sz w:val="20"/>
          <w:szCs w:val="20"/>
        </w:rPr>
      </w:pPr>
      <w:r w:rsidRPr="00943CC0">
        <w:rPr>
          <w:i/>
          <w:color w:val="000000" w:themeColor="text1"/>
          <w:sz w:val="20"/>
          <w:szCs w:val="20"/>
        </w:rPr>
        <w:t>For each plot, the solid line shows the cumulative RDS-II weighted estimate of adherence to condoms as the sample size increased. The dotted line shows the final estimate.</w:t>
      </w:r>
      <w:r w:rsidR="005B0743" w:rsidRPr="00943CC0">
        <w:rPr>
          <w:i/>
          <w:color w:val="000000" w:themeColor="text1"/>
          <w:sz w:val="20"/>
          <w:szCs w:val="20"/>
        </w:rPr>
        <w:t xml:space="preserve"> Note that</w:t>
      </w:r>
      <w:r w:rsidR="00D4750E" w:rsidRPr="00943CC0">
        <w:rPr>
          <w:i/>
          <w:color w:val="000000" w:themeColor="text1"/>
          <w:sz w:val="20"/>
          <w:szCs w:val="20"/>
        </w:rPr>
        <w:t xml:space="preserve"> estimates are out of all women in these denominators</w:t>
      </w:r>
      <w:r w:rsidR="00CD3109" w:rsidRPr="00943CC0">
        <w:rPr>
          <w:i/>
          <w:color w:val="000000" w:themeColor="text1"/>
          <w:sz w:val="20"/>
          <w:szCs w:val="20"/>
        </w:rPr>
        <w:t xml:space="preserve"> </w:t>
      </w:r>
      <w:r w:rsidR="00D4750E" w:rsidRPr="00943CC0">
        <w:rPr>
          <w:i/>
          <w:color w:val="000000" w:themeColor="text1"/>
          <w:sz w:val="20"/>
          <w:szCs w:val="20"/>
        </w:rPr>
        <w:t>(n=1439 total</w:t>
      </w:r>
      <w:r w:rsidR="00E944D1" w:rsidRPr="00943CC0">
        <w:rPr>
          <w:i/>
          <w:color w:val="000000" w:themeColor="text1"/>
          <w:sz w:val="20"/>
          <w:szCs w:val="20"/>
        </w:rPr>
        <w:t xml:space="preserve"> recruited</w:t>
      </w:r>
      <w:r w:rsidR="00D4750E" w:rsidRPr="00943CC0">
        <w:rPr>
          <w:i/>
          <w:color w:val="000000" w:themeColor="text1"/>
          <w:sz w:val="20"/>
          <w:szCs w:val="20"/>
        </w:rPr>
        <w:t xml:space="preserve">), not only those </w:t>
      </w:r>
      <w:r w:rsidR="00CD3109" w:rsidRPr="00943CC0">
        <w:rPr>
          <w:i/>
          <w:color w:val="000000" w:themeColor="text1"/>
          <w:sz w:val="20"/>
          <w:szCs w:val="20"/>
        </w:rPr>
        <w:t>n=</w:t>
      </w:r>
      <w:r w:rsidR="004C7469" w:rsidRPr="00943CC0">
        <w:rPr>
          <w:i/>
          <w:color w:val="000000" w:themeColor="text1"/>
          <w:sz w:val="20"/>
          <w:szCs w:val="20"/>
        </w:rPr>
        <w:t>611 HIV-</w:t>
      </w:r>
      <w:r w:rsidR="00D4750E" w:rsidRPr="00943CC0">
        <w:rPr>
          <w:i/>
          <w:color w:val="000000" w:themeColor="text1"/>
          <w:sz w:val="20"/>
          <w:szCs w:val="20"/>
        </w:rPr>
        <w:t>negative, as in the main analysis.</w:t>
      </w:r>
    </w:p>
    <w:p w14:paraId="2C7A69FB" w14:textId="77777777" w:rsidR="00CD3109" w:rsidRPr="00943CC0" w:rsidRDefault="00CD3109" w:rsidP="005C7B92">
      <w:pPr>
        <w:rPr>
          <w:i/>
          <w:color w:val="000000" w:themeColor="text1"/>
          <w:sz w:val="20"/>
          <w:szCs w:val="20"/>
        </w:rPr>
      </w:pPr>
    </w:p>
    <w:p w14:paraId="0ECD9E79" w14:textId="291C6938" w:rsidR="00A020C9" w:rsidRPr="00943CC0" w:rsidRDefault="005B6C55" w:rsidP="00934852">
      <w:pPr>
        <w:rPr>
          <w:b/>
          <w:color w:val="000000" w:themeColor="text1"/>
        </w:rPr>
      </w:pPr>
      <w:r w:rsidRPr="00943CC0">
        <w:rPr>
          <w:b/>
          <w:noProof/>
          <w:color w:val="000000" w:themeColor="text1"/>
          <w:lang w:eastAsia="en-GB"/>
        </w:rPr>
        <w:drawing>
          <wp:inline distT="0" distB="0" distL="0" distR="0" wp14:anchorId="25AEBE32" wp14:editId="1CF52A80">
            <wp:extent cx="1994535" cy="1918599"/>
            <wp:effectExtent l="0" t="0" r="12065" b="120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31102" cy="1953774"/>
                    </a:xfrm>
                    <a:prstGeom prst="rect">
                      <a:avLst/>
                    </a:prstGeom>
                  </pic:spPr>
                </pic:pic>
              </a:graphicData>
            </a:graphic>
          </wp:inline>
        </w:drawing>
      </w:r>
      <w:r w:rsidRPr="00943CC0">
        <w:rPr>
          <w:b/>
          <w:noProof/>
          <w:color w:val="000000" w:themeColor="text1"/>
          <w:lang w:eastAsia="en-GB"/>
        </w:rPr>
        <w:drawing>
          <wp:inline distT="0" distB="0" distL="0" distR="0" wp14:anchorId="68BB3C11" wp14:editId="7F074C02">
            <wp:extent cx="2025626" cy="1948298"/>
            <wp:effectExtent l="0" t="0" r="698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72410" cy="1993296"/>
                    </a:xfrm>
                    <a:prstGeom prst="rect">
                      <a:avLst/>
                    </a:prstGeom>
                  </pic:spPr>
                </pic:pic>
              </a:graphicData>
            </a:graphic>
          </wp:inline>
        </w:drawing>
      </w:r>
      <w:r w:rsidRPr="00943CC0">
        <w:rPr>
          <w:b/>
          <w:noProof/>
          <w:color w:val="000000" w:themeColor="text1"/>
          <w:lang w:eastAsia="en-GB"/>
        </w:rPr>
        <w:drawing>
          <wp:inline distT="0" distB="0" distL="0" distR="0" wp14:anchorId="7C0BA4D5" wp14:editId="3A015025">
            <wp:extent cx="2029946" cy="1948298"/>
            <wp:effectExtent l="0" t="0" r="254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63871" cy="1980859"/>
                    </a:xfrm>
                    <a:prstGeom prst="rect">
                      <a:avLst/>
                    </a:prstGeom>
                  </pic:spPr>
                </pic:pic>
              </a:graphicData>
            </a:graphic>
          </wp:inline>
        </w:drawing>
      </w:r>
      <w:r w:rsidRPr="00943CC0">
        <w:rPr>
          <w:b/>
          <w:noProof/>
          <w:color w:val="000000" w:themeColor="text1"/>
          <w:lang w:eastAsia="en-GB"/>
        </w:rPr>
        <w:drawing>
          <wp:inline distT="0" distB="0" distL="0" distR="0" wp14:anchorId="41FD614F" wp14:editId="308AF6FB">
            <wp:extent cx="1999579" cy="1935007"/>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34527" cy="1968827"/>
                    </a:xfrm>
                    <a:prstGeom prst="rect">
                      <a:avLst/>
                    </a:prstGeom>
                  </pic:spPr>
                </pic:pic>
              </a:graphicData>
            </a:graphic>
          </wp:inline>
        </w:drawing>
      </w:r>
    </w:p>
    <w:p w14:paraId="199D200F" w14:textId="6C33D6B8" w:rsidR="005C7B92" w:rsidRPr="00943CC0" w:rsidRDefault="005B6C55" w:rsidP="00934852">
      <w:pPr>
        <w:rPr>
          <w:b/>
          <w:color w:val="000000" w:themeColor="text1"/>
        </w:rPr>
        <w:sectPr w:rsidR="005C7B92" w:rsidRPr="00943CC0" w:rsidSect="00A020C9">
          <w:pgSz w:w="16840" w:h="11900" w:orient="landscape"/>
          <w:pgMar w:top="1440" w:right="1440" w:bottom="1440" w:left="1440" w:header="720" w:footer="720" w:gutter="0"/>
          <w:cols w:space="720"/>
          <w:docGrid w:linePitch="360"/>
        </w:sectPr>
      </w:pPr>
      <w:r w:rsidRPr="00943CC0">
        <w:rPr>
          <w:b/>
          <w:noProof/>
          <w:color w:val="000000" w:themeColor="text1"/>
          <w:lang w:eastAsia="en-GB"/>
        </w:rPr>
        <w:drawing>
          <wp:inline distT="0" distB="0" distL="0" distR="0" wp14:anchorId="690783A1" wp14:editId="2BA93DF2">
            <wp:extent cx="2007946" cy="193500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7200" cy="1943925"/>
                    </a:xfrm>
                    <a:prstGeom prst="rect">
                      <a:avLst/>
                    </a:prstGeom>
                  </pic:spPr>
                </pic:pic>
              </a:graphicData>
            </a:graphic>
          </wp:inline>
        </w:drawing>
      </w:r>
      <w:r w:rsidRPr="00943CC0">
        <w:rPr>
          <w:noProof/>
          <w:color w:val="000000" w:themeColor="text1"/>
          <w:lang w:eastAsia="en-GB"/>
        </w:rPr>
        <w:t xml:space="preserve"> </w:t>
      </w:r>
      <w:r w:rsidRPr="00943CC0">
        <w:rPr>
          <w:b/>
          <w:noProof/>
          <w:color w:val="000000" w:themeColor="text1"/>
          <w:lang w:eastAsia="en-GB"/>
        </w:rPr>
        <w:drawing>
          <wp:inline distT="0" distB="0" distL="0" distR="0" wp14:anchorId="47BA934D" wp14:editId="168692B0">
            <wp:extent cx="2015882" cy="193500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31229" cy="1949738"/>
                    </a:xfrm>
                    <a:prstGeom prst="rect">
                      <a:avLst/>
                    </a:prstGeom>
                  </pic:spPr>
                </pic:pic>
              </a:graphicData>
            </a:graphic>
          </wp:inline>
        </w:drawing>
      </w:r>
      <w:r w:rsidRPr="00943CC0">
        <w:rPr>
          <w:noProof/>
          <w:color w:val="000000" w:themeColor="text1"/>
          <w:lang w:eastAsia="en-GB"/>
        </w:rPr>
        <w:t xml:space="preserve"> </w:t>
      </w:r>
      <w:r w:rsidRPr="00943CC0">
        <w:rPr>
          <w:noProof/>
          <w:color w:val="000000" w:themeColor="text1"/>
          <w:lang w:eastAsia="en-GB"/>
        </w:rPr>
        <w:drawing>
          <wp:inline distT="0" distB="0" distL="0" distR="0" wp14:anchorId="067DCD35" wp14:editId="7FEE4B2D">
            <wp:extent cx="2020172" cy="1935007"/>
            <wp:effectExtent l="0" t="0" r="1206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34959" cy="1949170"/>
                    </a:xfrm>
                    <a:prstGeom prst="rect">
                      <a:avLst/>
                    </a:prstGeom>
                  </pic:spPr>
                </pic:pic>
              </a:graphicData>
            </a:graphic>
          </wp:inline>
        </w:drawing>
      </w:r>
    </w:p>
    <w:p w14:paraId="1444111C" w14:textId="6F1A3D61" w:rsidR="00934852" w:rsidRPr="00943CC0" w:rsidRDefault="00934852" w:rsidP="0067019C">
      <w:pPr>
        <w:pStyle w:val="Heading1"/>
        <w:rPr>
          <w:color w:val="000000" w:themeColor="text1"/>
        </w:rPr>
      </w:pPr>
      <w:r w:rsidRPr="00943CC0">
        <w:rPr>
          <w:color w:val="000000" w:themeColor="text1"/>
        </w:rPr>
        <w:t>Appendix 2: Sensitivity Analysis Results</w:t>
      </w:r>
    </w:p>
    <w:p w14:paraId="12512D53" w14:textId="77777777" w:rsidR="00934852" w:rsidRPr="00943CC0" w:rsidRDefault="00934852" w:rsidP="00934852">
      <w:pPr>
        <w:rPr>
          <w:b/>
          <w:color w:val="000000" w:themeColor="text1"/>
        </w:rPr>
      </w:pPr>
    </w:p>
    <w:p w14:paraId="3CBDFB36" w14:textId="7BC69FA9" w:rsidR="008F1378" w:rsidRPr="00943CC0" w:rsidRDefault="00934852" w:rsidP="00934852">
      <w:pPr>
        <w:rPr>
          <w:color w:val="000000" w:themeColor="text1"/>
        </w:rPr>
      </w:pPr>
      <w:r w:rsidRPr="00943CC0">
        <w:rPr>
          <w:color w:val="000000" w:themeColor="text1"/>
        </w:rPr>
        <w:t xml:space="preserve">We examined how consistent our findings as to factors associated with condom and </w:t>
      </w:r>
      <w:proofErr w:type="spellStart"/>
      <w:r w:rsidRPr="00943CC0">
        <w:rPr>
          <w:color w:val="000000" w:themeColor="text1"/>
        </w:rPr>
        <w:t>PrE</w:t>
      </w:r>
      <w:r w:rsidR="00EF4D11" w:rsidRPr="00943CC0">
        <w:rPr>
          <w:color w:val="000000" w:themeColor="text1"/>
        </w:rPr>
        <w:t>P</w:t>
      </w:r>
      <w:proofErr w:type="spellEnd"/>
      <w:r w:rsidR="00EF4CC8" w:rsidRPr="00943CC0">
        <w:rPr>
          <w:color w:val="000000" w:themeColor="text1"/>
        </w:rPr>
        <w:t xml:space="preserve"> adherence</w:t>
      </w:r>
      <w:r w:rsidRPr="00943CC0">
        <w:rPr>
          <w:color w:val="000000" w:themeColor="text1"/>
        </w:rPr>
        <w:t xml:space="preserve"> were when 1) observations were unweighted (seed participants still dropped); 2)</w:t>
      </w:r>
      <w:r w:rsidR="00EF4CC8" w:rsidRPr="00943CC0">
        <w:rPr>
          <w:color w:val="000000" w:themeColor="text1"/>
        </w:rPr>
        <w:t xml:space="preserve"> </w:t>
      </w:r>
      <w:r w:rsidRPr="00943CC0">
        <w:rPr>
          <w:color w:val="000000" w:themeColor="text1"/>
        </w:rPr>
        <w:t>47 women who declined to report condom use with clients over</w:t>
      </w:r>
      <w:r w:rsidR="00D26E33" w:rsidRPr="00943CC0">
        <w:rPr>
          <w:color w:val="000000" w:themeColor="text1"/>
        </w:rPr>
        <w:t xml:space="preserve"> the last month were excluded f</w:t>
      </w:r>
      <w:r w:rsidRPr="00943CC0">
        <w:rPr>
          <w:color w:val="000000" w:themeColor="text1"/>
        </w:rPr>
        <w:t>r</w:t>
      </w:r>
      <w:r w:rsidR="00D26E33" w:rsidRPr="00943CC0">
        <w:rPr>
          <w:color w:val="000000" w:themeColor="text1"/>
        </w:rPr>
        <w:t>o</w:t>
      </w:r>
      <w:r w:rsidRPr="00943CC0">
        <w:rPr>
          <w:color w:val="000000" w:themeColor="text1"/>
        </w:rPr>
        <w:t>m the analyses rather than coded according to their other condom use responses; and 3) adherence to condoms with clients a</w:t>
      </w:r>
      <w:r w:rsidR="005963CE" w:rsidRPr="00943CC0">
        <w:rPr>
          <w:color w:val="000000" w:themeColor="text1"/>
        </w:rPr>
        <w:t>nd adherence to condoms with st</w:t>
      </w:r>
      <w:r w:rsidRPr="00943CC0">
        <w:rPr>
          <w:color w:val="000000" w:themeColor="text1"/>
        </w:rPr>
        <w:t xml:space="preserve">eady partners were treated separately. </w:t>
      </w:r>
    </w:p>
    <w:p w14:paraId="41BA67EA" w14:textId="77777777" w:rsidR="008F1378" w:rsidRPr="00943CC0" w:rsidRDefault="008F1378" w:rsidP="008F1378">
      <w:pPr>
        <w:rPr>
          <w:color w:val="000000" w:themeColor="text1"/>
        </w:rPr>
      </w:pPr>
    </w:p>
    <w:p w14:paraId="1C24E5CE" w14:textId="63C718DA" w:rsidR="005963CE" w:rsidRPr="00943CC0" w:rsidRDefault="008F1378" w:rsidP="00D459C9">
      <w:pPr>
        <w:pStyle w:val="Heading4"/>
        <w:rPr>
          <w:color w:val="000000" w:themeColor="text1"/>
        </w:rPr>
      </w:pPr>
      <w:r w:rsidRPr="00943CC0">
        <w:rPr>
          <w:color w:val="000000" w:themeColor="text1"/>
        </w:rPr>
        <w:t>Unweighted analyses</w:t>
      </w:r>
    </w:p>
    <w:p w14:paraId="581FCDA9" w14:textId="1975F767" w:rsidR="006C2646" w:rsidRPr="00943CC0" w:rsidRDefault="008F1378" w:rsidP="006C2646">
      <w:pPr>
        <w:rPr>
          <w:color w:val="000000" w:themeColor="text1"/>
        </w:rPr>
      </w:pPr>
      <w:r w:rsidRPr="00943CC0">
        <w:rPr>
          <w:color w:val="000000" w:themeColor="text1"/>
        </w:rPr>
        <w:t>The unweighted analyses showed less evidence that using condoms provided by peer educators was associated</w:t>
      </w:r>
      <w:r w:rsidR="003073D2" w:rsidRPr="00943CC0">
        <w:rPr>
          <w:color w:val="000000" w:themeColor="text1"/>
        </w:rPr>
        <w:t xml:space="preserve"> with higher adherence (</w:t>
      </w:r>
      <w:proofErr w:type="spellStart"/>
      <w:r w:rsidR="003073D2" w:rsidRPr="00943CC0">
        <w:rPr>
          <w:color w:val="000000" w:themeColor="text1"/>
        </w:rPr>
        <w:t>aOR</w:t>
      </w:r>
      <w:proofErr w:type="spellEnd"/>
      <w:r w:rsidR="003073D2" w:rsidRPr="00943CC0">
        <w:rPr>
          <w:color w:val="000000" w:themeColor="text1"/>
        </w:rPr>
        <w:t>=1.12, 95% CI 0.78-1.61</w:t>
      </w:r>
      <w:r w:rsidRPr="00943CC0">
        <w:rPr>
          <w:color w:val="000000" w:themeColor="text1"/>
        </w:rPr>
        <w:t xml:space="preserve"> </w:t>
      </w:r>
      <w:r w:rsidR="003073D2" w:rsidRPr="00943CC0">
        <w:rPr>
          <w:color w:val="000000" w:themeColor="text1"/>
        </w:rPr>
        <w:t xml:space="preserve">unweighted, compared to </w:t>
      </w:r>
      <w:proofErr w:type="spellStart"/>
      <w:r w:rsidR="003073D2" w:rsidRPr="00943CC0">
        <w:rPr>
          <w:color w:val="000000" w:themeColor="text1"/>
        </w:rPr>
        <w:t>aOR</w:t>
      </w:r>
      <w:proofErr w:type="spellEnd"/>
      <w:r w:rsidR="003073D2" w:rsidRPr="00943CC0">
        <w:rPr>
          <w:color w:val="000000" w:themeColor="text1"/>
        </w:rPr>
        <w:t>=1.64 (95% CI 1.01-2.65</w:t>
      </w:r>
      <w:r w:rsidRPr="00943CC0">
        <w:rPr>
          <w:color w:val="000000" w:themeColor="text1"/>
        </w:rPr>
        <w:t xml:space="preserve">) weighted. </w:t>
      </w:r>
      <w:r w:rsidR="00EF4CC8" w:rsidRPr="00943CC0">
        <w:rPr>
          <w:color w:val="000000" w:themeColor="text1"/>
        </w:rPr>
        <w:t>There was</w:t>
      </w:r>
      <w:r w:rsidR="006C2646" w:rsidRPr="00943CC0">
        <w:rPr>
          <w:color w:val="000000" w:themeColor="text1"/>
        </w:rPr>
        <w:t xml:space="preserve"> also not evidence that women who did not talk about health with other sex workers were more likely to be adherent to condoms, an association seen in the weighted model. Women who do not talk about health with other sex workers were rare (18/611) and had a lower</w:t>
      </w:r>
      <w:r w:rsidR="0070785E" w:rsidRPr="00943CC0">
        <w:rPr>
          <w:color w:val="000000" w:themeColor="text1"/>
        </w:rPr>
        <w:t xml:space="preserve"> </w:t>
      </w:r>
      <w:r w:rsidR="006C2646" w:rsidRPr="00943CC0">
        <w:rPr>
          <w:color w:val="000000" w:themeColor="text1"/>
        </w:rPr>
        <w:t>network size</w:t>
      </w:r>
      <w:r w:rsidR="0070785E" w:rsidRPr="00943CC0">
        <w:rPr>
          <w:color w:val="000000" w:themeColor="text1"/>
        </w:rPr>
        <w:t xml:space="preserve"> </w:t>
      </w:r>
      <w:r w:rsidR="006C2646" w:rsidRPr="00943CC0">
        <w:rPr>
          <w:color w:val="000000" w:themeColor="text1"/>
        </w:rPr>
        <w:t xml:space="preserve">than women who did. This would have weighted their responses upwards, which could account for the difference with the weighted model. </w:t>
      </w:r>
      <w:r w:rsidR="0070785E" w:rsidRPr="00943CC0">
        <w:rPr>
          <w:color w:val="000000" w:themeColor="text1"/>
        </w:rPr>
        <w:t xml:space="preserve">Other associations with alcohol use, duration in sex work </w:t>
      </w:r>
      <w:r w:rsidR="009956D6" w:rsidRPr="00943CC0">
        <w:rPr>
          <w:color w:val="000000" w:themeColor="text1"/>
        </w:rPr>
        <w:t xml:space="preserve">and condom supply were similar across the weighted and unweighted models. </w:t>
      </w:r>
    </w:p>
    <w:p w14:paraId="6DB0C537" w14:textId="77777777" w:rsidR="008F1378" w:rsidRPr="00943CC0" w:rsidRDefault="008F1378" w:rsidP="008F1378">
      <w:pPr>
        <w:rPr>
          <w:color w:val="000000" w:themeColor="text1"/>
        </w:rPr>
      </w:pPr>
    </w:p>
    <w:p w14:paraId="318AB33C" w14:textId="78B2995D" w:rsidR="008F1378" w:rsidRPr="00943CC0" w:rsidRDefault="008F1378" w:rsidP="008F1378">
      <w:pPr>
        <w:rPr>
          <w:color w:val="000000" w:themeColor="text1"/>
        </w:rPr>
      </w:pPr>
      <w:r w:rsidRPr="00943CC0">
        <w:rPr>
          <w:color w:val="000000" w:themeColor="text1"/>
        </w:rPr>
        <w:t xml:space="preserve">The unweighted model for </w:t>
      </w:r>
      <w:proofErr w:type="spellStart"/>
      <w:r w:rsidRPr="00943CC0">
        <w:rPr>
          <w:color w:val="000000" w:themeColor="text1"/>
        </w:rPr>
        <w:t>PrEP</w:t>
      </w:r>
      <w:proofErr w:type="spellEnd"/>
      <w:r w:rsidRPr="00943CC0">
        <w:rPr>
          <w:color w:val="000000" w:themeColor="text1"/>
        </w:rPr>
        <w:t xml:space="preserve"> adherence was consistent </w:t>
      </w:r>
      <w:r w:rsidR="00EE4352" w:rsidRPr="00943CC0">
        <w:rPr>
          <w:color w:val="000000" w:themeColor="text1"/>
        </w:rPr>
        <w:t xml:space="preserve">with the weighted model </w:t>
      </w:r>
      <w:r w:rsidRPr="00943CC0">
        <w:rPr>
          <w:color w:val="000000" w:themeColor="text1"/>
        </w:rPr>
        <w:t xml:space="preserve">in identifying </w:t>
      </w:r>
      <w:r w:rsidR="005963CE" w:rsidRPr="00943CC0">
        <w:rPr>
          <w:color w:val="000000" w:themeColor="text1"/>
        </w:rPr>
        <w:t>a possible association with alcohol</w:t>
      </w:r>
      <w:r w:rsidR="00177AB8" w:rsidRPr="00943CC0">
        <w:rPr>
          <w:color w:val="000000" w:themeColor="text1"/>
        </w:rPr>
        <w:t xml:space="preserve"> use</w:t>
      </w:r>
      <w:r w:rsidR="005963CE" w:rsidRPr="00943CC0">
        <w:rPr>
          <w:color w:val="000000" w:themeColor="text1"/>
        </w:rPr>
        <w:t>, but showed reduced evidence for an associa</w:t>
      </w:r>
      <w:r w:rsidR="00177AB8" w:rsidRPr="00943CC0">
        <w:rPr>
          <w:color w:val="000000" w:themeColor="text1"/>
        </w:rPr>
        <w:t xml:space="preserve">tion between prep adherence, current age, </w:t>
      </w:r>
      <w:r w:rsidR="005963CE" w:rsidRPr="00943CC0">
        <w:rPr>
          <w:color w:val="000000" w:themeColor="text1"/>
        </w:rPr>
        <w:t>age began sex work</w:t>
      </w:r>
      <w:r w:rsidR="00177AB8" w:rsidRPr="00943CC0">
        <w:rPr>
          <w:color w:val="000000" w:themeColor="text1"/>
        </w:rPr>
        <w:t xml:space="preserve"> or condom adherence with a partner</w:t>
      </w:r>
      <w:r w:rsidR="00EE4352" w:rsidRPr="00943CC0">
        <w:rPr>
          <w:color w:val="000000" w:themeColor="text1"/>
        </w:rPr>
        <w:t>, Table 3 main paper and Table 2 Appendix 2</w:t>
      </w:r>
      <w:r w:rsidR="005963CE" w:rsidRPr="00943CC0">
        <w:rPr>
          <w:color w:val="000000" w:themeColor="text1"/>
        </w:rPr>
        <w:t xml:space="preserve">. </w:t>
      </w:r>
    </w:p>
    <w:p w14:paraId="68C019BD" w14:textId="77777777" w:rsidR="00F718ED" w:rsidRPr="00943CC0" w:rsidRDefault="00F718ED" w:rsidP="008F1378">
      <w:pPr>
        <w:rPr>
          <w:color w:val="000000" w:themeColor="text1"/>
        </w:rPr>
      </w:pPr>
    </w:p>
    <w:p w14:paraId="3FB6D2F0" w14:textId="77777777" w:rsidR="00D459C9" w:rsidRPr="00943CC0" w:rsidRDefault="00D459C9" w:rsidP="008F1378">
      <w:pPr>
        <w:rPr>
          <w:color w:val="000000" w:themeColor="text1"/>
        </w:rPr>
      </w:pPr>
    </w:p>
    <w:p w14:paraId="593418D3" w14:textId="5380D9C7" w:rsidR="008F1378" w:rsidRPr="00943CC0" w:rsidRDefault="008F1378" w:rsidP="008F1378">
      <w:pPr>
        <w:pStyle w:val="Heading4"/>
        <w:rPr>
          <w:color w:val="000000" w:themeColor="text1"/>
        </w:rPr>
      </w:pPr>
      <w:r w:rsidRPr="00943CC0">
        <w:rPr>
          <w:color w:val="000000" w:themeColor="text1"/>
        </w:rPr>
        <w:t xml:space="preserve">Condom adherence with steady partners not known to be </w:t>
      </w:r>
      <w:r w:rsidR="005E475A">
        <w:rPr>
          <w:color w:val="000000" w:themeColor="text1"/>
        </w:rPr>
        <w:t>HIV-negative</w:t>
      </w:r>
      <w:r w:rsidRPr="00943CC0">
        <w:rPr>
          <w:color w:val="000000" w:themeColor="text1"/>
        </w:rPr>
        <w:t xml:space="preserve"> compared to condom adherence with clients</w:t>
      </w:r>
    </w:p>
    <w:p w14:paraId="158BB29C" w14:textId="680C34EA" w:rsidR="00E44166" w:rsidRPr="00943CC0" w:rsidRDefault="008F1378" w:rsidP="008F1378">
      <w:pPr>
        <w:rPr>
          <w:color w:val="000000" w:themeColor="text1"/>
        </w:rPr>
      </w:pPr>
      <w:r w:rsidRPr="00943CC0">
        <w:rPr>
          <w:color w:val="000000" w:themeColor="text1"/>
        </w:rPr>
        <w:t>Women with steady partners (n=418) reported higher condom adherence</w:t>
      </w:r>
      <w:r w:rsidR="00875E64" w:rsidRPr="00943CC0">
        <w:rPr>
          <w:color w:val="000000" w:themeColor="text1"/>
        </w:rPr>
        <w:t xml:space="preserve"> with partners who were not known to be </w:t>
      </w:r>
      <w:r w:rsidR="005E475A">
        <w:rPr>
          <w:color w:val="000000" w:themeColor="text1"/>
        </w:rPr>
        <w:t>HIV-negative</w:t>
      </w:r>
      <w:r w:rsidR="00875E64" w:rsidRPr="00943CC0">
        <w:rPr>
          <w:color w:val="000000" w:themeColor="text1"/>
        </w:rPr>
        <w:t>,</w:t>
      </w:r>
      <w:r w:rsidRPr="00943CC0">
        <w:rPr>
          <w:color w:val="000000" w:themeColor="text1"/>
        </w:rPr>
        <w:t xml:space="preserve"> than with clients (85</w:t>
      </w:r>
      <w:r w:rsidR="00D170AD" w:rsidRPr="00943CC0">
        <w:rPr>
          <w:color w:val="000000" w:themeColor="text1"/>
        </w:rPr>
        <w:t>.1% compared to 50.4</w:t>
      </w:r>
      <w:r w:rsidRPr="00943CC0">
        <w:rPr>
          <w:color w:val="000000" w:themeColor="text1"/>
        </w:rPr>
        <w:t>%)</w:t>
      </w:r>
      <w:r w:rsidR="00EF4CC8" w:rsidRPr="00943CC0">
        <w:rPr>
          <w:color w:val="000000" w:themeColor="text1"/>
        </w:rPr>
        <w:t>, Figure 2</w:t>
      </w:r>
      <w:r w:rsidR="00EE4352" w:rsidRPr="00943CC0">
        <w:rPr>
          <w:color w:val="000000" w:themeColor="text1"/>
        </w:rPr>
        <w:t xml:space="preserve"> main paper</w:t>
      </w:r>
      <w:r w:rsidRPr="00943CC0">
        <w:rPr>
          <w:color w:val="000000" w:themeColor="text1"/>
        </w:rPr>
        <w:t xml:space="preserve">. </w:t>
      </w:r>
    </w:p>
    <w:p w14:paraId="2CEF174B" w14:textId="77777777" w:rsidR="003C3432" w:rsidRPr="00943CC0" w:rsidRDefault="003C3432" w:rsidP="008F1378">
      <w:pPr>
        <w:rPr>
          <w:color w:val="000000" w:themeColor="text1"/>
        </w:rPr>
      </w:pPr>
    </w:p>
    <w:p w14:paraId="53376FAD" w14:textId="3E06153E" w:rsidR="003C3432" w:rsidRPr="00943CC0" w:rsidRDefault="003C3432" w:rsidP="008F1378">
      <w:pPr>
        <w:rPr>
          <w:color w:val="000000" w:themeColor="text1"/>
        </w:rPr>
      </w:pPr>
      <w:r w:rsidRPr="00943CC0">
        <w:rPr>
          <w:color w:val="000000" w:themeColor="text1"/>
        </w:rPr>
        <w:t>Alcohol use</w:t>
      </w:r>
      <w:r w:rsidR="007B469F">
        <w:rPr>
          <w:color w:val="000000" w:themeColor="text1"/>
        </w:rPr>
        <w:t xml:space="preserve"> </w:t>
      </w:r>
      <w:r w:rsidRPr="00943CC0">
        <w:rPr>
          <w:color w:val="000000" w:themeColor="text1"/>
        </w:rPr>
        <w:t xml:space="preserve">was associated with reduced </w:t>
      </w:r>
      <w:r w:rsidR="003733F2" w:rsidRPr="00943CC0">
        <w:rPr>
          <w:color w:val="000000" w:themeColor="text1"/>
        </w:rPr>
        <w:t>condom adherence both with part</w:t>
      </w:r>
      <w:r w:rsidRPr="00943CC0">
        <w:rPr>
          <w:color w:val="000000" w:themeColor="text1"/>
        </w:rPr>
        <w:t>n</w:t>
      </w:r>
      <w:r w:rsidR="003733F2" w:rsidRPr="00943CC0">
        <w:rPr>
          <w:color w:val="000000" w:themeColor="text1"/>
        </w:rPr>
        <w:t>e</w:t>
      </w:r>
      <w:r w:rsidRPr="00943CC0">
        <w:rPr>
          <w:color w:val="000000" w:themeColor="text1"/>
        </w:rPr>
        <w:t xml:space="preserve">rs and with clients, Tables 5 and 6 Appendix 2. </w:t>
      </w:r>
      <w:r w:rsidR="000073E9" w:rsidRPr="00943CC0">
        <w:rPr>
          <w:color w:val="000000" w:themeColor="text1"/>
        </w:rPr>
        <w:t>Women who had experienced violence from a client in the last month were less likely to report condom adherence with partners (</w:t>
      </w:r>
      <w:proofErr w:type="spellStart"/>
      <w:r w:rsidR="000073E9" w:rsidRPr="00943CC0">
        <w:rPr>
          <w:color w:val="000000" w:themeColor="text1"/>
        </w:rPr>
        <w:t>aOR</w:t>
      </w:r>
      <w:proofErr w:type="spellEnd"/>
      <w:r w:rsidR="000073E9" w:rsidRPr="00943CC0">
        <w:rPr>
          <w:color w:val="000000" w:themeColor="text1"/>
        </w:rPr>
        <w:t>=0.25, 95% CI 0.09-0.69), though there was less evidence for this association with clients (</w:t>
      </w:r>
      <w:proofErr w:type="spellStart"/>
      <w:r w:rsidR="000073E9" w:rsidRPr="00943CC0">
        <w:rPr>
          <w:color w:val="000000" w:themeColor="text1"/>
        </w:rPr>
        <w:t>aOR</w:t>
      </w:r>
      <w:proofErr w:type="spellEnd"/>
      <w:r w:rsidR="000073E9" w:rsidRPr="00943CC0">
        <w:rPr>
          <w:color w:val="000000" w:themeColor="text1"/>
        </w:rPr>
        <w:t xml:space="preserve">=0.53, 95% CI 0.26-1.06). </w:t>
      </w:r>
      <w:r w:rsidRPr="00943CC0">
        <w:rPr>
          <w:color w:val="000000" w:themeColor="text1"/>
        </w:rPr>
        <w:t xml:space="preserve"> </w:t>
      </w:r>
      <w:r w:rsidR="009E1151" w:rsidRPr="00943CC0">
        <w:rPr>
          <w:color w:val="000000" w:themeColor="text1"/>
        </w:rPr>
        <w:t>Using condoms brought by clients was associated with client condom adherence (</w:t>
      </w:r>
      <w:proofErr w:type="spellStart"/>
      <w:r w:rsidR="009E1151" w:rsidRPr="00943CC0">
        <w:rPr>
          <w:color w:val="000000" w:themeColor="text1"/>
        </w:rPr>
        <w:t>aOR</w:t>
      </w:r>
      <w:proofErr w:type="spellEnd"/>
      <w:r w:rsidR="009E1151" w:rsidRPr="00943CC0">
        <w:rPr>
          <w:color w:val="000000" w:themeColor="text1"/>
        </w:rPr>
        <w:t xml:space="preserve"> 0.48, 95% CI 0.29-0.78), but not condom use among partners (</w:t>
      </w:r>
      <w:proofErr w:type="spellStart"/>
      <w:r w:rsidR="009E1151" w:rsidRPr="00943CC0">
        <w:rPr>
          <w:color w:val="000000" w:themeColor="text1"/>
        </w:rPr>
        <w:t>aOR</w:t>
      </w:r>
      <w:proofErr w:type="spellEnd"/>
      <w:r w:rsidR="009E1151" w:rsidRPr="00943CC0">
        <w:rPr>
          <w:color w:val="000000" w:themeColor="text1"/>
        </w:rPr>
        <w:t xml:space="preserve">=0.86, 95% CI 0.36-2.06). </w:t>
      </w:r>
      <w:r w:rsidR="00F90A9E" w:rsidRPr="00943CC0">
        <w:rPr>
          <w:color w:val="000000" w:themeColor="text1"/>
        </w:rPr>
        <w:t>Wo</w:t>
      </w:r>
      <w:r w:rsidR="004D5771" w:rsidRPr="00943CC0">
        <w:rPr>
          <w:color w:val="000000" w:themeColor="text1"/>
        </w:rPr>
        <w:t xml:space="preserve">men who reported that they </w:t>
      </w:r>
      <w:r w:rsidR="00F90A9E" w:rsidRPr="00943CC0">
        <w:rPr>
          <w:color w:val="000000" w:themeColor="text1"/>
        </w:rPr>
        <w:t>were talked badly about on account of being a sex worker were also less likely to be adherent to condoms with partners, but there was little evidence for this association with</w:t>
      </w:r>
      <w:r w:rsidR="00945EE3" w:rsidRPr="00943CC0">
        <w:rPr>
          <w:color w:val="000000" w:themeColor="text1"/>
        </w:rPr>
        <w:t xml:space="preserve"> condom adherence</w:t>
      </w:r>
      <w:r w:rsidR="00BF7A57" w:rsidRPr="00943CC0">
        <w:rPr>
          <w:color w:val="000000" w:themeColor="text1"/>
        </w:rPr>
        <w:t xml:space="preserve"> with clients</w:t>
      </w:r>
      <w:r w:rsidR="00F90A9E" w:rsidRPr="00943CC0">
        <w:rPr>
          <w:color w:val="000000" w:themeColor="text1"/>
        </w:rPr>
        <w:t xml:space="preserve">. </w:t>
      </w:r>
    </w:p>
    <w:p w14:paraId="2D91E5BA" w14:textId="77777777" w:rsidR="00E44166" w:rsidRPr="00943CC0" w:rsidRDefault="00E44166" w:rsidP="008F1378">
      <w:pPr>
        <w:rPr>
          <w:color w:val="000000" w:themeColor="text1"/>
        </w:rPr>
      </w:pPr>
    </w:p>
    <w:p w14:paraId="3EA92BEC" w14:textId="7A04EE6F" w:rsidR="008F1378" w:rsidRPr="00943CC0" w:rsidRDefault="00D96D2E" w:rsidP="008F1378">
      <w:pPr>
        <w:rPr>
          <w:color w:val="000000" w:themeColor="text1"/>
        </w:rPr>
      </w:pPr>
      <w:r w:rsidRPr="00943CC0">
        <w:rPr>
          <w:color w:val="000000" w:themeColor="text1"/>
        </w:rPr>
        <w:t>T</w:t>
      </w:r>
      <w:r w:rsidR="00D170AD" w:rsidRPr="00943CC0">
        <w:rPr>
          <w:color w:val="000000" w:themeColor="text1"/>
        </w:rPr>
        <w:t xml:space="preserve">here was evidence that </w:t>
      </w:r>
      <w:r w:rsidR="008F1378" w:rsidRPr="00943CC0">
        <w:rPr>
          <w:color w:val="000000" w:themeColor="text1"/>
        </w:rPr>
        <w:t xml:space="preserve">women who were adherent to </w:t>
      </w:r>
      <w:proofErr w:type="spellStart"/>
      <w:r w:rsidR="008F1378" w:rsidRPr="00943CC0">
        <w:rPr>
          <w:color w:val="000000" w:themeColor="text1"/>
        </w:rPr>
        <w:t>PrEP</w:t>
      </w:r>
      <w:proofErr w:type="spellEnd"/>
      <w:r w:rsidR="008F1378" w:rsidRPr="00943CC0">
        <w:rPr>
          <w:color w:val="000000" w:themeColor="text1"/>
        </w:rPr>
        <w:t xml:space="preserve"> were more likely to ad</w:t>
      </w:r>
      <w:r w:rsidR="00BF7A57" w:rsidRPr="00943CC0">
        <w:rPr>
          <w:color w:val="000000" w:themeColor="text1"/>
        </w:rPr>
        <w:t xml:space="preserve">here to condoms with a partner, </w:t>
      </w:r>
      <w:r w:rsidR="008F1378" w:rsidRPr="00943CC0">
        <w:rPr>
          <w:color w:val="000000" w:themeColor="text1"/>
        </w:rPr>
        <w:t>97% am</w:t>
      </w:r>
      <w:r w:rsidR="00D170AD" w:rsidRPr="00943CC0">
        <w:rPr>
          <w:color w:val="000000" w:themeColor="text1"/>
        </w:rPr>
        <w:t xml:space="preserve">ong those adhering to </w:t>
      </w:r>
      <w:proofErr w:type="spellStart"/>
      <w:r w:rsidR="00D170AD" w:rsidRPr="00943CC0">
        <w:rPr>
          <w:color w:val="000000" w:themeColor="text1"/>
        </w:rPr>
        <w:t>PrEP</w:t>
      </w:r>
      <w:proofErr w:type="spellEnd"/>
      <w:r w:rsidR="00D170AD" w:rsidRPr="00943CC0">
        <w:rPr>
          <w:color w:val="000000" w:themeColor="text1"/>
        </w:rPr>
        <w:t>, (</w:t>
      </w:r>
      <w:proofErr w:type="spellStart"/>
      <w:r w:rsidR="00D170AD" w:rsidRPr="00943CC0">
        <w:rPr>
          <w:color w:val="000000" w:themeColor="text1"/>
        </w:rPr>
        <w:t>aOR</w:t>
      </w:r>
      <w:proofErr w:type="spellEnd"/>
      <w:r w:rsidR="00D170AD" w:rsidRPr="00943CC0">
        <w:rPr>
          <w:color w:val="000000" w:themeColor="text1"/>
        </w:rPr>
        <w:t>=7.97, 95% 1.76-36.08</w:t>
      </w:r>
      <w:r w:rsidR="008F1378" w:rsidRPr="00943CC0">
        <w:rPr>
          <w:color w:val="000000" w:themeColor="text1"/>
        </w:rPr>
        <w:t>), but</w:t>
      </w:r>
      <w:r w:rsidR="00811825" w:rsidRPr="00943CC0">
        <w:rPr>
          <w:color w:val="000000" w:themeColor="text1"/>
        </w:rPr>
        <w:t xml:space="preserve"> there was </w:t>
      </w:r>
      <w:proofErr w:type="spellStart"/>
      <w:r w:rsidR="00811825" w:rsidRPr="00943CC0">
        <w:rPr>
          <w:color w:val="000000" w:themeColor="text1"/>
        </w:rPr>
        <w:t>not</w:t>
      </w:r>
      <w:proofErr w:type="spellEnd"/>
      <w:r w:rsidR="00811825" w:rsidRPr="00943CC0">
        <w:rPr>
          <w:color w:val="000000" w:themeColor="text1"/>
        </w:rPr>
        <w:t xml:space="preserve"> evidence for this association</w:t>
      </w:r>
      <w:r w:rsidR="00D170AD" w:rsidRPr="00943CC0">
        <w:rPr>
          <w:color w:val="000000" w:themeColor="text1"/>
        </w:rPr>
        <w:t xml:space="preserve"> with clients (</w:t>
      </w:r>
      <w:proofErr w:type="spellStart"/>
      <w:r w:rsidR="00D170AD" w:rsidRPr="00943CC0">
        <w:rPr>
          <w:color w:val="000000" w:themeColor="text1"/>
        </w:rPr>
        <w:t>aOR</w:t>
      </w:r>
      <w:proofErr w:type="spellEnd"/>
      <w:r w:rsidR="00D170AD" w:rsidRPr="00943CC0">
        <w:rPr>
          <w:color w:val="000000" w:themeColor="text1"/>
        </w:rPr>
        <w:t xml:space="preserve"> 1.14, 95% CI 0.58-2.23</w:t>
      </w:r>
      <w:r w:rsidR="008F1378" w:rsidRPr="00943CC0">
        <w:rPr>
          <w:color w:val="000000" w:themeColor="text1"/>
        </w:rPr>
        <w:t>)</w:t>
      </w:r>
      <w:r w:rsidR="00EE4352" w:rsidRPr="00943CC0">
        <w:rPr>
          <w:color w:val="000000" w:themeColor="text1"/>
        </w:rPr>
        <w:t>, Table 5 and 6 Appendix 2</w:t>
      </w:r>
      <w:r w:rsidR="008F1378" w:rsidRPr="00943CC0">
        <w:rPr>
          <w:color w:val="000000" w:themeColor="text1"/>
        </w:rPr>
        <w:t xml:space="preserve">. </w:t>
      </w:r>
      <w:r w:rsidR="00D20209" w:rsidRPr="00943CC0">
        <w:rPr>
          <w:color w:val="000000" w:themeColor="text1"/>
        </w:rPr>
        <w:t xml:space="preserve">This </w:t>
      </w:r>
      <w:r w:rsidR="00BF7A57" w:rsidRPr="00943CC0">
        <w:rPr>
          <w:color w:val="000000" w:themeColor="text1"/>
        </w:rPr>
        <w:t xml:space="preserve">finding </w:t>
      </w:r>
      <w:r w:rsidR="00D20209" w:rsidRPr="00943CC0">
        <w:rPr>
          <w:color w:val="000000" w:themeColor="text1"/>
        </w:rPr>
        <w:t xml:space="preserve">was reflected in the corresponding analysis using </w:t>
      </w:r>
      <w:proofErr w:type="spellStart"/>
      <w:r w:rsidR="00D20209" w:rsidRPr="00943CC0">
        <w:rPr>
          <w:color w:val="000000" w:themeColor="text1"/>
        </w:rPr>
        <w:t>PrEP</w:t>
      </w:r>
      <w:proofErr w:type="spellEnd"/>
      <w:r w:rsidR="00D20209" w:rsidRPr="00943CC0">
        <w:rPr>
          <w:color w:val="000000" w:themeColor="text1"/>
        </w:rPr>
        <w:t xml:space="preserve"> adherence as the outcome</w:t>
      </w:r>
      <w:r w:rsidR="00544BAF" w:rsidRPr="00943CC0">
        <w:rPr>
          <w:color w:val="000000" w:themeColor="text1"/>
        </w:rPr>
        <w:t xml:space="preserve"> and condom adherence with part</w:t>
      </w:r>
      <w:r w:rsidR="00811825" w:rsidRPr="00943CC0">
        <w:rPr>
          <w:color w:val="000000" w:themeColor="text1"/>
        </w:rPr>
        <w:t>n</w:t>
      </w:r>
      <w:r w:rsidR="00544BAF" w:rsidRPr="00943CC0">
        <w:rPr>
          <w:color w:val="000000" w:themeColor="text1"/>
        </w:rPr>
        <w:t>e</w:t>
      </w:r>
      <w:r w:rsidR="00811825" w:rsidRPr="00943CC0">
        <w:rPr>
          <w:color w:val="000000" w:themeColor="text1"/>
        </w:rPr>
        <w:t>rs as the exposure</w:t>
      </w:r>
      <w:r w:rsidR="00D20209" w:rsidRPr="00943CC0">
        <w:rPr>
          <w:color w:val="000000" w:themeColor="text1"/>
        </w:rPr>
        <w:t xml:space="preserve"> in the main paper</w:t>
      </w:r>
      <w:r w:rsidR="00EE4352" w:rsidRPr="00943CC0">
        <w:rPr>
          <w:color w:val="000000" w:themeColor="text1"/>
        </w:rPr>
        <w:t>, Table 3</w:t>
      </w:r>
      <w:r w:rsidR="00D20209" w:rsidRPr="00943CC0">
        <w:rPr>
          <w:color w:val="000000" w:themeColor="text1"/>
        </w:rPr>
        <w:t xml:space="preserve">.  </w:t>
      </w:r>
    </w:p>
    <w:p w14:paraId="6BC8E6F3" w14:textId="77777777" w:rsidR="00665BD9" w:rsidRPr="00943CC0" w:rsidRDefault="00665BD9" w:rsidP="008F1378">
      <w:pPr>
        <w:rPr>
          <w:color w:val="000000" w:themeColor="text1"/>
        </w:rPr>
      </w:pPr>
    </w:p>
    <w:p w14:paraId="02B4D08F" w14:textId="10F553EA" w:rsidR="00665BD9" w:rsidRPr="00943CC0" w:rsidRDefault="00665BD9" w:rsidP="00665BD9">
      <w:pPr>
        <w:pStyle w:val="Heading4"/>
        <w:rPr>
          <w:color w:val="000000" w:themeColor="text1"/>
        </w:rPr>
      </w:pPr>
      <w:r w:rsidRPr="00943CC0">
        <w:rPr>
          <w:color w:val="000000" w:themeColor="text1"/>
        </w:rPr>
        <w:t>Excluding n=47 women who do not report frequency of condom use with clients</w:t>
      </w:r>
      <w:r w:rsidR="00BF7393" w:rsidRPr="00943CC0">
        <w:rPr>
          <w:color w:val="000000" w:themeColor="text1"/>
        </w:rPr>
        <w:t xml:space="preserve"> </w:t>
      </w:r>
      <w:r w:rsidRPr="00943CC0">
        <w:rPr>
          <w:color w:val="000000" w:themeColor="text1"/>
        </w:rPr>
        <w:t>in the last month</w:t>
      </w:r>
    </w:p>
    <w:p w14:paraId="73349AE8" w14:textId="5D2CD44F" w:rsidR="00665BD9" w:rsidRPr="00943CC0" w:rsidRDefault="00665BD9" w:rsidP="00665BD9">
      <w:pPr>
        <w:rPr>
          <w:color w:val="000000" w:themeColor="text1"/>
        </w:rPr>
      </w:pPr>
      <w:r w:rsidRPr="00943CC0">
        <w:rPr>
          <w:color w:val="000000" w:themeColor="text1"/>
        </w:rPr>
        <w:t xml:space="preserve">Women who were adherent to </w:t>
      </w:r>
      <w:proofErr w:type="spellStart"/>
      <w:r w:rsidRPr="00943CC0">
        <w:rPr>
          <w:color w:val="000000" w:themeColor="text1"/>
        </w:rPr>
        <w:t>PrEP</w:t>
      </w:r>
      <w:proofErr w:type="spellEnd"/>
      <w:r w:rsidRPr="00943CC0">
        <w:rPr>
          <w:color w:val="000000" w:themeColor="text1"/>
        </w:rPr>
        <w:t xml:space="preserve"> were more likely to have a missing response to this variable. In the primary study analysis, their condom adherence measure was coded according to their responses</w:t>
      </w:r>
      <w:r w:rsidR="00BF7A57" w:rsidRPr="00943CC0">
        <w:rPr>
          <w:color w:val="000000" w:themeColor="text1"/>
        </w:rPr>
        <w:t xml:space="preserve"> to the other condo</w:t>
      </w:r>
      <w:r w:rsidRPr="00943CC0">
        <w:rPr>
          <w:color w:val="000000" w:themeColor="text1"/>
        </w:rPr>
        <w:t xml:space="preserve">m use questions. However, because the question about frequency of use with clients in the past month was the most discriminatory, we repeated our risk factor analyses for condom adherence and </w:t>
      </w:r>
      <w:proofErr w:type="spellStart"/>
      <w:r w:rsidRPr="00943CC0">
        <w:rPr>
          <w:color w:val="000000" w:themeColor="text1"/>
        </w:rPr>
        <w:t>PrEP</w:t>
      </w:r>
      <w:proofErr w:type="spellEnd"/>
      <w:r w:rsidRPr="00943CC0">
        <w:rPr>
          <w:color w:val="000000" w:themeColor="text1"/>
        </w:rPr>
        <w:t xml:space="preserve"> adherence excluding these women. In so doing, there was a strong was effect of adhering to </w:t>
      </w:r>
      <w:proofErr w:type="spellStart"/>
      <w:r w:rsidRPr="00943CC0">
        <w:rPr>
          <w:color w:val="000000" w:themeColor="text1"/>
        </w:rPr>
        <w:t>PrEP</w:t>
      </w:r>
      <w:proofErr w:type="spellEnd"/>
      <w:r w:rsidRPr="00943CC0">
        <w:rPr>
          <w:color w:val="000000" w:themeColor="text1"/>
        </w:rPr>
        <w:t xml:space="preserve"> on adhering to condoms (</w:t>
      </w:r>
      <w:proofErr w:type="spellStart"/>
      <w:r w:rsidRPr="00943CC0">
        <w:rPr>
          <w:color w:val="000000" w:themeColor="text1"/>
        </w:rPr>
        <w:t>aOR</w:t>
      </w:r>
      <w:proofErr w:type="spellEnd"/>
      <w:r w:rsidRPr="00943CC0">
        <w:rPr>
          <w:color w:val="000000" w:themeColor="text1"/>
        </w:rPr>
        <w:t xml:space="preserve">=0.57, 95% CI 0.29-1.13), Appendix 2 Table 5, </w:t>
      </w:r>
      <w:proofErr w:type="gramStart"/>
      <w:r w:rsidRPr="00943CC0">
        <w:rPr>
          <w:color w:val="000000" w:themeColor="text1"/>
        </w:rPr>
        <w:t>than</w:t>
      </w:r>
      <w:proofErr w:type="gramEnd"/>
      <w:r w:rsidRPr="00943CC0">
        <w:rPr>
          <w:color w:val="000000" w:themeColor="text1"/>
        </w:rPr>
        <w:t xml:space="preserve"> in the main analysis (</w:t>
      </w:r>
      <w:proofErr w:type="spellStart"/>
      <w:r w:rsidRPr="00943CC0">
        <w:rPr>
          <w:color w:val="000000" w:themeColor="text1"/>
        </w:rPr>
        <w:t>aOR</w:t>
      </w:r>
      <w:proofErr w:type="spellEnd"/>
      <w:r w:rsidRPr="00943CC0">
        <w:rPr>
          <w:color w:val="000000" w:themeColor="text1"/>
        </w:rPr>
        <w:t xml:space="preserve">=0.90, 95% CI 0.47-1.71), Table 3 main paper, but the </w:t>
      </w:r>
      <w:r w:rsidR="00FD377C" w:rsidRPr="00943CC0">
        <w:rPr>
          <w:color w:val="000000" w:themeColor="text1"/>
        </w:rPr>
        <w:t xml:space="preserve">statistical </w:t>
      </w:r>
      <w:r w:rsidRPr="00943CC0">
        <w:rPr>
          <w:color w:val="000000" w:themeColor="text1"/>
        </w:rPr>
        <w:t>evidence remained weak.</w:t>
      </w:r>
    </w:p>
    <w:p w14:paraId="6DEF83C6" w14:textId="4A57A718" w:rsidR="00665BD9" w:rsidRPr="00943CC0" w:rsidRDefault="00665BD9" w:rsidP="00665BD9">
      <w:pPr>
        <w:rPr>
          <w:color w:val="000000" w:themeColor="text1"/>
        </w:rPr>
      </w:pPr>
    </w:p>
    <w:p w14:paraId="1407B00C" w14:textId="77777777" w:rsidR="00665BD9" w:rsidRPr="00943CC0" w:rsidRDefault="00665BD9" w:rsidP="00665BD9">
      <w:pPr>
        <w:rPr>
          <w:color w:val="000000" w:themeColor="text1"/>
        </w:rPr>
      </w:pPr>
    </w:p>
    <w:p w14:paraId="05413D29" w14:textId="77777777" w:rsidR="00665BD9" w:rsidRPr="00943CC0" w:rsidRDefault="00665BD9" w:rsidP="00665BD9">
      <w:pPr>
        <w:rPr>
          <w:color w:val="000000" w:themeColor="text1"/>
        </w:rPr>
      </w:pPr>
    </w:p>
    <w:p w14:paraId="5F5B2134" w14:textId="77777777" w:rsidR="008F1378" w:rsidRPr="00943CC0" w:rsidRDefault="008F1378" w:rsidP="00934852">
      <w:pPr>
        <w:rPr>
          <w:color w:val="000000" w:themeColor="text1"/>
        </w:rPr>
      </w:pPr>
    </w:p>
    <w:p w14:paraId="1406004A" w14:textId="77777777" w:rsidR="00934852" w:rsidRPr="00943CC0" w:rsidRDefault="00934852" w:rsidP="00934852">
      <w:pPr>
        <w:rPr>
          <w:b/>
          <w:color w:val="000000" w:themeColor="text1"/>
        </w:rPr>
      </w:pPr>
    </w:p>
    <w:p w14:paraId="4545D107" w14:textId="77777777" w:rsidR="00934852" w:rsidRPr="00943CC0" w:rsidRDefault="00934852" w:rsidP="00934852">
      <w:pPr>
        <w:pStyle w:val="Heading2"/>
        <w:rPr>
          <w:color w:val="000000" w:themeColor="text1"/>
        </w:rPr>
        <w:sectPr w:rsidR="00934852" w:rsidRPr="00943CC0" w:rsidSect="00EC43EC">
          <w:pgSz w:w="11900" w:h="16840"/>
          <w:pgMar w:top="1440" w:right="1440" w:bottom="1440" w:left="1440" w:header="720" w:footer="720" w:gutter="0"/>
          <w:cols w:space="720"/>
          <w:docGrid w:linePitch="360"/>
        </w:sectPr>
      </w:pPr>
    </w:p>
    <w:p w14:paraId="5D252B60" w14:textId="6B03BC61" w:rsidR="00934852" w:rsidRPr="00943CC0" w:rsidRDefault="00934852" w:rsidP="00934852">
      <w:pPr>
        <w:rPr>
          <w:b/>
          <w:color w:val="000000" w:themeColor="text1"/>
        </w:rPr>
      </w:pPr>
      <w:r w:rsidRPr="00943CC0">
        <w:rPr>
          <w:b/>
          <w:color w:val="000000" w:themeColor="text1"/>
        </w:rPr>
        <w:t>Appendix</w:t>
      </w:r>
      <w:r w:rsidR="00044EAE" w:rsidRPr="00943CC0">
        <w:rPr>
          <w:b/>
          <w:color w:val="000000" w:themeColor="text1"/>
        </w:rPr>
        <w:t xml:space="preserve"> 2</w:t>
      </w:r>
      <w:r w:rsidRPr="00943CC0">
        <w:rPr>
          <w:b/>
          <w:color w:val="000000" w:themeColor="text1"/>
        </w:rPr>
        <w:t xml:space="preserve"> Table 1: Unweighted findings of factors associated with adh</w:t>
      </w:r>
      <w:r w:rsidR="005E475A">
        <w:rPr>
          <w:b/>
          <w:color w:val="000000" w:themeColor="text1"/>
        </w:rPr>
        <w:t>erence to condoms among 611 HIV-</w:t>
      </w:r>
      <w:r w:rsidRPr="00943CC0">
        <w:rPr>
          <w:b/>
          <w:color w:val="000000" w:themeColor="text1"/>
        </w:rPr>
        <w:t>negative FSW</w:t>
      </w:r>
    </w:p>
    <w:p w14:paraId="1D670B6D" w14:textId="159978BC" w:rsidR="001D2185" w:rsidRPr="00943CC0" w:rsidRDefault="00BF7D43" w:rsidP="00934852">
      <w:pPr>
        <w:rPr>
          <w:b/>
          <w:color w:val="000000" w:themeColor="text1"/>
        </w:rPr>
      </w:pPr>
      <w:r w:rsidRPr="00BF7D43">
        <w:rPr>
          <w:b/>
          <w:color w:val="000000" w:themeColor="text1"/>
        </w:rPr>
        <w:drawing>
          <wp:inline distT="0" distB="0" distL="0" distR="0" wp14:anchorId="3BB978E6" wp14:editId="511C5FE1">
            <wp:extent cx="5727700" cy="757618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7700" cy="7576185"/>
                    </a:xfrm>
                    <a:prstGeom prst="rect">
                      <a:avLst/>
                    </a:prstGeom>
                  </pic:spPr>
                </pic:pic>
              </a:graphicData>
            </a:graphic>
          </wp:inline>
        </w:drawing>
      </w:r>
    </w:p>
    <w:p w14:paraId="75FDF171" w14:textId="766A574C" w:rsidR="00934852" w:rsidRPr="00943CC0" w:rsidRDefault="00934852" w:rsidP="00934852">
      <w:pPr>
        <w:rPr>
          <w:b/>
          <w:color w:val="000000" w:themeColor="text1"/>
        </w:rPr>
      </w:pPr>
    </w:p>
    <w:p w14:paraId="51A91ED9" w14:textId="77777777" w:rsidR="00934852" w:rsidRPr="00943CC0" w:rsidRDefault="00934852" w:rsidP="00934852">
      <w:pPr>
        <w:rPr>
          <w:color w:val="000000" w:themeColor="text1"/>
        </w:rPr>
        <w:sectPr w:rsidR="00934852" w:rsidRPr="00943CC0" w:rsidSect="00EC43EC">
          <w:pgSz w:w="11900" w:h="16840"/>
          <w:pgMar w:top="1440" w:right="1440" w:bottom="1440" w:left="1440" w:header="720" w:footer="720" w:gutter="0"/>
          <w:cols w:space="720"/>
          <w:docGrid w:linePitch="360"/>
        </w:sectPr>
      </w:pPr>
    </w:p>
    <w:p w14:paraId="601158FA" w14:textId="169C5CE3" w:rsidR="00934852" w:rsidRPr="00943CC0" w:rsidRDefault="00934852" w:rsidP="00934852">
      <w:pPr>
        <w:rPr>
          <w:b/>
          <w:color w:val="000000" w:themeColor="text1"/>
        </w:rPr>
      </w:pPr>
      <w:r w:rsidRPr="00943CC0">
        <w:rPr>
          <w:b/>
          <w:color w:val="000000" w:themeColor="text1"/>
        </w:rPr>
        <w:t>Appendix</w:t>
      </w:r>
      <w:r w:rsidR="00044EAE" w:rsidRPr="00943CC0">
        <w:rPr>
          <w:b/>
          <w:color w:val="000000" w:themeColor="text1"/>
        </w:rPr>
        <w:t xml:space="preserve"> 2</w:t>
      </w:r>
      <w:r w:rsidRPr="00943CC0">
        <w:rPr>
          <w:b/>
          <w:color w:val="000000" w:themeColor="text1"/>
        </w:rPr>
        <w:t xml:space="preserve"> Table 2: Unweighted findings of factors associated with adherence to </w:t>
      </w:r>
      <w:proofErr w:type="spellStart"/>
      <w:r w:rsidRPr="00943CC0">
        <w:rPr>
          <w:b/>
          <w:color w:val="000000" w:themeColor="text1"/>
        </w:rPr>
        <w:t>PrEP</w:t>
      </w:r>
      <w:proofErr w:type="spellEnd"/>
      <w:r w:rsidRPr="00943CC0">
        <w:rPr>
          <w:b/>
          <w:color w:val="000000" w:themeColor="text1"/>
        </w:rPr>
        <w:t xml:space="preserve"> among 611 </w:t>
      </w:r>
      <w:r w:rsidR="005E475A">
        <w:rPr>
          <w:b/>
          <w:color w:val="000000" w:themeColor="text1"/>
        </w:rPr>
        <w:t>HIV-negative</w:t>
      </w:r>
      <w:r w:rsidRPr="00943CC0">
        <w:rPr>
          <w:b/>
          <w:color w:val="000000" w:themeColor="text1"/>
        </w:rPr>
        <w:t xml:space="preserve"> FSW</w:t>
      </w:r>
    </w:p>
    <w:p w14:paraId="148F491D" w14:textId="5F2E4BCA" w:rsidR="00934852" w:rsidRPr="00943CC0" w:rsidRDefault="004E756B" w:rsidP="00934852">
      <w:pPr>
        <w:rPr>
          <w:b/>
          <w:color w:val="000000" w:themeColor="text1"/>
        </w:rPr>
      </w:pPr>
      <w:r w:rsidRPr="00943CC0">
        <w:rPr>
          <w:b/>
          <w:noProof/>
          <w:color w:val="000000" w:themeColor="text1"/>
          <w:lang w:eastAsia="en-GB"/>
        </w:rPr>
        <w:drawing>
          <wp:inline distT="0" distB="0" distL="0" distR="0" wp14:anchorId="070393E7" wp14:editId="0267B242">
            <wp:extent cx="5727700" cy="77419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7700" cy="7741920"/>
                    </a:xfrm>
                    <a:prstGeom prst="rect">
                      <a:avLst/>
                    </a:prstGeom>
                  </pic:spPr>
                </pic:pic>
              </a:graphicData>
            </a:graphic>
          </wp:inline>
        </w:drawing>
      </w:r>
    </w:p>
    <w:p w14:paraId="57F48C4A" w14:textId="77777777" w:rsidR="00934852" w:rsidRPr="00943CC0" w:rsidRDefault="00934852" w:rsidP="00934852">
      <w:pPr>
        <w:rPr>
          <w:color w:val="000000" w:themeColor="text1"/>
        </w:rPr>
      </w:pPr>
    </w:p>
    <w:p w14:paraId="5BB6D9E8" w14:textId="77777777" w:rsidR="00934852" w:rsidRPr="00943CC0" w:rsidRDefault="00934852" w:rsidP="00934852">
      <w:pPr>
        <w:rPr>
          <w:color w:val="000000" w:themeColor="text1"/>
        </w:rPr>
      </w:pPr>
    </w:p>
    <w:p w14:paraId="10D2901F" w14:textId="77777777" w:rsidR="00934852" w:rsidRPr="00943CC0" w:rsidRDefault="00934852" w:rsidP="00934852">
      <w:pPr>
        <w:rPr>
          <w:color w:val="000000" w:themeColor="text1"/>
        </w:rPr>
      </w:pPr>
    </w:p>
    <w:p w14:paraId="78EFABE2" w14:textId="77777777" w:rsidR="00934852" w:rsidRPr="00943CC0" w:rsidRDefault="00934852" w:rsidP="00934852">
      <w:pPr>
        <w:rPr>
          <w:color w:val="000000" w:themeColor="text1"/>
        </w:rPr>
      </w:pPr>
    </w:p>
    <w:p w14:paraId="68FB57CE" w14:textId="77777777" w:rsidR="00934852" w:rsidRPr="00943CC0" w:rsidRDefault="00934852" w:rsidP="00934852">
      <w:pPr>
        <w:pStyle w:val="Heading2"/>
        <w:rPr>
          <w:color w:val="000000" w:themeColor="text1"/>
        </w:rPr>
        <w:sectPr w:rsidR="00934852" w:rsidRPr="00943CC0" w:rsidSect="00EC43EC">
          <w:pgSz w:w="11900" w:h="16840"/>
          <w:pgMar w:top="1440" w:right="1440" w:bottom="1440" w:left="1440" w:header="720" w:footer="720" w:gutter="0"/>
          <w:cols w:space="720"/>
          <w:docGrid w:linePitch="360"/>
        </w:sectPr>
      </w:pPr>
    </w:p>
    <w:p w14:paraId="4C427CEE" w14:textId="062FCA74" w:rsidR="00934852" w:rsidRDefault="00044EAE" w:rsidP="00934852">
      <w:pPr>
        <w:rPr>
          <w:b/>
          <w:color w:val="000000" w:themeColor="text1"/>
        </w:rPr>
      </w:pPr>
      <w:r w:rsidRPr="00943CC0">
        <w:rPr>
          <w:b/>
          <w:color w:val="000000" w:themeColor="text1"/>
        </w:rPr>
        <w:t xml:space="preserve">Appendix 2 Table 3: Associations with adherence to condoms, excluding women who do not report frequency of condom use with </w:t>
      </w:r>
      <w:r w:rsidR="000520AE">
        <w:rPr>
          <w:b/>
          <w:color w:val="000000" w:themeColor="text1"/>
        </w:rPr>
        <w:t>clients in the past month, n=564</w:t>
      </w:r>
    </w:p>
    <w:p w14:paraId="336E35EC" w14:textId="77777777" w:rsidR="003D2FEF" w:rsidRPr="00943CC0" w:rsidRDefault="003D2FEF" w:rsidP="00934852">
      <w:pPr>
        <w:rPr>
          <w:b/>
          <w:color w:val="000000" w:themeColor="text1"/>
        </w:rPr>
      </w:pPr>
    </w:p>
    <w:p w14:paraId="7F0F5094" w14:textId="3BF2AB18" w:rsidR="00044EAE" w:rsidRPr="00943CC0" w:rsidRDefault="000520AE" w:rsidP="00934852">
      <w:pPr>
        <w:rPr>
          <w:b/>
          <w:color w:val="000000" w:themeColor="text1"/>
        </w:rPr>
      </w:pPr>
      <w:r w:rsidRPr="000520AE">
        <w:rPr>
          <w:b/>
          <w:color w:val="000000" w:themeColor="text1"/>
        </w:rPr>
        <w:drawing>
          <wp:inline distT="0" distB="0" distL="0" distR="0" wp14:anchorId="679A7FB9" wp14:editId="1DED73A0">
            <wp:extent cx="5727700" cy="7449820"/>
            <wp:effectExtent l="0" t="0" r="1270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27700" cy="7449820"/>
                    </a:xfrm>
                    <a:prstGeom prst="rect">
                      <a:avLst/>
                    </a:prstGeom>
                  </pic:spPr>
                </pic:pic>
              </a:graphicData>
            </a:graphic>
          </wp:inline>
        </w:drawing>
      </w:r>
    </w:p>
    <w:p w14:paraId="2DBF819E" w14:textId="77777777" w:rsidR="00934852" w:rsidRPr="00943CC0" w:rsidRDefault="00934852" w:rsidP="00934852">
      <w:pPr>
        <w:rPr>
          <w:b/>
          <w:color w:val="000000" w:themeColor="text1"/>
        </w:rPr>
      </w:pPr>
    </w:p>
    <w:p w14:paraId="6F533F23" w14:textId="77777777" w:rsidR="00044EAE" w:rsidRPr="00943CC0" w:rsidRDefault="00044EAE" w:rsidP="00934852">
      <w:pPr>
        <w:pStyle w:val="Heading2"/>
        <w:rPr>
          <w:color w:val="000000" w:themeColor="text1"/>
        </w:rPr>
        <w:sectPr w:rsidR="00044EAE" w:rsidRPr="00943CC0" w:rsidSect="00EC43EC">
          <w:pgSz w:w="11900" w:h="16840"/>
          <w:pgMar w:top="1440" w:right="1440" w:bottom="1440" w:left="1440" w:header="720" w:footer="720" w:gutter="0"/>
          <w:cols w:space="720"/>
          <w:docGrid w:linePitch="360"/>
        </w:sectPr>
      </w:pPr>
    </w:p>
    <w:p w14:paraId="416E1398" w14:textId="466A5379" w:rsidR="00044EAE" w:rsidRDefault="00044EAE" w:rsidP="00044EAE">
      <w:pPr>
        <w:rPr>
          <w:b/>
          <w:color w:val="000000" w:themeColor="text1"/>
        </w:rPr>
      </w:pPr>
      <w:r w:rsidRPr="00943CC0">
        <w:rPr>
          <w:b/>
          <w:color w:val="000000" w:themeColor="text1"/>
        </w:rPr>
        <w:t xml:space="preserve">Appendix 2 Table 4: Associations with adherence to </w:t>
      </w:r>
      <w:proofErr w:type="spellStart"/>
      <w:r w:rsidRPr="00943CC0">
        <w:rPr>
          <w:b/>
          <w:color w:val="000000" w:themeColor="text1"/>
        </w:rPr>
        <w:t>PrEP</w:t>
      </w:r>
      <w:proofErr w:type="spellEnd"/>
      <w:r w:rsidRPr="00943CC0">
        <w:rPr>
          <w:b/>
          <w:color w:val="000000" w:themeColor="text1"/>
        </w:rPr>
        <w:t xml:space="preserve">, excluding women who do not report frequency of condom use with </w:t>
      </w:r>
      <w:r w:rsidR="000520AE">
        <w:rPr>
          <w:b/>
          <w:color w:val="000000" w:themeColor="text1"/>
        </w:rPr>
        <w:t>clients in the past month, n=564</w:t>
      </w:r>
    </w:p>
    <w:p w14:paraId="2617755A" w14:textId="77777777" w:rsidR="003D2FEF" w:rsidRPr="00943CC0" w:rsidRDefault="003D2FEF" w:rsidP="00044EAE">
      <w:pPr>
        <w:rPr>
          <w:b/>
          <w:color w:val="000000" w:themeColor="text1"/>
        </w:rPr>
      </w:pPr>
    </w:p>
    <w:p w14:paraId="3FA3C848" w14:textId="26FBE16F" w:rsidR="00044EAE" w:rsidRPr="00943CC0" w:rsidRDefault="004B7C9F" w:rsidP="00934852">
      <w:pPr>
        <w:pStyle w:val="Heading2"/>
        <w:rPr>
          <w:color w:val="000000" w:themeColor="text1"/>
        </w:rPr>
      </w:pPr>
      <w:r w:rsidRPr="00943CC0">
        <w:rPr>
          <w:noProof/>
          <w:color w:val="000000" w:themeColor="text1"/>
          <w:lang w:eastAsia="en-GB"/>
        </w:rPr>
        <w:drawing>
          <wp:inline distT="0" distB="0" distL="0" distR="0" wp14:anchorId="28041A98" wp14:editId="18AFA170">
            <wp:extent cx="5727700" cy="7181850"/>
            <wp:effectExtent l="0" t="0" r="1270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27700" cy="7181850"/>
                    </a:xfrm>
                    <a:prstGeom prst="rect">
                      <a:avLst/>
                    </a:prstGeom>
                  </pic:spPr>
                </pic:pic>
              </a:graphicData>
            </a:graphic>
          </wp:inline>
        </w:drawing>
      </w:r>
    </w:p>
    <w:p w14:paraId="08286EBE" w14:textId="77777777" w:rsidR="00044EAE" w:rsidRPr="00943CC0" w:rsidRDefault="00044EAE" w:rsidP="00934852">
      <w:pPr>
        <w:pStyle w:val="Heading2"/>
        <w:rPr>
          <w:color w:val="000000" w:themeColor="text1"/>
        </w:rPr>
        <w:sectPr w:rsidR="00044EAE" w:rsidRPr="00943CC0" w:rsidSect="00EC43EC">
          <w:pgSz w:w="11900" w:h="16840"/>
          <w:pgMar w:top="1440" w:right="1440" w:bottom="1440" w:left="1440" w:header="720" w:footer="720" w:gutter="0"/>
          <w:cols w:space="720"/>
          <w:docGrid w:linePitch="360"/>
        </w:sectPr>
      </w:pPr>
    </w:p>
    <w:p w14:paraId="2B966C37" w14:textId="3F850067" w:rsidR="00934852" w:rsidRPr="00943CC0" w:rsidRDefault="00044EAE" w:rsidP="00934852">
      <w:pPr>
        <w:rPr>
          <w:b/>
          <w:color w:val="000000" w:themeColor="text1"/>
        </w:rPr>
      </w:pPr>
      <w:r w:rsidRPr="00943CC0">
        <w:rPr>
          <w:b/>
          <w:color w:val="000000" w:themeColor="text1"/>
        </w:rPr>
        <w:t>Appendix Table 5</w:t>
      </w:r>
      <w:r w:rsidR="00934852" w:rsidRPr="00943CC0">
        <w:rPr>
          <w:b/>
          <w:color w:val="000000" w:themeColor="text1"/>
        </w:rPr>
        <w:t>: Adherence to condoms with clie</w:t>
      </w:r>
      <w:r w:rsidRPr="00943CC0">
        <w:rPr>
          <w:b/>
          <w:color w:val="000000" w:themeColor="text1"/>
        </w:rPr>
        <w:t xml:space="preserve">nts amongst </w:t>
      </w:r>
      <w:r w:rsidR="005E475A">
        <w:rPr>
          <w:b/>
          <w:color w:val="000000" w:themeColor="text1"/>
        </w:rPr>
        <w:t>HIV-negative</w:t>
      </w:r>
      <w:r w:rsidRPr="00943CC0">
        <w:rPr>
          <w:b/>
          <w:color w:val="000000" w:themeColor="text1"/>
        </w:rPr>
        <w:t xml:space="preserve"> FSW</w:t>
      </w:r>
      <w:r w:rsidR="0022623B" w:rsidRPr="00943CC0">
        <w:rPr>
          <w:b/>
          <w:color w:val="000000" w:themeColor="text1"/>
        </w:rPr>
        <w:t>, n=611</w:t>
      </w:r>
    </w:p>
    <w:p w14:paraId="626FE6DF" w14:textId="41317357" w:rsidR="00044EAE" w:rsidRPr="00943CC0" w:rsidRDefault="002C31E2" w:rsidP="00934852">
      <w:pPr>
        <w:rPr>
          <w:b/>
          <w:color w:val="000000" w:themeColor="text1"/>
        </w:rPr>
      </w:pPr>
      <w:r w:rsidRPr="002C31E2">
        <w:rPr>
          <w:b/>
          <w:color w:val="000000" w:themeColor="text1"/>
        </w:rPr>
        <w:drawing>
          <wp:inline distT="0" distB="0" distL="0" distR="0" wp14:anchorId="21229671" wp14:editId="6DB4B43E">
            <wp:extent cx="5727700" cy="7993380"/>
            <wp:effectExtent l="0" t="0" r="1270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27700" cy="7993380"/>
                    </a:xfrm>
                    <a:prstGeom prst="rect">
                      <a:avLst/>
                    </a:prstGeom>
                  </pic:spPr>
                </pic:pic>
              </a:graphicData>
            </a:graphic>
          </wp:inline>
        </w:drawing>
      </w:r>
    </w:p>
    <w:p w14:paraId="5674BD6E" w14:textId="09A2843F" w:rsidR="00934852" w:rsidRPr="00943CC0" w:rsidRDefault="00934852" w:rsidP="00934852">
      <w:pPr>
        <w:rPr>
          <w:b/>
          <w:color w:val="000000" w:themeColor="text1"/>
        </w:rPr>
      </w:pPr>
      <w:r w:rsidRPr="00943CC0">
        <w:rPr>
          <w:color w:val="000000" w:themeColor="text1"/>
          <w:highlight w:val="yellow"/>
        </w:rPr>
        <w:br w:type="page"/>
      </w:r>
    </w:p>
    <w:p w14:paraId="5794174D" w14:textId="77777777" w:rsidR="00934852" w:rsidRPr="00943CC0" w:rsidRDefault="00934852" w:rsidP="00934852">
      <w:pPr>
        <w:rPr>
          <w:b/>
          <w:color w:val="000000" w:themeColor="text1"/>
        </w:rPr>
        <w:sectPr w:rsidR="00934852" w:rsidRPr="00943CC0" w:rsidSect="00EC43EC">
          <w:pgSz w:w="11900" w:h="16840"/>
          <w:pgMar w:top="1440" w:right="1440" w:bottom="1440" w:left="1440" w:header="720" w:footer="720" w:gutter="0"/>
          <w:cols w:space="720"/>
          <w:docGrid w:linePitch="360"/>
        </w:sectPr>
      </w:pPr>
    </w:p>
    <w:p w14:paraId="674EC5DA" w14:textId="3883506F" w:rsidR="00934852" w:rsidRPr="00943CC0" w:rsidRDefault="00044EAE" w:rsidP="00934852">
      <w:pPr>
        <w:rPr>
          <w:b/>
          <w:color w:val="000000" w:themeColor="text1"/>
        </w:rPr>
      </w:pPr>
      <w:r w:rsidRPr="00943CC0">
        <w:rPr>
          <w:b/>
          <w:color w:val="000000" w:themeColor="text1"/>
        </w:rPr>
        <w:t>Appendix Table 6</w:t>
      </w:r>
      <w:r w:rsidR="00934852" w:rsidRPr="00943CC0">
        <w:rPr>
          <w:b/>
          <w:color w:val="000000" w:themeColor="text1"/>
        </w:rPr>
        <w:t xml:space="preserve">: Adherence to condoms with partners amongst </w:t>
      </w:r>
      <w:r w:rsidR="005E475A">
        <w:rPr>
          <w:b/>
          <w:color w:val="000000" w:themeColor="text1"/>
        </w:rPr>
        <w:t>HIV-negative</w:t>
      </w:r>
      <w:r w:rsidR="00934852" w:rsidRPr="00943CC0">
        <w:rPr>
          <w:b/>
          <w:color w:val="000000" w:themeColor="text1"/>
        </w:rPr>
        <w:t xml:space="preserve"> FSW who have a steady partner, n=418</w:t>
      </w:r>
    </w:p>
    <w:p w14:paraId="686747C9" w14:textId="2C7A17FB" w:rsidR="001D2185" w:rsidRPr="00943CC0" w:rsidRDefault="000919AC" w:rsidP="00934852">
      <w:pPr>
        <w:rPr>
          <w:b/>
          <w:color w:val="000000" w:themeColor="text1"/>
        </w:rPr>
      </w:pPr>
      <w:r w:rsidRPr="000919AC">
        <w:rPr>
          <w:b/>
          <w:color w:val="000000" w:themeColor="text1"/>
        </w:rPr>
        <w:drawing>
          <wp:inline distT="0" distB="0" distL="0" distR="0" wp14:anchorId="62F6B639" wp14:editId="72FE11B2">
            <wp:extent cx="5727700" cy="7833995"/>
            <wp:effectExtent l="0" t="0" r="1270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27700" cy="7833995"/>
                    </a:xfrm>
                    <a:prstGeom prst="rect">
                      <a:avLst/>
                    </a:prstGeom>
                  </pic:spPr>
                </pic:pic>
              </a:graphicData>
            </a:graphic>
          </wp:inline>
        </w:drawing>
      </w:r>
      <w:bookmarkStart w:id="0" w:name="_GoBack"/>
      <w:bookmarkEnd w:id="0"/>
    </w:p>
    <w:p w14:paraId="5D39E9EC" w14:textId="77777777" w:rsidR="001D2185" w:rsidRPr="00943CC0" w:rsidRDefault="001D2185" w:rsidP="00934852">
      <w:pPr>
        <w:rPr>
          <w:b/>
          <w:color w:val="000000" w:themeColor="text1"/>
        </w:rPr>
      </w:pPr>
    </w:p>
    <w:p w14:paraId="54093714" w14:textId="77777777" w:rsidR="00934852" w:rsidRPr="00943CC0" w:rsidRDefault="00934852" w:rsidP="00934852">
      <w:pPr>
        <w:rPr>
          <w:b/>
          <w:color w:val="000000" w:themeColor="text1"/>
        </w:rPr>
      </w:pPr>
    </w:p>
    <w:p w14:paraId="105AFF3E" w14:textId="77777777" w:rsidR="00391DF5" w:rsidRPr="00943CC0" w:rsidRDefault="00391DF5">
      <w:pPr>
        <w:rPr>
          <w:color w:val="000000" w:themeColor="text1"/>
        </w:rPr>
      </w:pPr>
    </w:p>
    <w:p w14:paraId="7D8D01FF" w14:textId="224B407B" w:rsidR="00391DF5" w:rsidRPr="00943CC0" w:rsidRDefault="00044EAE">
      <w:pPr>
        <w:rPr>
          <w:b/>
          <w:color w:val="000000" w:themeColor="text1"/>
        </w:rPr>
      </w:pPr>
      <w:r w:rsidRPr="00943CC0">
        <w:rPr>
          <w:b/>
          <w:color w:val="000000" w:themeColor="text1"/>
        </w:rPr>
        <w:t>References</w:t>
      </w:r>
    </w:p>
    <w:p w14:paraId="0F9778B7" w14:textId="77777777" w:rsidR="000F15F7" w:rsidRPr="000F15F7" w:rsidRDefault="00391DF5" w:rsidP="000F15F7">
      <w:pPr>
        <w:pStyle w:val="EndNoteBibliography"/>
        <w:ind w:left="720" w:hanging="720"/>
        <w:rPr>
          <w:noProof/>
        </w:rPr>
      </w:pPr>
      <w:r w:rsidRPr="00943CC0">
        <w:rPr>
          <w:color w:val="000000" w:themeColor="text1"/>
        </w:rPr>
        <w:fldChar w:fldCharType="begin"/>
      </w:r>
      <w:r w:rsidRPr="00943CC0">
        <w:rPr>
          <w:color w:val="000000" w:themeColor="text1"/>
        </w:rPr>
        <w:instrText xml:space="preserve"> ADDIN EN.REFLIST </w:instrText>
      </w:r>
      <w:r w:rsidRPr="00943CC0">
        <w:rPr>
          <w:color w:val="000000" w:themeColor="text1"/>
        </w:rPr>
        <w:fldChar w:fldCharType="separate"/>
      </w:r>
      <w:r w:rsidR="000F15F7" w:rsidRPr="000F15F7">
        <w:rPr>
          <w:noProof/>
        </w:rPr>
        <w:t>1.</w:t>
      </w:r>
      <w:r w:rsidR="000F15F7" w:rsidRPr="000F15F7">
        <w:rPr>
          <w:noProof/>
        </w:rPr>
        <w:tab/>
        <w:t xml:space="preserve">Cowan F, Davey C, Fearon E, et al. Randomised trial of a combination intervention to empower female sex workers in Zimbabwe to link and adhere to antiretrovirals for treatment and prevention. </w:t>
      </w:r>
      <w:r w:rsidR="000F15F7" w:rsidRPr="000F15F7">
        <w:rPr>
          <w:i/>
          <w:noProof/>
        </w:rPr>
        <w:t xml:space="preserve">(Submitted). </w:t>
      </w:r>
      <w:r w:rsidR="000F15F7" w:rsidRPr="000F15F7">
        <w:rPr>
          <w:noProof/>
        </w:rPr>
        <w:t>2017.</w:t>
      </w:r>
    </w:p>
    <w:p w14:paraId="5772DB32" w14:textId="07F6513E" w:rsidR="00F012E1" w:rsidRPr="00943CC0" w:rsidRDefault="00391DF5">
      <w:pPr>
        <w:rPr>
          <w:color w:val="000000" w:themeColor="text1"/>
        </w:rPr>
      </w:pPr>
      <w:r w:rsidRPr="00943CC0">
        <w:rPr>
          <w:color w:val="000000" w:themeColor="text1"/>
        </w:rPr>
        <w:fldChar w:fldCharType="end"/>
      </w:r>
    </w:p>
    <w:sectPr w:rsidR="00F012E1" w:rsidRPr="00943CC0" w:rsidSect="00EC43E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34852"/>
    <w:rsid w:val="000073E9"/>
    <w:rsid w:val="000239E8"/>
    <w:rsid w:val="00031FAA"/>
    <w:rsid w:val="00044EAE"/>
    <w:rsid w:val="00047822"/>
    <w:rsid w:val="000520AE"/>
    <w:rsid w:val="00061CB3"/>
    <w:rsid w:val="000919AC"/>
    <w:rsid w:val="000946E4"/>
    <w:rsid w:val="000A6843"/>
    <w:rsid w:val="000B25E3"/>
    <w:rsid w:val="000D177E"/>
    <w:rsid w:val="000E59B7"/>
    <w:rsid w:val="000F15F7"/>
    <w:rsid w:val="00103025"/>
    <w:rsid w:val="00133205"/>
    <w:rsid w:val="00134607"/>
    <w:rsid w:val="00165167"/>
    <w:rsid w:val="00177AB8"/>
    <w:rsid w:val="001C13C4"/>
    <w:rsid w:val="001D2185"/>
    <w:rsid w:val="001E6B4B"/>
    <w:rsid w:val="001F7962"/>
    <w:rsid w:val="002219DA"/>
    <w:rsid w:val="0022623B"/>
    <w:rsid w:val="0024384F"/>
    <w:rsid w:val="00261822"/>
    <w:rsid w:val="00270524"/>
    <w:rsid w:val="00282A7B"/>
    <w:rsid w:val="002A670F"/>
    <w:rsid w:val="002C31E2"/>
    <w:rsid w:val="00306D13"/>
    <w:rsid w:val="003073D2"/>
    <w:rsid w:val="003268C8"/>
    <w:rsid w:val="00355C84"/>
    <w:rsid w:val="003613BF"/>
    <w:rsid w:val="0036518B"/>
    <w:rsid w:val="00370C18"/>
    <w:rsid w:val="003733F2"/>
    <w:rsid w:val="00391DF5"/>
    <w:rsid w:val="00393C97"/>
    <w:rsid w:val="00395EDC"/>
    <w:rsid w:val="003C3432"/>
    <w:rsid w:val="003D2FEF"/>
    <w:rsid w:val="00434DB2"/>
    <w:rsid w:val="004447CD"/>
    <w:rsid w:val="00453E7F"/>
    <w:rsid w:val="00462833"/>
    <w:rsid w:val="004B774C"/>
    <w:rsid w:val="004B7C9F"/>
    <w:rsid w:val="004C4E8B"/>
    <w:rsid w:val="004C7469"/>
    <w:rsid w:val="004D5771"/>
    <w:rsid w:val="004D5874"/>
    <w:rsid w:val="004E756B"/>
    <w:rsid w:val="004E7DE7"/>
    <w:rsid w:val="004F6431"/>
    <w:rsid w:val="0050365D"/>
    <w:rsid w:val="00527C5A"/>
    <w:rsid w:val="00541053"/>
    <w:rsid w:val="00541E9F"/>
    <w:rsid w:val="00544BAF"/>
    <w:rsid w:val="00573395"/>
    <w:rsid w:val="00586D0F"/>
    <w:rsid w:val="005963CE"/>
    <w:rsid w:val="005A0BC8"/>
    <w:rsid w:val="005B0743"/>
    <w:rsid w:val="005B1CCC"/>
    <w:rsid w:val="005B6C55"/>
    <w:rsid w:val="005C7B92"/>
    <w:rsid w:val="005E475A"/>
    <w:rsid w:val="00626F64"/>
    <w:rsid w:val="00647B40"/>
    <w:rsid w:val="00654610"/>
    <w:rsid w:val="00665BD9"/>
    <w:rsid w:val="0067019C"/>
    <w:rsid w:val="00681405"/>
    <w:rsid w:val="006C2646"/>
    <w:rsid w:val="006D5911"/>
    <w:rsid w:val="006F51CE"/>
    <w:rsid w:val="007077A8"/>
    <w:rsid w:val="0070785E"/>
    <w:rsid w:val="00722040"/>
    <w:rsid w:val="007438A1"/>
    <w:rsid w:val="00746ED4"/>
    <w:rsid w:val="0075086E"/>
    <w:rsid w:val="00753CC6"/>
    <w:rsid w:val="0076294B"/>
    <w:rsid w:val="00773473"/>
    <w:rsid w:val="007A0E08"/>
    <w:rsid w:val="007B469F"/>
    <w:rsid w:val="007F5B25"/>
    <w:rsid w:val="007F6007"/>
    <w:rsid w:val="00811825"/>
    <w:rsid w:val="008345AB"/>
    <w:rsid w:val="00855A95"/>
    <w:rsid w:val="00875E64"/>
    <w:rsid w:val="008774BF"/>
    <w:rsid w:val="008847BD"/>
    <w:rsid w:val="008B2A4E"/>
    <w:rsid w:val="008C679F"/>
    <w:rsid w:val="008F1378"/>
    <w:rsid w:val="008F2158"/>
    <w:rsid w:val="008F21B8"/>
    <w:rsid w:val="009050AE"/>
    <w:rsid w:val="00934852"/>
    <w:rsid w:val="00943CC0"/>
    <w:rsid w:val="00945EE3"/>
    <w:rsid w:val="0096118D"/>
    <w:rsid w:val="00984131"/>
    <w:rsid w:val="009956D6"/>
    <w:rsid w:val="009A5E26"/>
    <w:rsid w:val="009E1151"/>
    <w:rsid w:val="00A020C9"/>
    <w:rsid w:val="00A70C27"/>
    <w:rsid w:val="00A80C96"/>
    <w:rsid w:val="00A9703B"/>
    <w:rsid w:val="00AD7599"/>
    <w:rsid w:val="00AF1796"/>
    <w:rsid w:val="00AF6C64"/>
    <w:rsid w:val="00B21623"/>
    <w:rsid w:val="00B62535"/>
    <w:rsid w:val="00B62660"/>
    <w:rsid w:val="00BB51C4"/>
    <w:rsid w:val="00BC65D9"/>
    <w:rsid w:val="00BE56BA"/>
    <w:rsid w:val="00BE5AA4"/>
    <w:rsid w:val="00BF7393"/>
    <w:rsid w:val="00BF7A57"/>
    <w:rsid w:val="00BF7D43"/>
    <w:rsid w:val="00C13D47"/>
    <w:rsid w:val="00C17E5A"/>
    <w:rsid w:val="00C34201"/>
    <w:rsid w:val="00C7733E"/>
    <w:rsid w:val="00C82245"/>
    <w:rsid w:val="00CA4EFB"/>
    <w:rsid w:val="00CD3109"/>
    <w:rsid w:val="00CD62BF"/>
    <w:rsid w:val="00D170AD"/>
    <w:rsid w:val="00D20209"/>
    <w:rsid w:val="00D269D8"/>
    <w:rsid w:val="00D26E33"/>
    <w:rsid w:val="00D459C9"/>
    <w:rsid w:val="00D4750E"/>
    <w:rsid w:val="00D51CF9"/>
    <w:rsid w:val="00D525B4"/>
    <w:rsid w:val="00D57BB1"/>
    <w:rsid w:val="00D6217C"/>
    <w:rsid w:val="00D748D4"/>
    <w:rsid w:val="00D828A0"/>
    <w:rsid w:val="00D96D2E"/>
    <w:rsid w:val="00DC39C4"/>
    <w:rsid w:val="00DD5729"/>
    <w:rsid w:val="00DE7188"/>
    <w:rsid w:val="00E2114E"/>
    <w:rsid w:val="00E44166"/>
    <w:rsid w:val="00E5400B"/>
    <w:rsid w:val="00E85AA3"/>
    <w:rsid w:val="00E944D1"/>
    <w:rsid w:val="00EA4F06"/>
    <w:rsid w:val="00EC43EC"/>
    <w:rsid w:val="00EC45FD"/>
    <w:rsid w:val="00EE077B"/>
    <w:rsid w:val="00EE4352"/>
    <w:rsid w:val="00EE679A"/>
    <w:rsid w:val="00EF4CC8"/>
    <w:rsid w:val="00EF4D11"/>
    <w:rsid w:val="00F131B8"/>
    <w:rsid w:val="00F1417E"/>
    <w:rsid w:val="00F41F6B"/>
    <w:rsid w:val="00F53E20"/>
    <w:rsid w:val="00F54871"/>
    <w:rsid w:val="00F718ED"/>
    <w:rsid w:val="00F77E3F"/>
    <w:rsid w:val="00F80911"/>
    <w:rsid w:val="00F90A9E"/>
    <w:rsid w:val="00FD377C"/>
    <w:rsid w:val="00FF6B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1AD6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4852"/>
  </w:style>
  <w:style w:type="paragraph" w:styleId="Heading1">
    <w:name w:val="heading 1"/>
    <w:basedOn w:val="Normal"/>
    <w:next w:val="Normal"/>
    <w:link w:val="Heading1Char"/>
    <w:uiPriority w:val="9"/>
    <w:qFormat/>
    <w:rsid w:val="00B62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48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8F137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85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6266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8F1378"/>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8F1378"/>
    <w:rPr>
      <w:sz w:val="16"/>
      <w:szCs w:val="16"/>
    </w:rPr>
  </w:style>
  <w:style w:type="paragraph" w:styleId="CommentText">
    <w:name w:val="annotation text"/>
    <w:basedOn w:val="Normal"/>
    <w:link w:val="CommentTextChar"/>
    <w:uiPriority w:val="99"/>
    <w:unhideWhenUsed/>
    <w:rsid w:val="008F1378"/>
    <w:pPr>
      <w:spacing w:after="200"/>
    </w:pPr>
    <w:rPr>
      <w:rFonts w:ascii="Arial" w:hAnsi="Arial"/>
      <w:sz w:val="20"/>
      <w:szCs w:val="20"/>
    </w:rPr>
  </w:style>
  <w:style w:type="character" w:customStyle="1" w:styleId="CommentTextChar">
    <w:name w:val="Comment Text Char"/>
    <w:basedOn w:val="DefaultParagraphFont"/>
    <w:link w:val="CommentText"/>
    <w:uiPriority w:val="99"/>
    <w:rsid w:val="008F1378"/>
    <w:rPr>
      <w:rFonts w:ascii="Arial" w:hAnsi="Arial"/>
      <w:sz w:val="20"/>
      <w:szCs w:val="20"/>
    </w:rPr>
  </w:style>
  <w:style w:type="paragraph" w:styleId="BalloonText">
    <w:name w:val="Balloon Text"/>
    <w:basedOn w:val="Normal"/>
    <w:link w:val="BalloonTextChar"/>
    <w:uiPriority w:val="99"/>
    <w:semiHidden/>
    <w:unhideWhenUsed/>
    <w:rsid w:val="008F1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37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F1378"/>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8F1378"/>
    <w:rPr>
      <w:rFonts w:ascii="Arial" w:hAnsi="Arial"/>
      <w:b/>
      <w:bCs/>
      <w:sz w:val="20"/>
      <w:szCs w:val="20"/>
    </w:rPr>
  </w:style>
  <w:style w:type="table" w:styleId="TableGrid">
    <w:name w:val="Table Grid"/>
    <w:basedOn w:val="TableNormal"/>
    <w:uiPriority w:val="39"/>
    <w:rsid w:val="00BC6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391DF5"/>
    <w:pPr>
      <w:jc w:val="center"/>
    </w:pPr>
    <w:rPr>
      <w:rFonts w:ascii="Calibri" w:hAnsi="Calibri"/>
      <w:lang w:val="en-US"/>
    </w:rPr>
  </w:style>
  <w:style w:type="paragraph" w:customStyle="1" w:styleId="EndNoteBibliography">
    <w:name w:val="EndNote Bibliography"/>
    <w:basedOn w:val="Normal"/>
    <w:rsid w:val="00391DF5"/>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6.emf"/><Relationship Id="rId20" Type="http://schemas.openxmlformats.org/officeDocument/2006/relationships/image" Target="media/image17.emf"/><Relationship Id="rId21" Type="http://schemas.openxmlformats.org/officeDocument/2006/relationships/image" Target="media/image18.emf"/><Relationship Id="rId22" Type="http://schemas.openxmlformats.org/officeDocument/2006/relationships/image" Target="media/image19.emf"/><Relationship Id="rId23" Type="http://schemas.openxmlformats.org/officeDocument/2006/relationships/image" Target="media/image20.emf"/><Relationship Id="rId24" Type="http://schemas.openxmlformats.org/officeDocument/2006/relationships/image" Target="media/image21.emf"/><Relationship Id="rId25" Type="http://schemas.openxmlformats.org/officeDocument/2006/relationships/image" Target="media/image22.e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7.emf"/><Relationship Id="rId11" Type="http://schemas.openxmlformats.org/officeDocument/2006/relationships/image" Target="media/image8.emf"/><Relationship Id="rId12" Type="http://schemas.openxmlformats.org/officeDocument/2006/relationships/image" Target="media/image9.emf"/><Relationship Id="rId13" Type="http://schemas.openxmlformats.org/officeDocument/2006/relationships/image" Target="media/image10.emf"/><Relationship Id="rId14" Type="http://schemas.openxmlformats.org/officeDocument/2006/relationships/image" Target="media/image11.emf"/><Relationship Id="rId15" Type="http://schemas.openxmlformats.org/officeDocument/2006/relationships/image" Target="media/image12.emf"/><Relationship Id="rId16" Type="http://schemas.openxmlformats.org/officeDocument/2006/relationships/image" Target="media/image13.emf"/><Relationship Id="rId17" Type="http://schemas.openxmlformats.org/officeDocument/2006/relationships/image" Target="media/image14.emf"/><Relationship Id="rId18" Type="http://schemas.openxmlformats.org/officeDocument/2006/relationships/image" Target="media/image15.emf"/><Relationship Id="rId19" Type="http://schemas.openxmlformats.org/officeDocument/2006/relationships/image" Target="media/image16.em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image" Target="media/image4.emf"/><Relationship Id="rId8"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1255</Words>
  <Characters>7160</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Appendix 1: Respondent Driven Sampling Diagnostics</vt:lpstr>
      <vt:lpstr>Appendix 2: Sensitivity Analysis Results</vt:lpstr>
      <vt:lpstr>    </vt:lpstr>
      <vt:lpstr>    </vt:lpstr>
      <vt:lpstr>    </vt:lpstr>
      <vt:lpstr>    /</vt:lpstr>
      <vt:lpstr>    </vt:lpstr>
    </vt:vector>
  </TitlesOfParts>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Fearon</dc:creator>
  <cp:keywords/>
  <dc:description/>
  <cp:lastModifiedBy>Elizabeth Fearon</cp:lastModifiedBy>
  <cp:revision>6</cp:revision>
  <cp:lastPrinted>2017-10-06T10:19:00Z</cp:lastPrinted>
  <dcterms:created xsi:type="dcterms:W3CDTF">2018-12-17T16:10:00Z</dcterms:created>
  <dcterms:modified xsi:type="dcterms:W3CDTF">2018-12-17T16:23:00Z</dcterms:modified>
</cp:coreProperties>
</file>