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10171" w14:textId="77777777" w:rsidR="00D64FB6" w:rsidRDefault="00D64FB6" w:rsidP="00467652">
      <w:r w:rsidRPr="00D64FB6">
        <w:t>Suppl</w:t>
      </w:r>
      <w:r>
        <w:t>e</w:t>
      </w:r>
      <w:r w:rsidRPr="00D64FB6">
        <w:t>mentary Table 1</w:t>
      </w:r>
      <w:r w:rsidR="003E2177">
        <w:t xml:space="preserve">. </w:t>
      </w:r>
      <w:r w:rsidR="00E76537">
        <w:t>Distribution of baseline and final eGFR</w:t>
      </w:r>
      <w:r w:rsidR="00774581" w:rsidRPr="00774581">
        <w:rPr>
          <w:vertAlign w:val="superscript"/>
        </w:rPr>
        <w:t>a</w:t>
      </w:r>
      <w:r w:rsidR="00552E4A">
        <w:t xml:space="preserve"> in treatment naïve PLWH</w:t>
      </w:r>
      <w:r w:rsidR="00E76537">
        <w:t>, CNICS cohort (2007-2014)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300"/>
        <w:gridCol w:w="1295"/>
        <w:gridCol w:w="1483"/>
        <w:gridCol w:w="1445"/>
        <w:gridCol w:w="1350"/>
      </w:tblGrid>
      <w:tr w:rsidR="006B435E" w14:paraId="27B2E5E5" w14:textId="77777777" w:rsidTr="002C4007"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4C012D02" w14:textId="77777777" w:rsidR="006B435E" w:rsidRDefault="006B435E" w:rsidP="00467652">
            <w:r>
              <w:t>Baseline</w:t>
            </w:r>
            <w:r w:rsidR="00774581">
              <w:rPr>
                <w:vertAlign w:val="superscript"/>
              </w:rPr>
              <w:t>b</w:t>
            </w:r>
            <w:r>
              <w:t xml:space="preserve"> eGFR, </w:t>
            </w:r>
          </w:p>
          <w:p w14:paraId="64288136" w14:textId="77777777" w:rsidR="006B435E" w:rsidRDefault="006B435E" w:rsidP="00467652">
            <w:r>
              <w:rPr>
                <w:rFonts w:cs="Arial"/>
              </w:rPr>
              <w:t>(mL/min/1.73m</w:t>
            </w:r>
            <w:r>
              <w:rPr>
                <w:rFonts w:cs="Arial"/>
                <w:vertAlign w:val="superscript"/>
              </w:rPr>
              <w:t>2</w:t>
            </w:r>
            <w:r w:rsidRPr="003E2177">
              <w:rPr>
                <w:rFonts w:cs="Arial"/>
              </w:rPr>
              <w:t>)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1EC82" w14:textId="77777777" w:rsidR="006B435E" w:rsidRDefault="006B435E" w:rsidP="003E2177">
            <w:pPr>
              <w:jc w:val="center"/>
            </w:pPr>
            <w:r>
              <w:t>Final</w:t>
            </w:r>
            <w:r w:rsidR="00774581">
              <w:rPr>
                <w:vertAlign w:val="superscript"/>
              </w:rPr>
              <w:t>c</w:t>
            </w:r>
            <w:r>
              <w:t xml:space="preserve"> eGFR (</w:t>
            </w:r>
            <w:r>
              <w:rPr>
                <w:rFonts w:cs="Arial"/>
              </w:rPr>
              <w:t>mL/min/1.73m</w:t>
            </w:r>
            <w:r>
              <w:rPr>
                <w:rFonts w:cs="Arial"/>
                <w:vertAlign w:val="superscript"/>
              </w:rPr>
              <w:t>2</w:t>
            </w:r>
            <w:r w:rsidRPr="003E2177">
              <w:rPr>
                <w:rFonts w:cs="Arial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ADC51" w14:textId="77777777" w:rsidR="006B435E" w:rsidRDefault="006B435E" w:rsidP="003E2177">
            <w:pPr>
              <w:jc w:val="center"/>
            </w:pPr>
            <w:r>
              <w:t xml:space="preserve">Total </w:t>
            </w:r>
          </w:p>
        </w:tc>
      </w:tr>
      <w:tr w:rsidR="006B435E" w14:paraId="35447DD2" w14:textId="77777777" w:rsidTr="002C4007">
        <w:tc>
          <w:tcPr>
            <w:tcW w:w="1767" w:type="dxa"/>
          </w:tcPr>
          <w:p w14:paraId="152A58A9" w14:textId="77777777" w:rsidR="006B435E" w:rsidRDefault="006B435E" w:rsidP="003E2177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14981667" w14:textId="77777777" w:rsidR="006B435E" w:rsidRDefault="006B435E" w:rsidP="003E2177">
            <w:pPr>
              <w:jc w:val="center"/>
            </w:pPr>
            <w:r>
              <w:t>&lt;30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29A01A14" w14:textId="77777777" w:rsidR="006B435E" w:rsidRDefault="006B435E" w:rsidP="003E2177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30 to &lt;45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E152EA1" w14:textId="77777777" w:rsidR="006B435E" w:rsidRDefault="006B435E" w:rsidP="003E2177">
            <w:pPr>
              <w:jc w:val="center"/>
            </w:pPr>
            <w:r>
              <w:rPr>
                <w:rFonts w:cstheme="minorHAnsi"/>
              </w:rPr>
              <w:t>≥45 to &lt;60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0DAACDA1" w14:textId="77777777" w:rsidR="006B435E" w:rsidRDefault="006B435E" w:rsidP="003E2177">
            <w:pPr>
              <w:jc w:val="center"/>
            </w:pPr>
            <w:r>
              <w:rPr>
                <w:rFonts w:cstheme="minorHAnsi"/>
              </w:rPr>
              <w:t>≥60</w:t>
            </w:r>
          </w:p>
        </w:tc>
        <w:tc>
          <w:tcPr>
            <w:tcW w:w="1350" w:type="dxa"/>
          </w:tcPr>
          <w:p w14:paraId="6C9F45C5" w14:textId="77777777" w:rsidR="006B435E" w:rsidRDefault="006B435E" w:rsidP="003E2177">
            <w:pPr>
              <w:jc w:val="center"/>
            </w:pPr>
          </w:p>
        </w:tc>
      </w:tr>
      <w:tr w:rsidR="00E76537" w14:paraId="255CE7A2" w14:textId="77777777" w:rsidTr="002C4007">
        <w:tc>
          <w:tcPr>
            <w:tcW w:w="1767" w:type="dxa"/>
          </w:tcPr>
          <w:p w14:paraId="1F9BA075" w14:textId="77777777" w:rsidR="00E76537" w:rsidRDefault="00E76537" w:rsidP="003E2177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306760B4" w14:textId="20C8A1CD" w:rsidR="00E76537" w:rsidRDefault="001C7D83" w:rsidP="003E2177">
            <w:pPr>
              <w:jc w:val="center"/>
            </w:pPr>
            <w:r>
              <w:t>n (%)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08F595B6" w14:textId="4758B7E3" w:rsidR="00E76537" w:rsidRDefault="001C7D83" w:rsidP="003E2177">
            <w:pPr>
              <w:jc w:val="center"/>
            </w:pPr>
            <w:r>
              <w:t>n (%)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507D230F" w14:textId="7B4C08B9" w:rsidR="00E76537" w:rsidRDefault="001C7D83" w:rsidP="003E2177">
            <w:pPr>
              <w:jc w:val="center"/>
            </w:pPr>
            <w:r>
              <w:t>n (%)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6BB6DC46" w14:textId="6B45FE58" w:rsidR="00E76537" w:rsidRDefault="001C7D83" w:rsidP="003E2177">
            <w:pPr>
              <w:jc w:val="center"/>
            </w:pPr>
            <w:r>
              <w:t>n (%)</w:t>
            </w:r>
          </w:p>
        </w:tc>
        <w:tc>
          <w:tcPr>
            <w:tcW w:w="1350" w:type="dxa"/>
          </w:tcPr>
          <w:p w14:paraId="612D63DC" w14:textId="39C1BBFE" w:rsidR="00E76537" w:rsidRDefault="00E76537" w:rsidP="003E2177">
            <w:pPr>
              <w:jc w:val="center"/>
            </w:pPr>
            <w:r>
              <w:t>N</w:t>
            </w:r>
            <w:r w:rsidR="001C7D83">
              <w:t xml:space="preserve"> (%)</w:t>
            </w:r>
          </w:p>
        </w:tc>
      </w:tr>
      <w:tr w:rsidR="006B435E" w14:paraId="7CDBF617" w14:textId="77777777" w:rsidTr="002C4007">
        <w:tc>
          <w:tcPr>
            <w:tcW w:w="1767" w:type="dxa"/>
          </w:tcPr>
          <w:p w14:paraId="782EFD3A" w14:textId="77777777" w:rsidR="006B435E" w:rsidRDefault="006B435E" w:rsidP="003E2177">
            <w:pPr>
              <w:jc w:val="center"/>
            </w:pPr>
            <w:r>
              <w:t>&lt;30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3DB58FEF" w14:textId="76A55166" w:rsidR="006B435E" w:rsidRDefault="006B435E" w:rsidP="001C7D83">
            <w:pPr>
              <w:jc w:val="center"/>
            </w:pPr>
            <w:r>
              <w:t>34</w:t>
            </w:r>
            <w:r w:rsidR="00421AC7">
              <w:t xml:space="preserve"> </w:t>
            </w:r>
            <w:r w:rsidR="001C7D83">
              <w:t>(0.8)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95F9305" w14:textId="0EBBC8F4" w:rsidR="006B435E" w:rsidRDefault="001C7D83" w:rsidP="001C7D83">
            <w:pPr>
              <w:jc w:val="center"/>
            </w:pPr>
            <w:r>
              <w:t xml:space="preserve">  </w:t>
            </w:r>
            <w:r w:rsidR="006B435E">
              <w:t>3</w:t>
            </w:r>
            <w:r>
              <w:t xml:space="preserve"> (0.1)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629826CB" w14:textId="04A3E049" w:rsidR="006B435E" w:rsidRDefault="001C7D83" w:rsidP="003E2177">
            <w:pPr>
              <w:jc w:val="center"/>
            </w:pPr>
            <w:r>
              <w:t xml:space="preserve"> </w:t>
            </w:r>
            <w:r w:rsidR="0033671E">
              <w:t xml:space="preserve">  </w:t>
            </w:r>
            <w:r>
              <w:t xml:space="preserve"> </w:t>
            </w:r>
            <w:r w:rsidR="006B435E">
              <w:t>2</w:t>
            </w:r>
            <w:r>
              <w:t xml:space="preserve"> (0.04)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02151CE1" w14:textId="56CFD65D" w:rsidR="006B435E" w:rsidRDefault="006B435E" w:rsidP="003E2177">
            <w:pPr>
              <w:jc w:val="center"/>
            </w:pPr>
            <w:r>
              <w:t xml:space="preserve">  </w:t>
            </w:r>
            <w:r w:rsidR="001C7D83">
              <w:t xml:space="preserve">    </w:t>
            </w:r>
            <w:r>
              <w:t>2</w:t>
            </w:r>
            <w:r w:rsidR="001C7D83">
              <w:t xml:space="preserve"> (0.04)</w:t>
            </w:r>
          </w:p>
        </w:tc>
        <w:tc>
          <w:tcPr>
            <w:tcW w:w="1350" w:type="dxa"/>
          </w:tcPr>
          <w:p w14:paraId="7F01A320" w14:textId="7E5F83CD" w:rsidR="006B435E" w:rsidRDefault="006B435E" w:rsidP="001C7D83">
            <w:pPr>
              <w:jc w:val="center"/>
            </w:pPr>
            <w:r>
              <w:t>41</w:t>
            </w:r>
            <w:r w:rsidR="001C7D83">
              <w:t xml:space="preserve"> (0.9)</w:t>
            </w:r>
          </w:p>
        </w:tc>
      </w:tr>
      <w:tr w:rsidR="006B435E" w14:paraId="53021C15" w14:textId="77777777" w:rsidTr="002C4007">
        <w:tc>
          <w:tcPr>
            <w:tcW w:w="1767" w:type="dxa"/>
          </w:tcPr>
          <w:p w14:paraId="1D7CBDAE" w14:textId="77777777" w:rsidR="006B435E" w:rsidRDefault="006B435E" w:rsidP="003E2177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30 to &lt;45</w:t>
            </w:r>
          </w:p>
        </w:tc>
        <w:tc>
          <w:tcPr>
            <w:tcW w:w="1300" w:type="dxa"/>
          </w:tcPr>
          <w:p w14:paraId="55857049" w14:textId="3F309E5B" w:rsidR="006B435E" w:rsidRDefault="00421AC7" w:rsidP="001C7D83">
            <w:pPr>
              <w:jc w:val="center"/>
            </w:pPr>
            <w:r>
              <w:t xml:space="preserve"> </w:t>
            </w:r>
            <w:r w:rsidR="001C7D83">
              <w:t xml:space="preserve"> </w:t>
            </w:r>
            <w:r w:rsidR="006B435E">
              <w:t>7</w:t>
            </w:r>
            <w:r w:rsidR="001C7D83">
              <w:t xml:space="preserve"> (0.2)</w:t>
            </w:r>
          </w:p>
        </w:tc>
        <w:tc>
          <w:tcPr>
            <w:tcW w:w="1295" w:type="dxa"/>
          </w:tcPr>
          <w:p w14:paraId="7B318392" w14:textId="44A4BA6D" w:rsidR="006B435E" w:rsidRDefault="001C7D83" w:rsidP="001C7D83">
            <w:pPr>
              <w:jc w:val="center"/>
            </w:pPr>
            <w:r>
              <w:t xml:space="preserve">  </w:t>
            </w:r>
            <w:r w:rsidR="006B435E">
              <w:t>8</w:t>
            </w:r>
            <w:r>
              <w:t xml:space="preserve"> (0.2)</w:t>
            </w:r>
          </w:p>
        </w:tc>
        <w:tc>
          <w:tcPr>
            <w:tcW w:w="1483" w:type="dxa"/>
          </w:tcPr>
          <w:p w14:paraId="35917D30" w14:textId="10445235" w:rsidR="006B435E" w:rsidRDefault="001C7D83" w:rsidP="001C7D83">
            <w:pPr>
              <w:jc w:val="center"/>
            </w:pPr>
            <w:r>
              <w:t xml:space="preserve">  </w:t>
            </w:r>
            <w:r w:rsidR="006B435E">
              <w:t>4</w:t>
            </w:r>
            <w:r>
              <w:t xml:space="preserve"> (0.1)</w:t>
            </w:r>
          </w:p>
        </w:tc>
        <w:tc>
          <w:tcPr>
            <w:tcW w:w="1445" w:type="dxa"/>
          </w:tcPr>
          <w:p w14:paraId="297C6BBD" w14:textId="6CA9AEDA" w:rsidR="006B435E" w:rsidRDefault="001C7D83" w:rsidP="001C7D83">
            <w:pPr>
              <w:jc w:val="center"/>
            </w:pPr>
            <w:r>
              <w:t xml:space="preserve">  </w:t>
            </w:r>
            <w:r w:rsidR="006B435E">
              <w:t>10</w:t>
            </w:r>
            <w:r>
              <w:t xml:space="preserve"> (0.2)</w:t>
            </w:r>
          </w:p>
        </w:tc>
        <w:tc>
          <w:tcPr>
            <w:tcW w:w="1350" w:type="dxa"/>
          </w:tcPr>
          <w:p w14:paraId="253DE836" w14:textId="31503D65" w:rsidR="006B435E" w:rsidRDefault="006B435E" w:rsidP="001C7D83">
            <w:pPr>
              <w:jc w:val="center"/>
            </w:pPr>
            <w:r>
              <w:t>29</w:t>
            </w:r>
            <w:r w:rsidR="001C7D83">
              <w:t xml:space="preserve"> (0.6)</w:t>
            </w:r>
          </w:p>
        </w:tc>
      </w:tr>
      <w:tr w:rsidR="006B435E" w14:paraId="4E9F9F09" w14:textId="77777777" w:rsidTr="002C4007">
        <w:tc>
          <w:tcPr>
            <w:tcW w:w="1767" w:type="dxa"/>
          </w:tcPr>
          <w:p w14:paraId="12FC41E0" w14:textId="77777777" w:rsidR="006B435E" w:rsidRDefault="006B435E" w:rsidP="003E2177">
            <w:pPr>
              <w:jc w:val="center"/>
            </w:pPr>
            <w:r>
              <w:rPr>
                <w:rFonts w:cstheme="minorHAnsi"/>
              </w:rPr>
              <w:t>≥45 to &lt;60</w:t>
            </w:r>
          </w:p>
        </w:tc>
        <w:tc>
          <w:tcPr>
            <w:tcW w:w="1300" w:type="dxa"/>
          </w:tcPr>
          <w:p w14:paraId="7277E598" w14:textId="45226D93" w:rsidR="006B435E" w:rsidRDefault="001C7D83" w:rsidP="001C7D83">
            <w:pPr>
              <w:jc w:val="center"/>
            </w:pPr>
            <w:r>
              <w:t xml:space="preserve">  </w:t>
            </w:r>
            <w:r w:rsidR="006B435E">
              <w:t>3</w:t>
            </w:r>
            <w:r>
              <w:t xml:space="preserve"> (0.1)</w:t>
            </w:r>
          </w:p>
        </w:tc>
        <w:tc>
          <w:tcPr>
            <w:tcW w:w="1295" w:type="dxa"/>
          </w:tcPr>
          <w:p w14:paraId="7CAFF366" w14:textId="0173DCD6" w:rsidR="006B435E" w:rsidRDefault="001C7D83" w:rsidP="001C7D83">
            <w:pPr>
              <w:jc w:val="center"/>
            </w:pPr>
            <w:r>
              <w:t xml:space="preserve">  </w:t>
            </w:r>
            <w:r w:rsidR="006B435E">
              <w:t>8</w:t>
            </w:r>
            <w:r>
              <w:t xml:space="preserve"> (0.2)</w:t>
            </w:r>
          </w:p>
        </w:tc>
        <w:tc>
          <w:tcPr>
            <w:tcW w:w="1483" w:type="dxa"/>
          </w:tcPr>
          <w:p w14:paraId="05198193" w14:textId="28126D02" w:rsidR="006B435E" w:rsidRDefault="006B435E" w:rsidP="001C7D83">
            <w:pPr>
              <w:jc w:val="center"/>
            </w:pPr>
            <w:r>
              <w:t>24</w:t>
            </w:r>
            <w:r w:rsidR="001C7D83">
              <w:t xml:space="preserve"> (0.5)</w:t>
            </w:r>
          </w:p>
        </w:tc>
        <w:tc>
          <w:tcPr>
            <w:tcW w:w="1445" w:type="dxa"/>
          </w:tcPr>
          <w:p w14:paraId="3E8C9F12" w14:textId="31B93765" w:rsidR="006B435E" w:rsidRDefault="001C7D83" w:rsidP="001C7D83">
            <w:pPr>
              <w:jc w:val="center"/>
            </w:pPr>
            <w:r>
              <w:t xml:space="preserve">  </w:t>
            </w:r>
            <w:r w:rsidR="006B435E">
              <w:t>23</w:t>
            </w:r>
            <w:r>
              <w:t xml:space="preserve"> (0.5)</w:t>
            </w:r>
          </w:p>
        </w:tc>
        <w:tc>
          <w:tcPr>
            <w:tcW w:w="1350" w:type="dxa"/>
          </w:tcPr>
          <w:p w14:paraId="33BF57FF" w14:textId="1C1EEA8C" w:rsidR="006B435E" w:rsidRDefault="006B435E" w:rsidP="001C7D83">
            <w:pPr>
              <w:jc w:val="center"/>
            </w:pPr>
            <w:r>
              <w:t>58</w:t>
            </w:r>
            <w:r w:rsidR="001C7D83">
              <w:t xml:space="preserve"> (1.3)</w:t>
            </w:r>
          </w:p>
        </w:tc>
      </w:tr>
      <w:tr w:rsidR="006B435E" w14:paraId="2DC9C341" w14:textId="77777777" w:rsidTr="002C4007">
        <w:tc>
          <w:tcPr>
            <w:tcW w:w="1767" w:type="dxa"/>
          </w:tcPr>
          <w:p w14:paraId="5CA50E75" w14:textId="77777777" w:rsidR="006B435E" w:rsidRDefault="006B435E" w:rsidP="003E2177">
            <w:pPr>
              <w:jc w:val="center"/>
            </w:pPr>
            <w:r>
              <w:rPr>
                <w:rFonts w:cstheme="minorHAnsi"/>
              </w:rPr>
              <w:t>≥60</w:t>
            </w:r>
          </w:p>
        </w:tc>
        <w:tc>
          <w:tcPr>
            <w:tcW w:w="1300" w:type="dxa"/>
          </w:tcPr>
          <w:p w14:paraId="432897D0" w14:textId="350C954F" w:rsidR="006B435E" w:rsidRDefault="006B435E" w:rsidP="001C7D83">
            <w:pPr>
              <w:jc w:val="center"/>
            </w:pPr>
            <w:r>
              <w:t>14</w:t>
            </w:r>
            <w:r w:rsidR="001C7D83">
              <w:t xml:space="preserve"> (0.3)</w:t>
            </w:r>
          </w:p>
        </w:tc>
        <w:tc>
          <w:tcPr>
            <w:tcW w:w="1295" w:type="dxa"/>
          </w:tcPr>
          <w:p w14:paraId="0754E354" w14:textId="54EBA6F4" w:rsidR="006B435E" w:rsidRDefault="006B435E" w:rsidP="001C7D83">
            <w:pPr>
              <w:jc w:val="center"/>
            </w:pPr>
            <w:r>
              <w:t>27</w:t>
            </w:r>
            <w:r w:rsidR="001C7D83">
              <w:t xml:space="preserve"> (0.6)</w:t>
            </w:r>
          </w:p>
        </w:tc>
        <w:tc>
          <w:tcPr>
            <w:tcW w:w="1483" w:type="dxa"/>
          </w:tcPr>
          <w:p w14:paraId="5EA1BC0B" w14:textId="41514897" w:rsidR="006B435E" w:rsidRDefault="006B435E" w:rsidP="001C7D83">
            <w:pPr>
              <w:jc w:val="center"/>
            </w:pPr>
            <w:r>
              <w:t>94</w:t>
            </w:r>
            <w:r w:rsidR="001C7D83">
              <w:t xml:space="preserve"> (2.1)</w:t>
            </w:r>
          </w:p>
        </w:tc>
        <w:tc>
          <w:tcPr>
            <w:tcW w:w="1445" w:type="dxa"/>
          </w:tcPr>
          <w:p w14:paraId="7DB7EA7A" w14:textId="22BA8AAF" w:rsidR="006B435E" w:rsidRDefault="006B435E" w:rsidP="001C7D83">
            <w:pPr>
              <w:jc w:val="center"/>
            </w:pPr>
            <w:r>
              <w:t>4252</w:t>
            </w:r>
            <w:r w:rsidR="001C7D83">
              <w:t xml:space="preserve"> (94.2)</w:t>
            </w:r>
          </w:p>
        </w:tc>
        <w:tc>
          <w:tcPr>
            <w:tcW w:w="1350" w:type="dxa"/>
          </w:tcPr>
          <w:p w14:paraId="13AB4D86" w14:textId="7584AA24" w:rsidR="006B435E" w:rsidRDefault="006B435E" w:rsidP="003E2177">
            <w:pPr>
              <w:jc w:val="center"/>
            </w:pPr>
            <w:r>
              <w:t>4387</w:t>
            </w:r>
            <w:r w:rsidR="001C7D83">
              <w:t xml:space="preserve"> (97.2)</w:t>
            </w:r>
          </w:p>
        </w:tc>
      </w:tr>
      <w:tr w:rsidR="006B435E" w14:paraId="0FCF478A" w14:textId="77777777" w:rsidTr="002C4007">
        <w:tc>
          <w:tcPr>
            <w:tcW w:w="1767" w:type="dxa"/>
            <w:tcBorders>
              <w:bottom w:val="single" w:sz="4" w:space="0" w:color="auto"/>
            </w:tcBorders>
          </w:tcPr>
          <w:p w14:paraId="30546995" w14:textId="77777777" w:rsidR="006B435E" w:rsidRDefault="006B435E" w:rsidP="003E2177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1635238" w14:textId="77777777" w:rsidR="006B435E" w:rsidRDefault="006B435E" w:rsidP="003E2177">
            <w:pPr>
              <w:jc w:val="center"/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A56070F" w14:textId="77777777" w:rsidR="006B435E" w:rsidRDefault="006B435E" w:rsidP="003E217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159A6AF" w14:textId="77777777" w:rsidR="006B435E" w:rsidRDefault="006B435E" w:rsidP="003E2177">
            <w:pPr>
              <w:jc w:val="center"/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75C786B" w14:textId="77777777" w:rsidR="006B435E" w:rsidRDefault="006B435E" w:rsidP="003E2177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84697A" w14:textId="77777777" w:rsidR="006B435E" w:rsidRDefault="006B435E" w:rsidP="003E2177">
            <w:pPr>
              <w:jc w:val="center"/>
            </w:pPr>
          </w:p>
        </w:tc>
      </w:tr>
      <w:tr w:rsidR="006B435E" w14:paraId="39B50B63" w14:textId="77777777" w:rsidTr="002C4007"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1DF820EC" w14:textId="44893612" w:rsidR="006B435E" w:rsidRDefault="006B435E" w:rsidP="001C7D83">
            <w:pPr>
              <w:jc w:val="center"/>
            </w:pPr>
            <w:r>
              <w:t>Total</w:t>
            </w:r>
            <w:r w:rsidR="001C7D83">
              <w:t xml:space="preserve"> (%)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5313C285" w14:textId="3D60117D" w:rsidR="006B435E" w:rsidRDefault="006B435E" w:rsidP="003E2177">
            <w:pPr>
              <w:jc w:val="center"/>
            </w:pPr>
            <w:r>
              <w:t>58</w:t>
            </w:r>
            <w:r w:rsidR="001C7D83">
              <w:t xml:space="preserve"> (1.3)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381A386A" w14:textId="39DCD1AD" w:rsidR="006B435E" w:rsidRDefault="006B435E" w:rsidP="003E2177">
            <w:pPr>
              <w:jc w:val="center"/>
            </w:pPr>
            <w:r>
              <w:t>46</w:t>
            </w:r>
            <w:r w:rsidR="001C7D83">
              <w:t xml:space="preserve"> (1.0)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60F31B04" w14:textId="01A60F77" w:rsidR="006B435E" w:rsidRDefault="006B435E" w:rsidP="002C4007">
            <w:pPr>
              <w:jc w:val="center"/>
            </w:pPr>
            <w:r>
              <w:t>124</w:t>
            </w:r>
            <w:r w:rsidR="001C7D83">
              <w:t xml:space="preserve"> (2.</w:t>
            </w:r>
            <w:r w:rsidR="002C4007">
              <w:t>7</w:t>
            </w:r>
            <w:r w:rsidR="001C7D83">
              <w:t>)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6960407E" w14:textId="27C439E1" w:rsidR="006B435E" w:rsidRDefault="006B435E" w:rsidP="003E2177">
            <w:pPr>
              <w:jc w:val="center"/>
            </w:pPr>
            <w:r>
              <w:t>4287</w:t>
            </w:r>
            <w:r w:rsidR="002C4007">
              <w:t xml:space="preserve"> (95.0)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C970C06" w14:textId="77777777" w:rsidR="006B435E" w:rsidRDefault="006B435E" w:rsidP="003E2177">
            <w:pPr>
              <w:jc w:val="center"/>
            </w:pPr>
            <w:r>
              <w:t>4515</w:t>
            </w:r>
          </w:p>
        </w:tc>
      </w:tr>
    </w:tbl>
    <w:p w14:paraId="71829A32" w14:textId="2B678AEF" w:rsidR="003E2177" w:rsidRDefault="00C72A19" w:rsidP="00552E4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ART=anti-retroviral therapy; </w:t>
      </w:r>
      <w:r w:rsidR="00E76537" w:rsidRPr="00552E4A">
        <w:rPr>
          <w:sz w:val="18"/>
          <w:szCs w:val="18"/>
        </w:rPr>
        <w:t>CNICS=CFAR Network of Integrated Clinical Systems; GFR=glomerular filtration rate</w:t>
      </w:r>
      <w:r>
        <w:rPr>
          <w:sz w:val="18"/>
          <w:szCs w:val="18"/>
        </w:rPr>
        <w:t xml:space="preserve">; </w:t>
      </w:r>
      <w:r w:rsidRPr="002076BF">
        <w:rPr>
          <w:sz w:val="18"/>
          <w:szCs w:val="18"/>
        </w:rPr>
        <w:t>PLWH=People living with HIV</w:t>
      </w:r>
      <w:r>
        <w:rPr>
          <w:sz w:val="18"/>
          <w:szCs w:val="18"/>
        </w:rPr>
        <w:t>.</w:t>
      </w:r>
    </w:p>
    <w:p w14:paraId="3E49B07E" w14:textId="5FEFE446" w:rsidR="002C4007" w:rsidRPr="006C5784" w:rsidRDefault="002C4007" w:rsidP="00552E4A">
      <w:pPr>
        <w:spacing w:after="0" w:line="240" w:lineRule="auto"/>
        <w:rPr>
          <w:color w:val="000000" w:themeColor="text1"/>
          <w:sz w:val="18"/>
          <w:szCs w:val="18"/>
        </w:rPr>
      </w:pPr>
      <w:r w:rsidRPr="006C5784">
        <w:rPr>
          <w:color w:val="000000" w:themeColor="text1"/>
          <w:sz w:val="18"/>
          <w:szCs w:val="18"/>
        </w:rPr>
        <w:t>NOTE: The percentages are calculated using the denominator of N=4515.</w:t>
      </w:r>
    </w:p>
    <w:p w14:paraId="3A626A13" w14:textId="77777777" w:rsidR="00774581" w:rsidRPr="00552E4A" w:rsidRDefault="00774581" w:rsidP="00552E4A">
      <w:pPr>
        <w:spacing w:after="0" w:line="240" w:lineRule="auto"/>
        <w:rPr>
          <w:sz w:val="18"/>
          <w:szCs w:val="18"/>
        </w:rPr>
      </w:pPr>
      <w:r w:rsidRPr="006C5784">
        <w:rPr>
          <w:color w:val="000000" w:themeColor="text1"/>
          <w:sz w:val="18"/>
          <w:szCs w:val="18"/>
          <w:vertAlign w:val="superscript"/>
        </w:rPr>
        <w:t>a</w:t>
      </w:r>
      <w:r w:rsidRPr="006C5784">
        <w:rPr>
          <w:color w:val="000000" w:themeColor="text1"/>
          <w:sz w:val="18"/>
          <w:szCs w:val="18"/>
        </w:rPr>
        <w:t xml:space="preserve">Kidney dysfunction expressed as an estimated </w:t>
      </w:r>
      <w:r w:rsidRPr="006C5784">
        <w:rPr>
          <w:rFonts w:cs="Arial"/>
          <w:color w:val="000000" w:themeColor="text1"/>
          <w:sz w:val="18"/>
          <w:szCs w:val="18"/>
        </w:rPr>
        <w:t xml:space="preserve">Glomerular filtration rate (eGFR) </w:t>
      </w:r>
      <w:r w:rsidRPr="000E5939">
        <w:rPr>
          <w:rFonts w:cs="Arial"/>
          <w:sz w:val="18"/>
          <w:szCs w:val="18"/>
        </w:rPr>
        <w:t>using the Chronic Kidney Disease Epidemiology Collaboration equation</w:t>
      </w:r>
      <w:r>
        <w:rPr>
          <w:rFonts w:cs="Arial"/>
          <w:sz w:val="18"/>
          <w:szCs w:val="18"/>
        </w:rPr>
        <w:t>.</w:t>
      </w:r>
      <w:r w:rsidRPr="000E5939">
        <w:rPr>
          <w:rFonts w:cs="Arial"/>
          <w:sz w:val="18"/>
          <w:szCs w:val="18"/>
          <w:vertAlign w:val="superscript"/>
        </w:rPr>
        <w:t>6</w:t>
      </w:r>
    </w:p>
    <w:p w14:paraId="6C8C22C2" w14:textId="77777777" w:rsidR="003E2177" w:rsidRPr="00552E4A" w:rsidRDefault="00774581" w:rsidP="00552E4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b</w:t>
      </w:r>
      <w:r w:rsidR="00A66308" w:rsidRPr="00552E4A">
        <w:rPr>
          <w:sz w:val="18"/>
          <w:szCs w:val="18"/>
        </w:rPr>
        <w:t xml:space="preserve">At the initiation </w:t>
      </w:r>
      <w:r w:rsidR="00552E4A" w:rsidRPr="00552E4A">
        <w:rPr>
          <w:sz w:val="18"/>
          <w:szCs w:val="18"/>
        </w:rPr>
        <w:t>of anti-retroviral therapy (within 180 days).</w:t>
      </w:r>
    </w:p>
    <w:p w14:paraId="571E4DBB" w14:textId="77777777" w:rsidR="003E2177" w:rsidRPr="00774581" w:rsidRDefault="00774581" w:rsidP="007745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c</w:t>
      </w:r>
      <w:r w:rsidRPr="00774581">
        <w:rPr>
          <w:rFonts w:cs="Arial"/>
          <w:sz w:val="18"/>
          <w:szCs w:val="18"/>
        </w:rPr>
        <w:t>Most proximate (but within 180 days) to modifying ART (first regimen)for those with an event and before the censoring date for those who did not modify ART over the study</w:t>
      </w:r>
      <w:r>
        <w:rPr>
          <w:rFonts w:cs="Arial"/>
          <w:sz w:val="18"/>
          <w:szCs w:val="18"/>
        </w:rPr>
        <w:t>.</w:t>
      </w:r>
    </w:p>
    <w:p w14:paraId="4098F672" w14:textId="77777777" w:rsidR="00D64FB6" w:rsidRPr="00774581" w:rsidRDefault="00D64FB6" w:rsidP="00467652">
      <w:pPr>
        <w:rPr>
          <w:b/>
          <w:sz w:val="18"/>
          <w:szCs w:val="18"/>
          <w:u w:val="single"/>
        </w:rPr>
      </w:pPr>
    </w:p>
    <w:p w14:paraId="47334263" w14:textId="77777777" w:rsidR="00D64FB6" w:rsidRDefault="00D64FB6" w:rsidP="00467652">
      <w:pPr>
        <w:rPr>
          <w:b/>
          <w:u w:val="single"/>
        </w:rPr>
      </w:pPr>
    </w:p>
    <w:p w14:paraId="1486BB0A" w14:textId="77777777" w:rsidR="00467652" w:rsidRDefault="00467652" w:rsidP="00467652">
      <w:bookmarkStart w:id="0" w:name="_GoBack"/>
      <w:bookmarkEnd w:id="0"/>
    </w:p>
    <w:p w14:paraId="0FC237C4" w14:textId="77777777" w:rsidR="00467652" w:rsidRDefault="00467652" w:rsidP="00467652"/>
    <w:p w14:paraId="28E21878" w14:textId="77777777" w:rsidR="00467652" w:rsidRDefault="00467652" w:rsidP="00467652"/>
    <w:p w14:paraId="04D18B44" w14:textId="77777777" w:rsidR="00467652" w:rsidRDefault="00467652" w:rsidP="00467652"/>
    <w:p w14:paraId="75D850BE" w14:textId="77777777" w:rsidR="00467652" w:rsidRDefault="00467652" w:rsidP="00467652"/>
    <w:p w14:paraId="069E8D33" w14:textId="77777777" w:rsidR="00467652" w:rsidRDefault="00467652" w:rsidP="00467652"/>
    <w:p w14:paraId="0B9BA0E4" w14:textId="77777777" w:rsidR="00552E4A" w:rsidRDefault="00552E4A" w:rsidP="00467652"/>
    <w:p w14:paraId="6C78099E" w14:textId="77777777" w:rsidR="00552E4A" w:rsidRDefault="00552E4A" w:rsidP="00467652"/>
    <w:p w14:paraId="5415D47B" w14:textId="77777777" w:rsidR="00552E4A" w:rsidRDefault="00552E4A" w:rsidP="00467652"/>
    <w:p w14:paraId="648543AE" w14:textId="77777777" w:rsidR="00552E4A" w:rsidRDefault="00552E4A" w:rsidP="00467652"/>
    <w:p w14:paraId="6782519C" w14:textId="77777777" w:rsidR="00552E4A" w:rsidRDefault="00552E4A" w:rsidP="00467652"/>
    <w:p w14:paraId="0D81C0FD" w14:textId="77777777" w:rsidR="00552E4A" w:rsidRDefault="00552E4A" w:rsidP="00467652"/>
    <w:p w14:paraId="45D5724A" w14:textId="77777777" w:rsidR="00552E4A" w:rsidRDefault="00552E4A" w:rsidP="00467652"/>
    <w:p w14:paraId="288E6C8E" w14:textId="77777777" w:rsidR="00552E4A" w:rsidRDefault="00552E4A" w:rsidP="00467652"/>
    <w:p w14:paraId="7AE75E19" w14:textId="77777777" w:rsidR="00552E4A" w:rsidRDefault="00552E4A" w:rsidP="00467652"/>
    <w:p w14:paraId="1911CF1C" w14:textId="77777777" w:rsidR="00552E4A" w:rsidRDefault="00552E4A" w:rsidP="00467652"/>
    <w:p w14:paraId="5B43198C" w14:textId="77777777" w:rsidR="00467652" w:rsidRDefault="00552E4A" w:rsidP="00467652">
      <w:r w:rsidRPr="00D64FB6">
        <w:t>Suppl</w:t>
      </w:r>
      <w:r>
        <w:t>e</w:t>
      </w:r>
      <w:r w:rsidRPr="00D64FB6">
        <w:t xml:space="preserve">mentary Table </w:t>
      </w:r>
      <w:r>
        <w:t>2.</w:t>
      </w:r>
      <w:r w:rsidR="00F874D8">
        <w:t xml:space="preserve"> </w:t>
      </w:r>
      <w:r w:rsidR="00467652">
        <w:t>Univariate and multivariable</w:t>
      </w:r>
      <w:r w:rsidR="00571EE3">
        <w:t xml:space="preserve"> analyses examining hazard ratios</w:t>
      </w:r>
      <w:r w:rsidR="00303EFF">
        <w:t xml:space="preserve"> for regimen modification within </w:t>
      </w:r>
      <w:r w:rsidR="00571EE3">
        <w:t>final eGFR strata</w:t>
      </w:r>
      <w:r>
        <w:t xml:space="preserve"> in treatment naïve PLWH, CNICS cohort (2007-2014)</w:t>
      </w:r>
    </w:p>
    <w:tbl>
      <w:tblPr>
        <w:tblStyle w:val="TableGrid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37"/>
        <w:gridCol w:w="2338"/>
        <w:gridCol w:w="2523"/>
      </w:tblGrid>
      <w:tr w:rsidR="00571EE3" w14:paraId="4A242946" w14:textId="77777777" w:rsidTr="00390C5F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837E86D" w14:textId="77777777" w:rsidR="00571EE3" w:rsidRDefault="000A25C9" w:rsidP="00571EE3">
            <w:pPr>
              <w:jc w:val="center"/>
            </w:pPr>
            <w:r>
              <w:t>Type of analysis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C6BE6" w14:textId="77777777" w:rsidR="00571EE3" w:rsidRDefault="00571EE3" w:rsidP="00571EE3">
            <w:pPr>
              <w:jc w:val="center"/>
            </w:pPr>
            <w:r>
              <w:t>Final eGFR</w:t>
            </w:r>
            <w:r w:rsidR="00390C5F" w:rsidRPr="00390C5F">
              <w:rPr>
                <w:vertAlign w:val="superscript"/>
              </w:rPr>
              <w:t>a</w:t>
            </w:r>
            <w:r>
              <w:t xml:space="preserve"> (mL/min/1.73m</w:t>
            </w:r>
            <w:r w:rsidRPr="00571EE3">
              <w:rPr>
                <w:vertAlign w:val="superscript"/>
              </w:rPr>
              <w:t>2</w:t>
            </w:r>
            <w:r w:rsidR="00774581" w:rsidRPr="00774581">
              <w:t>)</w:t>
            </w:r>
          </w:p>
        </w:tc>
      </w:tr>
      <w:tr w:rsidR="00571EE3" w14:paraId="401CFA58" w14:textId="77777777" w:rsidTr="00390C5F">
        <w:tc>
          <w:tcPr>
            <w:tcW w:w="2790" w:type="dxa"/>
            <w:tcBorders>
              <w:top w:val="single" w:sz="4" w:space="0" w:color="auto"/>
            </w:tcBorders>
          </w:tcPr>
          <w:p w14:paraId="685050A6" w14:textId="77777777" w:rsidR="00571EE3" w:rsidRDefault="00571EE3" w:rsidP="00467652"/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C32D18F" w14:textId="77777777" w:rsidR="00571EE3" w:rsidRDefault="00571EE3" w:rsidP="00571EE3">
            <w:pPr>
              <w:jc w:val="center"/>
            </w:pPr>
            <w:r>
              <w:t>&lt;45</w:t>
            </w:r>
            <w:r w:rsidR="006A0FCC">
              <w:t xml:space="preserve"> (N=104)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49E524F" w14:textId="77777777" w:rsidR="00571EE3" w:rsidRDefault="00571EE3" w:rsidP="00571EE3">
            <w:pPr>
              <w:jc w:val="center"/>
            </w:pPr>
            <w:r>
              <w:t>45 to &lt;60</w:t>
            </w:r>
            <w:r w:rsidR="006A0FCC">
              <w:t xml:space="preserve"> (N=124)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78C8882C" w14:textId="77777777" w:rsidR="00571EE3" w:rsidRDefault="00571EE3" w:rsidP="00571EE3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60</w:t>
            </w:r>
            <w:r w:rsidR="006A0FCC">
              <w:t xml:space="preserve"> (N=4287)</w:t>
            </w:r>
          </w:p>
        </w:tc>
      </w:tr>
      <w:tr w:rsidR="003A0195" w14:paraId="4C70D61C" w14:textId="77777777" w:rsidTr="00390C5F">
        <w:tc>
          <w:tcPr>
            <w:tcW w:w="2790" w:type="dxa"/>
          </w:tcPr>
          <w:p w14:paraId="32BCCD46" w14:textId="77777777" w:rsidR="003A0195" w:rsidRDefault="003A0195" w:rsidP="00571EE3"/>
        </w:tc>
        <w:tc>
          <w:tcPr>
            <w:tcW w:w="2337" w:type="dxa"/>
            <w:tcBorders>
              <w:top w:val="single" w:sz="4" w:space="0" w:color="auto"/>
            </w:tcBorders>
          </w:tcPr>
          <w:p w14:paraId="101BBEF7" w14:textId="77777777" w:rsidR="003A0195" w:rsidRDefault="003A0195" w:rsidP="006A0FCC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379B69E" w14:textId="77777777" w:rsidR="003A0195" w:rsidRDefault="003A0195" w:rsidP="00571EE3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3F5F774F" w14:textId="77777777" w:rsidR="003A0195" w:rsidRDefault="003A0195" w:rsidP="006A0FCC">
            <w:pPr>
              <w:jc w:val="center"/>
            </w:pPr>
          </w:p>
        </w:tc>
      </w:tr>
      <w:tr w:rsidR="00571EE3" w14:paraId="4E725C56" w14:textId="77777777" w:rsidTr="00390C5F">
        <w:tc>
          <w:tcPr>
            <w:tcW w:w="2790" w:type="dxa"/>
          </w:tcPr>
          <w:p w14:paraId="1FD2C3CB" w14:textId="77777777" w:rsidR="00571EE3" w:rsidRDefault="003A0195" w:rsidP="00514540">
            <w:r>
              <w:t>Regimen modified</w:t>
            </w:r>
            <w:r w:rsidR="009A501C">
              <w:t>, n (%)</w:t>
            </w:r>
          </w:p>
        </w:tc>
        <w:tc>
          <w:tcPr>
            <w:tcW w:w="2337" w:type="dxa"/>
          </w:tcPr>
          <w:p w14:paraId="73AE117E" w14:textId="77777777" w:rsidR="00571EE3" w:rsidRDefault="00571EE3" w:rsidP="009A501C">
            <w:pPr>
              <w:jc w:val="center"/>
            </w:pPr>
            <w:r>
              <w:t>71</w:t>
            </w:r>
            <w:r w:rsidR="00E65475">
              <w:t xml:space="preserve"> (68.3)</w:t>
            </w:r>
          </w:p>
        </w:tc>
        <w:tc>
          <w:tcPr>
            <w:tcW w:w="2338" w:type="dxa"/>
          </w:tcPr>
          <w:p w14:paraId="77E20B4D" w14:textId="77777777" w:rsidR="00571EE3" w:rsidRDefault="003A0195" w:rsidP="009A501C">
            <w:pPr>
              <w:jc w:val="center"/>
            </w:pPr>
            <w:r>
              <w:t>6</w:t>
            </w:r>
            <w:r w:rsidR="006A0FCC">
              <w:t>5</w:t>
            </w:r>
            <w:r w:rsidR="00E65475">
              <w:t xml:space="preserve"> (52.4)</w:t>
            </w:r>
          </w:p>
        </w:tc>
        <w:tc>
          <w:tcPr>
            <w:tcW w:w="2523" w:type="dxa"/>
          </w:tcPr>
          <w:p w14:paraId="35D884FB" w14:textId="77777777" w:rsidR="00571EE3" w:rsidRDefault="00571EE3" w:rsidP="009A501C">
            <w:pPr>
              <w:jc w:val="center"/>
            </w:pPr>
            <w:r>
              <w:t>1831</w:t>
            </w:r>
            <w:r w:rsidR="00E65475">
              <w:t xml:space="preserve"> (42.7)</w:t>
            </w:r>
          </w:p>
        </w:tc>
      </w:tr>
      <w:tr w:rsidR="00571EE3" w14:paraId="59AA37E5" w14:textId="77777777" w:rsidTr="00390C5F">
        <w:tc>
          <w:tcPr>
            <w:tcW w:w="2790" w:type="dxa"/>
          </w:tcPr>
          <w:p w14:paraId="144D3034" w14:textId="77777777" w:rsidR="00571EE3" w:rsidRDefault="00571EE3" w:rsidP="00571EE3"/>
        </w:tc>
        <w:tc>
          <w:tcPr>
            <w:tcW w:w="2337" w:type="dxa"/>
          </w:tcPr>
          <w:p w14:paraId="703EF003" w14:textId="77777777" w:rsidR="00571EE3" w:rsidRDefault="00571EE3" w:rsidP="00571EE3">
            <w:pPr>
              <w:jc w:val="center"/>
            </w:pPr>
          </w:p>
        </w:tc>
        <w:tc>
          <w:tcPr>
            <w:tcW w:w="2338" w:type="dxa"/>
          </w:tcPr>
          <w:p w14:paraId="398A9AFA" w14:textId="77777777" w:rsidR="00571EE3" w:rsidRDefault="00571EE3" w:rsidP="00571EE3">
            <w:pPr>
              <w:jc w:val="center"/>
            </w:pPr>
          </w:p>
        </w:tc>
        <w:tc>
          <w:tcPr>
            <w:tcW w:w="2523" w:type="dxa"/>
          </w:tcPr>
          <w:p w14:paraId="15683447" w14:textId="77777777" w:rsidR="00571EE3" w:rsidRDefault="00571EE3" w:rsidP="00571EE3">
            <w:pPr>
              <w:jc w:val="center"/>
            </w:pPr>
          </w:p>
        </w:tc>
      </w:tr>
      <w:tr w:rsidR="00571EE3" w14:paraId="7767BD17" w14:textId="77777777" w:rsidTr="00390C5F">
        <w:tc>
          <w:tcPr>
            <w:tcW w:w="2790" w:type="dxa"/>
          </w:tcPr>
          <w:p w14:paraId="722F3D8E" w14:textId="6784BC6A" w:rsidR="00571EE3" w:rsidRDefault="00571EE3" w:rsidP="004812D2">
            <w:r>
              <w:t>Univariate</w:t>
            </w:r>
            <w:r w:rsidR="004812D2">
              <w:t>,</w:t>
            </w:r>
            <w:r w:rsidR="005F6661">
              <w:rPr>
                <w:vertAlign w:val="superscript"/>
              </w:rPr>
              <w:t>b</w:t>
            </w:r>
            <w:r w:rsidR="004812D2">
              <w:t xml:space="preserve"> HR (95 % CI)</w:t>
            </w:r>
          </w:p>
        </w:tc>
        <w:tc>
          <w:tcPr>
            <w:tcW w:w="2337" w:type="dxa"/>
          </w:tcPr>
          <w:p w14:paraId="195969F9" w14:textId="77777777" w:rsidR="00571EE3" w:rsidRDefault="00571EE3" w:rsidP="00571EE3">
            <w:pPr>
              <w:jc w:val="center"/>
            </w:pPr>
            <w:r>
              <w:t>0.80 (0.50 – 1.29)</w:t>
            </w:r>
          </w:p>
        </w:tc>
        <w:tc>
          <w:tcPr>
            <w:tcW w:w="2338" w:type="dxa"/>
          </w:tcPr>
          <w:p w14:paraId="164332D4" w14:textId="77777777" w:rsidR="00571EE3" w:rsidRDefault="00571EE3" w:rsidP="00571EE3">
            <w:pPr>
              <w:jc w:val="center"/>
            </w:pPr>
            <w:r>
              <w:t>0.97 (0.54 – 1.74)</w:t>
            </w:r>
          </w:p>
        </w:tc>
        <w:tc>
          <w:tcPr>
            <w:tcW w:w="2523" w:type="dxa"/>
          </w:tcPr>
          <w:p w14:paraId="2B01996D" w14:textId="77777777" w:rsidR="00571EE3" w:rsidRDefault="00571EE3" w:rsidP="00571EE3">
            <w:pPr>
              <w:jc w:val="center"/>
            </w:pPr>
            <w:r>
              <w:t>0.45 (0.40 – 0.51)</w:t>
            </w:r>
          </w:p>
        </w:tc>
      </w:tr>
      <w:tr w:rsidR="00571EE3" w14:paraId="59A973DC" w14:textId="77777777" w:rsidTr="00390C5F">
        <w:tc>
          <w:tcPr>
            <w:tcW w:w="2790" w:type="dxa"/>
          </w:tcPr>
          <w:p w14:paraId="61CE1B08" w14:textId="77777777" w:rsidR="00571EE3" w:rsidRDefault="00EE38E3" w:rsidP="00571EE3">
            <w:r>
              <w:t xml:space="preserve">                     </w:t>
            </w:r>
            <w:r w:rsidR="000746C0">
              <w:t xml:space="preserve"> </w:t>
            </w:r>
            <w:r>
              <w:t>p-value</w:t>
            </w:r>
          </w:p>
        </w:tc>
        <w:tc>
          <w:tcPr>
            <w:tcW w:w="2337" w:type="dxa"/>
          </w:tcPr>
          <w:p w14:paraId="3AEFEF87" w14:textId="77777777" w:rsidR="00571EE3" w:rsidRDefault="00571EE3" w:rsidP="00571EE3">
            <w:pPr>
              <w:jc w:val="center"/>
            </w:pPr>
            <w:r>
              <w:t>0.36</w:t>
            </w:r>
          </w:p>
        </w:tc>
        <w:tc>
          <w:tcPr>
            <w:tcW w:w="2338" w:type="dxa"/>
          </w:tcPr>
          <w:p w14:paraId="21C4DDEB" w14:textId="77777777" w:rsidR="00571EE3" w:rsidRDefault="00571EE3" w:rsidP="00571EE3">
            <w:pPr>
              <w:jc w:val="center"/>
            </w:pPr>
            <w:r>
              <w:t>0.90</w:t>
            </w:r>
          </w:p>
        </w:tc>
        <w:tc>
          <w:tcPr>
            <w:tcW w:w="2523" w:type="dxa"/>
          </w:tcPr>
          <w:p w14:paraId="18824BFA" w14:textId="77777777" w:rsidR="00571EE3" w:rsidRDefault="00571EE3" w:rsidP="00571EE3">
            <w:pPr>
              <w:jc w:val="center"/>
            </w:pPr>
            <w:r>
              <w:t>&lt;0.001</w:t>
            </w:r>
          </w:p>
        </w:tc>
      </w:tr>
      <w:tr w:rsidR="00571EE3" w14:paraId="06811A2D" w14:textId="77777777" w:rsidTr="00390C5F">
        <w:tc>
          <w:tcPr>
            <w:tcW w:w="2790" w:type="dxa"/>
          </w:tcPr>
          <w:p w14:paraId="54CEA80C" w14:textId="77777777" w:rsidR="00571EE3" w:rsidRDefault="00571EE3" w:rsidP="00571EE3"/>
        </w:tc>
        <w:tc>
          <w:tcPr>
            <w:tcW w:w="2337" w:type="dxa"/>
          </w:tcPr>
          <w:p w14:paraId="1711A822" w14:textId="77777777" w:rsidR="00571EE3" w:rsidRDefault="00571EE3" w:rsidP="00571EE3">
            <w:pPr>
              <w:jc w:val="center"/>
            </w:pPr>
          </w:p>
        </w:tc>
        <w:tc>
          <w:tcPr>
            <w:tcW w:w="2338" w:type="dxa"/>
          </w:tcPr>
          <w:p w14:paraId="1B6BD6AD" w14:textId="77777777" w:rsidR="00571EE3" w:rsidRDefault="00571EE3" w:rsidP="00571EE3">
            <w:pPr>
              <w:jc w:val="center"/>
            </w:pPr>
          </w:p>
        </w:tc>
        <w:tc>
          <w:tcPr>
            <w:tcW w:w="2523" w:type="dxa"/>
          </w:tcPr>
          <w:p w14:paraId="131778C7" w14:textId="77777777" w:rsidR="00571EE3" w:rsidRDefault="00571EE3" w:rsidP="00571EE3">
            <w:pPr>
              <w:jc w:val="center"/>
            </w:pPr>
          </w:p>
        </w:tc>
      </w:tr>
      <w:tr w:rsidR="00BA330F" w14:paraId="627AA4F3" w14:textId="77777777" w:rsidTr="00390C5F">
        <w:tc>
          <w:tcPr>
            <w:tcW w:w="2790" w:type="dxa"/>
          </w:tcPr>
          <w:p w14:paraId="21D5E673" w14:textId="35EF75B3" w:rsidR="00BA330F" w:rsidRDefault="004812D2" w:rsidP="005F6661">
            <w:r>
              <w:t>Multivariable,</w:t>
            </w:r>
            <w:r w:rsidR="005F6661">
              <w:rPr>
                <w:vertAlign w:val="superscript"/>
              </w:rPr>
              <w:t>b</w:t>
            </w:r>
            <w:r w:rsidR="00390C5F">
              <w:rPr>
                <w:vertAlign w:val="superscript"/>
              </w:rPr>
              <w:t>,</w:t>
            </w:r>
            <w:r w:rsidR="005F6661">
              <w:rPr>
                <w:vertAlign w:val="superscript"/>
              </w:rPr>
              <w:t>c</w:t>
            </w:r>
            <w:r>
              <w:t xml:space="preserve"> HR (95 % CI)</w:t>
            </w:r>
          </w:p>
        </w:tc>
        <w:tc>
          <w:tcPr>
            <w:tcW w:w="2337" w:type="dxa"/>
          </w:tcPr>
          <w:p w14:paraId="25F682CD" w14:textId="77777777" w:rsidR="00BA330F" w:rsidRDefault="00BA330F" w:rsidP="00BA330F">
            <w:pPr>
              <w:jc w:val="center"/>
            </w:pPr>
            <w:r>
              <w:t>0.82 (0.42 – 1.63)</w:t>
            </w:r>
          </w:p>
        </w:tc>
        <w:tc>
          <w:tcPr>
            <w:tcW w:w="2338" w:type="dxa"/>
          </w:tcPr>
          <w:p w14:paraId="7D04AEB6" w14:textId="77777777" w:rsidR="00BA330F" w:rsidRDefault="00BA330F" w:rsidP="00BA330F">
            <w:pPr>
              <w:jc w:val="center"/>
            </w:pPr>
            <w:r>
              <w:t>1.26 (0.63 – 2.48)</w:t>
            </w:r>
          </w:p>
        </w:tc>
        <w:tc>
          <w:tcPr>
            <w:tcW w:w="2523" w:type="dxa"/>
          </w:tcPr>
          <w:p w14:paraId="37AF7DD2" w14:textId="77777777" w:rsidR="00BA330F" w:rsidRDefault="00BA330F" w:rsidP="00BA330F">
            <w:pPr>
              <w:jc w:val="center"/>
            </w:pPr>
            <w:r>
              <w:t>0.47 (0.41 – 0.53)</w:t>
            </w:r>
          </w:p>
        </w:tc>
      </w:tr>
      <w:tr w:rsidR="00BA330F" w14:paraId="05981241" w14:textId="77777777" w:rsidTr="00390C5F">
        <w:tc>
          <w:tcPr>
            <w:tcW w:w="2790" w:type="dxa"/>
            <w:tcBorders>
              <w:bottom w:val="single" w:sz="4" w:space="0" w:color="auto"/>
            </w:tcBorders>
          </w:tcPr>
          <w:p w14:paraId="1616D8F2" w14:textId="77777777" w:rsidR="00BA330F" w:rsidRDefault="00EE38E3" w:rsidP="00BA330F">
            <w:r>
              <w:t xml:space="preserve">                           </w:t>
            </w:r>
            <w:r w:rsidR="000746C0">
              <w:t xml:space="preserve">  </w:t>
            </w:r>
            <w:r w:rsidR="00DB6FB6">
              <w:t xml:space="preserve"> </w:t>
            </w:r>
            <w:r>
              <w:t>p-value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58D6727" w14:textId="77777777" w:rsidR="00BA330F" w:rsidRDefault="00BA330F" w:rsidP="00BA330F">
            <w:pPr>
              <w:jc w:val="center"/>
            </w:pPr>
            <w:r>
              <w:t>0.58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CBAEF3A" w14:textId="77777777" w:rsidR="00BA330F" w:rsidRDefault="00BA330F" w:rsidP="00BA330F">
            <w:pPr>
              <w:jc w:val="center"/>
            </w:pPr>
            <w:r>
              <w:t>0.51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A78566B" w14:textId="77777777" w:rsidR="00BA330F" w:rsidRDefault="00BA330F" w:rsidP="00BA330F">
            <w:pPr>
              <w:jc w:val="center"/>
            </w:pPr>
            <w:r>
              <w:t>&lt;0.001</w:t>
            </w:r>
          </w:p>
        </w:tc>
      </w:tr>
    </w:tbl>
    <w:p w14:paraId="3600F0C0" w14:textId="77777777" w:rsidR="00390C5F" w:rsidRDefault="000A25C9" w:rsidP="00390C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CI=Confidence interval; </w:t>
      </w:r>
      <w:r w:rsidRPr="002076BF">
        <w:rPr>
          <w:sz w:val="18"/>
          <w:szCs w:val="18"/>
        </w:rPr>
        <w:t xml:space="preserve">CNICS=CFAR Network of Integrated Clinical Systems; </w:t>
      </w:r>
      <w:r>
        <w:rPr>
          <w:sz w:val="18"/>
          <w:szCs w:val="18"/>
        </w:rPr>
        <w:t xml:space="preserve">HR=Hazard ratio; </w:t>
      </w:r>
      <w:r w:rsidRPr="002076BF">
        <w:rPr>
          <w:sz w:val="18"/>
          <w:szCs w:val="18"/>
        </w:rPr>
        <w:t xml:space="preserve">PLWH=People living with HIV; </w:t>
      </w:r>
      <w:r w:rsidR="00390C5F">
        <w:rPr>
          <w:sz w:val="18"/>
          <w:szCs w:val="18"/>
        </w:rPr>
        <w:t>T</w:t>
      </w:r>
      <w:r w:rsidR="00390C5F" w:rsidRPr="002076BF">
        <w:rPr>
          <w:sz w:val="18"/>
          <w:szCs w:val="18"/>
        </w:rPr>
        <w:t>DF=Tenofovir disoproxil fumarate</w:t>
      </w:r>
      <w:r w:rsidR="00390C5F">
        <w:rPr>
          <w:sz w:val="18"/>
          <w:szCs w:val="18"/>
        </w:rPr>
        <w:t>.</w:t>
      </w:r>
    </w:p>
    <w:p w14:paraId="5D20C4DF" w14:textId="77777777" w:rsidR="00774581" w:rsidRPr="00774581" w:rsidRDefault="00390C5F" w:rsidP="00774581">
      <w:pPr>
        <w:spacing w:after="0" w:line="240" w:lineRule="auto"/>
        <w:rPr>
          <w:sz w:val="18"/>
          <w:szCs w:val="18"/>
        </w:rPr>
      </w:pPr>
      <w:r w:rsidRPr="000E5939">
        <w:rPr>
          <w:sz w:val="18"/>
          <w:szCs w:val="18"/>
          <w:vertAlign w:val="superscript"/>
        </w:rPr>
        <w:t>a</w:t>
      </w:r>
      <w:r w:rsidRPr="000E5939">
        <w:rPr>
          <w:sz w:val="18"/>
          <w:szCs w:val="18"/>
        </w:rPr>
        <w:t xml:space="preserve">Kidney dysfunction expressed as an estimated </w:t>
      </w:r>
      <w:r w:rsidRPr="000E5939">
        <w:rPr>
          <w:rFonts w:cs="Arial"/>
          <w:sz w:val="18"/>
          <w:szCs w:val="18"/>
        </w:rPr>
        <w:t>Glomerular filtration rate (eGFR) using the Chronic Kidney Disease Epidemiology Collaboration equation</w:t>
      </w:r>
      <w:r>
        <w:rPr>
          <w:rFonts w:cs="Arial"/>
          <w:sz w:val="18"/>
          <w:szCs w:val="18"/>
        </w:rPr>
        <w:t>.</w:t>
      </w:r>
      <w:r w:rsidRPr="000E5939">
        <w:rPr>
          <w:rFonts w:cs="Arial"/>
          <w:sz w:val="18"/>
          <w:szCs w:val="18"/>
          <w:vertAlign w:val="superscript"/>
        </w:rPr>
        <w:t>6</w:t>
      </w:r>
      <w:r w:rsidR="00774581">
        <w:rPr>
          <w:rFonts w:cs="Arial"/>
          <w:sz w:val="18"/>
          <w:szCs w:val="18"/>
          <w:vertAlign w:val="superscript"/>
        </w:rPr>
        <w:t xml:space="preserve"> </w:t>
      </w:r>
      <w:r w:rsidR="00774581">
        <w:rPr>
          <w:rFonts w:cs="Arial"/>
          <w:sz w:val="18"/>
          <w:szCs w:val="18"/>
        </w:rPr>
        <w:t>Final eGFR m</w:t>
      </w:r>
      <w:r w:rsidR="00774581" w:rsidRPr="00774581">
        <w:rPr>
          <w:rFonts w:cs="Arial"/>
          <w:sz w:val="18"/>
          <w:szCs w:val="18"/>
        </w:rPr>
        <w:t>ost proximate (but within 180 days) to modifying ART (first regimen)</w:t>
      </w:r>
      <w:r w:rsidR="00774581">
        <w:rPr>
          <w:rFonts w:cs="Arial"/>
          <w:sz w:val="18"/>
          <w:szCs w:val="18"/>
        </w:rPr>
        <w:t xml:space="preserve"> was identified </w:t>
      </w:r>
      <w:r w:rsidR="00774581" w:rsidRPr="00774581">
        <w:rPr>
          <w:rFonts w:cs="Arial"/>
          <w:sz w:val="18"/>
          <w:szCs w:val="18"/>
        </w:rPr>
        <w:t>for those with an event and before the censoring date for those who did not modify ART over the study</w:t>
      </w:r>
      <w:r w:rsidR="00774581">
        <w:rPr>
          <w:rFonts w:cs="Arial"/>
          <w:sz w:val="18"/>
          <w:szCs w:val="18"/>
        </w:rPr>
        <w:t>.</w:t>
      </w:r>
    </w:p>
    <w:p w14:paraId="4D2D9805" w14:textId="77777777" w:rsidR="00390C5F" w:rsidRDefault="00514540" w:rsidP="00390C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b</w:t>
      </w:r>
      <w:r w:rsidR="00390C5F">
        <w:rPr>
          <w:sz w:val="18"/>
          <w:szCs w:val="18"/>
        </w:rPr>
        <w:t>C</w:t>
      </w:r>
      <w:r>
        <w:rPr>
          <w:sz w:val="18"/>
          <w:szCs w:val="18"/>
        </w:rPr>
        <w:t>ox proportional hazard analysis comparing regimens: TDF vs Other (reference category).</w:t>
      </w:r>
    </w:p>
    <w:p w14:paraId="692DDF11" w14:textId="77777777" w:rsidR="00C9559F" w:rsidRDefault="00514540" w:rsidP="00390C5F">
      <w:pPr>
        <w:spacing w:after="0" w:line="240" w:lineRule="auto"/>
      </w:pPr>
      <w:r>
        <w:rPr>
          <w:sz w:val="18"/>
          <w:szCs w:val="18"/>
          <w:vertAlign w:val="superscript"/>
        </w:rPr>
        <w:t>c</w:t>
      </w:r>
      <w:r w:rsidR="00C9559F" w:rsidRPr="002076BF">
        <w:rPr>
          <w:sz w:val="18"/>
          <w:szCs w:val="18"/>
        </w:rPr>
        <w:t xml:space="preserve">Also adjusted for confounders: </w:t>
      </w:r>
      <w:r w:rsidR="00C9559F">
        <w:rPr>
          <w:sz w:val="18"/>
          <w:szCs w:val="18"/>
        </w:rPr>
        <w:t xml:space="preserve">baseline (at regimen initiation) values of </w:t>
      </w:r>
      <w:r w:rsidR="00C9559F" w:rsidRPr="002076BF">
        <w:rPr>
          <w:sz w:val="18"/>
          <w:szCs w:val="18"/>
        </w:rPr>
        <w:t>GFR at regimen initiation,</w:t>
      </w:r>
      <w:r w:rsidR="00BA330F">
        <w:rPr>
          <w:sz w:val="18"/>
          <w:szCs w:val="18"/>
        </w:rPr>
        <w:t xml:space="preserve"> age, </w:t>
      </w:r>
      <w:r w:rsidR="00C9559F" w:rsidRPr="002076BF">
        <w:rPr>
          <w:sz w:val="18"/>
          <w:szCs w:val="18"/>
        </w:rPr>
        <w:t>sex, race, viral load (at regimen initiation), and CD4 count (regimen initiation)</w:t>
      </w:r>
      <w:r w:rsidR="00C9559F">
        <w:rPr>
          <w:sz w:val="18"/>
          <w:szCs w:val="18"/>
        </w:rPr>
        <w:t>.</w:t>
      </w:r>
    </w:p>
    <w:p w14:paraId="1FD3748E" w14:textId="77777777" w:rsidR="00F874D8" w:rsidRDefault="00F874D8" w:rsidP="00467652"/>
    <w:p w14:paraId="0E2B3C36" w14:textId="77777777" w:rsidR="00467652" w:rsidRDefault="00467652" w:rsidP="00467652"/>
    <w:p w14:paraId="2BB1A82E" w14:textId="77777777" w:rsidR="00467652" w:rsidRDefault="00467652" w:rsidP="00467652"/>
    <w:p w14:paraId="598DA7E7" w14:textId="77777777" w:rsidR="00467652" w:rsidRPr="00467652" w:rsidRDefault="00467652" w:rsidP="00467652"/>
    <w:sectPr w:rsidR="00467652" w:rsidRPr="0046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D0"/>
    <w:multiLevelType w:val="hybridMultilevel"/>
    <w:tmpl w:val="4C4A332C"/>
    <w:lvl w:ilvl="0" w:tplc="0F42C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A2BAE"/>
    <w:multiLevelType w:val="hybridMultilevel"/>
    <w:tmpl w:val="13D88B50"/>
    <w:lvl w:ilvl="0" w:tplc="92A89EB6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0C"/>
    <w:rsid w:val="000746C0"/>
    <w:rsid w:val="000A25C9"/>
    <w:rsid w:val="000F128C"/>
    <w:rsid w:val="0010793E"/>
    <w:rsid w:val="001C7D83"/>
    <w:rsid w:val="001D026A"/>
    <w:rsid w:val="00200366"/>
    <w:rsid w:val="00226A90"/>
    <w:rsid w:val="00237E83"/>
    <w:rsid w:val="00282095"/>
    <w:rsid w:val="002C4007"/>
    <w:rsid w:val="002E3253"/>
    <w:rsid w:val="00303EFF"/>
    <w:rsid w:val="0033671E"/>
    <w:rsid w:val="0038100C"/>
    <w:rsid w:val="00383871"/>
    <w:rsid w:val="00390C5F"/>
    <w:rsid w:val="003A0195"/>
    <w:rsid w:val="003E2177"/>
    <w:rsid w:val="00421AC7"/>
    <w:rsid w:val="00446686"/>
    <w:rsid w:val="00467652"/>
    <w:rsid w:val="004812D2"/>
    <w:rsid w:val="00514540"/>
    <w:rsid w:val="00552E4A"/>
    <w:rsid w:val="00571EE3"/>
    <w:rsid w:val="005F6661"/>
    <w:rsid w:val="00686B6E"/>
    <w:rsid w:val="006A0FCC"/>
    <w:rsid w:val="006B435E"/>
    <w:rsid w:val="006C5784"/>
    <w:rsid w:val="0071112A"/>
    <w:rsid w:val="00774581"/>
    <w:rsid w:val="008F48A8"/>
    <w:rsid w:val="009A501C"/>
    <w:rsid w:val="009F07CB"/>
    <w:rsid w:val="00A268BB"/>
    <w:rsid w:val="00A66308"/>
    <w:rsid w:val="00B47520"/>
    <w:rsid w:val="00B71EB7"/>
    <w:rsid w:val="00BA330F"/>
    <w:rsid w:val="00C52F31"/>
    <w:rsid w:val="00C65963"/>
    <w:rsid w:val="00C72A19"/>
    <w:rsid w:val="00C9559F"/>
    <w:rsid w:val="00CC4CF3"/>
    <w:rsid w:val="00CE457A"/>
    <w:rsid w:val="00D64FB6"/>
    <w:rsid w:val="00DB6FB6"/>
    <w:rsid w:val="00E65475"/>
    <w:rsid w:val="00E76537"/>
    <w:rsid w:val="00EC484D"/>
    <w:rsid w:val="00EE38E3"/>
    <w:rsid w:val="00EF040C"/>
    <w:rsid w:val="00F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6CCD"/>
  <w15:chartTrackingRefBased/>
  <w15:docId w15:val="{8523D9E9-E40F-4213-B8F7-318EB7EB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6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Tamhane, Ashutosh</dc:creator>
  <cp:keywords/>
  <dc:description/>
  <cp:lastModifiedBy>Ellen Eaton</cp:lastModifiedBy>
  <cp:revision>2</cp:revision>
  <cp:lastPrinted>2018-12-11T21:46:00Z</cp:lastPrinted>
  <dcterms:created xsi:type="dcterms:W3CDTF">2019-01-09T16:34:00Z</dcterms:created>
  <dcterms:modified xsi:type="dcterms:W3CDTF">2019-01-09T16:34:00Z</dcterms:modified>
</cp:coreProperties>
</file>