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61" w:rsidRDefault="007E5861">
      <w:pPr>
        <w:rPr>
          <w:rFonts w:ascii="Times New Roman" w:hAnsi="Times New Roman" w:cs="Times New Roman"/>
          <w:iCs/>
          <w:sz w:val="24"/>
          <w:szCs w:val="24"/>
          <w:highlight w:val="green"/>
          <w:lang w:val="en-GB"/>
        </w:rPr>
      </w:pPr>
      <w:r>
        <w:rPr>
          <w:rFonts w:ascii="Times New Roman" w:hAnsi="Times New Roman" w:cs="Times New Roman"/>
          <w:iCs/>
          <w:sz w:val="24"/>
          <w:szCs w:val="24"/>
          <w:highlight w:val="green"/>
          <w:lang w:val="en-GB"/>
        </w:rPr>
        <w:t>Appendix 1</w:t>
      </w:r>
    </w:p>
    <w:p w:rsidR="007E5861" w:rsidRDefault="007E5861">
      <w:pPr>
        <w:rPr>
          <w:rFonts w:ascii="Times New Roman" w:hAnsi="Times New Roman" w:cs="Times New Roman"/>
          <w:iCs/>
          <w:sz w:val="24"/>
          <w:szCs w:val="24"/>
          <w:highlight w:val="green"/>
          <w:lang w:val="en-GB"/>
        </w:rPr>
      </w:pPr>
      <w:r>
        <w:rPr>
          <w:rFonts w:ascii="Times New Roman" w:hAnsi="Times New Roman" w:cs="Times New Roman"/>
          <w:iCs/>
          <w:sz w:val="24"/>
          <w:szCs w:val="24"/>
          <w:highlight w:val="green"/>
          <w:lang w:val="en-GB"/>
        </w:rPr>
        <w:t xml:space="preserve">Updated </w:t>
      </w:r>
      <w:proofErr w:type="spellStart"/>
      <w:r>
        <w:rPr>
          <w:rFonts w:ascii="Times New Roman" w:hAnsi="Times New Roman" w:cs="Times New Roman"/>
          <w:iCs/>
          <w:sz w:val="24"/>
          <w:szCs w:val="24"/>
          <w:highlight w:val="green"/>
          <w:lang w:val="en-GB"/>
        </w:rPr>
        <w:t>Embase</w:t>
      </w:r>
      <w:proofErr w:type="spellEnd"/>
      <w:r>
        <w:rPr>
          <w:rFonts w:ascii="Times New Roman" w:hAnsi="Times New Roman" w:cs="Times New Roman"/>
          <w:iCs/>
          <w:sz w:val="24"/>
          <w:szCs w:val="24"/>
          <w:highlight w:val="green"/>
          <w:lang w:val="en-GB"/>
        </w:rPr>
        <w:t xml:space="preserve"> search strategy</w:t>
      </w:r>
    </w:p>
    <w:p w:rsidR="007E5861" w:rsidRDefault="007E5861">
      <w:pPr>
        <w:rPr>
          <w:rFonts w:ascii="Times New Roman" w:hAnsi="Times New Roman" w:cs="Times New Roman"/>
          <w:iCs/>
          <w:sz w:val="24"/>
          <w:szCs w:val="24"/>
          <w:highlight w:val="green"/>
          <w:lang w:val="en-GB"/>
        </w:rPr>
      </w:pPr>
      <w:r>
        <w:rPr>
          <w:rFonts w:ascii="Times New Roman" w:hAnsi="Times New Roman" w:cs="Times New Roman"/>
          <w:iCs/>
          <w:noProof/>
          <w:sz w:val="24"/>
          <w:szCs w:val="24"/>
        </w:rPr>
        <w:drawing>
          <wp:inline distT="0" distB="0" distL="0" distR="0">
            <wp:extent cx="6479643" cy="1448410"/>
            <wp:effectExtent l="19050" t="0" r="0" b="0"/>
            <wp:docPr id="3" name="Billede 2" descr="Appendix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1.tif"/>
                    <pic:cNvPicPr/>
                  </pic:nvPicPr>
                  <pic:blipFill>
                    <a:blip r:embed="rId5" cstate="print"/>
                    <a:srcRect l="2199" t="36624" r="2630" b="35032"/>
                    <a:stretch>
                      <a:fillRect/>
                    </a:stretch>
                  </pic:blipFill>
                  <pic:spPr>
                    <a:xfrm>
                      <a:off x="0" y="0"/>
                      <a:ext cx="6483149" cy="1449194"/>
                    </a:xfrm>
                    <a:prstGeom prst="rect">
                      <a:avLst/>
                    </a:prstGeom>
                  </pic:spPr>
                </pic:pic>
              </a:graphicData>
            </a:graphic>
          </wp:inline>
        </w:drawing>
      </w:r>
      <w:r>
        <w:rPr>
          <w:rFonts w:ascii="Times New Roman" w:hAnsi="Times New Roman" w:cs="Times New Roman"/>
          <w:iCs/>
          <w:sz w:val="24"/>
          <w:szCs w:val="24"/>
          <w:highlight w:val="green"/>
          <w:lang w:val="en-GB"/>
        </w:rPr>
        <w:br w:type="page"/>
      </w:r>
    </w:p>
    <w:p w:rsidR="00CA652E" w:rsidRDefault="00B3156F" w:rsidP="00CA652E">
      <w:pPr>
        <w:rPr>
          <w:rFonts w:ascii="Times New Roman" w:hAnsi="Times New Roman" w:cs="Times New Roman"/>
          <w:iCs/>
          <w:sz w:val="24"/>
          <w:szCs w:val="24"/>
          <w:lang w:val="en-GB"/>
        </w:rPr>
      </w:pPr>
      <w:proofErr w:type="gramStart"/>
      <w:r w:rsidRPr="00C12352">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T</w:t>
      </w:r>
      <w:r w:rsidR="00CA652E">
        <w:rPr>
          <w:rFonts w:ascii="Times New Roman" w:hAnsi="Times New Roman" w:cs="Times New Roman"/>
          <w:iCs/>
          <w:sz w:val="24"/>
          <w:szCs w:val="24"/>
          <w:lang w:val="en-GB"/>
        </w:rPr>
        <w:t>able 1.</w:t>
      </w:r>
      <w:proofErr w:type="gramEnd"/>
      <w:r w:rsidR="00CA652E">
        <w:rPr>
          <w:rFonts w:ascii="Times New Roman" w:hAnsi="Times New Roman" w:cs="Times New Roman"/>
          <w:iCs/>
          <w:sz w:val="24"/>
          <w:szCs w:val="24"/>
          <w:lang w:val="en-GB"/>
        </w:rPr>
        <w:t xml:space="preserve"> Characteristics of studies investigating the prevalence of vertebral fracture in patients living with HIV</w:t>
      </w:r>
    </w:p>
    <w:tbl>
      <w:tblPr>
        <w:tblStyle w:val="Lysskygge1"/>
        <w:tblW w:w="9327" w:type="dxa"/>
        <w:tblLook w:val="04A0"/>
      </w:tblPr>
      <w:tblGrid>
        <w:gridCol w:w="1055"/>
        <w:gridCol w:w="1903"/>
        <w:gridCol w:w="689"/>
        <w:gridCol w:w="820"/>
        <w:gridCol w:w="1236"/>
        <w:gridCol w:w="755"/>
        <w:gridCol w:w="755"/>
        <w:gridCol w:w="755"/>
        <w:gridCol w:w="1009"/>
        <w:gridCol w:w="877"/>
      </w:tblGrid>
      <w:tr w:rsidR="00CA652E" w:rsidRPr="004629DC" w:rsidTr="00B3156F">
        <w:trPr>
          <w:cnfStyle w:val="100000000000"/>
          <w:trHeight w:val="409"/>
        </w:trPr>
        <w:tc>
          <w:tcPr>
            <w:cnfStyle w:val="001000000000"/>
            <w:tcW w:w="1103" w:type="dxa"/>
            <w:noWrap/>
            <w:hideMark/>
          </w:tcPr>
          <w:p w:rsidR="00CA652E" w:rsidRPr="00B8544C" w:rsidRDefault="00CA652E" w:rsidP="00B3156F">
            <w:pPr>
              <w:spacing w:line="24" w:lineRule="atLeast"/>
              <w:rPr>
                <w:rFonts w:ascii="Times New Roman" w:eastAsia="Times New Roman" w:hAnsi="Times New Roman" w:cs="Times New Roman"/>
                <w:color w:val="000000"/>
                <w:sz w:val="18"/>
                <w:szCs w:val="18"/>
              </w:rPr>
            </w:pPr>
            <w:proofErr w:type="spellStart"/>
            <w:r w:rsidRPr="00B8544C">
              <w:rPr>
                <w:rFonts w:ascii="Times New Roman" w:eastAsia="Times New Roman" w:hAnsi="Times New Roman" w:cs="Times New Roman"/>
                <w:color w:val="000000"/>
                <w:sz w:val="18"/>
                <w:szCs w:val="18"/>
              </w:rPr>
              <w:t>Study</w:t>
            </w:r>
            <w:proofErr w:type="spellEnd"/>
          </w:p>
        </w:tc>
        <w:tc>
          <w:tcPr>
            <w:tcW w:w="2002"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Population</w:t>
            </w:r>
          </w:p>
        </w:tc>
        <w:tc>
          <w:tcPr>
            <w:tcW w:w="588"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 xml:space="preserve">Time </w:t>
            </w:r>
            <w:proofErr w:type="spellStart"/>
            <w:r w:rsidRPr="00B8544C">
              <w:rPr>
                <w:rFonts w:ascii="Times New Roman" w:eastAsia="Times New Roman" w:hAnsi="Times New Roman" w:cs="Times New Roman"/>
                <w:color w:val="000000"/>
                <w:sz w:val="18"/>
                <w:szCs w:val="18"/>
              </w:rPr>
              <w:t>period</w:t>
            </w:r>
            <w:proofErr w:type="spellEnd"/>
          </w:p>
        </w:tc>
        <w:tc>
          <w:tcPr>
            <w:tcW w:w="745"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Design</w:t>
            </w:r>
          </w:p>
        </w:tc>
        <w:tc>
          <w:tcPr>
            <w:tcW w:w="1127"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proofErr w:type="spellStart"/>
            <w:r w:rsidRPr="00B8544C">
              <w:rPr>
                <w:rFonts w:ascii="Times New Roman" w:eastAsia="Times New Roman" w:hAnsi="Times New Roman" w:cs="Times New Roman"/>
                <w:color w:val="000000"/>
                <w:sz w:val="18"/>
                <w:szCs w:val="18"/>
              </w:rPr>
              <w:t>Fracture</w:t>
            </w:r>
            <w:proofErr w:type="spellEnd"/>
            <w:r w:rsidRPr="00B8544C">
              <w:rPr>
                <w:rFonts w:ascii="Times New Roman" w:eastAsia="Times New Roman" w:hAnsi="Times New Roman" w:cs="Times New Roman"/>
                <w:color w:val="000000"/>
                <w:sz w:val="18"/>
                <w:szCs w:val="18"/>
              </w:rPr>
              <w:t xml:space="preserve"> </w:t>
            </w:r>
            <w:proofErr w:type="spellStart"/>
            <w:r w:rsidRPr="00B8544C">
              <w:rPr>
                <w:rFonts w:ascii="Times New Roman" w:eastAsia="Times New Roman" w:hAnsi="Times New Roman" w:cs="Times New Roman"/>
                <w:color w:val="000000"/>
                <w:sz w:val="18"/>
                <w:szCs w:val="18"/>
              </w:rPr>
              <w:t>evaluation</w:t>
            </w:r>
            <w:proofErr w:type="spellEnd"/>
          </w:p>
        </w:tc>
        <w:tc>
          <w:tcPr>
            <w:tcW w:w="687"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PLHIV (n)</w:t>
            </w:r>
          </w:p>
        </w:tc>
        <w:tc>
          <w:tcPr>
            <w:tcW w:w="649"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 men PLHIV</w:t>
            </w:r>
          </w:p>
        </w:tc>
        <w:tc>
          <w:tcPr>
            <w:tcW w:w="649"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Age PLHIV</w:t>
            </w:r>
          </w:p>
        </w:tc>
        <w:tc>
          <w:tcPr>
            <w:tcW w:w="978"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proofErr w:type="spellStart"/>
            <w:r w:rsidRPr="00B8544C">
              <w:rPr>
                <w:rFonts w:ascii="Times New Roman" w:eastAsia="Times New Roman" w:hAnsi="Times New Roman" w:cs="Times New Roman"/>
                <w:color w:val="000000"/>
                <w:sz w:val="18"/>
                <w:szCs w:val="18"/>
              </w:rPr>
              <w:t>Prevalence</w:t>
            </w:r>
            <w:proofErr w:type="spellEnd"/>
            <w:r w:rsidRPr="00B8544C">
              <w:rPr>
                <w:rFonts w:ascii="Times New Roman" w:eastAsia="Times New Roman" w:hAnsi="Times New Roman" w:cs="Times New Roman"/>
                <w:color w:val="000000"/>
                <w:sz w:val="18"/>
                <w:szCs w:val="18"/>
              </w:rPr>
              <w:t xml:space="preserve"> of VF (%)</w:t>
            </w:r>
          </w:p>
        </w:tc>
        <w:tc>
          <w:tcPr>
            <w:tcW w:w="799" w:type="dxa"/>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proofErr w:type="spellStart"/>
            <w:r w:rsidRPr="00B8544C">
              <w:rPr>
                <w:rFonts w:ascii="Times New Roman" w:eastAsia="Times New Roman" w:hAnsi="Times New Roman" w:cs="Times New Roman"/>
                <w:color w:val="000000"/>
                <w:sz w:val="18"/>
                <w:szCs w:val="18"/>
              </w:rPr>
              <w:t>Evidence</w:t>
            </w:r>
            <w:proofErr w:type="spellEnd"/>
            <w:r w:rsidRPr="00B8544C">
              <w:rPr>
                <w:rFonts w:ascii="Times New Roman" w:eastAsia="Times New Roman" w:hAnsi="Times New Roman" w:cs="Times New Roman"/>
                <w:color w:val="000000"/>
                <w:sz w:val="18"/>
                <w:szCs w:val="18"/>
              </w:rPr>
              <w:t xml:space="preserve"> </w:t>
            </w:r>
            <w:proofErr w:type="spellStart"/>
            <w:r w:rsidRPr="00B8544C">
              <w:rPr>
                <w:rFonts w:ascii="Times New Roman" w:eastAsia="Times New Roman" w:hAnsi="Times New Roman" w:cs="Times New Roman"/>
                <w:color w:val="000000"/>
                <w:sz w:val="18"/>
                <w:szCs w:val="18"/>
              </w:rPr>
              <w:t>level</w:t>
            </w:r>
            <w:proofErr w:type="spellEnd"/>
          </w:p>
        </w:tc>
      </w:tr>
      <w:tr w:rsidR="00CA652E" w:rsidRPr="004629DC" w:rsidTr="00B3156F">
        <w:trPr>
          <w:cnfStyle w:val="000000100000"/>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Atteritano</w:t>
            </w:r>
            <w:proofErr w:type="spellEnd"/>
            <w:r w:rsidRPr="00B8544C">
              <w:rPr>
                <w:rFonts w:ascii="Times New Roman" w:eastAsia="Times New Roman" w:hAnsi="Times New Roman" w:cs="Times New Roman"/>
                <w:b w:val="0"/>
                <w:color w:val="000000"/>
                <w:sz w:val="18"/>
                <w:szCs w:val="18"/>
              </w:rPr>
              <w:t xml:space="preserve"> 2018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RW.CITE{{511 Atteritano,M. 2018}}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Messina </w:t>
            </w:r>
            <w:proofErr w:type="spellStart"/>
            <w:r w:rsidRPr="002F427C">
              <w:rPr>
                <w:rFonts w:ascii="Times New Roman" w:eastAsia="Times New Roman" w:hAnsi="Times New Roman" w:cs="Times New Roman"/>
                <w:color w:val="000000"/>
                <w:sz w:val="18"/>
                <w:szCs w:val="18"/>
              </w:rPr>
              <w:t>University</w:t>
            </w:r>
            <w:proofErr w:type="spellEnd"/>
            <w:r w:rsidRPr="002F427C">
              <w:rPr>
                <w:rFonts w:ascii="Times New Roman" w:eastAsia="Times New Roman" w:hAnsi="Times New Roman" w:cs="Times New Roman"/>
                <w:color w:val="000000"/>
                <w:sz w:val="18"/>
                <w:szCs w:val="18"/>
              </w:rPr>
              <w:t xml:space="preserve"> Hos</w:t>
            </w:r>
            <w:r>
              <w:rPr>
                <w:rFonts w:ascii="Times New Roman" w:eastAsia="Times New Roman" w:hAnsi="Times New Roman" w:cs="Times New Roman"/>
                <w:color w:val="000000"/>
                <w:sz w:val="18"/>
                <w:szCs w:val="18"/>
              </w:rPr>
              <w:t>p</w:t>
            </w:r>
            <w:r w:rsidRPr="002F427C">
              <w:rPr>
                <w:rFonts w:ascii="Times New Roman" w:eastAsia="Times New Roman" w:hAnsi="Times New Roman" w:cs="Times New Roman"/>
                <w:color w:val="000000"/>
                <w:sz w:val="18"/>
                <w:szCs w:val="18"/>
              </w:rPr>
              <w:t>ital</w:t>
            </w:r>
          </w:p>
        </w:tc>
        <w:tc>
          <w:tcPr>
            <w:tcW w:w="58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2012-2015</w:t>
            </w:r>
          </w:p>
        </w:tc>
        <w:tc>
          <w:tcPr>
            <w:tcW w:w="745"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100</w:t>
            </w:r>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16</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44</w:t>
            </w:r>
          </w:p>
        </w:tc>
        <w:tc>
          <w:tcPr>
            <w:tcW w:w="97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16</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Borderi</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RW.CITE{{80 Borderi,M.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2F427C">
              <w:rPr>
                <w:rFonts w:ascii="Times New Roman" w:eastAsia="Times New Roman" w:hAnsi="Times New Roman" w:cs="Times New Roman"/>
                <w:color w:val="000000"/>
                <w:sz w:val="18"/>
                <w:szCs w:val="18"/>
                <w:lang w:val="en-US"/>
              </w:rPr>
              <w:t>Infectious Diseases unit of Bologna</w:t>
            </w:r>
          </w:p>
        </w:tc>
        <w:tc>
          <w:tcPr>
            <w:tcW w:w="58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2011-2012</w:t>
            </w:r>
          </w:p>
        </w:tc>
        <w:tc>
          <w:tcPr>
            <w:tcW w:w="745"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202</w:t>
            </w:r>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51</w:t>
            </w:r>
          </w:p>
        </w:tc>
        <w:tc>
          <w:tcPr>
            <w:tcW w:w="97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23</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cnfStyle w:val="000000100000"/>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Ciulini</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RW.CITE{{133 Ciullini,L.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Sant Andrea Hospital</w:t>
            </w:r>
          </w:p>
        </w:tc>
        <w:tc>
          <w:tcPr>
            <w:tcW w:w="58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2013</w:t>
            </w:r>
          </w:p>
        </w:tc>
        <w:tc>
          <w:tcPr>
            <w:tcW w:w="745"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143</w:t>
            </w:r>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87</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43</w:t>
            </w:r>
          </w:p>
        </w:tc>
        <w:tc>
          <w:tcPr>
            <w:tcW w:w="97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w:t>
            </w:r>
            <w:proofErr w:type="gramEnd"/>
          </w:p>
        </w:tc>
        <w:tc>
          <w:tcPr>
            <w:tcW w:w="799"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Gazzola</w:t>
            </w:r>
            <w:proofErr w:type="spellEnd"/>
            <w:r w:rsidRPr="00B8544C">
              <w:rPr>
                <w:rFonts w:ascii="Times New Roman" w:eastAsia="Times New Roman" w:hAnsi="Times New Roman" w:cs="Times New Roman"/>
                <w:b w:val="0"/>
                <w:color w:val="000000"/>
                <w:sz w:val="18"/>
                <w:szCs w:val="18"/>
              </w:rPr>
              <w:t xml:space="preserve">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RW.CITE{{193 Gazzola,L.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4</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San Paolo Hospital, </w:t>
            </w:r>
            <w:proofErr w:type="spellStart"/>
            <w:r w:rsidRPr="002F427C">
              <w:rPr>
                <w:rFonts w:ascii="Times New Roman" w:eastAsia="Times New Roman" w:hAnsi="Times New Roman" w:cs="Times New Roman"/>
                <w:color w:val="000000"/>
                <w:sz w:val="18"/>
                <w:szCs w:val="18"/>
              </w:rPr>
              <w:t>Milan</w:t>
            </w:r>
            <w:proofErr w:type="spellEnd"/>
          </w:p>
        </w:tc>
        <w:tc>
          <w:tcPr>
            <w:tcW w:w="58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2007-2011</w:t>
            </w:r>
          </w:p>
        </w:tc>
        <w:tc>
          <w:tcPr>
            <w:tcW w:w="745"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194</w:t>
            </w:r>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73</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49</w:t>
            </w:r>
          </w:p>
        </w:tc>
        <w:tc>
          <w:tcPr>
            <w:tcW w:w="97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cnfStyle w:val="000000100000"/>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Llop</w:t>
            </w:r>
            <w:proofErr w:type="spellEnd"/>
            <w:r w:rsidRPr="00B8544C">
              <w:rPr>
                <w:rFonts w:ascii="Times New Roman" w:eastAsia="Times New Roman" w:hAnsi="Times New Roman" w:cs="Times New Roman"/>
                <w:b w:val="0"/>
                <w:color w:val="000000"/>
                <w:sz w:val="18"/>
                <w:szCs w:val="18"/>
              </w:rPr>
              <w:t xml:space="preserve"> 2018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RW.CITE{{506 Llop,M. 2018}}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5</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HIV/AIDS unit</w:t>
            </w:r>
          </w:p>
        </w:tc>
        <w:tc>
          <w:tcPr>
            <w:tcW w:w="58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2014-2016</w:t>
            </w:r>
          </w:p>
        </w:tc>
        <w:tc>
          <w:tcPr>
            <w:tcW w:w="745"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128</w:t>
            </w:r>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73</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57</w:t>
            </w:r>
          </w:p>
        </w:tc>
        <w:tc>
          <w:tcPr>
            <w:tcW w:w="97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lang w:val="en-US"/>
              </w:rPr>
            </w:pPr>
            <w:r w:rsidRPr="00B8544C">
              <w:rPr>
                <w:rFonts w:ascii="Times New Roman" w:eastAsia="Times New Roman" w:hAnsi="Times New Roman" w:cs="Times New Roman"/>
                <w:b w:val="0"/>
                <w:color w:val="000000"/>
                <w:sz w:val="18"/>
                <w:szCs w:val="18"/>
                <w:lang w:val="en-US"/>
              </w:rPr>
              <w:t xml:space="preserve">Mata-Marin 2018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lang w:val="en-US"/>
              </w:rPr>
              <w:instrText>ADDIN RW.CITE{{507 Mata-Marin,J.A. 2018}}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6</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Outpatient</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clinic</w:t>
            </w:r>
            <w:proofErr w:type="spellEnd"/>
          </w:p>
        </w:tc>
        <w:tc>
          <w:tcPr>
            <w:tcW w:w="58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2015-2016</w:t>
            </w:r>
          </w:p>
        </w:tc>
        <w:tc>
          <w:tcPr>
            <w:tcW w:w="745"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104</w:t>
            </w:r>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87</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49</w:t>
            </w:r>
          </w:p>
        </w:tc>
        <w:tc>
          <w:tcPr>
            <w:tcW w:w="97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25</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cnfStyle w:val="000000100000"/>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Pietogrande</w:t>
            </w:r>
            <w:proofErr w:type="spellEnd"/>
            <w:r w:rsidRPr="00B8544C">
              <w:rPr>
                <w:rFonts w:ascii="Times New Roman" w:eastAsia="Times New Roman" w:hAnsi="Times New Roman" w:cs="Times New Roman"/>
                <w:b w:val="0"/>
                <w:color w:val="000000"/>
                <w:sz w:val="18"/>
                <w:szCs w:val="18"/>
              </w:rPr>
              <w:t xml:space="preserve"> 2012 (</w:t>
            </w:r>
            <w:proofErr w:type="spellStart"/>
            <w:r w:rsidRPr="00B8544C">
              <w:rPr>
                <w:rFonts w:ascii="Times New Roman" w:eastAsia="Times New Roman" w:hAnsi="Times New Roman" w:cs="Times New Roman"/>
                <w:b w:val="0"/>
                <w:color w:val="000000"/>
                <w:sz w:val="18"/>
                <w:szCs w:val="18"/>
              </w:rPr>
              <w:t>abstract</w:t>
            </w:r>
            <w:proofErr w:type="spellEnd"/>
            <w:r w:rsidRPr="00B8544C">
              <w:rPr>
                <w:rFonts w:ascii="Times New Roman" w:eastAsia="Times New Roman" w:hAnsi="Times New Roman" w:cs="Times New Roman"/>
                <w:b w:val="0"/>
                <w:color w:val="000000"/>
                <w:sz w:val="18"/>
                <w:szCs w:val="18"/>
              </w:rPr>
              <w:t xml:space="preserve">)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RW.CITE{{369 Pietrogrande,L.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Milano</w:t>
            </w:r>
          </w:p>
        </w:tc>
        <w:tc>
          <w:tcPr>
            <w:tcW w:w="588" w:type="dxa"/>
            <w:noWrap/>
            <w:hideMark/>
          </w:tcPr>
          <w:p w:rsidR="00CA652E" w:rsidRPr="002F427C" w:rsidRDefault="00B61192"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745"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MorphoXpress</w:t>
            </w:r>
            <w:proofErr w:type="spellEnd"/>
          </w:p>
        </w:tc>
        <w:tc>
          <w:tcPr>
            <w:tcW w:w="68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133</w:t>
            </w:r>
          </w:p>
        </w:tc>
        <w:tc>
          <w:tcPr>
            <w:tcW w:w="649" w:type="dxa"/>
            <w:noWrap/>
            <w:hideMark/>
          </w:tcPr>
          <w:p w:rsidR="00CA652E" w:rsidRPr="002F427C" w:rsidRDefault="00B61192"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47</w:t>
            </w:r>
          </w:p>
        </w:tc>
        <w:tc>
          <w:tcPr>
            <w:tcW w:w="97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Porcelli</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RW.CITE{{378 Porcelli,T.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2F427C">
              <w:rPr>
                <w:rFonts w:ascii="Times New Roman" w:eastAsia="Times New Roman" w:hAnsi="Times New Roman" w:cs="Times New Roman"/>
                <w:color w:val="000000"/>
                <w:sz w:val="18"/>
                <w:szCs w:val="18"/>
                <w:lang w:val="en-US"/>
              </w:rPr>
              <w:t>Clinic of Infectious and Tropical Diseases of Brescia</w:t>
            </w:r>
          </w:p>
        </w:tc>
        <w:tc>
          <w:tcPr>
            <w:tcW w:w="58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2009-2012</w:t>
            </w:r>
          </w:p>
        </w:tc>
        <w:tc>
          <w:tcPr>
            <w:tcW w:w="745"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131</w:t>
            </w:r>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71</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51</w:t>
            </w:r>
          </w:p>
        </w:tc>
        <w:tc>
          <w:tcPr>
            <w:tcW w:w="97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27</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cnfStyle w:val="000000100000"/>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Stephens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RW.CITE{{442 Stephens,K.I.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VA Medical Center, Atlanta</w:t>
            </w:r>
          </w:p>
        </w:tc>
        <w:tc>
          <w:tcPr>
            <w:tcW w:w="58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2007-2010</w:t>
            </w:r>
          </w:p>
        </w:tc>
        <w:tc>
          <w:tcPr>
            <w:tcW w:w="745"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232</w:t>
            </w:r>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49</w:t>
            </w:r>
            <w:r w:rsidRPr="004629DC">
              <w:rPr>
                <w:rFonts w:ascii="Times New Roman" w:eastAsia="Times New Roman" w:hAnsi="Times New Roman" w:cs="Times New Roman"/>
                <w:color w:val="000000"/>
                <w:sz w:val="18"/>
                <w:szCs w:val="18"/>
              </w:rPr>
              <w:t>.</w:t>
            </w:r>
            <w:r w:rsidRPr="002F427C">
              <w:rPr>
                <w:rFonts w:ascii="Times New Roman" w:eastAsia="Times New Roman" w:hAnsi="Times New Roman" w:cs="Times New Roman"/>
                <w:color w:val="000000"/>
                <w:sz w:val="18"/>
                <w:szCs w:val="18"/>
              </w:rPr>
              <w:t>1</w:t>
            </w:r>
          </w:p>
        </w:tc>
        <w:tc>
          <w:tcPr>
            <w:tcW w:w="97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47</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Thouvinen</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RW.CITE{{458 Thouvenin,Y.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2F427C">
              <w:rPr>
                <w:rFonts w:ascii="Times New Roman" w:eastAsia="Times New Roman" w:hAnsi="Times New Roman" w:cs="Times New Roman"/>
                <w:color w:val="000000"/>
                <w:sz w:val="18"/>
                <w:szCs w:val="18"/>
                <w:lang w:val="en-US"/>
              </w:rPr>
              <w:t>ANRS EP48 HIV CHEST cohort</w:t>
            </w:r>
          </w:p>
        </w:tc>
        <w:tc>
          <w:tcPr>
            <w:tcW w:w="58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2011-2012</w:t>
            </w:r>
          </w:p>
        </w:tc>
        <w:tc>
          <w:tcPr>
            <w:tcW w:w="745"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Chest</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Low</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dose</w:t>
            </w:r>
            <w:proofErr w:type="spellEnd"/>
            <w:r w:rsidRPr="002F427C">
              <w:rPr>
                <w:rFonts w:ascii="Times New Roman" w:eastAsia="Times New Roman" w:hAnsi="Times New Roman" w:cs="Times New Roman"/>
                <w:color w:val="000000"/>
                <w:sz w:val="18"/>
                <w:szCs w:val="18"/>
              </w:rPr>
              <w:t xml:space="preserve"> CT</w:t>
            </w:r>
          </w:p>
        </w:tc>
        <w:tc>
          <w:tcPr>
            <w:tcW w:w="68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397</w:t>
            </w:r>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83</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49</w:t>
            </w:r>
            <w:r w:rsidRPr="004629DC">
              <w:rPr>
                <w:rFonts w:ascii="Times New Roman" w:eastAsia="Times New Roman" w:hAnsi="Times New Roman" w:cs="Times New Roman"/>
                <w:color w:val="000000"/>
                <w:sz w:val="18"/>
                <w:szCs w:val="18"/>
              </w:rPr>
              <w:t>.</w:t>
            </w:r>
            <w:r w:rsidRPr="002F427C">
              <w:rPr>
                <w:rFonts w:ascii="Times New Roman" w:eastAsia="Times New Roman" w:hAnsi="Times New Roman" w:cs="Times New Roman"/>
                <w:color w:val="000000"/>
                <w:sz w:val="18"/>
                <w:szCs w:val="18"/>
              </w:rPr>
              <w:t>5</w:t>
            </w:r>
          </w:p>
        </w:tc>
        <w:tc>
          <w:tcPr>
            <w:tcW w:w="97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12</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cnfStyle w:val="000000100000"/>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Torti</w:t>
            </w:r>
            <w:proofErr w:type="spellEnd"/>
            <w:r w:rsidRPr="00B8544C">
              <w:rPr>
                <w:rFonts w:ascii="Times New Roman" w:eastAsia="Times New Roman" w:hAnsi="Times New Roman" w:cs="Times New Roman"/>
                <w:b w:val="0"/>
                <w:color w:val="000000"/>
                <w:sz w:val="18"/>
                <w:szCs w:val="18"/>
              </w:rPr>
              <w:t xml:space="preserve"> 2012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RW.CITE{{461 Torti,C.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2F427C">
              <w:rPr>
                <w:rFonts w:ascii="Times New Roman" w:eastAsia="Times New Roman" w:hAnsi="Times New Roman" w:cs="Times New Roman"/>
                <w:color w:val="000000"/>
                <w:sz w:val="18"/>
                <w:szCs w:val="18"/>
                <w:lang w:val="en-US"/>
              </w:rPr>
              <w:t>Department of Infectious Diseases, Brescia</w:t>
            </w:r>
          </w:p>
        </w:tc>
        <w:tc>
          <w:tcPr>
            <w:tcW w:w="58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1998-2010</w:t>
            </w:r>
          </w:p>
        </w:tc>
        <w:tc>
          <w:tcPr>
            <w:tcW w:w="745"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 xml:space="preserve">Lateral </w:t>
            </w:r>
            <w:proofErr w:type="spellStart"/>
            <w:r w:rsidRPr="002F427C">
              <w:rPr>
                <w:rFonts w:ascii="Times New Roman" w:eastAsia="Times New Roman" w:hAnsi="Times New Roman" w:cs="Times New Roman"/>
                <w:color w:val="000000"/>
                <w:sz w:val="18"/>
                <w:szCs w:val="18"/>
              </w:rPr>
              <w:t>Chest</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X-ray</w:t>
            </w:r>
            <w:proofErr w:type="spellEnd"/>
          </w:p>
        </w:tc>
        <w:tc>
          <w:tcPr>
            <w:tcW w:w="687"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160</w:t>
            </w:r>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53</w:t>
            </w:r>
          </w:p>
        </w:tc>
        <w:tc>
          <w:tcPr>
            <w:tcW w:w="978" w:type="dxa"/>
            <w:noWrap/>
            <w:hideMark/>
          </w:tcPr>
          <w:p w:rsidR="00CA652E" w:rsidRPr="002F427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27</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409"/>
        </w:trPr>
        <w:tc>
          <w:tcPr>
            <w:cnfStyle w:val="001000000000"/>
            <w:tcW w:w="1103"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Yin 2010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RW.CITE{{487 Yin,M.T. 2010}}</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12</w:t>
            </w:r>
            <w:r w:rsidR="00734DBD" w:rsidRPr="00B8544C">
              <w:rPr>
                <w:rFonts w:ascii="Times New Roman" w:eastAsia="Times New Roman" w:hAnsi="Times New Roman" w:cs="Times New Roman"/>
                <w:color w:val="000000"/>
                <w:sz w:val="18"/>
                <w:szCs w:val="18"/>
              </w:rPr>
              <w:fldChar w:fldCharType="end"/>
            </w:r>
          </w:p>
        </w:tc>
        <w:tc>
          <w:tcPr>
            <w:tcW w:w="2002"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CUMC and BLHC</w:t>
            </w:r>
          </w:p>
        </w:tc>
        <w:tc>
          <w:tcPr>
            <w:tcW w:w="58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2002-2007</w:t>
            </w:r>
          </w:p>
        </w:tc>
        <w:tc>
          <w:tcPr>
            <w:tcW w:w="745"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Cross-sectional</w:t>
            </w:r>
            <w:proofErr w:type="spellEnd"/>
          </w:p>
        </w:tc>
        <w:tc>
          <w:tcPr>
            <w:tcW w:w="112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2F427C">
              <w:rPr>
                <w:rFonts w:ascii="Times New Roman" w:eastAsia="Times New Roman" w:hAnsi="Times New Roman" w:cs="Times New Roman"/>
                <w:color w:val="000000"/>
                <w:sz w:val="18"/>
                <w:szCs w:val="18"/>
              </w:rPr>
              <w:t>Spine</w:t>
            </w:r>
            <w:proofErr w:type="spellEnd"/>
            <w:r w:rsidRPr="002F427C">
              <w:rPr>
                <w:rFonts w:ascii="Times New Roman" w:eastAsia="Times New Roman" w:hAnsi="Times New Roman" w:cs="Times New Roman"/>
                <w:color w:val="000000"/>
                <w:sz w:val="18"/>
                <w:szCs w:val="18"/>
              </w:rPr>
              <w:t xml:space="preserve"> </w:t>
            </w:r>
            <w:proofErr w:type="spellStart"/>
            <w:r w:rsidRPr="002F427C">
              <w:rPr>
                <w:rFonts w:ascii="Times New Roman" w:eastAsia="Times New Roman" w:hAnsi="Times New Roman" w:cs="Times New Roman"/>
                <w:color w:val="000000"/>
                <w:sz w:val="18"/>
                <w:szCs w:val="18"/>
              </w:rPr>
              <w:t>radiographs</w:t>
            </w:r>
            <w:proofErr w:type="spellEnd"/>
          </w:p>
        </w:tc>
        <w:tc>
          <w:tcPr>
            <w:tcW w:w="687"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92</w:t>
            </w:r>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2F427C">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roofErr w:type="gramEnd"/>
          </w:p>
        </w:tc>
        <w:tc>
          <w:tcPr>
            <w:tcW w:w="649"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55</w:t>
            </w:r>
            <w:r w:rsidRPr="004629DC">
              <w:rPr>
                <w:rFonts w:ascii="Times New Roman" w:eastAsia="Times New Roman" w:hAnsi="Times New Roman" w:cs="Times New Roman"/>
                <w:color w:val="000000"/>
                <w:sz w:val="18"/>
                <w:szCs w:val="18"/>
              </w:rPr>
              <w:t>.</w:t>
            </w:r>
            <w:r w:rsidRPr="002F427C">
              <w:rPr>
                <w:rFonts w:ascii="Times New Roman" w:eastAsia="Times New Roman" w:hAnsi="Times New Roman" w:cs="Times New Roman"/>
                <w:color w:val="000000"/>
                <w:sz w:val="18"/>
                <w:szCs w:val="18"/>
              </w:rPr>
              <w:t>9</w:t>
            </w:r>
          </w:p>
        </w:tc>
        <w:tc>
          <w:tcPr>
            <w:tcW w:w="978" w:type="dxa"/>
            <w:noWrap/>
            <w:hideMark/>
          </w:tcPr>
          <w:p w:rsidR="00CA652E" w:rsidRPr="002F427C" w:rsidRDefault="00CA652E" w:rsidP="00B3156F">
            <w:pPr>
              <w:spacing w:line="24" w:lineRule="atLeast"/>
              <w:cnfStyle w:val="000000000000"/>
              <w:rPr>
                <w:rFonts w:ascii="Times New Roman" w:eastAsia="Times New Roman" w:hAnsi="Times New Roman" w:cs="Times New Roman"/>
                <w:color w:val="000000"/>
                <w:sz w:val="18"/>
                <w:szCs w:val="18"/>
              </w:rPr>
            </w:pPr>
            <w:r w:rsidRPr="002F427C">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w:t>
            </w:r>
            <w:proofErr w:type="gramStart"/>
            <w:r w:rsidRPr="002F427C">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w:t>
            </w:r>
            <w:proofErr w:type="gramEnd"/>
          </w:p>
        </w:tc>
        <w:tc>
          <w:tcPr>
            <w:tcW w:w="799"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bl>
    <w:p w:rsidR="00CA652E" w:rsidRPr="004629DC" w:rsidRDefault="00CA652E" w:rsidP="00CA652E">
      <w:pPr>
        <w:tabs>
          <w:tab w:val="left" w:pos="5475"/>
        </w:tabs>
        <w:spacing w:after="0" w:line="24" w:lineRule="atLeast"/>
        <w:rPr>
          <w:rFonts w:ascii="Times New Roman" w:hAnsi="Times New Roman" w:cs="Times New Roman"/>
          <w:sz w:val="18"/>
          <w:szCs w:val="18"/>
          <w:lang w:val="en-US"/>
        </w:rPr>
      </w:pPr>
      <w:r w:rsidRPr="004629DC">
        <w:rPr>
          <w:rFonts w:ascii="Times New Roman" w:hAnsi="Times New Roman" w:cs="Times New Roman"/>
          <w:sz w:val="18"/>
          <w:szCs w:val="18"/>
          <w:lang w:val="en-US"/>
        </w:rPr>
        <w:tab/>
      </w:r>
    </w:p>
    <w:p w:rsidR="00CA652E" w:rsidRPr="00054F81" w:rsidRDefault="00CA652E" w:rsidP="00CA652E">
      <w:pPr>
        <w:spacing w:after="0" w:line="24" w:lineRule="atLeast"/>
        <w:rPr>
          <w:rFonts w:ascii="Times New Roman" w:hAnsi="Times New Roman" w:cs="Times New Roman"/>
          <w:sz w:val="18"/>
          <w:szCs w:val="18"/>
          <w:lang w:val="en-US"/>
        </w:rPr>
      </w:pPr>
      <w:r w:rsidRPr="000217C5">
        <w:rPr>
          <w:rFonts w:ascii="Times New Roman" w:hAnsi="Times New Roman" w:cs="Times New Roman"/>
          <w:sz w:val="18"/>
          <w:szCs w:val="18"/>
          <w:lang w:val="en-US"/>
        </w:rPr>
        <w:t>Age (years) and BMI (kg/m</w:t>
      </w:r>
      <w:r w:rsidRPr="000217C5">
        <w:rPr>
          <w:rFonts w:ascii="Times New Roman" w:hAnsi="Times New Roman" w:cs="Times New Roman"/>
          <w:sz w:val="18"/>
          <w:szCs w:val="18"/>
          <w:vertAlign w:val="superscript"/>
          <w:lang w:val="en-US"/>
        </w:rPr>
        <w:t>2</w:t>
      </w:r>
      <w:r w:rsidRPr="000217C5">
        <w:rPr>
          <w:rFonts w:ascii="Times New Roman" w:hAnsi="Times New Roman" w:cs="Times New Roman"/>
          <w:sz w:val="18"/>
          <w:szCs w:val="18"/>
          <w:lang w:val="en-US"/>
        </w:rPr>
        <w:t xml:space="preserve">) </w:t>
      </w:r>
      <w:r w:rsidRPr="00054F81">
        <w:rPr>
          <w:rFonts w:ascii="Times New Roman" w:hAnsi="Times New Roman" w:cs="Times New Roman"/>
          <w:sz w:val="18"/>
          <w:szCs w:val="18"/>
          <w:lang w:val="en-US"/>
        </w:rPr>
        <w:t>are presented as means. Level of evidence based on level of evidence for prognostic studies.</w:t>
      </w:r>
    </w:p>
    <w:p w:rsidR="00CA652E" w:rsidRDefault="00CA652E" w:rsidP="00CA652E">
      <w:pPr>
        <w:rPr>
          <w:rFonts w:ascii="Times New Roman" w:hAnsi="Times New Roman" w:cs="Times New Roman"/>
          <w:iCs/>
          <w:sz w:val="24"/>
          <w:szCs w:val="24"/>
          <w:lang w:val="en-GB"/>
        </w:rPr>
      </w:pPr>
      <w:r>
        <w:rPr>
          <w:rFonts w:ascii="Times New Roman" w:hAnsi="Times New Roman" w:cs="Times New Roman"/>
          <w:sz w:val="18"/>
          <w:szCs w:val="18"/>
          <w:lang w:val="en-US"/>
        </w:rPr>
        <w:t>Body mass index (BMI)</w:t>
      </w:r>
      <w:proofErr w:type="gramStart"/>
      <w:r>
        <w:rPr>
          <w:rFonts w:ascii="Times New Roman" w:hAnsi="Times New Roman" w:cs="Times New Roman"/>
          <w:sz w:val="18"/>
          <w:szCs w:val="18"/>
          <w:lang w:val="en-US"/>
        </w:rPr>
        <w:t>,p</w:t>
      </w:r>
      <w:r w:rsidRPr="00054F81">
        <w:rPr>
          <w:rFonts w:ascii="Times New Roman" w:hAnsi="Times New Roman" w:cs="Times New Roman"/>
          <w:sz w:val="18"/>
          <w:szCs w:val="18"/>
          <w:lang w:val="en-US"/>
        </w:rPr>
        <w:t>atients</w:t>
      </w:r>
      <w:proofErr w:type="gramEnd"/>
      <w:r w:rsidRPr="00054F81">
        <w:rPr>
          <w:rFonts w:ascii="Times New Roman" w:hAnsi="Times New Roman" w:cs="Times New Roman"/>
          <w:sz w:val="18"/>
          <w:szCs w:val="18"/>
          <w:lang w:val="en-US"/>
        </w:rPr>
        <w:t xml:space="preserve"> living with HIV (PLHIV)</w:t>
      </w:r>
      <w:r>
        <w:rPr>
          <w:rFonts w:ascii="Times New Roman" w:hAnsi="Times New Roman" w:cs="Times New Roman"/>
          <w:sz w:val="18"/>
          <w:szCs w:val="18"/>
          <w:lang w:val="en-US"/>
        </w:rPr>
        <w:t xml:space="preserve">, </w:t>
      </w:r>
      <w:r>
        <w:rPr>
          <w:rFonts w:ascii="Times New Roman" w:hAnsi="Times New Roman" w:cs="Times New Roman"/>
          <w:iCs/>
          <w:sz w:val="18"/>
          <w:szCs w:val="18"/>
          <w:lang w:val="en-GB"/>
        </w:rPr>
        <w:t>v</w:t>
      </w:r>
      <w:r w:rsidRPr="00054F81">
        <w:rPr>
          <w:rFonts w:ascii="Times New Roman" w:hAnsi="Times New Roman" w:cs="Times New Roman"/>
          <w:iCs/>
          <w:sz w:val="18"/>
          <w:szCs w:val="18"/>
          <w:lang w:val="en-GB"/>
        </w:rPr>
        <w:t>ertebral fracture (VF)</w:t>
      </w:r>
      <w:r>
        <w:rPr>
          <w:rFonts w:ascii="Times New Roman" w:hAnsi="Times New Roman" w:cs="Times New Roman"/>
          <w:iCs/>
          <w:sz w:val="24"/>
          <w:szCs w:val="24"/>
          <w:lang w:val="en-GB"/>
        </w:rPr>
        <w:br w:type="page"/>
      </w:r>
    </w:p>
    <w:p w:rsidR="00CA652E" w:rsidRDefault="004B77E9" w:rsidP="00CA652E">
      <w:pPr>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sidR="00B3156F">
        <w:rPr>
          <w:rFonts w:ascii="Times New Roman" w:hAnsi="Times New Roman" w:cs="Times New Roman"/>
          <w:iCs/>
          <w:sz w:val="24"/>
          <w:szCs w:val="24"/>
          <w:lang w:val="en-GB"/>
        </w:rPr>
        <w:t xml:space="preserve"> </w:t>
      </w:r>
      <w:r w:rsidR="00CA652E">
        <w:rPr>
          <w:rFonts w:ascii="Times New Roman" w:hAnsi="Times New Roman" w:cs="Times New Roman"/>
          <w:iCs/>
          <w:sz w:val="24"/>
          <w:szCs w:val="24"/>
          <w:lang w:val="en-GB"/>
        </w:rPr>
        <w:t>Table 2.</w:t>
      </w:r>
      <w:proofErr w:type="gramEnd"/>
      <w:r w:rsidR="00CA652E">
        <w:rPr>
          <w:rFonts w:ascii="Times New Roman" w:hAnsi="Times New Roman" w:cs="Times New Roman"/>
          <w:iCs/>
          <w:sz w:val="24"/>
          <w:szCs w:val="24"/>
          <w:lang w:val="en-GB"/>
        </w:rPr>
        <w:t xml:space="preserve"> Characteristics of studies investigating fracture risk in patients living with HIV</w:t>
      </w:r>
    </w:p>
    <w:tbl>
      <w:tblPr>
        <w:tblStyle w:val="Lysskygge1"/>
        <w:tblW w:w="9316" w:type="dxa"/>
        <w:tblLook w:val="04A0"/>
      </w:tblPr>
      <w:tblGrid>
        <w:gridCol w:w="985"/>
        <w:gridCol w:w="1409"/>
        <w:gridCol w:w="709"/>
        <w:gridCol w:w="846"/>
        <w:gridCol w:w="1545"/>
        <w:gridCol w:w="920"/>
        <w:gridCol w:w="778"/>
        <w:gridCol w:w="317"/>
        <w:gridCol w:w="495"/>
        <w:gridCol w:w="246"/>
        <w:gridCol w:w="683"/>
        <w:gridCol w:w="216"/>
        <w:gridCol w:w="705"/>
      </w:tblGrid>
      <w:tr w:rsidR="00CA652E" w:rsidRPr="004629DC" w:rsidTr="00B3156F">
        <w:trPr>
          <w:cnfStyle w:val="100000000000"/>
          <w:trHeight w:val="110"/>
        </w:trPr>
        <w:tc>
          <w:tcPr>
            <w:cnfStyle w:val="001000000000"/>
            <w:tcW w:w="947" w:type="dxa"/>
            <w:noWrap/>
            <w:hideMark/>
          </w:tcPr>
          <w:p w:rsidR="00CA652E" w:rsidRPr="00B8544C" w:rsidRDefault="00CA652E" w:rsidP="00B3156F">
            <w:pPr>
              <w:spacing w:line="24" w:lineRule="atLeast"/>
              <w:rPr>
                <w:rFonts w:ascii="Times New Roman" w:eastAsia="Times New Roman" w:hAnsi="Times New Roman" w:cs="Times New Roman"/>
                <w:color w:val="000000"/>
                <w:sz w:val="18"/>
                <w:szCs w:val="18"/>
              </w:rPr>
            </w:pPr>
            <w:proofErr w:type="spellStart"/>
            <w:r w:rsidRPr="00B8544C">
              <w:rPr>
                <w:rFonts w:ascii="Times New Roman" w:eastAsia="Times New Roman" w:hAnsi="Times New Roman" w:cs="Times New Roman"/>
                <w:color w:val="000000"/>
                <w:sz w:val="18"/>
                <w:szCs w:val="18"/>
              </w:rPr>
              <w:t>Study</w:t>
            </w:r>
            <w:proofErr w:type="spellEnd"/>
          </w:p>
        </w:tc>
        <w:tc>
          <w:tcPr>
            <w:tcW w:w="1428"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Population</w:t>
            </w:r>
          </w:p>
        </w:tc>
        <w:tc>
          <w:tcPr>
            <w:tcW w:w="574"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 xml:space="preserve">Time </w:t>
            </w:r>
            <w:proofErr w:type="spellStart"/>
            <w:r w:rsidRPr="00B8544C">
              <w:rPr>
                <w:rFonts w:ascii="Times New Roman" w:eastAsia="Times New Roman" w:hAnsi="Times New Roman" w:cs="Times New Roman"/>
                <w:color w:val="000000"/>
                <w:sz w:val="18"/>
                <w:szCs w:val="18"/>
              </w:rPr>
              <w:t>period</w:t>
            </w:r>
            <w:proofErr w:type="spellEnd"/>
          </w:p>
        </w:tc>
        <w:tc>
          <w:tcPr>
            <w:tcW w:w="724"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Design</w:t>
            </w:r>
          </w:p>
        </w:tc>
        <w:tc>
          <w:tcPr>
            <w:tcW w:w="1509"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proofErr w:type="spellStart"/>
            <w:r w:rsidRPr="00B8544C">
              <w:rPr>
                <w:rFonts w:ascii="Times New Roman" w:eastAsia="Times New Roman" w:hAnsi="Times New Roman" w:cs="Times New Roman"/>
                <w:color w:val="000000"/>
                <w:sz w:val="18"/>
                <w:szCs w:val="18"/>
              </w:rPr>
              <w:t>Fracture</w:t>
            </w:r>
            <w:proofErr w:type="spellEnd"/>
            <w:r w:rsidRPr="00B8544C">
              <w:rPr>
                <w:rFonts w:ascii="Times New Roman" w:eastAsia="Times New Roman" w:hAnsi="Times New Roman" w:cs="Times New Roman"/>
                <w:color w:val="000000"/>
                <w:sz w:val="18"/>
                <w:szCs w:val="18"/>
              </w:rPr>
              <w:t xml:space="preserve"> </w:t>
            </w:r>
            <w:proofErr w:type="spellStart"/>
            <w:r w:rsidRPr="00B8544C">
              <w:rPr>
                <w:rFonts w:ascii="Times New Roman" w:eastAsia="Times New Roman" w:hAnsi="Times New Roman" w:cs="Times New Roman"/>
                <w:color w:val="000000"/>
                <w:sz w:val="18"/>
                <w:szCs w:val="18"/>
              </w:rPr>
              <w:t>evaluation</w:t>
            </w:r>
            <w:proofErr w:type="spellEnd"/>
          </w:p>
        </w:tc>
        <w:tc>
          <w:tcPr>
            <w:tcW w:w="931"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PLHIV (n)</w:t>
            </w:r>
          </w:p>
        </w:tc>
        <w:tc>
          <w:tcPr>
            <w:tcW w:w="668" w:type="dxa"/>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 men PLHIV</w:t>
            </w:r>
          </w:p>
        </w:tc>
        <w:tc>
          <w:tcPr>
            <w:tcW w:w="818" w:type="dxa"/>
            <w:gridSpan w:val="2"/>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rPr>
            </w:pPr>
            <w:r w:rsidRPr="00B8544C">
              <w:rPr>
                <w:rFonts w:ascii="Times New Roman" w:eastAsia="Times New Roman" w:hAnsi="Times New Roman" w:cs="Times New Roman"/>
                <w:color w:val="000000"/>
                <w:sz w:val="18"/>
                <w:szCs w:val="18"/>
              </w:rPr>
              <w:t>Age of PLHIV</w:t>
            </w:r>
          </w:p>
        </w:tc>
        <w:tc>
          <w:tcPr>
            <w:tcW w:w="936" w:type="dxa"/>
            <w:gridSpan w:val="2"/>
            <w:noWrap/>
            <w:hideMark/>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lang w:val="en-US"/>
              </w:rPr>
            </w:pPr>
            <w:r w:rsidRPr="00B8544C">
              <w:rPr>
                <w:rFonts w:ascii="Times New Roman" w:eastAsia="Times New Roman" w:hAnsi="Times New Roman" w:cs="Times New Roman"/>
                <w:color w:val="000000"/>
                <w:sz w:val="18"/>
                <w:szCs w:val="18"/>
                <w:lang w:val="en-US"/>
              </w:rPr>
              <w:t>BMI of PLHIV</w:t>
            </w:r>
          </w:p>
        </w:tc>
        <w:tc>
          <w:tcPr>
            <w:tcW w:w="780" w:type="dxa"/>
            <w:gridSpan w:val="2"/>
          </w:tcPr>
          <w:p w:rsidR="00CA652E" w:rsidRPr="00B8544C" w:rsidRDefault="00CA652E" w:rsidP="00B3156F">
            <w:pPr>
              <w:spacing w:line="24" w:lineRule="atLeast"/>
              <w:cnfStyle w:val="100000000000"/>
              <w:rPr>
                <w:rFonts w:ascii="Times New Roman" w:eastAsia="Times New Roman" w:hAnsi="Times New Roman" w:cs="Times New Roman"/>
                <w:color w:val="000000"/>
                <w:sz w:val="18"/>
                <w:szCs w:val="18"/>
                <w:lang w:val="en-US"/>
              </w:rPr>
            </w:pPr>
            <w:r w:rsidRPr="00B8544C">
              <w:rPr>
                <w:rFonts w:ascii="Times New Roman" w:eastAsia="Times New Roman" w:hAnsi="Times New Roman" w:cs="Times New Roman"/>
                <w:color w:val="000000"/>
                <w:sz w:val="18"/>
                <w:szCs w:val="18"/>
                <w:lang w:val="en-US"/>
              </w:rPr>
              <w:t>Evidence level</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Arnsten</w:t>
            </w:r>
            <w:proofErr w:type="spellEnd"/>
            <w:r w:rsidRPr="00B8544C">
              <w:rPr>
                <w:rFonts w:ascii="Times New Roman" w:eastAsia="Times New Roman" w:hAnsi="Times New Roman" w:cs="Times New Roman"/>
                <w:b w:val="0"/>
                <w:color w:val="000000"/>
                <w:sz w:val="18"/>
                <w:szCs w:val="18"/>
              </w:rPr>
              <w:t xml:space="preserve"> 2007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RW.CITE{{23 Arnsten,J.H. 2007}}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13</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CHAMPS </w:t>
            </w:r>
            <w:proofErr w:type="spellStart"/>
            <w:r w:rsidRPr="004629DC">
              <w:rPr>
                <w:rFonts w:ascii="Times New Roman" w:eastAsia="Times New Roman" w:hAnsi="Times New Roman" w:cs="Times New Roman"/>
                <w:color w:val="000000"/>
                <w:sz w:val="18"/>
                <w:szCs w:val="18"/>
              </w:rPr>
              <w:t>study</w:t>
            </w:r>
            <w:proofErr w:type="spellEnd"/>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2000-2006</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fractures</w:t>
            </w:r>
            <w:proofErr w:type="spellEnd"/>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328</w:t>
            </w:r>
          </w:p>
        </w:tc>
        <w:tc>
          <w:tcPr>
            <w:tcW w:w="66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818"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54.7</w:t>
            </w:r>
          </w:p>
        </w:tc>
        <w:tc>
          <w:tcPr>
            <w:tcW w:w="1008" w:type="dxa"/>
            <w:gridSpan w:val="3"/>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Battalora</w:t>
            </w:r>
            <w:proofErr w:type="spellEnd"/>
            <w:r w:rsidRPr="00B8544C">
              <w:rPr>
                <w:rFonts w:ascii="Times New Roman" w:eastAsia="Times New Roman" w:hAnsi="Times New Roman" w:cs="Times New Roman"/>
                <w:b w:val="0"/>
                <w:color w:val="000000"/>
                <w:sz w:val="18"/>
                <w:szCs w:val="18"/>
              </w:rPr>
              <w:t xml:space="preserve"> 2016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RW.CITE{{46 Battalora,L.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14</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HOPS-DIDX and SUN study, site Denver</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2004-2012</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fractures</w:t>
            </w:r>
            <w:proofErr w:type="spellEnd"/>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1,006</w:t>
            </w:r>
          </w:p>
        </w:tc>
        <w:tc>
          <w:tcPr>
            <w:tcW w:w="66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83%</w:t>
            </w:r>
            <w:proofErr w:type="gramEnd"/>
          </w:p>
        </w:tc>
        <w:tc>
          <w:tcPr>
            <w:tcW w:w="818"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43</w:t>
            </w:r>
          </w:p>
        </w:tc>
        <w:tc>
          <w:tcPr>
            <w:tcW w:w="1008" w:type="dxa"/>
            <w:gridSpan w:val="3"/>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25</w:t>
            </w: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Bedimo</w:t>
            </w:r>
            <w:proofErr w:type="spellEnd"/>
            <w:r w:rsidRPr="00B8544C">
              <w:rPr>
                <w:rFonts w:ascii="Times New Roman" w:eastAsia="Times New Roman" w:hAnsi="Times New Roman" w:cs="Times New Roman"/>
                <w:b w:val="0"/>
                <w:color w:val="000000"/>
                <w:sz w:val="18"/>
                <w:szCs w:val="18"/>
              </w:rPr>
              <w:t xml:space="preserve"> 2012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RW.CITE{{57 Bedimo,R.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15</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VHA </w:t>
            </w:r>
            <w:proofErr w:type="spellStart"/>
            <w:r w:rsidRPr="004629DC">
              <w:rPr>
                <w:rFonts w:ascii="Times New Roman" w:eastAsia="Times New Roman" w:hAnsi="Times New Roman" w:cs="Times New Roman"/>
                <w:color w:val="000000"/>
                <w:sz w:val="18"/>
                <w:szCs w:val="18"/>
              </w:rPr>
              <w:t>Clinical</w:t>
            </w:r>
            <w:proofErr w:type="spellEnd"/>
            <w:r w:rsidRPr="004629DC">
              <w:rPr>
                <w:rFonts w:ascii="Times New Roman" w:eastAsia="Times New Roman" w:hAnsi="Times New Roman" w:cs="Times New Roman"/>
                <w:color w:val="000000"/>
                <w:sz w:val="18"/>
                <w:szCs w:val="18"/>
              </w:rPr>
              <w:t xml:space="preserve"> Case </w:t>
            </w:r>
            <w:proofErr w:type="spellStart"/>
            <w:r w:rsidRPr="004629DC">
              <w:rPr>
                <w:rFonts w:ascii="Times New Roman" w:eastAsia="Times New Roman" w:hAnsi="Times New Roman" w:cs="Times New Roman"/>
                <w:color w:val="000000"/>
                <w:sz w:val="18"/>
                <w:szCs w:val="18"/>
              </w:rPr>
              <w:t>registry</w:t>
            </w:r>
            <w:proofErr w:type="spellEnd"/>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1988-2009</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fractures</w:t>
            </w:r>
            <w:proofErr w:type="spellEnd"/>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56,600</w:t>
            </w:r>
          </w:p>
        </w:tc>
        <w:tc>
          <w:tcPr>
            <w:tcW w:w="66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
        </w:tc>
        <w:tc>
          <w:tcPr>
            <w:tcW w:w="818"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44-46</w:t>
            </w:r>
          </w:p>
        </w:tc>
        <w:tc>
          <w:tcPr>
            <w:tcW w:w="1008" w:type="dxa"/>
            <w:gridSpan w:val="3"/>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Byrne</w:t>
            </w:r>
            <w:proofErr w:type="spellEnd"/>
            <w:r w:rsidRPr="00B8544C">
              <w:rPr>
                <w:rFonts w:ascii="Times New Roman" w:eastAsia="Times New Roman" w:hAnsi="Times New Roman" w:cs="Times New Roman"/>
                <w:b w:val="0"/>
                <w:color w:val="000000"/>
                <w:sz w:val="18"/>
                <w:szCs w:val="18"/>
              </w:rPr>
              <w:t xml:space="preserve">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RW.CITE{{105 Byrne,D.D.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16</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Medicaid</w:t>
            </w:r>
            <w:proofErr w:type="spellEnd"/>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1999-2007</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Incident-hip</w:t>
            </w:r>
            <w:proofErr w:type="spellEnd"/>
            <w:r w:rsidRPr="004629DC">
              <w:rPr>
                <w:rFonts w:ascii="Times New Roman" w:eastAsia="Times New Roman" w:hAnsi="Times New Roman" w:cs="Times New Roman"/>
                <w:color w:val="000000"/>
                <w:sz w:val="18"/>
                <w:szCs w:val="18"/>
              </w:rPr>
              <w:t xml:space="preserve"> </w:t>
            </w:r>
            <w:proofErr w:type="spellStart"/>
            <w:r w:rsidRPr="004629DC">
              <w:rPr>
                <w:rFonts w:ascii="Times New Roman" w:eastAsia="Times New Roman" w:hAnsi="Times New Roman" w:cs="Times New Roman"/>
                <w:color w:val="000000"/>
                <w:sz w:val="18"/>
                <w:szCs w:val="18"/>
              </w:rPr>
              <w:t>fracture</w:t>
            </w:r>
            <w:proofErr w:type="spellEnd"/>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96,253</w:t>
            </w:r>
          </w:p>
        </w:tc>
        <w:tc>
          <w:tcPr>
            <w:tcW w:w="66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62%</w:t>
            </w:r>
            <w:proofErr w:type="gramEnd"/>
          </w:p>
        </w:tc>
        <w:tc>
          <w:tcPr>
            <w:tcW w:w="818"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w:t>
            </w:r>
          </w:p>
        </w:tc>
        <w:tc>
          <w:tcPr>
            <w:tcW w:w="1008" w:type="dxa"/>
            <w:gridSpan w:val="3"/>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r>
      <w:tr w:rsidR="00CA652E" w:rsidRPr="004629DC" w:rsidTr="00B3156F">
        <w:trPr>
          <w:cnfStyle w:val="000000100000"/>
          <w:trHeight w:val="110"/>
        </w:trPr>
        <w:tc>
          <w:tcPr>
            <w:cnfStyle w:val="001000000000"/>
            <w:tcW w:w="947" w:type="dxa"/>
            <w:noWrap/>
            <w:hideMark/>
          </w:tcPr>
          <w:p w:rsidR="00CA652E" w:rsidRPr="00B8544C" w:rsidRDefault="00CA652E" w:rsidP="00B3156F">
            <w:pPr>
              <w:spacing w:line="24" w:lineRule="atLeast"/>
              <w:rPr>
                <w:rFonts w:ascii="Times New Roman" w:eastAsia="Times New Roman" w:hAnsi="Times New Roman" w:cs="Times New Roman"/>
                <w:b w:val="0"/>
                <w:color w:val="000000"/>
                <w:sz w:val="18"/>
                <w:szCs w:val="18"/>
              </w:rPr>
            </w:pPr>
          </w:p>
          <w:p w:rsidR="00CA652E" w:rsidRPr="00B8544C" w:rsidRDefault="00CA652E" w:rsidP="009A2FA4">
            <w:pPr>
              <w:spacing w:line="24" w:lineRule="atLeast"/>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Collin 2009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RW.CITE{{140 Collin,F. 2009}}</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17</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ANRS CO APROCO COPILOTE cohort</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1997-2007</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 xml:space="preserve">Incident fractures - </w:t>
            </w:r>
            <w:r w:rsidRPr="004629DC">
              <w:rPr>
                <w:rFonts w:ascii="Times New Roman" w:eastAsia="Times New Roman" w:hAnsi="Times New Roman" w:cs="Times New Roman"/>
                <w:color w:val="000000"/>
                <w:sz w:val="18"/>
                <w:szCs w:val="18"/>
                <w:lang w:val="en-US"/>
              </w:rPr>
              <w:t>grade 3 or 4 fractures</w:t>
            </w:r>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1,281</w:t>
            </w:r>
          </w:p>
        </w:tc>
        <w:tc>
          <w:tcPr>
            <w:tcW w:w="66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77%</w:t>
            </w:r>
            <w:proofErr w:type="gramEnd"/>
          </w:p>
        </w:tc>
        <w:tc>
          <w:tcPr>
            <w:tcW w:w="818"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36.2</w:t>
            </w:r>
          </w:p>
        </w:tc>
        <w:tc>
          <w:tcPr>
            <w:tcW w:w="1008" w:type="dxa"/>
            <w:gridSpan w:val="3"/>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4629DC">
              <w:rPr>
                <w:rFonts w:ascii="Times New Roman" w:eastAsia="Times New Roman" w:hAnsi="Times New Roman" w:cs="Times New Roman"/>
                <w:color w:val="000000"/>
                <w:sz w:val="18"/>
                <w:szCs w:val="18"/>
              </w:rPr>
              <w:t>22</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Gedmintas</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RW.CITE{{195 Gedmintas,L.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18</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Research Patient Data </w:t>
            </w:r>
            <w:proofErr w:type="spellStart"/>
            <w:r w:rsidRPr="004629DC">
              <w:rPr>
                <w:rFonts w:ascii="Times New Roman" w:eastAsia="Times New Roman" w:hAnsi="Times New Roman" w:cs="Times New Roman"/>
                <w:color w:val="000000"/>
                <w:sz w:val="18"/>
                <w:szCs w:val="18"/>
              </w:rPr>
              <w:t>Registry</w:t>
            </w:r>
            <w:proofErr w:type="spellEnd"/>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2001-2012</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w:t>
            </w:r>
            <w:proofErr w:type="spellEnd"/>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3,161</w:t>
            </w:r>
          </w:p>
        </w:tc>
        <w:tc>
          <w:tcPr>
            <w:tcW w:w="66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73%</w:t>
            </w:r>
            <w:proofErr w:type="gramEnd"/>
          </w:p>
        </w:tc>
        <w:tc>
          <w:tcPr>
            <w:tcW w:w="1826" w:type="dxa"/>
            <w:gridSpan w:val="5"/>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41-44</w:t>
            </w:r>
            <w:r w:rsidRPr="004629DC">
              <w:rPr>
                <w:rFonts w:ascii="Times New Roman" w:eastAsia="Times New Roman" w:hAnsi="Times New Roman" w:cs="Times New Roman"/>
                <w:color w:val="000000"/>
                <w:sz w:val="18"/>
                <w:szCs w:val="18"/>
              </w:rPr>
              <w:t xml:space="preserve"> </w:t>
            </w: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Gedmintas</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RW.CITE{{194 Gedmintas,L.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19</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Research Patient Data </w:t>
            </w:r>
            <w:proofErr w:type="spellStart"/>
            <w:r w:rsidRPr="004629DC">
              <w:rPr>
                <w:rFonts w:ascii="Times New Roman" w:eastAsia="Times New Roman" w:hAnsi="Times New Roman" w:cs="Times New Roman"/>
                <w:color w:val="000000"/>
                <w:sz w:val="18"/>
                <w:szCs w:val="18"/>
              </w:rPr>
              <w:t>Registry</w:t>
            </w:r>
            <w:proofErr w:type="spellEnd"/>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2001-2012</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w:t>
            </w:r>
            <w:proofErr w:type="spellEnd"/>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2,663</w:t>
            </w:r>
          </w:p>
        </w:tc>
        <w:tc>
          <w:tcPr>
            <w:tcW w:w="66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72</w:t>
            </w:r>
            <w:r>
              <w:rPr>
                <w:rFonts w:ascii="Times New Roman" w:eastAsia="Times New Roman" w:hAnsi="Times New Roman" w:cs="Times New Roman"/>
                <w:color w:val="000000"/>
                <w:sz w:val="18"/>
                <w:szCs w:val="18"/>
              </w:rPr>
              <w:t>%</w:t>
            </w:r>
            <w:proofErr w:type="gramEnd"/>
          </w:p>
        </w:tc>
        <w:tc>
          <w:tcPr>
            <w:tcW w:w="1064" w:type="dxa"/>
            <w:gridSpan w:val="3"/>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43</w:t>
            </w: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bCs w:val="0"/>
                <w:color w:val="000000"/>
                <w:sz w:val="18"/>
                <w:szCs w:val="18"/>
              </w:rPr>
            </w:pPr>
            <w:proofErr w:type="spellStart"/>
            <w:r w:rsidRPr="00B8544C">
              <w:rPr>
                <w:rFonts w:ascii="Times New Roman" w:eastAsia="Times New Roman" w:hAnsi="Times New Roman" w:cs="Times New Roman"/>
                <w:b w:val="0"/>
                <w:bCs w:val="0"/>
                <w:color w:val="000000"/>
                <w:sz w:val="18"/>
                <w:szCs w:val="18"/>
              </w:rPr>
              <w:t>Gonciulea</w:t>
            </w:r>
            <w:proofErr w:type="spellEnd"/>
            <w:r w:rsidRPr="00B8544C">
              <w:rPr>
                <w:rFonts w:ascii="Times New Roman" w:eastAsia="Times New Roman" w:hAnsi="Times New Roman" w:cs="Times New Roman"/>
                <w:b w:val="0"/>
                <w:bCs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bCs w:val="0"/>
                <w:color w:val="000000"/>
                <w:sz w:val="18"/>
                <w:szCs w:val="18"/>
              </w:rPr>
              <w:instrText>ADDIN RW.CITE{{203 Gonciulea,A.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20</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MACS</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1984-2015</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w:t>
            </w:r>
            <w:proofErr w:type="spellEnd"/>
            <w:r w:rsidRPr="004629DC">
              <w:rPr>
                <w:rFonts w:ascii="Times New Roman" w:eastAsia="Times New Roman" w:hAnsi="Times New Roman" w:cs="Times New Roman"/>
                <w:color w:val="000000"/>
                <w:sz w:val="18"/>
                <w:szCs w:val="18"/>
              </w:rPr>
              <w:t xml:space="preserve"> (</w:t>
            </w:r>
            <w:proofErr w:type="spellStart"/>
            <w:r w:rsidRPr="004629DC">
              <w:rPr>
                <w:rFonts w:ascii="Times New Roman" w:eastAsia="Times New Roman" w:hAnsi="Times New Roman" w:cs="Times New Roman"/>
                <w:color w:val="000000"/>
                <w:sz w:val="18"/>
                <w:szCs w:val="18"/>
              </w:rPr>
              <w:t>self-report</w:t>
            </w:r>
            <w:proofErr w:type="spellEnd"/>
            <w:r w:rsidRPr="004629DC">
              <w:rPr>
                <w:rFonts w:ascii="Times New Roman" w:eastAsia="Times New Roman" w:hAnsi="Times New Roman" w:cs="Times New Roman"/>
                <w:color w:val="000000"/>
                <w:sz w:val="18"/>
                <w:szCs w:val="18"/>
              </w:rPr>
              <w:t>)</w:t>
            </w:r>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1,221</w:t>
            </w:r>
          </w:p>
        </w:tc>
        <w:tc>
          <w:tcPr>
            <w:tcW w:w="66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1064" w:type="dxa"/>
            <w:gridSpan w:val="3"/>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40</w:t>
            </w: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25</w:t>
            </w: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bCs w:val="0"/>
                <w:color w:val="000000"/>
                <w:sz w:val="18"/>
                <w:szCs w:val="18"/>
              </w:rPr>
            </w:pPr>
            <w:proofErr w:type="spellStart"/>
            <w:r w:rsidRPr="00B8544C">
              <w:rPr>
                <w:rFonts w:ascii="Times New Roman" w:eastAsia="Times New Roman" w:hAnsi="Times New Roman" w:cs="Times New Roman"/>
                <w:b w:val="0"/>
                <w:bCs w:val="0"/>
                <w:color w:val="000000"/>
                <w:sz w:val="18"/>
                <w:szCs w:val="18"/>
              </w:rPr>
              <w:t>Guerri-Fernandez</w:t>
            </w:r>
            <w:proofErr w:type="spellEnd"/>
            <w:r w:rsidRPr="00B8544C">
              <w:rPr>
                <w:rFonts w:ascii="Times New Roman" w:eastAsia="Times New Roman" w:hAnsi="Times New Roman" w:cs="Times New Roman"/>
                <w:b w:val="0"/>
                <w:bCs w:val="0"/>
                <w:color w:val="000000"/>
                <w:sz w:val="18"/>
                <w:szCs w:val="18"/>
              </w:rPr>
              <w:t xml:space="preserve"> 2013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bCs w:val="0"/>
                <w:color w:val="000000"/>
                <w:sz w:val="18"/>
                <w:szCs w:val="18"/>
              </w:rPr>
              <w:instrText>ADDIN RW.CITE{{217 Guerri-Fernandez,R.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21</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SIDIAP</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2007-2009</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w:t>
            </w:r>
            <w:proofErr w:type="spellEnd"/>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2,489</w:t>
            </w:r>
          </w:p>
        </w:tc>
        <w:tc>
          <w:tcPr>
            <w:tcW w:w="66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75%</w:t>
            </w:r>
            <w:proofErr w:type="gramEnd"/>
          </w:p>
        </w:tc>
        <w:tc>
          <w:tcPr>
            <w:tcW w:w="1064" w:type="dxa"/>
            <w:gridSpan w:val="3"/>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50</w:t>
            </w: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bCs w:val="0"/>
                <w:color w:val="000000"/>
                <w:sz w:val="18"/>
                <w:szCs w:val="18"/>
              </w:rPr>
            </w:pPr>
            <w:r w:rsidRPr="00B8544C">
              <w:rPr>
                <w:rFonts w:ascii="Times New Roman" w:eastAsia="Times New Roman" w:hAnsi="Times New Roman" w:cs="Times New Roman"/>
                <w:b w:val="0"/>
                <w:bCs w:val="0"/>
                <w:color w:val="000000"/>
                <w:sz w:val="18"/>
                <w:szCs w:val="18"/>
              </w:rPr>
              <w:t xml:space="preserve">Hansen 2012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bCs w:val="0"/>
                <w:color w:val="000000"/>
                <w:sz w:val="18"/>
                <w:szCs w:val="18"/>
              </w:rPr>
              <w:instrText>ADDIN RW.CITE{{226 Hansen,A.B.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22</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DHCS and DNHR</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1995-2010</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w:t>
            </w:r>
            <w:proofErr w:type="spellEnd"/>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5,306</w:t>
            </w:r>
          </w:p>
        </w:tc>
        <w:tc>
          <w:tcPr>
            <w:tcW w:w="66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76</w:t>
            </w:r>
            <w:r>
              <w:rPr>
                <w:rFonts w:ascii="Times New Roman" w:eastAsia="Times New Roman" w:hAnsi="Times New Roman" w:cs="Times New Roman"/>
                <w:color w:val="000000"/>
                <w:sz w:val="18"/>
                <w:szCs w:val="18"/>
              </w:rPr>
              <w:t>%</w:t>
            </w:r>
            <w:proofErr w:type="gramEnd"/>
          </w:p>
        </w:tc>
        <w:tc>
          <w:tcPr>
            <w:tcW w:w="1064" w:type="dxa"/>
            <w:gridSpan w:val="3"/>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36.7</w:t>
            </w: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Komatsu</w:t>
            </w:r>
            <w:proofErr w:type="spellEnd"/>
            <w:r w:rsidRPr="00B8544C">
              <w:rPr>
                <w:rFonts w:ascii="Times New Roman" w:eastAsia="Times New Roman" w:hAnsi="Times New Roman" w:cs="Times New Roman"/>
                <w:b w:val="0"/>
                <w:color w:val="000000"/>
                <w:sz w:val="18"/>
                <w:szCs w:val="18"/>
              </w:rPr>
              <w:t xml:space="preserve"> 2018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RW.CITE{{508 Komatsu,A. 2018}}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23</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sz w:val="18"/>
                <w:szCs w:val="18"/>
              </w:rPr>
            </w:pPr>
            <w:r w:rsidRPr="004629DC">
              <w:rPr>
                <w:rFonts w:ascii="Times New Roman" w:eastAsia="Times New Roman" w:hAnsi="Times New Roman" w:cs="Times New Roman"/>
                <w:sz w:val="18"/>
                <w:szCs w:val="18"/>
              </w:rPr>
              <w:t xml:space="preserve">HRD </w:t>
            </w:r>
            <w:proofErr w:type="spellStart"/>
            <w:r w:rsidRPr="004629DC">
              <w:rPr>
                <w:rFonts w:ascii="Times New Roman" w:eastAsia="Times New Roman" w:hAnsi="Times New Roman" w:cs="Times New Roman"/>
                <w:sz w:val="18"/>
                <w:szCs w:val="18"/>
              </w:rPr>
              <w:t>survey</w:t>
            </w:r>
            <w:proofErr w:type="spellEnd"/>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2004-2013</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w:t>
            </w:r>
            <w:proofErr w:type="spellEnd"/>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3,251</w:t>
            </w:r>
          </w:p>
        </w:tc>
        <w:tc>
          <w:tcPr>
            <w:tcW w:w="66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w:t>
            </w:r>
          </w:p>
        </w:tc>
        <w:tc>
          <w:tcPr>
            <w:tcW w:w="1826" w:type="dxa"/>
            <w:gridSpan w:val="5"/>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40-41.2</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lang w:val="en-US"/>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lang w:val="en-US"/>
              </w:rPr>
            </w:pPr>
            <w:proofErr w:type="spellStart"/>
            <w:r w:rsidRPr="00B8544C">
              <w:rPr>
                <w:rFonts w:ascii="Times New Roman" w:eastAsia="Times New Roman" w:hAnsi="Times New Roman" w:cs="Times New Roman"/>
                <w:b w:val="0"/>
                <w:color w:val="000000"/>
                <w:sz w:val="18"/>
                <w:szCs w:val="18"/>
                <w:lang w:val="en-US"/>
              </w:rPr>
              <w:t>LaFleur</w:t>
            </w:r>
            <w:proofErr w:type="spellEnd"/>
            <w:r w:rsidRPr="00B8544C">
              <w:rPr>
                <w:rFonts w:ascii="Times New Roman" w:eastAsia="Times New Roman" w:hAnsi="Times New Roman" w:cs="Times New Roman"/>
                <w:b w:val="0"/>
                <w:color w:val="000000"/>
                <w:sz w:val="18"/>
                <w:szCs w:val="18"/>
                <w:lang w:val="en-US"/>
              </w:rPr>
              <w:t xml:space="preserve"> 2018 </w:t>
            </w:r>
            <w:r w:rsidR="00734DBD" w:rsidRPr="00B8544C">
              <w:rPr>
                <w:rFonts w:ascii="Times New Roman" w:eastAsia="Times New Roman" w:hAnsi="Times New Roman" w:cs="Times New Roman"/>
                <w:color w:val="000000"/>
                <w:sz w:val="18"/>
                <w:szCs w:val="18"/>
                <w:lang w:val="en-US"/>
              </w:rPr>
              <w:fldChar w:fldCharType="begin"/>
            </w:r>
            <w:r w:rsidRPr="00B8544C">
              <w:rPr>
                <w:rFonts w:ascii="Times New Roman" w:eastAsia="Times New Roman" w:hAnsi="Times New Roman" w:cs="Times New Roman"/>
                <w:b w:val="0"/>
                <w:color w:val="000000"/>
                <w:sz w:val="18"/>
                <w:szCs w:val="18"/>
                <w:lang w:val="en-US"/>
              </w:rPr>
              <w:instrText>ADDIN RW.CITE{{509 LaFleur,J. 2018}}</w:instrText>
            </w:r>
            <w:r w:rsidR="00734DBD" w:rsidRPr="00B8544C">
              <w:rPr>
                <w:rFonts w:ascii="Times New Roman" w:eastAsia="Times New Roman" w:hAnsi="Times New Roman" w:cs="Times New Roman"/>
                <w:color w:val="000000"/>
                <w:sz w:val="18"/>
                <w:szCs w:val="18"/>
                <w:lang w:val="en-US"/>
              </w:rPr>
              <w:fldChar w:fldCharType="separate"/>
            </w:r>
            <w:r w:rsidR="009A2FA4">
              <w:rPr>
                <w:rFonts w:ascii="Calibri" w:eastAsia="Times New Roman" w:hAnsi="Calibri" w:cs="Calibri"/>
                <w:sz w:val="18"/>
                <w:szCs w:val="18"/>
                <w:vertAlign w:val="superscript"/>
              </w:rPr>
              <w:t>24</w:t>
            </w:r>
            <w:r w:rsidR="00734DBD" w:rsidRPr="00B8544C">
              <w:rPr>
                <w:rFonts w:ascii="Times New Roman" w:eastAsia="Times New Roman" w:hAnsi="Times New Roman" w:cs="Times New Roman"/>
                <w:color w:val="000000"/>
                <w:sz w:val="18"/>
                <w:szCs w:val="18"/>
                <w:lang w:val="en-US"/>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VHA</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2003-2015</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sz w:val="18"/>
                <w:szCs w:val="18"/>
                <w:lang w:val="en-US"/>
              </w:rPr>
            </w:pPr>
            <w:r w:rsidRPr="004629DC">
              <w:rPr>
                <w:rFonts w:ascii="Times New Roman" w:eastAsia="Times New Roman" w:hAnsi="Times New Roman" w:cs="Times New Roman"/>
                <w:sz w:val="18"/>
                <w:szCs w:val="18"/>
                <w:lang w:val="en-US"/>
              </w:rPr>
              <w:t>Cohort</w:t>
            </w:r>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Incident fracture</w:t>
            </w:r>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7,161</w:t>
            </w:r>
          </w:p>
        </w:tc>
        <w:tc>
          <w:tcPr>
            <w:tcW w:w="66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94-</w:t>
            </w:r>
            <w:r w:rsidRPr="004629DC">
              <w:rPr>
                <w:rFonts w:ascii="Times New Roman" w:eastAsia="Times New Roman" w:hAnsi="Times New Roman" w:cs="Times New Roman"/>
                <w:color w:val="000000"/>
                <w:sz w:val="18"/>
                <w:szCs w:val="18"/>
                <w:lang w:val="en-US"/>
              </w:rPr>
              <w:t>97</w:t>
            </w:r>
            <w:r>
              <w:rPr>
                <w:rFonts w:ascii="Times New Roman" w:eastAsia="Times New Roman" w:hAnsi="Times New Roman" w:cs="Times New Roman"/>
                <w:color w:val="000000"/>
                <w:sz w:val="18"/>
                <w:szCs w:val="18"/>
              </w:rPr>
              <w:t>%</w:t>
            </w:r>
          </w:p>
        </w:tc>
        <w:tc>
          <w:tcPr>
            <w:tcW w:w="1064" w:type="dxa"/>
            <w:gridSpan w:val="3"/>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47-50</w:t>
            </w: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25-27</w:t>
            </w: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lang w:val="en-US"/>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Mundy</w:t>
            </w:r>
            <w:proofErr w:type="spellEnd"/>
            <w:r w:rsidRPr="00B8544C">
              <w:rPr>
                <w:rFonts w:ascii="Times New Roman" w:eastAsia="Times New Roman" w:hAnsi="Times New Roman" w:cs="Times New Roman"/>
                <w:b w:val="0"/>
                <w:color w:val="000000"/>
                <w:sz w:val="18"/>
                <w:szCs w:val="18"/>
              </w:rPr>
              <w:t xml:space="preserve"> 2012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RW.CITE{{330 Mundy,L.M.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25</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INBD</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1997-2008</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Case-control</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w:t>
            </w:r>
            <w:proofErr w:type="spellEnd"/>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477 (C)</w:t>
            </w:r>
            <w:r w:rsidRPr="004629DC">
              <w:rPr>
                <w:rFonts w:ascii="Times New Roman" w:eastAsia="Times New Roman" w:hAnsi="Times New Roman" w:cs="Times New Roman"/>
                <w:color w:val="000000"/>
                <w:sz w:val="18"/>
                <w:szCs w:val="18"/>
              </w:rPr>
              <w:t xml:space="preserve"> 9,144 </w:t>
            </w:r>
            <w:r>
              <w:rPr>
                <w:rFonts w:ascii="Times New Roman" w:eastAsia="Times New Roman" w:hAnsi="Times New Roman" w:cs="Times New Roman"/>
                <w:color w:val="000000"/>
                <w:sz w:val="18"/>
                <w:szCs w:val="18"/>
              </w:rPr>
              <w:t>(CO)</w:t>
            </w:r>
          </w:p>
        </w:tc>
        <w:tc>
          <w:tcPr>
            <w:tcW w:w="2495" w:type="dxa"/>
            <w:gridSpan w:val="6"/>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67-</w:t>
            </w:r>
            <w:proofErr w:type="gramStart"/>
            <w:r w:rsidRPr="004629DC">
              <w:rPr>
                <w:rFonts w:ascii="Times New Roman" w:eastAsia="Times New Roman" w:hAnsi="Times New Roman" w:cs="Times New Roman"/>
                <w:color w:val="000000"/>
                <w:sz w:val="18"/>
                <w:szCs w:val="18"/>
              </w:rPr>
              <w:t>72</w:t>
            </w:r>
            <w:r>
              <w:rPr>
                <w:rFonts w:ascii="Times New Roman" w:eastAsia="Times New Roman" w:hAnsi="Times New Roman" w:cs="Times New Roman"/>
                <w:color w:val="000000"/>
                <w:sz w:val="18"/>
                <w:szCs w:val="18"/>
              </w:rPr>
              <w:t>%</w:t>
            </w:r>
            <w:proofErr w:type="gramEnd"/>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1F0037"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Nkhoma</w:t>
            </w:r>
            <w:proofErr w:type="spellEnd"/>
            <w:r w:rsidRPr="00B8544C">
              <w:rPr>
                <w:rFonts w:ascii="Times New Roman" w:eastAsia="Times New Roman" w:hAnsi="Times New Roman" w:cs="Times New Roman"/>
                <w:b w:val="0"/>
                <w:color w:val="000000"/>
                <w:sz w:val="18"/>
                <w:szCs w:val="18"/>
              </w:rPr>
              <w:t xml:space="preserve"> 2016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RW.CITE{{344 Nkhoma,E.T.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26</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Truven</w:t>
            </w:r>
            <w:proofErr w:type="spellEnd"/>
            <w:r w:rsidRPr="004629DC">
              <w:rPr>
                <w:rFonts w:ascii="Times New Roman" w:eastAsia="Times New Roman" w:hAnsi="Times New Roman" w:cs="Times New Roman"/>
                <w:color w:val="000000"/>
                <w:sz w:val="18"/>
                <w:szCs w:val="18"/>
              </w:rPr>
              <w:t xml:space="preserve"> Health </w:t>
            </w:r>
            <w:proofErr w:type="spellStart"/>
            <w:r w:rsidRPr="004629DC">
              <w:rPr>
                <w:rFonts w:ascii="Times New Roman" w:eastAsia="Times New Roman" w:hAnsi="Times New Roman" w:cs="Times New Roman"/>
                <w:color w:val="000000"/>
                <w:sz w:val="18"/>
                <w:szCs w:val="18"/>
              </w:rPr>
              <w:t>MarketScan</w:t>
            </w:r>
            <w:proofErr w:type="spellEnd"/>
            <w:r w:rsidRPr="004629DC">
              <w:rPr>
                <w:rFonts w:ascii="Times New Roman" w:eastAsia="Times New Roman" w:hAnsi="Times New Roman" w:cs="Times New Roman"/>
                <w:color w:val="000000"/>
                <w:sz w:val="18"/>
                <w:szCs w:val="18"/>
              </w:rPr>
              <w:t xml:space="preserve"> Databases</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2008-2014</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Incident </w:t>
            </w:r>
            <w:proofErr w:type="spellStart"/>
            <w:r w:rsidRPr="004629DC">
              <w:rPr>
                <w:rFonts w:ascii="Times New Roman" w:eastAsia="Times New Roman" w:hAnsi="Times New Roman" w:cs="Times New Roman"/>
                <w:color w:val="000000"/>
                <w:sz w:val="18"/>
                <w:szCs w:val="18"/>
              </w:rPr>
              <w:t>fracture</w:t>
            </w:r>
            <w:proofErr w:type="spellEnd"/>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9,876</w:t>
            </w:r>
          </w:p>
        </w:tc>
        <w:tc>
          <w:tcPr>
            <w:tcW w:w="987"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w:t>
            </w:r>
            <w:proofErr w:type="gramStart"/>
            <w:r>
              <w:rPr>
                <w:rFonts w:ascii="Times New Roman" w:eastAsia="Times New Roman" w:hAnsi="Times New Roman" w:cs="Times New Roman"/>
                <w:color w:val="000000"/>
                <w:sz w:val="18"/>
                <w:szCs w:val="18"/>
              </w:rPr>
              <w:t>89%</w:t>
            </w:r>
            <w:proofErr w:type="gramEnd"/>
            <w:r w:rsidRPr="004629DC">
              <w:rPr>
                <w:rFonts w:ascii="Times New Roman" w:eastAsia="Times New Roman" w:hAnsi="Times New Roman" w:cs="Times New Roman"/>
                <w:color w:val="000000"/>
                <w:sz w:val="18"/>
                <w:szCs w:val="18"/>
              </w:rPr>
              <w:t xml:space="preserve"> </w:t>
            </w:r>
          </w:p>
        </w:tc>
        <w:tc>
          <w:tcPr>
            <w:tcW w:w="1508" w:type="dxa"/>
            <w:gridSpan w:val="4"/>
            <w:noWrap/>
            <w:hideMark/>
          </w:tcPr>
          <w:p w:rsidR="00CA652E" w:rsidRPr="001F0037" w:rsidRDefault="00CA652E" w:rsidP="00B3156F">
            <w:pPr>
              <w:spacing w:line="24" w:lineRule="atLeast"/>
              <w:cnfStyle w:val="000000000000"/>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42- 44</w:t>
            </w:r>
          </w:p>
        </w:tc>
        <w:tc>
          <w:tcPr>
            <w:tcW w:w="708" w:type="dxa"/>
          </w:tcPr>
          <w:p w:rsidR="00CA652E" w:rsidRPr="001F0037" w:rsidRDefault="00CA652E" w:rsidP="00B3156F">
            <w:pPr>
              <w:spacing w:line="24" w:lineRule="atLeast"/>
              <w:cnfStyle w:val="000000000000"/>
              <w:rPr>
                <w:rFonts w:ascii="Times New Roman" w:eastAsia="Times New Roman" w:hAnsi="Times New Roman" w:cs="Times New Roman"/>
                <w:color w:val="000000"/>
                <w:sz w:val="18"/>
                <w:szCs w:val="18"/>
                <w:lang w:val="en-US"/>
              </w:rPr>
            </w:pPr>
          </w:p>
          <w:p w:rsidR="00CA652E" w:rsidRPr="001F0037" w:rsidRDefault="00CA652E" w:rsidP="00B3156F">
            <w:pPr>
              <w:spacing w:line="24" w:lineRule="atLeast"/>
              <w:cnfStyle w:val="000000000000"/>
              <w:rPr>
                <w:rFonts w:ascii="Times New Roman" w:eastAsia="Times New Roman" w:hAnsi="Times New Roman" w:cs="Times New Roman"/>
                <w:color w:val="000000"/>
                <w:sz w:val="18"/>
                <w:szCs w:val="18"/>
                <w:lang w:val="en-US"/>
              </w:rPr>
            </w:pPr>
          </w:p>
          <w:p w:rsidR="00CA652E" w:rsidRPr="001F0037" w:rsidRDefault="00CA652E" w:rsidP="00B3156F">
            <w:pPr>
              <w:spacing w:line="24" w:lineRule="atLeast"/>
              <w:cnfStyle w:val="000000000000"/>
              <w:rPr>
                <w:rFonts w:ascii="Times New Roman" w:eastAsia="Times New Roman" w:hAnsi="Times New Roman" w:cs="Times New Roman"/>
                <w:color w:val="000000"/>
                <w:sz w:val="18"/>
                <w:szCs w:val="18"/>
                <w:lang w:val="en-US"/>
              </w:rPr>
            </w:pPr>
            <w:r w:rsidRPr="001F0037">
              <w:rPr>
                <w:rFonts w:ascii="Times New Roman" w:eastAsia="Times New Roman" w:hAnsi="Times New Roman" w:cs="Times New Roman"/>
                <w:color w:val="000000"/>
                <w:sz w:val="18"/>
                <w:szCs w:val="18"/>
                <w:lang w:val="en-US"/>
              </w:rPr>
              <w:t>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lang w:val="en-US"/>
              </w:rPr>
            </w:pPr>
            <w:r w:rsidRPr="00B8544C">
              <w:rPr>
                <w:rFonts w:ascii="Times New Roman" w:eastAsia="Times New Roman" w:hAnsi="Times New Roman" w:cs="Times New Roman"/>
                <w:b w:val="0"/>
                <w:color w:val="000000"/>
                <w:sz w:val="18"/>
                <w:szCs w:val="18"/>
                <w:lang w:val="en-US"/>
              </w:rPr>
              <w:t xml:space="preserve">Peters 2013 </w:t>
            </w:r>
            <w:r w:rsidR="00734DBD" w:rsidRPr="00B8544C">
              <w:rPr>
                <w:rFonts w:ascii="Times New Roman" w:eastAsia="Times New Roman" w:hAnsi="Times New Roman" w:cs="Times New Roman"/>
                <w:color w:val="000000"/>
                <w:sz w:val="18"/>
                <w:szCs w:val="18"/>
                <w:lang w:val="en-US"/>
              </w:rPr>
              <w:fldChar w:fldCharType="begin"/>
            </w:r>
            <w:r w:rsidRPr="00B8544C">
              <w:rPr>
                <w:rFonts w:ascii="Times New Roman" w:eastAsia="Times New Roman" w:hAnsi="Times New Roman" w:cs="Times New Roman"/>
                <w:b w:val="0"/>
                <w:color w:val="000000"/>
                <w:sz w:val="18"/>
                <w:szCs w:val="18"/>
                <w:lang w:val="en-US"/>
              </w:rPr>
              <w:instrText>ADDIN RW.CITE{{368 Peters,B.S. 2013}}</w:instrText>
            </w:r>
            <w:r w:rsidR="00734DBD" w:rsidRPr="00B8544C">
              <w:rPr>
                <w:rFonts w:ascii="Times New Roman" w:eastAsia="Times New Roman" w:hAnsi="Times New Roman" w:cs="Times New Roman"/>
                <w:color w:val="000000"/>
                <w:sz w:val="18"/>
                <w:szCs w:val="18"/>
                <w:lang w:val="en-US"/>
              </w:rPr>
              <w:fldChar w:fldCharType="separate"/>
            </w:r>
            <w:r w:rsidR="009A2FA4">
              <w:rPr>
                <w:rFonts w:ascii="Calibri" w:eastAsia="Times New Roman" w:hAnsi="Calibri" w:cs="Calibri"/>
                <w:sz w:val="18"/>
                <w:szCs w:val="18"/>
                <w:vertAlign w:val="superscript"/>
              </w:rPr>
              <w:t>27</w:t>
            </w:r>
            <w:r w:rsidR="00734DBD" w:rsidRPr="00B8544C">
              <w:rPr>
                <w:rFonts w:ascii="Times New Roman" w:eastAsia="Times New Roman" w:hAnsi="Times New Roman" w:cs="Times New Roman"/>
                <w:color w:val="000000"/>
                <w:sz w:val="18"/>
                <w:szCs w:val="18"/>
                <w:lang w:val="en-US"/>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4629DC">
              <w:rPr>
                <w:rFonts w:ascii="Times New Roman" w:eastAsia="Times New Roman" w:hAnsi="Times New Roman" w:cs="Times New Roman"/>
                <w:color w:val="000000"/>
                <w:sz w:val="18"/>
                <w:szCs w:val="18"/>
                <w:lang w:val="en-US"/>
              </w:rPr>
              <w:t>Guy's and St Thomas Hospital, London</w:t>
            </w:r>
          </w:p>
        </w:tc>
        <w:tc>
          <w:tcPr>
            <w:tcW w:w="574" w:type="dxa"/>
            <w:noWrap/>
            <w:hideMark/>
          </w:tcPr>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1F0037">
              <w:rPr>
                <w:rFonts w:ascii="Times New Roman" w:eastAsia="Times New Roman" w:hAnsi="Times New Roman" w:cs="Times New Roman"/>
                <w:color w:val="000000"/>
                <w:sz w:val="18"/>
                <w:szCs w:val="18"/>
                <w:lang w:val="en-US"/>
              </w:rPr>
              <w:t>2009-2010</w:t>
            </w:r>
          </w:p>
        </w:tc>
        <w:tc>
          <w:tcPr>
            <w:tcW w:w="724" w:type="dxa"/>
            <w:noWrap/>
            <w:hideMark/>
          </w:tcPr>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1F0037">
              <w:rPr>
                <w:rFonts w:ascii="Times New Roman" w:eastAsia="Times New Roman" w:hAnsi="Times New Roman" w:cs="Times New Roman"/>
                <w:color w:val="000000"/>
                <w:sz w:val="18"/>
                <w:szCs w:val="18"/>
                <w:lang w:val="en-US"/>
              </w:rPr>
              <w:t>Cross-sectional</w:t>
            </w:r>
          </w:p>
        </w:tc>
        <w:tc>
          <w:tcPr>
            <w:tcW w:w="1509" w:type="dxa"/>
            <w:noWrap/>
            <w:hideMark/>
          </w:tcPr>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1F0037">
              <w:rPr>
                <w:rFonts w:ascii="Times New Roman" w:eastAsia="Times New Roman" w:hAnsi="Times New Roman" w:cs="Times New Roman"/>
                <w:color w:val="000000"/>
                <w:sz w:val="18"/>
                <w:szCs w:val="18"/>
                <w:lang w:val="en-US"/>
              </w:rPr>
              <w:t>Previous fracture</w:t>
            </w:r>
          </w:p>
        </w:tc>
        <w:tc>
          <w:tcPr>
            <w:tcW w:w="931" w:type="dxa"/>
            <w:noWrap/>
            <w:hideMark/>
          </w:tcPr>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1F0037">
              <w:rPr>
                <w:rFonts w:ascii="Times New Roman" w:eastAsia="Times New Roman" w:hAnsi="Times New Roman" w:cs="Times New Roman"/>
                <w:color w:val="000000"/>
                <w:sz w:val="18"/>
                <w:szCs w:val="18"/>
                <w:lang w:val="en-US"/>
              </w:rPr>
              <w:t>222</w:t>
            </w:r>
          </w:p>
        </w:tc>
        <w:tc>
          <w:tcPr>
            <w:tcW w:w="987" w:type="dxa"/>
            <w:gridSpan w:val="2"/>
            <w:noWrap/>
            <w:hideMark/>
          </w:tcPr>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r w:rsidRPr="001F0037">
              <w:rPr>
                <w:rFonts w:ascii="Times New Roman" w:eastAsia="Times New Roman" w:hAnsi="Times New Roman" w:cs="Times New Roman"/>
                <w:color w:val="000000"/>
                <w:sz w:val="18"/>
                <w:szCs w:val="18"/>
                <w:lang w:val="en-US"/>
              </w:rPr>
              <w:t>60</w:t>
            </w:r>
            <w:r>
              <w:rPr>
                <w:rFonts w:ascii="Times New Roman" w:eastAsia="Times New Roman" w:hAnsi="Times New Roman" w:cs="Times New Roman"/>
                <w:color w:val="000000"/>
                <w:sz w:val="18"/>
                <w:szCs w:val="18"/>
              </w:rPr>
              <w:t>%</w:t>
            </w:r>
          </w:p>
        </w:tc>
        <w:tc>
          <w:tcPr>
            <w:tcW w:w="745" w:type="dxa"/>
            <w:gridSpan w:val="2"/>
            <w:noWrap/>
            <w:hideMark/>
          </w:tcPr>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44-46</w:t>
            </w:r>
            <w:r w:rsidRPr="001F0037">
              <w:rPr>
                <w:rFonts w:ascii="Times New Roman" w:eastAsia="Times New Roman" w:hAnsi="Times New Roman" w:cs="Times New Roman"/>
                <w:color w:val="000000"/>
                <w:sz w:val="18"/>
                <w:szCs w:val="18"/>
                <w:lang w:val="en-US"/>
              </w:rPr>
              <w:t xml:space="preserve"> </w:t>
            </w:r>
          </w:p>
        </w:tc>
        <w:tc>
          <w:tcPr>
            <w:tcW w:w="762" w:type="dxa"/>
            <w:gridSpan w:val="2"/>
            <w:noWrap/>
            <w:hideMark/>
          </w:tcPr>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24-28</w:t>
            </w:r>
            <w:r w:rsidRPr="001F0037">
              <w:rPr>
                <w:rFonts w:ascii="Times New Roman" w:eastAsia="Times New Roman" w:hAnsi="Times New Roman" w:cs="Times New Roman"/>
                <w:color w:val="000000"/>
                <w:sz w:val="18"/>
                <w:szCs w:val="18"/>
                <w:lang w:val="en-US"/>
              </w:rPr>
              <w:t xml:space="preserve"> </w:t>
            </w:r>
          </w:p>
        </w:tc>
        <w:tc>
          <w:tcPr>
            <w:tcW w:w="708" w:type="dxa"/>
          </w:tcPr>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p>
          <w:p w:rsidR="00CA652E" w:rsidRPr="001F0037" w:rsidRDefault="00CA652E" w:rsidP="00B3156F">
            <w:pPr>
              <w:spacing w:line="24" w:lineRule="atLeast"/>
              <w:cnfStyle w:val="000000100000"/>
              <w:rPr>
                <w:rFonts w:ascii="Times New Roman" w:eastAsia="Times New Roman" w:hAnsi="Times New Roman" w:cs="Times New Roman"/>
                <w:color w:val="000000"/>
                <w:sz w:val="18"/>
                <w:szCs w:val="18"/>
                <w:lang w:val="en-US"/>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bCs w:val="0"/>
                <w:color w:val="000000"/>
                <w:sz w:val="18"/>
                <w:szCs w:val="18"/>
              </w:rPr>
            </w:pPr>
            <w:proofErr w:type="spellStart"/>
            <w:r w:rsidRPr="00B8544C">
              <w:rPr>
                <w:rFonts w:ascii="Times New Roman" w:eastAsia="Times New Roman" w:hAnsi="Times New Roman" w:cs="Times New Roman"/>
                <w:b w:val="0"/>
                <w:bCs w:val="0"/>
                <w:color w:val="000000"/>
                <w:sz w:val="18"/>
                <w:szCs w:val="18"/>
              </w:rPr>
              <w:t>Prieto-Alhambre</w:t>
            </w:r>
            <w:proofErr w:type="spellEnd"/>
            <w:r w:rsidRPr="00B8544C">
              <w:rPr>
                <w:rFonts w:ascii="Times New Roman" w:eastAsia="Times New Roman" w:hAnsi="Times New Roman" w:cs="Times New Roman"/>
                <w:b w:val="0"/>
                <w:bCs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bCs w:val="0"/>
                <w:color w:val="000000"/>
                <w:sz w:val="18"/>
                <w:szCs w:val="18"/>
              </w:rPr>
              <w:instrText>ADDIN RW.CITE{{390 Prieto-Alhambra,D.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28</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DNHR</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2000</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Case-control</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102</w:t>
            </w:r>
          </w:p>
        </w:tc>
        <w:tc>
          <w:tcPr>
            <w:tcW w:w="987"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45"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bCs w:val="0"/>
                <w:color w:val="000000"/>
                <w:sz w:val="18"/>
                <w:szCs w:val="18"/>
              </w:rPr>
            </w:pPr>
            <w:r w:rsidRPr="00B8544C">
              <w:rPr>
                <w:rFonts w:ascii="Times New Roman" w:eastAsia="Times New Roman" w:hAnsi="Times New Roman" w:cs="Times New Roman"/>
                <w:b w:val="0"/>
                <w:bCs w:val="0"/>
                <w:color w:val="000000"/>
                <w:sz w:val="18"/>
                <w:szCs w:val="18"/>
              </w:rPr>
              <w:t xml:space="preserve">Prior 2007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bCs w:val="0"/>
                <w:color w:val="000000"/>
                <w:sz w:val="18"/>
                <w:szCs w:val="18"/>
              </w:rPr>
              <w:instrText>ADDIN RW.CITE{{392 Prior,J. 2007}}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29</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CWHS and </w:t>
            </w:r>
            <w:proofErr w:type="spellStart"/>
            <w:r w:rsidRPr="004629DC">
              <w:rPr>
                <w:rFonts w:ascii="Times New Roman" w:eastAsia="Times New Roman" w:hAnsi="Times New Roman" w:cs="Times New Roman"/>
                <w:color w:val="000000"/>
                <w:sz w:val="18"/>
                <w:szCs w:val="18"/>
              </w:rPr>
              <w:t>CaMOS</w:t>
            </w:r>
            <w:proofErr w:type="spellEnd"/>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2001-2003</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Case-control</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Life-time </w:t>
            </w:r>
            <w:proofErr w:type="spellStart"/>
            <w:r w:rsidRPr="004629DC">
              <w:rPr>
                <w:rFonts w:ascii="Times New Roman" w:eastAsia="Times New Roman" w:hAnsi="Times New Roman" w:cs="Times New Roman"/>
                <w:color w:val="000000"/>
                <w:sz w:val="18"/>
                <w:szCs w:val="18"/>
              </w:rPr>
              <w:t>fragility</w:t>
            </w:r>
            <w:proofErr w:type="spellEnd"/>
            <w:r w:rsidRPr="004629DC">
              <w:rPr>
                <w:rFonts w:ascii="Times New Roman" w:eastAsia="Times New Roman" w:hAnsi="Times New Roman" w:cs="Times New Roman"/>
                <w:color w:val="000000"/>
                <w:sz w:val="18"/>
                <w:szCs w:val="18"/>
              </w:rPr>
              <w:t xml:space="preserve"> </w:t>
            </w:r>
            <w:proofErr w:type="spellStart"/>
            <w:r w:rsidRPr="004629DC">
              <w:rPr>
                <w:rFonts w:ascii="Times New Roman" w:eastAsia="Times New Roman" w:hAnsi="Times New Roman" w:cs="Times New Roman"/>
                <w:color w:val="000000"/>
                <w:sz w:val="18"/>
                <w:szCs w:val="18"/>
              </w:rPr>
              <w:t>fractures</w:t>
            </w:r>
            <w:proofErr w:type="spellEnd"/>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138</w:t>
            </w:r>
          </w:p>
        </w:tc>
        <w:tc>
          <w:tcPr>
            <w:tcW w:w="987"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roofErr w:type="gramEnd"/>
          </w:p>
        </w:tc>
        <w:tc>
          <w:tcPr>
            <w:tcW w:w="745"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Reyes</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RW.CITE{{400 Reyes,C.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30</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SIDIAP</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2007-2009</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987"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45"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bCs w:val="0"/>
                <w:color w:val="000000"/>
                <w:sz w:val="18"/>
                <w:szCs w:val="18"/>
              </w:rPr>
            </w:pPr>
            <w:proofErr w:type="spellStart"/>
            <w:r w:rsidRPr="00B8544C">
              <w:rPr>
                <w:rFonts w:ascii="Times New Roman" w:eastAsia="Times New Roman" w:hAnsi="Times New Roman" w:cs="Times New Roman"/>
                <w:b w:val="0"/>
                <w:bCs w:val="0"/>
                <w:color w:val="000000"/>
                <w:sz w:val="18"/>
                <w:szCs w:val="18"/>
              </w:rPr>
              <w:t>Sharma</w:t>
            </w:r>
            <w:proofErr w:type="spellEnd"/>
            <w:r w:rsidRPr="00B8544C">
              <w:rPr>
                <w:rFonts w:ascii="Times New Roman" w:eastAsia="Times New Roman" w:hAnsi="Times New Roman" w:cs="Times New Roman"/>
                <w:b w:val="0"/>
                <w:bCs w:val="0"/>
                <w:color w:val="000000"/>
                <w:sz w:val="18"/>
                <w:szCs w:val="18"/>
              </w:rPr>
              <w:t xml:space="preserve">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bCs w:val="0"/>
                <w:color w:val="000000"/>
                <w:sz w:val="18"/>
                <w:szCs w:val="18"/>
              </w:rPr>
              <w:instrText>ADDIN RW.CITE{{430 Sharma,A.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31</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WIHS</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2002-2013</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1,713</w:t>
            </w:r>
          </w:p>
        </w:tc>
        <w:tc>
          <w:tcPr>
            <w:tcW w:w="987"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roofErr w:type="gramEnd"/>
          </w:p>
        </w:tc>
        <w:tc>
          <w:tcPr>
            <w:tcW w:w="745"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40</w:t>
            </w: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Short 2013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RW.CITE{{433 Short,C.E.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32</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 xml:space="preserve">UK </w:t>
            </w:r>
            <w:proofErr w:type="spellStart"/>
            <w:r w:rsidRPr="004629DC">
              <w:rPr>
                <w:rFonts w:ascii="Times New Roman" w:eastAsia="Times New Roman" w:hAnsi="Times New Roman" w:cs="Times New Roman"/>
                <w:color w:val="000000"/>
                <w:sz w:val="18"/>
                <w:szCs w:val="18"/>
              </w:rPr>
              <w:t>Teaching</w:t>
            </w:r>
            <w:proofErr w:type="spellEnd"/>
            <w:r w:rsidRPr="004629DC">
              <w:rPr>
                <w:rFonts w:ascii="Times New Roman" w:eastAsia="Times New Roman" w:hAnsi="Times New Roman" w:cs="Times New Roman"/>
                <w:color w:val="000000"/>
                <w:sz w:val="18"/>
                <w:szCs w:val="18"/>
              </w:rPr>
              <w:t xml:space="preserve"> Hospital</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2008</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Cross-sectional</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Prevalent/previous</w:t>
            </w:r>
            <w:proofErr w:type="spellEnd"/>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168</w:t>
            </w:r>
          </w:p>
        </w:tc>
        <w:tc>
          <w:tcPr>
            <w:tcW w:w="987"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45"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45</w:t>
            </w: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25</w:t>
            </w: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Triant</w:t>
            </w:r>
            <w:proofErr w:type="spellEnd"/>
            <w:r w:rsidRPr="00B8544C">
              <w:rPr>
                <w:rFonts w:ascii="Times New Roman" w:eastAsia="Times New Roman" w:hAnsi="Times New Roman" w:cs="Times New Roman"/>
                <w:b w:val="0"/>
                <w:color w:val="000000"/>
                <w:sz w:val="18"/>
                <w:szCs w:val="18"/>
              </w:rPr>
              <w:t xml:space="preserve"> 2008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RW.CITE{{462 Triant,V.A. 2008}}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33</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RPDR</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1996-2008</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Cross-sectional</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Prevalence</w:t>
            </w:r>
            <w:proofErr w:type="spellEnd"/>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8525</w:t>
            </w:r>
          </w:p>
        </w:tc>
        <w:tc>
          <w:tcPr>
            <w:tcW w:w="987"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65%</w:t>
            </w:r>
            <w:proofErr w:type="gramEnd"/>
          </w:p>
        </w:tc>
        <w:tc>
          <w:tcPr>
            <w:tcW w:w="745"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lang w:val="en-US"/>
              </w:rPr>
            </w:pPr>
            <w:proofErr w:type="spellStart"/>
            <w:r w:rsidRPr="00B8544C">
              <w:rPr>
                <w:rFonts w:ascii="Times New Roman" w:eastAsia="Times New Roman" w:hAnsi="Times New Roman" w:cs="Times New Roman"/>
                <w:b w:val="0"/>
                <w:color w:val="000000"/>
                <w:sz w:val="18"/>
                <w:szCs w:val="18"/>
                <w:lang w:val="en-US"/>
              </w:rPr>
              <w:t>Warriner</w:t>
            </w:r>
            <w:proofErr w:type="spellEnd"/>
            <w:r w:rsidRPr="00B8544C">
              <w:rPr>
                <w:rFonts w:ascii="Times New Roman" w:eastAsia="Times New Roman" w:hAnsi="Times New Roman" w:cs="Times New Roman"/>
                <w:b w:val="0"/>
                <w:color w:val="000000"/>
                <w:sz w:val="18"/>
                <w:szCs w:val="18"/>
                <w:lang w:val="en-US"/>
              </w:rPr>
              <w:t xml:space="preserve"> </w:t>
            </w:r>
            <w:r w:rsidRPr="00B8544C">
              <w:rPr>
                <w:rFonts w:ascii="Times New Roman" w:eastAsia="Times New Roman" w:hAnsi="Times New Roman" w:cs="Times New Roman"/>
                <w:b w:val="0"/>
                <w:color w:val="000000"/>
                <w:sz w:val="18"/>
                <w:szCs w:val="18"/>
                <w:lang w:val="en-US"/>
              </w:rPr>
              <w:lastRenderedPageBreak/>
              <w:t xml:space="preserve">2010 (abstract)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lang w:val="en-US"/>
              </w:rPr>
              <w:instrText>ADDIN RW.CITE{{471 Warriner,A.H.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34</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lastRenderedPageBreak/>
              <w:t xml:space="preserve">Medical </w:t>
            </w:r>
            <w:proofErr w:type="spellStart"/>
            <w:r w:rsidRPr="004629DC">
              <w:rPr>
                <w:rFonts w:ascii="Times New Roman" w:eastAsia="Times New Roman" w:hAnsi="Times New Roman" w:cs="Times New Roman"/>
                <w:color w:val="000000"/>
                <w:sz w:val="18"/>
                <w:szCs w:val="18"/>
              </w:rPr>
              <w:t>claims</w:t>
            </w:r>
            <w:proofErr w:type="spellEnd"/>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1999-</w:t>
            </w:r>
            <w:r w:rsidRPr="004629DC">
              <w:rPr>
                <w:rFonts w:ascii="Times New Roman" w:eastAsia="Times New Roman" w:hAnsi="Times New Roman" w:cs="Times New Roman"/>
                <w:color w:val="000000"/>
                <w:sz w:val="18"/>
                <w:szCs w:val="18"/>
              </w:rPr>
              <w:lastRenderedPageBreak/>
              <w:t>2010</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lastRenderedPageBreak/>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13,221</w:t>
            </w:r>
          </w:p>
        </w:tc>
        <w:tc>
          <w:tcPr>
            <w:tcW w:w="987"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45"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bCs w:val="0"/>
                <w:color w:val="000000"/>
                <w:sz w:val="18"/>
                <w:szCs w:val="18"/>
              </w:rPr>
            </w:pPr>
            <w:proofErr w:type="spellStart"/>
            <w:r w:rsidRPr="00B8544C">
              <w:rPr>
                <w:rFonts w:ascii="Times New Roman" w:eastAsia="Times New Roman" w:hAnsi="Times New Roman" w:cs="Times New Roman"/>
                <w:b w:val="0"/>
                <w:bCs w:val="0"/>
                <w:color w:val="000000"/>
                <w:sz w:val="18"/>
                <w:szCs w:val="18"/>
              </w:rPr>
              <w:lastRenderedPageBreak/>
              <w:t>Womack</w:t>
            </w:r>
            <w:proofErr w:type="spellEnd"/>
            <w:r w:rsidRPr="00B8544C">
              <w:rPr>
                <w:rFonts w:ascii="Times New Roman" w:eastAsia="Times New Roman" w:hAnsi="Times New Roman" w:cs="Times New Roman"/>
                <w:b w:val="0"/>
                <w:bCs w:val="0"/>
                <w:color w:val="000000"/>
                <w:sz w:val="18"/>
                <w:szCs w:val="18"/>
              </w:rPr>
              <w:t xml:space="preserve"> 2011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bCs w:val="0"/>
                <w:color w:val="000000"/>
                <w:sz w:val="18"/>
                <w:szCs w:val="18"/>
              </w:rPr>
              <w:instrText>ADDIN RW.CITE{{478 Womack,J.A. 2011}}</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35</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VACS-VC</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1997-2009</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40,115</w:t>
            </w:r>
          </w:p>
        </w:tc>
        <w:tc>
          <w:tcPr>
            <w:tcW w:w="987"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45"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25</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Womack</w:t>
            </w:r>
            <w:proofErr w:type="spellEnd"/>
            <w:r w:rsidRPr="00B8544C">
              <w:rPr>
                <w:rFonts w:ascii="Times New Roman" w:eastAsia="Times New Roman" w:hAnsi="Times New Roman" w:cs="Times New Roman"/>
                <w:b w:val="0"/>
                <w:color w:val="000000"/>
                <w:sz w:val="18"/>
                <w:szCs w:val="18"/>
              </w:rPr>
              <w:t xml:space="preserve"> 2013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RW.CITE{{479 Womack,J.A.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36</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VACS-VC</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1997-2009</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40,115</w:t>
            </w:r>
          </w:p>
        </w:tc>
        <w:tc>
          <w:tcPr>
            <w:tcW w:w="987"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
        </w:tc>
        <w:tc>
          <w:tcPr>
            <w:tcW w:w="745"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46</w:t>
            </w: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25</w:t>
            </w: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Yin 2010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RW.CITE{{488 Yin,M.T. 2010}}</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37</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WIHS</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2002-2008</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1,728</w:t>
            </w:r>
          </w:p>
        </w:tc>
        <w:tc>
          <w:tcPr>
            <w:tcW w:w="987"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roofErr w:type="gramEnd"/>
          </w:p>
        </w:tc>
        <w:tc>
          <w:tcPr>
            <w:tcW w:w="745"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Yin 2012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RW.CITE{{484 Yin,M.T.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38</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ALLRT Database</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-2009</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4,640</w:t>
            </w:r>
          </w:p>
        </w:tc>
        <w:tc>
          <w:tcPr>
            <w:tcW w:w="987"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83%</w:t>
            </w:r>
            <w:proofErr w:type="gramEnd"/>
          </w:p>
        </w:tc>
        <w:tc>
          <w:tcPr>
            <w:tcW w:w="745"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39</w:t>
            </w: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25</w:t>
            </w:r>
          </w:p>
        </w:tc>
        <w:tc>
          <w:tcPr>
            <w:tcW w:w="708" w:type="dxa"/>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Yin 2016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RW.CITE{{489 Yin,M.T.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39</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VACS-VC</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2000-2010</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7,067</w:t>
            </w:r>
          </w:p>
        </w:tc>
        <w:tc>
          <w:tcPr>
            <w:tcW w:w="987"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45"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Yong</w:t>
            </w:r>
            <w:proofErr w:type="spellEnd"/>
            <w:r w:rsidRPr="00B8544C">
              <w:rPr>
                <w:rFonts w:ascii="Times New Roman" w:eastAsia="Times New Roman" w:hAnsi="Times New Roman" w:cs="Times New Roman"/>
                <w:b w:val="0"/>
                <w:color w:val="000000"/>
                <w:sz w:val="18"/>
                <w:szCs w:val="18"/>
              </w:rPr>
              <w:t xml:space="preserve"> 2011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RW.CITE{{494 Yong,M.K. 2011}}</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40</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The Alfred Hospital, Melbourne</w:t>
            </w:r>
          </w:p>
        </w:tc>
        <w:tc>
          <w:tcPr>
            <w:tcW w:w="57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1998-2009</w:t>
            </w:r>
          </w:p>
        </w:tc>
        <w:tc>
          <w:tcPr>
            <w:tcW w:w="724"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Case-control</w:t>
            </w:r>
            <w:proofErr w:type="spellEnd"/>
          </w:p>
        </w:tc>
        <w:tc>
          <w:tcPr>
            <w:tcW w:w="1509"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2,424</w:t>
            </w:r>
          </w:p>
        </w:tc>
        <w:tc>
          <w:tcPr>
            <w:tcW w:w="987"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89</w:t>
            </w:r>
            <w:r>
              <w:rPr>
                <w:rFonts w:ascii="Times New Roman" w:eastAsia="Times New Roman" w:hAnsi="Times New Roman" w:cs="Times New Roman"/>
                <w:color w:val="000000"/>
                <w:sz w:val="18"/>
                <w:szCs w:val="18"/>
              </w:rPr>
              <w:t>%</w:t>
            </w:r>
            <w:proofErr w:type="gramEnd"/>
          </w:p>
        </w:tc>
        <w:tc>
          <w:tcPr>
            <w:tcW w:w="745"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50</w:t>
            </w:r>
          </w:p>
        </w:tc>
        <w:tc>
          <w:tcPr>
            <w:tcW w:w="762" w:type="dxa"/>
            <w:gridSpan w:val="2"/>
            <w:noWrap/>
            <w:hideMark/>
          </w:tcPr>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 (C) 25(CO)</w:t>
            </w:r>
          </w:p>
        </w:tc>
        <w:tc>
          <w:tcPr>
            <w:tcW w:w="708" w:type="dxa"/>
          </w:tcPr>
          <w:p w:rsidR="00CA652E" w:rsidRDefault="00CA652E" w:rsidP="00B3156F">
            <w:pPr>
              <w:spacing w:line="24" w:lineRule="atLeast"/>
              <w:cnfStyle w:val="0000000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4629DC" w:rsidTr="00B3156F">
        <w:trPr>
          <w:cnfStyle w:val="000000100000"/>
          <w:trHeight w:val="110"/>
        </w:trPr>
        <w:tc>
          <w:tcPr>
            <w:cnfStyle w:val="001000000000"/>
            <w:tcW w:w="947" w:type="dxa"/>
            <w:noWrap/>
            <w:hideMark/>
          </w:tcPr>
          <w:p w:rsidR="00CA652E" w:rsidRPr="00B8544C" w:rsidRDefault="00CA652E" w:rsidP="009A2FA4">
            <w:pPr>
              <w:spacing w:line="24" w:lineRule="atLeast"/>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Young 2011</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RW.CITE{{495 Young,B. 2011}}</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41</w:t>
            </w:r>
            <w:r w:rsidR="00734DBD" w:rsidRPr="00B8544C">
              <w:rPr>
                <w:rFonts w:ascii="Times New Roman" w:eastAsia="Times New Roman" w:hAnsi="Times New Roman" w:cs="Times New Roman"/>
                <w:color w:val="000000"/>
                <w:sz w:val="18"/>
                <w:szCs w:val="18"/>
              </w:rPr>
              <w:fldChar w:fldCharType="end"/>
            </w:r>
          </w:p>
        </w:tc>
        <w:tc>
          <w:tcPr>
            <w:tcW w:w="1428"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HOPS and NHAMCS</w:t>
            </w:r>
          </w:p>
        </w:tc>
        <w:tc>
          <w:tcPr>
            <w:tcW w:w="57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2000-2008</w:t>
            </w:r>
          </w:p>
        </w:tc>
        <w:tc>
          <w:tcPr>
            <w:tcW w:w="724"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spellStart"/>
            <w:r w:rsidRPr="004629DC">
              <w:rPr>
                <w:rFonts w:ascii="Times New Roman" w:eastAsia="Times New Roman" w:hAnsi="Times New Roman" w:cs="Times New Roman"/>
                <w:color w:val="000000"/>
                <w:sz w:val="18"/>
                <w:szCs w:val="18"/>
              </w:rPr>
              <w:t>Cohort</w:t>
            </w:r>
            <w:proofErr w:type="spellEnd"/>
          </w:p>
        </w:tc>
        <w:tc>
          <w:tcPr>
            <w:tcW w:w="1509"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Incident</w:t>
            </w:r>
          </w:p>
        </w:tc>
        <w:tc>
          <w:tcPr>
            <w:tcW w:w="931" w:type="dxa"/>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5,826</w:t>
            </w:r>
          </w:p>
        </w:tc>
        <w:tc>
          <w:tcPr>
            <w:tcW w:w="987"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proofErr w:type="gramStart"/>
            <w:r w:rsidRPr="004629DC">
              <w:rPr>
                <w:rFonts w:ascii="Times New Roman" w:eastAsia="Times New Roman" w:hAnsi="Times New Roman" w:cs="Times New Roman"/>
                <w:color w:val="000000"/>
                <w:sz w:val="18"/>
                <w:szCs w:val="18"/>
              </w:rPr>
              <w:t>79</w:t>
            </w:r>
            <w:r>
              <w:rPr>
                <w:rFonts w:ascii="Times New Roman" w:eastAsia="Times New Roman" w:hAnsi="Times New Roman" w:cs="Times New Roman"/>
                <w:color w:val="000000"/>
                <w:sz w:val="18"/>
                <w:szCs w:val="18"/>
              </w:rPr>
              <w:t>%</w:t>
            </w:r>
            <w:proofErr w:type="gramEnd"/>
          </w:p>
        </w:tc>
        <w:tc>
          <w:tcPr>
            <w:tcW w:w="745"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sidRPr="004629DC">
              <w:rPr>
                <w:rFonts w:ascii="Times New Roman" w:eastAsia="Times New Roman" w:hAnsi="Times New Roman" w:cs="Times New Roman"/>
                <w:color w:val="000000"/>
                <w:sz w:val="18"/>
                <w:szCs w:val="18"/>
              </w:rPr>
              <w:t>40</w:t>
            </w:r>
          </w:p>
        </w:tc>
        <w:tc>
          <w:tcPr>
            <w:tcW w:w="762" w:type="dxa"/>
            <w:gridSpan w:val="2"/>
            <w:noWrap/>
            <w:hideMark/>
          </w:tcPr>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708" w:type="dxa"/>
          </w:tcPr>
          <w:p w:rsidR="00CA652E" w:rsidRDefault="00CA652E" w:rsidP="00B3156F">
            <w:pPr>
              <w:spacing w:line="24" w:lineRule="atLeast"/>
              <w:cnfStyle w:val="000000100000"/>
              <w:rPr>
                <w:rFonts w:ascii="Times New Roman" w:eastAsia="Times New Roman" w:hAnsi="Times New Roman" w:cs="Times New Roman"/>
                <w:color w:val="000000"/>
                <w:sz w:val="18"/>
                <w:szCs w:val="18"/>
              </w:rPr>
            </w:pPr>
          </w:p>
          <w:p w:rsidR="00CA652E" w:rsidRPr="004629DC" w:rsidRDefault="00CA652E" w:rsidP="00B3156F">
            <w:pPr>
              <w:spacing w:line="24" w:lineRule="atLeas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bl>
    <w:p w:rsidR="00CA652E" w:rsidRPr="004629DC" w:rsidRDefault="00CA652E" w:rsidP="00CA652E">
      <w:pPr>
        <w:spacing w:after="0" w:line="24" w:lineRule="atLeast"/>
        <w:rPr>
          <w:rFonts w:ascii="Times New Roman" w:hAnsi="Times New Roman" w:cs="Times New Roman"/>
          <w:sz w:val="18"/>
          <w:szCs w:val="18"/>
        </w:rPr>
      </w:pPr>
    </w:p>
    <w:p w:rsidR="00CA652E" w:rsidRPr="004629DC" w:rsidRDefault="00CA652E" w:rsidP="00CA652E">
      <w:pPr>
        <w:spacing w:after="0" w:line="24" w:lineRule="atLeast"/>
        <w:rPr>
          <w:rFonts w:ascii="Times New Roman" w:hAnsi="Times New Roman" w:cs="Times New Roman"/>
          <w:sz w:val="18"/>
          <w:szCs w:val="18"/>
          <w:lang w:val="en-US"/>
        </w:rPr>
      </w:pPr>
      <w:r w:rsidRPr="004629DC">
        <w:rPr>
          <w:rFonts w:ascii="Times New Roman" w:hAnsi="Times New Roman" w:cs="Times New Roman"/>
          <w:sz w:val="18"/>
          <w:szCs w:val="18"/>
          <w:lang w:val="en-US"/>
        </w:rPr>
        <w:t>Age (years) and BMI (kg/m</w:t>
      </w:r>
      <w:r w:rsidRPr="004629DC">
        <w:rPr>
          <w:rFonts w:ascii="Times New Roman" w:hAnsi="Times New Roman" w:cs="Times New Roman"/>
          <w:sz w:val="18"/>
          <w:szCs w:val="18"/>
          <w:vertAlign w:val="superscript"/>
          <w:lang w:val="en-US"/>
        </w:rPr>
        <w:t>2</w:t>
      </w:r>
      <w:r w:rsidRPr="004629DC">
        <w:rPr>
          <w:rFonts w:ascii="Times New Roman" w:hAnsi="Times New Roman" w:cs="Times New Roman"/>
          <w:sz w:val="18"/>
          <w:szCs w:val="18"/>
          <w:lang w:val="en-US"/>
        </w:rPr>
        <w:t xml:space="preserve">) are presented as means. </w:t>
      </w:r>
      <w:r>
        <w:rPr>
          <w:rFonts w:ascii="Times New Roman" w:hAnsi="Times New Roman" w:cs="Times New Roman"/>
          <w:sz w:val="18"/>
          <w:szCs w:val="18"/>
          <w:lang w:val="en-US"/>
        </w:rPr>
        <w:t>Level of evidence based on level of evidence for prognostic studies.</w:t>
      </w:r>
    </w:p>
    <w:p w:rsidR="00CA652E" w:rsidRPr="004629DC" w:rsidRDefault="00CA652E" w:rsidP="00CA652E">
      <w:pPr>
        <w:spacing w:after="0" w:line="24" w:lineRule="atLeast"/>
        <w:rPr>
          <w:rFonts w:ascii="Times New Roman" w:hAnsi="Times New Roman" w:cs="Times New Roman"/>
          <w:sz w:val="18"/>
          <w:szCs w:val="18"/>
          <w:lang w:val="en-US"/>
        </w:rPr>
      </w:pPr>
      <w:r>
        <w:rPr>
          <w:rFonts w:ascii="Times New Roman" w:hAnsi="Times New Roman" w:cs="Times New Roman"/>
          <w:sz w:val="18"/>
          <w:szCs w:val="18"/>
          <w:lang w:val="en-US"/>
        </w:rPr>
        <w:t>Body mass index (BMI), cases (C), controls (CO),</w:t>
      </w:r>
      <w:r w:rsidRPr="00054F81">
        <w:rPr>
          <w:rFonts w:ascii="Times New Roman" w:hAnsi="Times New Roman" w:cs="Times New Roman"/>
          <w:sz w:val="18"/>
          <w:szCs w:val="18"/>
          <w:lang w:val="en-US"/>
        </w:rPr>
        <w:t xml:space="preserve"> </w:t>
      </w:r>
      <w:r>
        <w:rPr>
          <w:rFonts w:ascii="Times New Roman" w:hAnsi="Times New Roman" w:cs="Times New Roman"/>
          <w:sz w:val="18"/>
          <w:szCs w:val="18"/>
          <w:lang w:val="en-US"/>
        </w:rPr>
        <w:t>p</w:t>
      </w:r>
      <w:r w:rsidRPr="00054F81">
        <w:rPr>
          <w:rFonts w:ascii="Times New Roman" w:hAnsi="Times New Roman" w:cs="Times New Roman"/>
          <w:sz w:val="18"/>
          <w:szCs w:val="18"/>
          <w:lang w:val="en-US"/>
        </w:rPr>
        <w:t>atients living with HIV (PLHIV)</w:t>
      </w:r>
    </w:p>
    <w:p w:rsidR="00CA652E" w:rsidRDefault="00CA652E" w:rsidP="00CA652E">
      <w:pPr>
        <w:rPr>
          <w:rFonts w:ascii="Times New Roman" w:hAnsi="Times New Roman" w:cs="Times New Roman"/>
          <w:iCs/>
          <w:sz w:val="24"/>
          <w:szCs w:val="24"/>
          <w:lang w:val="en-GB"/>
        </w:rPr>
      </w:pPr>
      <w:r>
        <w:rPr>
          <w:rFonts w:ascii="Times New Roman" w:hAnsi="Times New Roman" w:cs="Times New Roman"/>
          <w:iCs/>
          <w:sz w:val="24"/>
          <w:szCs w:val="24"/>
          <w:lang w:val="en-GB"/>
        </w:rPr>
        <w:br w:type="page"/>
      </w:r>
    </w:p>
    <w:p w:rsidR="00CA652E" w:rsidRDefault="004B77E9" w:rsidP="00CA652E">
      <w:pPr>
        <w:spacing w:after="0" w:line="24" w:lineRule="atLeast"/>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w:t>
      </w:r>
      <w:r w:rsidR="00CA652E">
        <w:rPr>
          <w:rFonts w:ascii="Times New Roman" w:hAnsi="Times New Roman" w:cs="Times New Roman"/>
          <w:iCs/>
          <w:sz w:val="24"/>
          <w:szCs w:val="24"/>
          <w:lang w:val="en-GB"/>
        </w:rPr>
        <w:t>Table 3.</w:t>
      </w:r>
      <w:proofErr w:type="gramEnd"/>
      <w:r w:rsidR="00CA652E">
        <w:rPr>
          <w:rFonts w:ascii="Times New Roman" w:hAnsi="Times New Roman" w:cs="Times New Roman"/>
          <w:iCs/>
          <w:sz w:val="24"/>
          <w:szCs w:val="24"/>
          <w:lang w:val="en-GB"/>
        </w:rPr>
        <w:t xml:space="preserve"> Characteristics of studies reporting bone mineral density in patients living with HIV and controls</w:t>
      </w:r>
    </w:p>
    <w:tbl>
      <w:tblPr>
        <w:tblStyle w:val="Lysskygge1"/>
        <w:tblW w:w="9267" w:type="dxa"/>
        <w:tblLook w:val="04A0"/>
      </w:tblPr>
      <w:tblGrid>
        <w:gridCol w:w="1013"/>
        <w:gridCol w:w="1043"/>
        <w:gridCol w:w="701"/>
        <w:gridCol w:w="777"/>
        <w:gridCol w:w="713"/>
        <w:gridCol w:w="835"/>
        <w:gridCol w:w="835"/>
        <w:gridCol w:w="777"/>
        <w:gridCol w:w="713"/>
        <w:gridCol w:w="777"/>
        <w:gridCol w:w="766"/>
        <w:gridCol w:w="904"/>
      </w:tblGrid>
      <w:tr w:rsidR="00CA652E" w:rsidRPr="00AA4013" w:rsidTr="00B3156F">
        <w:trPr>
          <w:cnfStyle w:val="100000000000"/>
          <w:trHeight w:val="432"/>
        </w:trPr>
        <w:tc>
          <w:tcPr>
            <w:cnfStyle w:val="001000000000"/>
            <w:tcW w:w="922" w:type="dxa"/>
            <w:noWrap/>
            <w:hideMark/>
          </w:tcPr>
          <w:p w:rsidR="00CA652E" w:rsidRPr="00B8544C" w:rsidRDefault="00CA652E" w:rsidP="00B3156F">
            <w:pPr>
              <w:rPr>
                <w:rFonts w:ascii="Times New Roman" w:hAnsi="Times New Roman" w:cs="Times New Roman"/>
                <w:sz w:val="18"/>
                <w:szCs w:val="18"/>
              </w:rPr>
            </w:pPr>
            <w:proofErr w:type="spellStart"/>
            <w:r w:rsidRPr="00B8544C">
              <w:rPr>
                <w:rFonts w:ascii="Times New Roman" w:hAnsi="Times New Roman" w:cs="Times New Roman"/>
                <w:sz w:val="18"/>
                <w:szCs w:val="18"/>
              </w:rPr>
              <w:t>Study</w:t>
            </w:r>
            <w:proofErr w:type="spellEnd"/>
          </w:p>
          <w:p w:rsidR="00CA652E" w:rsidRPr="00B8544C" w:rsidRDefault="00CA652E" w:rsidP="00B3156F">
            <w:pPr>
              <w:rPr>
                <w:rFonts w:ascii="Times New Roman" w:hAnsi="Times New Roman" w:cs="Times New Roman"/>
                <w:sz w:val="18"/>
                <w:szCs w:val="18"/>
              </w:rPr>
            </w:pPr>
          </w:p>
          <w:p w:rsidR="00CA652E" w:rsidRPr="00B8544C" w:rsidRDefault="00CA652E" w:rsidP="00B3156F">
            <w:pPr>
              <w:rPr>
                <w:rFonts w:ascii="Times New Roman" w:hAnsi="Times New Roman" w:cs="Times New Roman"/>
                <w:sz w:val="18"/>
                <w:szCs w:val="18"/>
              </w:rPr>
            </w:pPr>
          </w:p>
        </w:tc>
        <w:tc>
          <w:tcPr>
            <w:tcW w:w="956"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Design</w:t>
            </w:r>
          </w:p>
        </w:tc>
        <w:tc>
          <w:tcPr>
            <w:tcW w:w="709"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ART</w:t>
            </w:r>
          </w:p>
        </w:tc>
        <w:tc>
          <w:tcPr>
            <w:tcW w:w="669"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PLHIV (n)</w:t>
            </w:r>
          </w:p>
        </w:tc>
        <w:tc>
          <w:tcPr>
            <w:tcW w:w="722"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CO (n)</w:t>
            </w:r>
          </w:p>
        </w:tc>
        <w:tc>
          <w:tcPr>
            <w:tcW w:w="841"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PLHIV (%men)</w:t>
            </w:r>
          </w:p>
        </w:tc>
        <w:tc>
          <w:tcPr>
            <w:tcW w:w="722"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CO (%men)</w:t>
            </w:r>
          </w:p>
        </w:tc>
        <w:tc>
          <w:tcPr>
            <w:tcW w:w="721"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Age PLHIV</w:t>
            </w:r>
          </w:p>
        </w:tc>
        <w:tc>
          <w:tcPr>
            <w:tcW w:w="722"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Age CO</w:t>
            </w:r>
          </w:p>
        </w:tc>
        <w:tc>
          <w:tcPr>
            <w:tcW w:w="667"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BMI PLHIV</w:t>
            </w:r>
          </w:p>
        </w:tc>
        <w:tc>
          <w:tcPr>
            <w:tcW w:w="775"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BMI CO</w:t>
            </w:r>
          </w:p>
        </w:tc>
        <w:tc>
          <w:tcPr>
            <w:tcW w:w="841" w:type="dxa"/>
            <w:noWrap/>
            <w:hideMark/>
          </w:tcPr>
          <w:p w:rsidR="00CA652E" w:rsidRPr="00B8544C" w:rsidRDefault="00CA652E" w:rsidP="00B3156F">
            <w:pPr>
              <w:cnfStyle w:val="100000000000"/>
              <w:rPr>
                <w:rFonts w:ascii="Times New Roman" w:hAnsi="Times New Roman" w:cs="Times New Roman"/>
                <w:sz w:val="18"/>
                <w:szCs w:val="18"/>
              </w:rPr>
            </w:pPr>
            <w:proofErr w:type="spellStart"/>
            <w:r w:rsidRPr="00B8544C">
              <w:rPr>
                <w:rFonts w:ascii="Times New Roman" w:hAnsi="Times New Roman" w:cs="Times New Roman"/>
                <w:sz w:val="18"/>
                <w:szCs w:val="18"/>
              </w:rPr>
              <w:t>Evidence</w:t>
            </w:r>
            <w:proofErr w:type="spellEnd"/>
            <w:r w:rsidRPr="00B8544C">
              <w:rPr>
                <w:rFonts w:ascii="Times New Roman" w:hAnsi="Times New Roman" w:cs="Times New Roman"/>
                <w:sz w:val="18"/>
                <w:szCs w:val="18"/>
              </w:rPr>
              <w:t xml:space="preserve"> </w:t>
            </w:r>
            <w:proofErr w:type="spellStart"/>
            <w:r w:rsidRPr="00B8544C">
              <w:rPr>
                <w:rFonts w:ascii="Times New Roman" w:hAnsi="Times New Roman" w:cs="Times New Roman"/>
                <w:sz w:val="18"/>
                <w:szCs w:val="18"/>
              </w:rPr>
              <w:t>level</w:t>
            </w:r>
            <w:proofErr w:type="spellEnd"/>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Amiel</w:t>
            </w:r>
            <w:proofErr w:type="spellEnd"/>
            <w:r w:rsidRPr="00B8544C">
              <w:rPr>
                <w:rFonts w:ascii="Times New Roman" w:hAnsi="Times New Roman" w:cs="Times New Roman"/>
                <w:b w:val="0"/>
                <w:sz w:val="18"/>
                <w:szCs w:val="18"/>
              </w:rPr>
              <w:t xml:space="preserve"> 2004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RW.CITE{{16 Amiel,C. 2004}}</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42</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148</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81</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40</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39</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23</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24</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Anastos</w:t>
            </w:r>
            <w:proofErr w:type="spellEnd"/>
            <w:r w:rsidRPr="00B8544C">
              <w:rPr>
                <w:rFonts w:ascii="Times New Roman" w:hAnsi="Times New Roman" w:cs="Times New Roman"/>
                <w:b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RW.CITE{{17 Anastos,K.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43</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ART</w:t>
            </w:r>
            <w:r w:rsidRPr="00AA4013">
              <w:rPr>
                <w:rFonts w:ascii="Times New Roman" w:hAnsi="Times New Roman" w:cs="Times New Roman"/>
                <w:sz w:val="18"/>
                <w:szCs w:val="18"/>
              </w:rPr>
              <w:t xml:space="preserve"> naive</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74</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152</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43</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36</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29</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30</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Anastos</w:t>
            </w:r>
            <w:proofErr w:type="spellEnd"/>
            <w:r w:rsidRPr="00B8544C">
              <w:rPr>
                <w:rFonts w:ascii="Times New Roman" w:hAnsi="Times New Roman" w:cs="Times New Roman"/>
                <w:b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RW.CITE{{17 Anastos,K.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43</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proofErr w:type="spellStart"/>
            <w:r w:rsidRPr="00AA4013">
              <w:rPr>
                <w:rFonts w:ascii="Times New Roman" w:hAnsi="Times New Roman" w:cs="Times New Roman"/>
                <w:sz w:val="18"/>
                <w:szCs w:val="18"/>
              </w:rPr>
              <w:t>Non-PI</w:t>
            </w:r>
            <w:proofErr w:type="spellEnd"/>
            <w:r w:rsidRPr="00AA4013">
              <w:rPr>
                <w:rFonts w:ascii="Times New Roman" w:hAnsi="Times New Roman" w:cs="Times New Roman"/>
                <w:sz w:val="18"/>
                <w:szCs w:val="18"/>
              </w:rPr>
              <w:t xml:space="preserve"> </w:t>
            </w:r>
            <w:r>
              <w:rPr>
                <w:rFonts w:ascii="Times New Roman" w:hAnsi="Times New Roman" w:cs="Times New Roman"/>
                <w:sz w:val="18"/>
                <w:szCs w:val="18"/>
              </w:rPr>
              <w:t>ART</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98</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152</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42</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36</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27</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28</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Anastos</w:t>
            </w:r>
            <w:proofErr w:type="spellEnd"/>
            <w:r w:rsidRPr="00B8544C">
              <w:rPr>
                <w:rFonts w:ascii="Times New Roman" w:hAnsi="Times New Roman" w:cs="Times New Roman"/>
                <w:b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RW.CITE{{17 Anastos,K.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43</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 xml:space="preserve">PI </w:t>
            </w: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93</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152</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44</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36</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28</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28</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Arnsten</w:t>
            </w:r>
            <w:proofErr w:type="spellEnd"/>
            <w:r w:rsidRPr="00B8544C">
              <w:rPr>
                <w:rFonts w:ascii="Times New Roman" w:hAnsi="Times New Roman" w:cs="Times New Roman"/>
                <w:b w:val="0"/>
                <w:sz w:val="18"/>
                <w:szCs w:val="18"/>
              </w:rPr>
              <w:t xml:space="preserve"> 2006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RW.CITE{{24 Arnsten,J.H. 2006}}</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44</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263</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232</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44</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45</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p>
        </w:tc>
        <w:tc>
          <w:tcPr>
            <w:tcW w:w="775" w:type="dxa"/>
            <w:noWrap/>
            <w:hideMark/>
          </w:tcPr>
          <w:p w:rsidR="00CA652E" w:rsidRPr="00AA4013" w:rsidRDefault="00CA652E" w:rsidP="00B3156F">
            <w:pPr>
              <w:cnfStyle w:val="000000100000"/>
              <w:rPr>
                <w:rFonts w:ascii="Times New Roman" w:hAnsi="Times New Roman" w:cs="Times New Roman"/>
                <w:sz w:val="18"/>
                <w:szCs w:val="18"/>
              </w:rPr>
            </w:pP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rPr>
            </w:pPr>
            <w:proofErr w:type="spellStart"/>
            <w:r w:rsidRPr="00B8544C">
              <w:rPr>
                <w:rFonts w:ascii="Times New Roman" w:hAnsi="Times New Roman" w:cs="Times New Roman"/>
                <w:b w:val="0"/>
                <w:bCs w:val="0"/>
                <w:sz w:val="18"/>
                <w:szCs w:val="18"/>
              </w:rPr>
              <w:t>Arnsten</w:t>
            </w:r>
            <w:proofErr w:type="spellEnd"/>
            <w:r w:rsidRPr="00B8544C">
              <w:rPr>
                <w:rFonts w:ascii="Times New Roman" w:hAnsi="Times New Roman" w:cs="Times New Roman"/>
                <w:b w:val="0"/>
                <w:bCs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RW.CITE{{23 Arnsten,J.H.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13</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Cohort</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328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231</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spellStart"/>
            <w:r w:rsidRPr="00AA4013">
              <w:rPr>
                <w:rFonts w:ascii="Times New Roman" w:hAnsi="Times New Roman" w:cs="Times New Roman"/>
                <w:sz w:val="18"/>
                <w:szCs w:val="18"/>
              </w:rPr>
              <w:t>Mix</w:t>
            </w:r>
            <w:proofErr w:type="spell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spellStart"/>
            <w:r w:rsidRPr="00AA4013">
              <w:rPr>
                <w:rFonts w:ascii="Times New Roman" w:hAnsi="Times New Roman" w:cs="Times New Roman"/>
                <w:sz w:val="18"/>
                <w:szCs w:val="18"/>
              </w:rPr>
              <w:t>Mix</w:t>
            </w:r>
            <w:proofErr w:type="spell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5</w:t>
            </w:r>
            <w:r>
              <w:rPr>
                <w:rFonts w:ascii="Times New Roman" w:hAnsi="Times New Roman" w:cs="Times New Roman"/>
                <w:sz w:val="18"/>
                <w:szCs w:val="18"/>
              </w:rPr>
              <w:t>5</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5</w:t>
            </w:r>
            <w:r>
              <w:rPr>
                <w:rFonts w:ascii="Times New Roman" w:hAnsi="Times New Roman" w:cs="Times New Roman"/>
                <w:sz w:val="18"/>
                <w:szCs w:val="18"/>
              </w:rPr>
              <w:t>6</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p>
        </w:tc>
        <w:tc>
          <w:tcPr>
            <w:tcW w:w="775" w:type="dxa"/>
            <w:noWrap/>
            <w:hideMark/>
          </w:tcPr>
          <w:p w:rsidR="00CA652E" w:rsidRPr="00AA4013" w:rsidRDefault="00CA652E" w:rsidP="00B3156F">
            <w:pPr>
              <w:cnfStyle w:val="000000000000"/>
              <w:rPr>
                <w:rFonts w:ascii="Times New Roman" w:hAnsi="Times New Roman" w:cs="Times New Roman"/>
                <w:sz w:val="18"/>
                <w:szCs w:val="18"/>
              </w:rPr>
            </w:pP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Badie</w:t>
            </w:r>
            <w:proofErr w:type="spellEnd"/>
            <w:r w:rsidRPr="00B8544C">
              <w:rPr>
                <w:rFonts w:ascii="Times New Roman" w:hAnsi="Times New Roman" w:cs="Times New Roman"/>
                <w:b w:val="0"/>
                <w:sz w:val="18"/>
                <w:szCs w:val="18"/>
              </w:rPr>
              <w:t xml:space="preserve"> 2013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RW.CITE{{37 Badie,B.M. 2011}}</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45</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44</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40</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84</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78</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w:t>
            </w:r>
            <w:r>
              <w:rPr>
                <w:rFonts w:ascii="Times New Roman" w:hAnsi="Times New Roman" w:cs="Times New Roman"/>
                <w:sz w:val="18"/>
                <w:szCs w:val="18"/>
              </w:rPr>
              <w:t>5</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w:t>
            </w:r>
            <w:r>
              <w:rPr>
                <w:rFonts w:ascii="Times New Roman" w:hAnsi="Times New Roman" w:cs="Times New Roman"/>
                <w:sz w:val="18"/>
                <w:szCs w:val="18"/>
              </w:rPr>
              <w:t>7</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23</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23</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Badie</w:t>
            </w:r>
            <w:proofErr w:type="spellEnd"/>
            <w:r w:rsidRPr="00B8544C">
              <w:rPr>
                <w:rFonts w:ascii="Times New Roman" w:hAnsi="Times New Roman" w:cs="Times New Roman"/>
                <w:b w:val="0"/>
                <w:sz w:val="18"/>
                <w:szCs w:val="18"/>
              </w:rPr>
              <w:t xml:space="preserve"> 2013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RW.CITE{{37 Badie,B.M. 2011}}</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45</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36</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40</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75</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78</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39</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37</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23</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23</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Bedimo</w:t>
            </w:r>
            <w:proofErr w:type="spellEnd"/>
            <w:r w:rsidRPr="00B8544C">
              <w:rPr>
                <w:rFonts w:ascii="Times New Roman" w:hAnsi="Times New Roman" w:cs="Times New Roman"/>
                <w:b w:val="0"/>
                <w:sz w:val="18"/>
                <w:szCs w:val="18"/>
              </w:rPr>
              <w:t xml:space="preserve"> 2016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RW.CITE{{54 Bedimo,R. 2016}}</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46</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81</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107</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w:t>
            </w:r>
            <w:r>
              <w:rPr>
                <w:rFonts w:ascii="Times New Roman" w:hAnsi="Times New Roman" w:cs="Times New Roman"/>
                <w:sz w:val="18"/>
                <w:szCs w:val="18"/>
              </w:rPr>
              <w:t>6</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53</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28</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30</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Biver</w:t>
            </w:r>
            <w:proofErr w:type="spellEnd"/>
            <w:r w:rsidRPr="00B8544C">
              <w:rPr>
                <w:rFonts w:ascii="Times New Roman" w:hAnsi="Times New Roman" w:cs="Times New Roman"/>
                <w:b w:val="0"/>
                <w:sz w:val="18"/>
                <w:szCs w:val="18"/>
              </w:rPr>
              <w:t xml:space="preserve"> 2014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RW.CITE{{67 Biver,E. 2014}}</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47</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112</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64</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6</w:t>
            </w:r>
            <w:r>
              <w:rPr>
                <w:rFonts w:ascii="Times New Roman" w:hAnsi="Times New Roman" w:cs="Times New Roman"/>
                <w:sz w:val="18"/>
                <w:szCs w:val="18"/>
              </w:rPr>
              <w:t>5</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w:t>
            </w:r>
            <w:r>
              <w:rPr>
                <w:rFonts w:ascii="Times New Roman" w:hAnsi="Times New Roman" w:cs="Times New Roman"/>
                <w:sz w:val="18"/>
                <w:szCs w:val="18"/>
              </w:rPr>
              <w:t>5</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w:t>
            </w:r>
            <w:r>
              <w:rPr>
                <w:rFonts w:ascii="Times New Roman" w:hAnsi="Times New Roman" w:cs="Times New Roman"/>
                <w:sz w:val="18"/>
                <w:szCs w:val="18"/>
              </w:rPr>
              <w:t>6</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rPr>
            </w:pPr>
            <w:proofErr w:type="spellStart"/>
            <w:r w:rsidRPr="00B8544C">
              <w:rPr>
                <w:rFonts w:ascii="Times New Roman" w:hAnsi="Times New Roman" w:cs="Times New Roman"/>
                <w:b w:val="0"/>
                <w:bCs w:val="0"/>
                <w:sz w:val="18"/>
                <w:szCs w:val="18"/>
              </w:rPr>
              <w:t>Bolland</w:t>
            </w:r>
            <w:proofErr w:type="spellEnd"/>
            <w:r w:rsidRPr="00B8544C">
              <w:rPr>
                <w:rFonts w:ascii="Times New Roman" w:hAnsi="Times New Roman" w:cs="Times New Roman"/>
                <w:b w:val="0"/>
                <w:bCs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RW.CITE{{74 Bolland,M.J.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48</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sz w:val="18"/>
                <w:szCs w:val="18"/>
              </w:rPr>
            </w:pPr>
            <w:proofErr w:type="spellStart"/>
            <w:r w:rsidRPr="00AA4013">
              <w:rPr>
                <w:rFonts w:ascii="Times New Roman" w:hAnsi="Times New Roman" w:cs="Times New Roman"/>
                <w:sz w:val="18"/>
                <w:szCs w:val="18"/>
              </w:rPr>
              <w:t>Cohort</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23</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26</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47</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w:t>
            </w:r>
            <w:r>
              <w:rPr>
                <w:rFonts w:ascii="Times New Roman" w:hAnsi="Times New Roman" w:cs="Times New Roman"/>
                <w:sz w:val="18"/>
                <w:szCs w:val="18"/>
              </w:rPr>
              <w:t>5</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24</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25</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rPr>
            </w:pPr>
            <w:proofErr w:type="spellStart"/>
            <w:r w:rsidRPr="00B8544C">
              <w:rPr>
                <w:rFonts w:ascii="Times New Roman" w:hAnsi="Times New Roman" w:cs="Times New Roman"/>
                <w:b w:val="0"/>
                <w:bCs w:val="0"/>
                <w:sz w:val="18"/>
                <w:szCs w:val="18"/>
              </w:rPr>
              <w:t>Bolland</w:t>
            </w:r>
            <w:proofErr w:type="spellEnd"/>
            <w:r w:rsidRPr="00B8544C">
              <w:rPr>
                <w:rFonts w:ascii="Times New Roman" w:hAnsi="Times New Roman" w:cs="Times New Roman"/>
                <w:b w:val="0"/>
                <w:bCs w:val="0"/>
                <w:sz w:val="18"/>
                <w:szCs w:val="18"/>
              </w:rPr>
              <w:t xml:space="preserve"> 2012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RW.CITE{{70 Bolland,M.J. 2012}}</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49</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sz w:val="18"/>
                <w:szCs w:val="18"/>
              </w:rPr>
            </w:pPr>
            <w:proofErr w:type="spellStart"/>
            <w:r w:rsidRPr="00AA4013">
              <w:rPr>
                <w:rFonts w:ascii="Times New Roman" w:hAnsi="Times New Roman" w:cs="Times New Roman"/>
                <w:sz w:val="18"/>
                <w:szCs w:val="18"/>
              </w:rPr>
              <w:t>Cohort</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32</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33</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49</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46</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w:t>
            </w:r>
            <w:r>
              <w:rPr>
                <w:rFonts w:ascii="Times New Roman" w:hAnsi="Times New Roman" w:cs="Times New Roman"/>
                <w:sz w:val="18"/>
                <w:szCs w:val="18"/>
              </w:rPr>
              <w:t>5</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26</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r w:rsidRPr="00B8544C">
              <w:rPr>
                <w:rFonts w:ascii="Times New Roman" w:hAnsi="Times New Roman" w:cs="Times New Roman"/>
                <w:b w:val="0"/>
                <w:sz w:val="18"/>
                <w:szCs w:val="18"/>
              </w:rPr>
              <w:t xml:space="preserve">Brown 2004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RW.CITE{{97 Brown,T.T. 2004}}</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50</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sz w:val="18"/>
                <w:szCs w:val="18"/>
              </w:rPr>
            </w:pPr>
            <w:proofErr w:type="spellStart"/>
            <w:r w:rsidRPr="00AA4013">
              <w:rPr>
                <w:rFonts w:ascii="Times New Roman" w:hAnsi="Times New Roman" w:cs="Times New Roman"/>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51</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22</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86</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82</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40</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39</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25</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w:t>
            </w:r>
            <w:r>
              <w:rPr>
                <w:rFonts w:ascii="Times New Roman" w:hAnsi="Times New Roman" w:cs="Times New Roman"/>
                <w:sz w:val="18"/>
                <w:szCs w:val="18"/>
              </w:rPr>
              <w:t>6</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Bruera</w:t>
            </w:r>
            <w:proofErr w:type="spellEnd"/>
            <w:r w:rsidRPr="00B8544C">
              <w:rPr>
                <w:rFonts w:ascii="Times New Roman" w:hAnsi="Times New Roman" w:cs="Times New Roman"/>
                <w:b w:val="0"/>
                <w:sz w:val="18"/>
                <w:szCs w:val="18"/>
              </w:rPr>
              <w:t xml:space="preserve"> 2003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RW.CITE{{98 Bruera,D. 2003}}</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51</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33</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31</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91</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77</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31</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31</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24</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25</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Bruera</w:t>
            </w:r>
            <w:proofErr w:type="spellEnd"/>
            <w:r w:rsidRPr="00B8544C">
              <w:rPr>
                <w:rFonts w:ascii="Times New Roman" w:hAnsi="Times New Roman" w:cs="Times New Roman"/>
                <w:b w:val="0"/>
                <w:sz w:val="18"/>
                <w:szCs w:val="18"/>
              </w:rPr>
              <w:t xml:space="preserve"> 2003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RW.CITE{{98 Bruera,D. 2003}}</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51</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proofErr w:type="spellStart"/>
            <w:r w:rsidRPr="00AA4013">
              <w:rPr>
                <w:rFonts w:ascii="Times New Roman" w:hAnsi="Times New Roman" w:cs="Times New Roman"/>
                <w:sz w:val="18"/>
                <w:szCs w:val="18"/>
              </w:rPr>
              <w:t>Non-PI</w:t>
            </w:r>
            <w:proofErr w:type="spellEnd"/>
            <w:r w:rsidRPr="00AA4013">
              <w:rPr>
                <w:rFonts w:ascii="Times New Roman" w:hAnsi="Times New Roman" w:cs="Times New Roman"/>
                <w:sz w:val="18"/>
                <w:szCs w:val="18"/>
              </w:rPr>
              <w:t xml:space="preserve"> </w:t>
            </w:r>
            <w:r>
              <w:rPr>
                <w:rFonts w:ascii="Times New Roman" w:hAnsi="Times New Roman" w:cs="Times New Roman"/>
                <w:sz w:val="18"/>
                <w:szCs w:val="18"/>
              </w:rPr>
              <w:t>ART</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35</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31</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69</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77</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35</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31</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24</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25</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Bruera</w:t>
            </w:r>
            <w:proofErr w:type="spellEnd"/>
            <w:r w:rsidRPr="00B8544C">
              <w:rPr>
                <w:rFonts w:ascii="Times New Roman" w:hAnsi="Times New Roman" w:cs="Times New Roman"/>
                <w:b w:val="0"/>
                <w:sz w:val="18"/>
                <w:szCs w:val="18"/>
              </w:rPr>
              <w:t xml:space="preserve"> 2003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RW.CITE{{98 Bruera,D. 2003}}</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51</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 xml:space="preserve">PI </w:t>
            </w:r>
            <w:r>
              <w:rPr>
                <w:rFonts w:ascii="Times New Roman" w:hAnsi="Times New Roman" w:cs="Times New Roman"/>
                <w:sz w:val="18"/>
                <w:szCs w:val="18"/>
              </w:rPr>
              <w:t>+ 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42</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31</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81</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77</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36</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31</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24</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25</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Calmy</w:t>
            </w:r>
            <w:proofErr w:type="spellEnd"/>
            <w:r w:rsidRPr="00B8544C">
              <w:rPr>
                <w:rFonts w:ascii="Times New Roman" w:hAnsi="Times New Roman" w:cs="Times New Roman"/>
                <w:b w:val="0"/>
                <w:sz w:val="18"/>
                <w:szCs w:val="18"/>
              </w:rPr>
              <w:t xml:space="preserve"> 2013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RW.CITE{{107 Calmy,A. 2013}}</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52</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22</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44</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44</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44</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22</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22</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Dolan</w:t>
            </w:r>
            <w:proofErr w:type="spellEnd"/>
            <w:r w:rsidRPr="00B8544C">
              <w:rPr>
                <w:rFonts w:ascii="Times New Roman" w:hAnsi="Times New Roman" w:cs="Times New Roman"/>
                <w:b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RW.CITE{{165 Dolan,S.E.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53</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100</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39</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41</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19</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27</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Dolan</w:t>
            </w:r>
            <w:proofErr w:type="spellEnd"/>
            <w:r w:rsidRPr="00B8544C">
              <w:rPr>
                <w:rFonts w:ascii="Times New Roman" w:hAnsi="Times New Roman" w:cs="Times New Roman"/>
                <w:b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RW.CITE{{165 Dolan,S.E.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53</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124</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100</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41</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41</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26</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27</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Guerri-Fernandez</w:t>
            </w:r>
            <w:proofErr w:type="spellEnd"/>
            <w:r w:rsidRPr="00B8544C">
              <w:rPr>
                <w:rFonts w:ascii="Times New Roman" w:hAnsi="Times New Roman" w:cs="Times New Roman"/>
                <w:b w:val="0"/>
                <w:sz w:val="18"/>
                <w:szCs w:val="18"/>
              </w:rPr>
              <w:t xml:space="preserve"> 2016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RW.CITE{{215 GÃ¼erri-FernÃ¡ndez,R. 2016}}</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54</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50</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35</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70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Pr>
                <w:rFonts w:ascii="Times New Roman" w:hAnsi="Times New Roman" w:cs="Times New Roman"/>
                <w:sz w:val="18"/>
                <w:szCs w:val="18"/>
              </w:rPr>
              <w:t>69</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37</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34</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24</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23</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Hamill</w:t>
            </w:r>
            <w:proofErr w:type="spellEnd"/>
            <w:r w:rsidRPr="00B8544C">
              <w:rPr>
                <w:rFonts w:ascii="Times New Roman" w:hAnsi="Times New Roman" w:cs="Times New Roman"/>
                <w:b w:val="0"/>
                <w:sz w:val="18"/>
                <w:szCs w:val="18"/>
              </w:rPr>
              <w:t xml:space="preserve"> 2013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RW.CITE{{223 Hamill,M.M. 2013}}</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55</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 xml:space="preserve">Non </w:t>
            </w:r>
            <w:r>
              <w:rPr>
                <w:rFonts w:ascii="Times New Roman" w:hAnsi="Times New Roman" w:cs="Times New Roman"/>
                <w:sz w:val="18"/>
                <w:szCs w:val="18"/>
              </w:rPr>
              <w:t>ART</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74</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98</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w:t>
            </w:r>
            <w:r>
              <w:rPr>
                <w:rFonts w:ascii="Times New Roman" w:hAnsi="Times New Roman" w:cs="Times New Roman"/>
                <w:sz w:val="18"/>
                <w:szCs w:val="18"/>
              </w:rPr>
              <w:t>4</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30</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28</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27</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Hamill</w:t>
            </w:r>
            <w:proofErr w:type="spellEnd"/>
            <w:r w:rsidRPr="00B8544C">
              <w:rPr>
                <w:rFonts w:ascii="Times New Roman" w:hAnsi="Times New Roman" w:cs="Times New Roman"/>
                <w:b w:val="0"/>
                <w:sz w:val="18"/>
                <w:szCs w:val="18"/>
              </w:rPr>
              <w:t xml:space="preserve"> 2013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RW.CITE{{223 Hamill,M.M. 2013}}</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55</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proofErr w:type="spellStart"/>
            <w:r w:rsidRPr="00AA4013">
              <w:rPr>
                <w:rFonts w:ascii="Times New Roman" w:hAnsi="Times New Roman" w:cs="Times New Roman"/>
                <w:sz w:val="18"/>
                <w:szCs w:val="18"/>
              </w:rPr>
              <w:t>Pre</w:t>
            </w:r>
            <w:proofErr w:type="spellEnd"/>
            <w:r w:rsidRPr="00AA4013">
              <w:rPr>
                <w:rFonts w:ascii="Times New Roman" w:hAnsi="Times New Roman" w:cs="Times New Roman"/>
                <w:sz w:val="18"/>
                <w:szCs w:val="18"/>
              </w:rPr>
              <w:t xml:space="preserve"> </w:t>
            </w: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75</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98</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33</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30</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24</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27</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rPr>
            </w:pPr>
            <w:proofErr w:type="spellStart"/>
            <w:r w:rsidRPr="00B8544C">
              <w:rPr>
                <w:rFonts w:ascii="Times New Roman" w:hAnsi="Times New Roman" w:cs="Times New Roman"/>
                <w:b w:val="0"/>
                <w:bCs w:val="0"/>
                <w:sz w:val="18"/>
                <w:szCs w:val="18"/>
              </w:rPr>
              <w:t>Hamill</w:t>
            </w:r>
            <w:proofErr w:type="spellEnd"/>
            <w:r w:rsidRPr="00B8544C">
              <w:rPr>
                <w:rFonts w:ascii="Times New Roman" w:hAnsi="Times New Roman" w:cs="Times New Roman"/>
                <w:b w:val="0"/>
                <w:bCs w:val="0"/>
                <w:sz w:val="18"/>
                <w:szCs w:val="18"/>
              </w:rPr>
              <w:t xml:space="preserve"> 2017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RW.CITE{{222 Hamill,M.M. 2017}}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56</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sz w:val="18"/>
                <w:szCs w:val="18"/>
              </w:rPr>
            </w:pPr>
            <w:proofErr w:type="spellStart"/>
            <w:r>
              <w:rPr>
                <w:rFonts w:ascii="Times New Roman" w:hAnsi="Times New Roman" w:cs="Times New Roman"/>
                <w:sz w:val="18"/>
                <w:szCs w:val="18"/>
              </w:rPr>
              <w:t>Cohort</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100000"/>
              <w:rPr>
                <w:rFonts w:ascii="Times New Roman" w:hAnsi="Times New Roman" w:cs="Times New Roman"/>
                <w:sz w:val="18"/>
                <w:szCs w:val="18"/>
                <w:lang w:val="en-US"/>
              </w:rPr>
            </w:pPr>
            <w:r w:rsidRPr="00AA4013">
              <w:rPr>
                <w:rFonts w:ascii="Times New Roman" w:hAnsi="Times New Roman" w:cs="Times New Roman"/>
                <w:sz w:val="18"/>
                <w:szCs w:val="18"/>
                <w:lang w:val="en-US"/>
              </w:rPr>
              <w:t>120</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67</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33</w:t>
            </w:r>
            <w:r w:rsidRPr="00AA4013">
              <w:rPr>
                <w:rFonts w:ascii="Times New Roman" w:hAnsi="Times New Roman" w:cs="Times New Roman"/>
                <w:sz w:val="18"/>
                <w:szCs w:val="18"/>
              </w:rPr>
              <w:t>-3</w:t>
            </w:r>
            <w:r>
              <w:rPr>
                <w:rFonts w:ascii="Times New Roman" w:hAnsi="Times New Roman" w:cs="Times New Roman"/>
                <w:sz w:val="18"/>
                <w:szCs w:val="18"/>
              </w:rPr>
              <w:t>5</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31</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 xml:space="preserve"> 26-28</w:t>
            </w:r>
            <w:r w:rsidRPr="00AA4013">
              <w:rPr>
                <w:rFonts w:ascii="Times New Roman" w:hAnsi="Times New Roman" w:cs="Times New Roman"/>
                <w:sz w:val="18"/>
                <w:szCs w:val="18"/>
              </w:rPr>
              <w:t xml:space="preserve">. </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29</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rPr>
            </w:pPr>
            <w:proofErr w:type="spellStart"/>
            <w:r w:rsidRPr="00B8544C">
              <w:rPr>
                <w:rFonts w:ascii="Times New Roman" w:hAnsi="Times New Roman" w:cs="Times New Roman"/>
                <w:b w:val="0"/>
                <w:bCs w:val="0"/>
                <w:sz w:val="18"/>
                <w:szCs w:val="18"/>
              </w:rPr>
              <w:t>Hileman</w:t>
            </w:r>
            <w:proofErr w:type="spellEnd"/>
            <w:r w:rsidRPr="00B8544C">
              <w:rPr>
                <w:rFonts w:ascii="Times New Roman" w:hAnsi="Times New Roman" w:cs="Times New Roman"/>
                <w:b w:val="0"/>
                <w:bCs w:val="0"/>
                <w:sz w:val="18"/>
                <w:szCs w:val="18"/>
              </w:rPr>
              <w:t xml:space="preserve"> 2014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RW.CITE{{236 Hileman,C.O. 2014}}</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57</w:t>
            </w:r>
            <w:r w:rsidR="00734DBD" w:rsidRPr="00B8544C">
              <w:rPr>
                <w:rFonts w:ascii="Times New Roman" w:hAnsi="Times New Roman" w:cs="Times New Roman"/>
                <w:sz w:val="18"/>
                <w:szCs w:val="18"/>
              </w:rPr>
              <w:fldChar w:fldCharType="end"/>
            </w:r>
            <w:r w:rsidRPr="00B8544C">
              <w:rPr>
                <w:rFonts w:ascii="Times New Roman" w:hAnsi="Times New Roman" w:cs="Times New Roman"/>
                <w:b w:val="0"/>
                <w:bCs w:val="0"/>
                <w:sz w:val="18"/>
                <w:szCs w:val="18"/>
              </w:rPr>
              <w:t xml:space="preserve"> </w:t>
            </w:r>
          </w:p>
        </w:tc>
        <w:tc>
          <w:tcPr>
            <w:tcW w:w="956" w:type="dxa"/>
            <w:noWrap/>
            <w:hideMark/>
          </w:tcPr>
          <w:p w:rsidR="00CA652E" w:rsidRPr="00AA4013" w:rsidRDefault="00CA652E" w:rsidP="00B3156F">
            <w:pPr>
              <w:cnfStyle w:val="000000000000"/>
              <w:rPr>
                <w:rFonts w:ascii="Times New Roman" w:hAnsi="Times New Roman" w:cs="Times New Roman"/>
                <w:sz w:val="18"/>
                <w:szCs w:val="18"/>
              </w:rPr>
            </w:pPr>
            <w:proofErr w:type="spellStart"/>
            <w:r w:rsidRPr="00AA4013">
              <w:rPr>
                <w:rFonts w:ascii="Times New Roman" w:hAnsi="Times New Roman" w:cs="Times New Roman"/>
                <w:sz w:val="18"/>
                <w:szCs w:val="18"/>
              </w:rPr>
              <w:t>Cohort</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47</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41</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70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6</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40</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37</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26</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27</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r w:rsidRPr="00B8544C">
              <w:rPr>
                <w:rFonts w:ascii="Times New Roman" w:hAnsi="Times New Roman" w:cs="Times New Roman"/>
                <w:b w:val="0"/>
                <w:sz w:val="18"/>
                <w:szCs w:val="18"/>
              </w:rPr>
              <w:t xml:space="preserve">Jones 2008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RW.CITE{{254 Jones,S. 2008}}</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58</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sz w:val="18"/>
                <w:szCs w:val="18"/>
              </w:rPr>
            </w:pPr>
            <w:proofErr w:type="spellStart"/>
            <w:r w:rsidRPr="00AA4013">
              <w:rPr>
                <w:rFonts w:ascii="Times New Roman" w:hAnsi="Times New Roman" w:cs="Times New Roman"/>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57</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47</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60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30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61</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62</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26</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29</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Kalyan</w:t>
            </w:r>
            <w:proofErr w:type="spellEnd"/>
            <w:r w:rsidRPr="00B8544C">
              <w:rPr>
                <w:rFonts w:ascii="Times New Roman" w:hAnsi="Times New Roman" w:cs="Times New Roman"/>
                <w:b w:val="0"/>
                <w:sz w:val="18"/>
                <w:szCs w:val="18"/>
              </w:rPr>
              <w:t xml:space="preserve"> 2018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RW.CITE{{515 Kalyan,S. 2018}}</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59</w:t>
            </w:r>
            <w:r w:rsidR="00734DBD" w:rsidRPr="00B8544C">
              <w:rPr>
                <w:rFonts w:ascii="Times New Roman" w:hAnsi="Times New Roman" w:cs="Times New Roman"/>
                <w:sz w:val="18"/>
                <w:szCs w:val="18"/>
              </w:rPr>
              <w:fldChar w:fldCharType="end"/>
            </w:r>
            <w:r w:rsidRPr="00B8544C">
              <w:rPr>
                <w:rFonts w:ascii="Times New Roman" w:hAnsi="Times New Roman" w:cs="Times New Roman"/>
                <w:b w:val="0"/>
                <w:sz w:val="18"/>
                <w:szCs w:val="18"/>
              </w:rPr>
              <w:t xml:space="preserve"> </w:t>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73</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280</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43</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50</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25</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26</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lastRenderedPageBreak/>
              <w:t>Loiseau-Peres</w:t>
            </w:r>
            <w:proofErr w:type="spellEnd"/>
            <w:r w:rsidRPr="00B8544C">
              <w:rPr>
                <w:rFonts w:ascii="Times New Roman" w:hAnsi="Times New Roman" w:cs="Times New Roman"/>
                <w:b w:val="0"/>
                <w:sz w:val="18"/>
                <w:szCs w:val="18"/>
              </w:rPr>
              <w:t xml:space="preserve"> 2002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RW.CITE{{285 Loiseau-Peres,S. 2002}}</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60</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31</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31</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43</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p>
        </w:tc>
        <w:tc>
          <w:tcPr>
            <w:tcW w:w="667" w:type="dxa"/>
            <w:noWrap/>
            <w:hideMark/>
          </w:tcPr>
          <w:p w:rsidR="00CA652E" w:rsidRPr="00AA4013" w:rsidRDefault="00CA652E" w:rsidP="00B3156F">
            <w:pPr>
              <w:cnfStyle w:val="000000100000"/>
              <w:rPr>
                <w:rFonts w:ascii="Times New Roman" w:hAnsi="Times New Roman" w:cs="Times New Roman"/>
                <w:sz w:val="18"/>
                <w:szCs w:val="18"/>
              </w:rPr>
            </w:pPr>
          </w:p>
        </w:tc>
        <w:tc>
          <w:tcPr>
            <w:tcW w:w="775" w:type="dxa"/>
            <w:noWrap/>
            <w:hideMark/>
          </w:tcPr>
          <w:p w:rsidR="00CA652E" w:rsidRPr="00AA4013" w:rsidRDefault="00CA652E" w:rsidP="00B3156F">
            <w:pPr>
              <w:cnfStyle w:val="000000100000"/>
              <w:rPr>
                <w:rFonts w:ascii="Times New Roman" w:hAnsi="Times New Roman" w:cs="Times New Roman"/>
                <w:sz w:val="18"/>
                <w:szCs w:val="18"/>
              </w:rPr>
            </w:pP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Loiseau-Peres</w:t>
            </w:r>
            <w:proofErr w:type="spellEnd"/>
            <w:r w:rsidRPr="00B8544C">
              <w:rPr>
                <w:rFonts w:ascii="Times New Roman" w:hAnsi="Times New Roman" w:cs="Times New Roman"/>
                <w:b w:val="0"/>
                <w:sz w:val="18"/>
                <w:szCs w:val="18"/>
              </w:rPr>
              <w:t xml:space="preserve"> 2002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RW.CITE{{285 Loiseau-Peres,S. 2002}}</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60</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16</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16</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p>
        </w:tc>
        <w:tc>
          <w:tcPr>
            <w:tcW w:w="667" w:type="dxa"/>
            <w:noWrap/>
            <w:hideMark/>
          </w:tcPr>
          <w:p w:rsidR="00CA652E" w:rsidRPr="00AA4013" w:rsidRDefault="00CA652E" w:rsidP="00B3156F">
            <w:pPr>
              <w:cnfStyle w:val="000000000000"/>
              <w:rPr>
                <w:rFonts w:ascii="Times New Roman" w:hAnsi="Times New Roman" w:cs="Times New Roman"/>
                <w:sz w:val="18"/>
                <w:szCs w:val="18"/>
              </w:rPr>
            </w:pPr>
          </w:p>
        </w:tc>
        <w:tc>
          <w:tcPr>
            <w:tcW w:w="775" w:type="dxa"/>
            <w:noWrap/>
            <w:hideMark/>
          </w:tcPr>
          <w:p w:rsidR="00CA652E" w:rsidRPr="00AA4013" w:rsidRDefault="00CA652E" w:rsidP="00B3156F">
            <w:pPr>
              <w:cnfStyle w:val="000000000000"/>
              <w:rPr>
                <w:rFonts w:ascii="Times New Roman" w:hAnsi="Times New Roman" w:cs="Times New Roman"/>
                <w:sz w:val="18"/>
                <w:szCs w:val="18"/>
              </w:rPr>
            </w:pP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Madeddu</w:t>
            </w:r>
            <w:proofErr w:type="spellEnd"/>
            <w:r w:rsidRPr="00B8544C">
              <w:rPr>
                <w:rFonts w:ascii="Times New Roman" w:hAnsi="Times New Roman" w:cs="Times New Roman"/>
                <w:b w:val="0"/>
                <w:sz w:val="18"/>
                <w:szCs w:val="18"/>
              </w:rPr>
              <w:t xml:space="preserve"> 2004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RW.CITE{{292 Madeddu,G. 2004}}</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61</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ART</w:t>
            </w:r>
            <w:r w:rsidRPr="00AA4013">
              <w:rPr>
                <w:rFonts w:ascii="Times New Roman" w:hAnsi="Times New Roman" w:cs="Times New Roman"/>
                <w:sz w:val="18"/>
                <w:szCs w:val="18"/>
              </w:rPr>
              <w:t xml:space="preserve"> </w:t>
            </w:r>
            <w:r>
              <w:rPr>
                <w:rFonts w:ascii="Times New Roman" w:hAnsi="Times New Roman" w:cs="Times New Roman"/>
                <w:sz w:val="18"/>
                <w:szCs w:val="18"/>
              </w:rPr>
              <w:t>+</w:t>
            </w:r>
            <w:r w:rsidRPr="00AA4013">
              <w:rPr>
                <w:rFonts w:ascii="Times New Roman" w:hAnsi="Times New Roman" w:cs="Times New Roman"/>
                <w:sz w:val="18"/>
                <w:szCs w:val="18"/>
              </w:rPr>
              <w:t>PI</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98</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64</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65</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38</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p>
        </w:tc>
        <w:tc>
          <w:tcPr>
            <w:tcW w:w="667" w:type="dxa"/>
            <w:noWrap/>
            <w:hideMark/>
          </w:tcPr>
          <w:p w:rsidR="00CA652E" w:rsidRPr="00AA4013" w:rsidRDefault="00CA652E" w:rsidP="00B3156F">
            <w:pPr>
              <w:cnfStyle w:val="000000100000"/>
              <w:rPr>
                <w:rFonts w:ascii="Times New Roman" w:hAnsi="Times New Roman" w:cs="Times New Roman"/>
                <w:sz w:val="18"/>
                <w:szCs w:val="18"/>
              </w:rPr>
            </w:pPr>
          </w:p>
        </w:tc>
        <w:tc>
          <w:tcPr>
            <w:tcW w:w="775" w:type="dxa"/>
            <w:noWrap/>
            <w:hideMark/>
          </w:tcPr>
          <w:p w:rsidR="00CA652E" w:rsidRPr="00AA4013" w:rsidRDefault="00CA652E" w:rsidP="00B3156F">
            <w:pPr>
              <w:cnfStyle w:val="000000100000"/>
              <w:rPr>
                <w:rFonts w:ascii="Times New Roman" w:hAnsi="Times New Roman" w:cs="Times New Roman"/>
                <w:sz w:val="18"/>
                <w:szCs w:val="18"/>
              </w:rPr>
            </w:pP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Madeddu</w:t>
            </w:r>
            <w:proofErr w:type="spellEnd"/>
            <w:r w:rsidRPr="00B8544C">
              <w:rPr>
                <w:rFonts w:ascii="Times New Roman" w:hAnsi="Times New Roman" w:cs="Times New Roman"/>
                <w:b w:val="0"/>
                <w:sz w:val="18"/>
                <w:szCs w:val="18"/>
              </w:rPr>
              <w:t xml:space="preserve"> 2004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RW.CITE{{292 Madeddu,G. 2004}}</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61</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60</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64</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Pr>
                <w:rFonts w:ascii="Times New Roman" w:hAnsi="Times New Roman" w:cs="Times New Roman"/>
                <w:sz w:val="18"/>
                <w:szCs w:val="18"/>
              </w:rPr>
              <w:t>63</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p>
        </w:tc>
        <w:tc>
          <w:tcPr>
            <w:tcW w:w="667" w:type="dxa"/>
            <w:noWrap/>
            <w:hideMark/>
          </w:tcPr>
          <w:p w:rsidR="00CA652E" w:rsidRPr="00AA4013" w:rsidRDefault="00CA652E" w:rsidP="00B3156F">
            <w:pPr>
              <w:cnfStyle w:val="000000000000"/>
              <w:rPr>
                <w:rFonts w:ascii="Times New Roman" w:hAnsi="Times New Roman" w:cs="Times New Roman"/>
                <w:sz w:val="18"/>
                <w:szCs w:val="18"/>
              </w:rPr>
            </w:pPr>
          </w:p>
        </w:tc>
        <w:tc>
          <w:tcPr>
            <w:tcW w:w="775" w:type="dxa"/>
            <w:noWrap/>
            <w:hideMark/>
          </w:tcPr>
          <w:p w:rsidR="00CA652E" w:rsidRPr="00AA4013" w:rsidRDefault="00CA652E" w:rsidP="00B3156F">
            <w:pPr>
              <w:cnfStyle w:val="000000000000"/>
              <w:rPr>
                <w:rFonts w:ascii="Times New Roman" w:hAnsi="Times New Roman" w:cs="Times New Roman"/>
                <w:sz w:val="18"/>
                <w:szCs w:val="18"/>
              </w:rPr>
            </w:pP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Mulligan</w:t>
            </w:r>
            <w:proofErr w:type="spellEnd"/>
            <w:r w:rsidRPr="00B8544C">
              <w:rPr>
                <w:rFonts w:ascii="Times New Roman" w:hAnsi="Times New Roman" w:cs="Times New Roman"/>
                <w:b w:val="0"/>
                <w:sz w:val="18"/>
                <w:szCs w:val="18"/>
              </w:rPr>
              <w:t xml:space="preserve"> 2012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RW.CITE{{326 Mulligan,K. 2012}}</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62</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ART</w:t>
            </w:r>
            <w:r w:rsidRPr="00AA4013">
              <w:rPr>
                <w:rFonts w:ascii="Times New Roman" w:hAnsi="Times New Roman" w:cs="Times New Roman"/>
                <w:sz w:val="18"/>
                <w:szCs w:val="18"/>
              </w:rPr>
              <w:t xml:space="preserve"> </w:t>
            </w:r>
            <w:r>
              <w:rPr>
                <w:rFonts w:ascii="Times New Roman" w:hAnsi="Times New Roman" w:cs="Times New Roman"/>
                <w:sz w:val="18"/>
                <w:szCs w:val="18"/>
              </w:rPr>
              <w:t>+</w:t>
            </w:r>
            <w:r w:rsidRPr="00AA4013">
              <w:rPr>
                <w:rFonts w:ascii="Times New Roman" w:hAnsi="Times New Roman" w:cs="Times New Roman"/>
                <w:sz w:val="18"/>
                <w:szCs w:val="18"/>
              </w:rPr>
              <w:t>PI</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105</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53</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21</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21</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p>
        </w:tc>
        <w:tc>
          <w:tcPr>
            <w:tcW w:w="775" w:type="dxa"/>
            <w:noWrap/>
            <w:hideMark/>
          </w:tcPr>
          <w:p w:rsidR="00CA652E" w:rsidRPr="00AA4013" w:rsidRDefault="00CA652E" w:rsidP="00B3156F">
            <w:pPr>
              <w:cnfStyle w:val="000000100000"/>
              <w:rPr>
                <w:rFonts w:ascii="Times New Roman" w:hAnsi="Times New Roman" w:cs="Times New Roman"/>
                <w:sz w:val="18"/>
                <w:szCs w:val="18"/>
              </w:rPr>
            </w:pP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Mulligan</w:t>
            </w:r>
            <w:proofErr w:type="spellEnd"/>
            <w:r w:rsidRPr="00B8544C">
              <w:rPr>
                <w:rFonts w:ascii="Times New Roman" w:hAnsi="Times New Roman" w:cs="Times New Roman"/>
                <w:b w:val="0"/>
                <w:sz w:val="18"/>
                <w:szCs w:val="18"/>
              </w:rPr>
              <w:t xml:space="preserve"> 2012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RW.CITE{{326 Mulligan,K. 2012}}</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62</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42</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53</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21</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21</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p>
        </w:tc>
        <w:tc>
          <w:tcPr>
            <w:tcW w:w="775" w:type="dxa"/>
            <w:noWrap/>
            <w:hideMark/>
          </w:tcPr>
          <w:p w:rsidR="00CA652E" w:rsidRPr="00AA4013" w:rsidRDefault="00CA652E" w:rsidP="00B3156F">
            <w:pPr>
              <w:cnfStyle w:val="000000000000"/>
              <w:rPr>
                <w:rFonts w:ascii="Times New Roman" w:hAnsi="Times New Roman" w:cs="Times New Roman"/>
                <w:sz w:val="18"/>
                <w:szCs w:val="18"/>
              </w:rPr>
            </w:pP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Mulligan</w:t>
            </w:r>
            <w:proofErr w:type="spellEnd"/>
            <w:r w:rsidRPr="00B8544C">
              <w:rPr>
                <w:rFonts w:ascii="Times New Roman" w:hAnsi="Times New Roman" w:cs="Times New Roman"/>
                <w:b w:val="0"/>
                <w:sz w:val="18"/>
                <w:szCs w:val="18"/>
              </w:rPr>
              <w:t xml:space="preserve"> 2012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RW.CITE{{326 Mulligan,K. 2012}}</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62</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52</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53</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21</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21</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p>
        </w:tc>
        <w:tc>
          <w:tcPr>
            <w:tcW w:w="775" w:type="dxa"/>
            <w:noWrap/>
            <w:hideMark/>
          </w:tcPr>
          <w:p w:rsidR="00CA652E" w:rsidRPr="00AA4013" w:rsidRDefault="00CA652E" w:rsidP="00B3156F">
            <w:pPr>
              <w:cnfStyle w:val="000000100000"/>
              <w:rPr>
                <w:rFonts w:ascii="Times New Roman" w:hAnsi="Times New Roman" w:cs="Times New Roman"/>
                <w:sz w:val="18"/>
                <w:szCs w:val="18"/>
              </w:rPr>
            </w:pP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Negredo</w:t>
            </w:r>
            <w:proofErr w:type="spellEnd"/>
            <w:r w:rsidRPr="00B8544C">
              <w:rPr>
                <w:rFonts w:ascii="Times New Roman" w:hAnsi="Times New Roman" w:cs="Times New Roman"/>
                <w:b w:val="0"/>
                <w:sz w:val="18"/>
                <w:szCs w:val="18"/>
              </w:rPr>
              <w:t xml:space="preserve"> 2014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RW.CITE{{341 Negredo,E. 2014}}</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63</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232</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75</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7</w:t>
            </w:r>
            <w:r>
              <w:rPr>
                <w:rFonts w:ascii="Times New Roman" w:hAnsi="Times New Roman" w:cs="Times New Roman"/>
                <w:sz w:val="18"/>
                <w:szCs w:val="18"/>
              </w:rPr>
              <w:t>9</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73</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26</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p>
        </w:tc>
        <w:tc>
          <w:tcPr>
            <w:tcW w:w="775" w:type="dxa"/>
            <w:noWrap/>
            <w:hideMark/>
          </w:tcPr>
          <w:p w:rsidR="00CA652E" w:rsidRPr="00AA4013" w:rsidRDefault="00CA652E" w:rsidP="00B3156F">
            <w:pPr>
              <w:cnfStyle w:val="000000000000"/>
              <w:rPr>
                <w:rFonts w:ascii="Times New Roman" w:hAnsi="Times New Roman" w:cs="Times New Roman"/>
                <w:sz w:val="18"/>
                <w:szCs w:val="18"/>
              </w:rPr>
            </w:pP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r w:rsidRPr="00B8544C">
              <w:rPr>
                <w:rFonts w:ascii="Times New Roman" w:hAnsi="Times New Roman" w:cs="Times New Roman"/>
                <w:b w:val="0"/>
                <w:sz w:val="18"/>
                <w:szCs w:val="18"/>
              </w:rPr>
              <w:t xml:space="preserve">Paul 2010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RW.CITE{{360 Paul,T.V. 2010}}</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64</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35</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35</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39</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39</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p>
        </w:tc>
        <w:tc>
          <w:tcPr>
            <w:tcW w:w="775" w:type="dxa"/>
            <w:noWrap/>
            <w:hideMark/>
          </w:tcPr>
          <w:p w:rsidR="00CA652E" w:rsidRPr="00AA4013" w:rsidRDefault="00CA652E" w:rsidP="00B3156F">
            <w:pPr>
              <w:cnfStyle w:val="000000100000"/>
              <w:rPr>
                <w:rFonts w:ascii="Times New Roman" w:hAnsi="Times New Roman" w:cs="Times New Roman"/>
                <w:sz w:val="18"/>
                <w:szCs w:val="18"/>
              </w:rPr>
            </w:pP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r w:rsidRPr="00B8544C">
              <w:rPr>
                <w:rFonts w:ascii="Times New Roman" w:hAnsi="Times New Roman" w:cs="Times New Roman"/>
                <w:b w:val="0"/>
                <w:sz w:val="18"/>
                <w:szCs w:val="18"/>
              </w:rPr>
              <w:t xml:space="preserve">Paul 2010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RW.CITE{{360 Paul,T.V. 2010}}</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64</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35</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35</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39</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p>
        </w:tc>
        <w:tc>
          <w:tcPr>
            <w:tcW w:w="775" w:type="dxa"/>
            <w:noWrap/>
            <w:hideMark/>
          </w:tcPr>
          <w:p w:rsidR="00CA652E" w:rsidRPr="00AA4013" w:rsidRDefault="00CA652E" w:rsidP="00B3156F">
            <w:pPr>
              <w:cnfStyle w:val="000000000000"/>
              <w:rPr>
                <w:rFonts w:ascii="Times New Roman" w:hAnsi="Times New Roman" w:cs="Times New Roman"/>
                <w:sz w:val="18"/>
                <w:szCs w:val="18"/>
              </w:rPr>
            </w:pP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rPr>
            </w:pPr>
            <w:r w:rsidRPr="00B8544C">
              <w:rPr>
                <w:rFonts w:ascii="Times New Roman" w:hAnsi="Times New Roman" w:cs="Times New Roman"/>
                <w:b w:val="0"/>
                <w:bCs w:val="0"/>
                <w:sz w:val="18"/>
                <w:szCs w:val="18"/>
              </w:rPr>
              <w:t xml:space="preserve">Peters 2013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RW.CITE{{368 Peters,B.S. 2013}}</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27</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sz w:val="18"/>
                <w:szCs w:val="18"/>
              </w:rPr>
            </w:pPr>
            <w:proofErr w:type="spellStart"/>
            <w:r w:rsidRPr="00AA4013">
              <w:rPr>
                <w:rFonts w:ascii="Times New Roman" w:hAnsi="Times New Roman" w:cs="Times New Roman"/>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222</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222</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60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80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rPr>
              <w:t>45</w:t>
            </w:r>
            <w:r w:rsidRPr="00AA4013">
              <w:rPr>
                <w:rFonts w:ascii="Times New Roman" w:hAnsi="Times New Roman" w:cs="Times New Roman"/>
                <w:sz w:val="18"/>
                <w:szCs w:val="18"/>
              </w:rPr>
              <w:t>-46</w:t>
            </w:r>
          </w:p>
        </w:tc>
        <w:tc>
          <w:tcPr>
            <w:tcW w:w="722" w:type="dxa"/>
            <w:noWrap/>
            <w:hideMark/>
          </w:tcPr>
          <w:p w:rsidR="00CA652E" w:rsidRPr="00AA4013" w:rsidRDefault="00CA652E" w:rsidP="00B3156F">
            <w:pPr>
              <w:cnfStyle w:val="000000100000"/>
              <w:rPr>
                <w:rFonts w:ascii="Times New Roman" w:hAnsi="Times New Roman" w:cs="Times New Roman"/>
                <w:sz w:val="18"/>
                <w:szCs w:val="18"/>
                <w:lang w:val="en-US"/>
              </w:rPr>
            </w:pPr>
            <w:r w:rsidRPr="00AA4013">
              <w:rPr>
                <w:rFonts w:ascii="Times New Roman" w:hAnsi="Times New Roman" w:cs="Times New Roman"/>
                <w:sz w:val="18"/>
                <w:szCs w:val="18"/>
                <w:lang w:val="en-US"/>
              </w:rPr>
              <w:t>45-4</w:t>
            </w:r>
            <w:r>
              <w:rPr>
                <w:rFonts w:ascii="Times New Roman" w:hAnsi="Times New Roman" w:cs="Times New Roman"/>
                <w:sz w:val="18"/>
                <w:szCs w:val="18"/>
                <w:lang w:val="en-US"/>
              </w:rPr>
              <w:t>7</w:t>
            </w:r>
          </w:p>
        </w:tc>
        <w:tc>
          <w:tcPr>
            <w:tcW w:w="667" w:type="dxa"/>
            <w:noWrap/>
            <w:hideMark/>
          </w:tcPr>
          <w:p w:rsidR="00CA652E" w:rsidRPr="00AA4013"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24-28</w:t>
            </w:r>
            <w:r w:rsidRPr="00AA4013">
              <w:rPr>
                <w:rFonts w:ascii="Times New Roman" w:hAnsi="Times New Roman" w:cs="Times New Roman"/>
                <w:sz w:val="18"/>
                <w:szCs w:val="18"/>
                <w:lang w:val="en-US"/>
              </w:rPr>
              <w:t xml:space="preserve"> </w:t>
            </w:r>
          </w:p>
        </w:tc>
        <w:tc>
          <w:tcPr>
            <w:tcW w:w="775" w:type="dxa"/>
            <w:noWrap/>
            <w:hideMark/>
          </w:tcPr>
          <w:p w:rsidR="00CA652E" w:rsidRPr="00AA4013"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25-27</w:t>
            </w:r>
            <w:r w:rsidRPr="00AA4013">
              <w:rPr>
                <w:rFonts w:ascii="Times New Roman" w:hAnsi="Times New Roman" w:cs="Times New Roman"/>
                <w:sz w:val="18"/>
                <w:szCs w:val="18"/>
                <w:lang w:val="en-US"/>
              </w:rPr>
              <w:t xml:space="preserve"> </w:t>
            </w:r>
          </w:p>
        </w:tc>
        <w:tc>
          <w:tcPr>
            <w:tcW w:w="841" w:type="dxa"/>
            <w:noWrap/>
            <w:hideMark/>
          </w:tcPr>
          <w:p w:rsidR="00CA652E" w:rsidRPr="00AA4013" w:rsidRDefault="00CA652E" w:rsidP="00B3156F">
            <w:pPr>
              <w:cnfStyle w:val="000000100000"/>
              <w:rPr>
                <w:rFonts w:ascii="Times New Roman" w:hAnsi="Times New Roman" w:cs="Times New Roman"/>
                <w:sz w:val="18"/>
                <w:szCs w:val="18"/>
                <w:lang w:val="en-US"/>
              </w:rPr>
            </w:pPr>
            <w:r w:rsidRPr="00AA4013">
              <w:rPr>
                <w:rFonts w:ascii="Times New Roman" w:hAnsi="Times New Roman" w:cs="Times New Roman"/>
                <w:sz w:val="18"/>
                <w:szCs w:val="18"/>
                <w:lang w:val="en-US"/>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lang w:val="en-US"/>
              </w:rPr>
            </w:pPr>
            <w:r w:rsidRPr="00B8544C">
              <w:rPr>
                <w:rFonts w:ascii="Times New Roman" w:hAnsi="Times New Roman" w:cs="Times New Roman"/>
                <w:b w:val="0"/>
                <w:bCs w:val="0"/>
                <w:sz w:val="18"/>
                <w:szCs w:val="18"/>
                <w:lang w:val="en-US"/>
              </w:rPr>
              <w:t xml:space="preserve">Prior 2007 </w:t>
            </w:r>
            <w:r w:rsidR="00734DBD" w:rsidRPr="00B8544C">
              <w:rPr>
                <w:rFonts w:ascii="Times New Roman" w:hAnsi="Times New Roman" w:cs="Times New Roman"/>
                <w:sz w:val="18"/>
                <w:szCs w:val="18"/>
                <w:lang w:val="en-US"/>
              </w:rPr>
              <w:fldChar w:fldCharType="begin"/>
            </w:r>
            <w:r w:rsidRPr="00B8544C">
              <w:rPr>
                <w:rFonts w:ascii="Times New Roman" w:hAnsi="Times New Roman" w:cs="Times New Roman"/>
                <w:b w:val="0"/>
                <w:bCs w:val="0"/>
                <w:sz w:val="18"/>
                <w:szCs w:val="18"/>
                <w:lang w:val="en-US"/>
              </w:rPr>
              <w:instrText>ADDIN RW.CITE{{392 Prior,J. 2007}}</w:instrText>
            </w:r>
            <w:r w:rsidR="00734DBD" w:rsidRPr="00B8544C">
              <w:rPr>
                <w:rFonts w:ascii="Times New Roman" w:hAnsi="Times New Roman" w:cs="Times New Roman"/>
                <w:sz w:val="18"/>
                <w:szCs w:val="18"/>
                <w:lang w:val="en-US"/>
              </w:rPr>
              <w:fldChar w:fldCharType="separate"/>
            </w:r>
            <w:r w:rsidR="009A2FA4">
              <w:rPr>
                <w:rFonts w:ascii="Calibri" w:eastAsia="Times New Roman" w:hAnsi="Calibri" w:cs="Calibri"/>
                <w:sz w:val="18"/>
                <w:szCs w:val="18"/>
                <w:vertAlign w:val="superscript"/>
              </w:rPr>
              <w:t>29</w:t>
            </w:r>
            <w:r w:rsidR="00734DBD" w:rsidRPr="00B8544C">
              <w:rPr>
                <w:rFonts w:ascii="Times New Roman" w:hAnsi="Times New Roman" w:cs="Times New Roman"/>
                <w:sz w:val="18"/>
                <w:szCs w:val="18"/>
                <w:lang w:val="en-US"/>
              </w:rPr>
              <w:fldChar w:fldCharType="end"/>
            </w:r>
          </w:p>
        </w:tc>
        <w:tc>
          <w:tcPr>
            <w:tcW w:w="956" w:type="dxa"/>
            <w:noWrap/>
            <w:hideMark/>
          </w:tcPr>
          <w:p w:rsidR="00CA652E" w:rsidRPr="00AA4013" w:rsidRDefault="00CA652E" w:rsidP="00B3156F">
            <w:pPr>
              <w:cnfStyle w:val="000000000000"/>
              <w:rPr>
                <w:rFonts w:ascii="Times New Roman" w:hAnsi="Times New Roman" w:cs="Times New Roman"/>
                <w:sz w:val="18"/>
                <w:szCs w:val="18"/>
                <w:lang w:val="en-US"/>
              </w:rPr>
            </w:pPr>
            <w:r w:rsidRPr="00AA4013">
              <w:rPr>
                <w:rFonts w:ascii="Times New Roman" w:hAnsi="Times New Roman" w:cs="Times New Roman"/>
                <w:sz w:val="18"/>
                <w:szCs w:val="18"/>
                <w:lang w:val="en-US"/>
              </w:rPr>
              <w:t>Case-control</w:t>
            </w:r>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138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402</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38</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38</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25</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26</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rPr>
            </w:pPr>
            <w:proofErr w:type="spellStart"/>
            <w:r w:rsidRPr="00B8544C">
              <w:rPr>
                <w:rFonts w:ascii="Times New Roman" w:hAnsi="Times New Roman" w:cs="Times New Roman"/>
                <w:b w:val="0"/>
                <w:bCs w:val="0"/>
                <w:sz w:val="18"/>
                <w:szCs w:val="18"/>
              </w:rPr>
              <w:t>Sharma</w:t>
            </w:r>
            <w:proofErr w:type="spellEnd"/>
            <w:r w:rsidRPr="00B8544C">
              <w:rPr>
                <w:rFonts w:ascii="Times New Roman" w:hAnsi="Times New Roman" w:cs="Times New Roman"/>
                <w:b w:val="0"/>
                <w:bCs w:val="0"/>
                <w:sz w:val="18"/>
                <w:szCs w:val="18"/>
              </w:rPr>
              <w:t xml:space="preserve"> 2015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RW.CITE{{427 Sharma,A. 2015}}</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65</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Cohort</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246</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219</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47</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48</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28</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32</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Teichmann</w:t>
            </w:r>
            <w:proofErr w:type="spellEnd"/>
            <w:r w:rsidRPr="00B8544C">
              <w:rPr>
                <w:rFonts w:ascii="Times New Roman" w:hAnsi="Times New Roman" w:cs="Times New Roman"/>
                <w:b w:val="0"/>
                <w:sz w:val="18"/>
                <w:szCs w:val="18"/>
              </w:rPr>
              <w:t xml:space="preserve"> 2009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RW.CITE{{455 Teichmann,J. 2009}}</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66</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32</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20</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39</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35</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24</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26</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Teichmann</w:t>
            </w:r>
            <w:proofErr w:type="spellEnd"/>
            <w:r w:rsidRPr="00B8544C">
              <w:rPr>
                <w:rFonts w:ascii="Times New Roman" w:hAnsi="Times New Roman" w:cs="Times New Roman"/>
                <w:b w:val="0"/>
                <w:sz w:val="18"/>
                <w:szCs w:val="18"/>
              </w:rPr>
              <w:t xml:space="preserve"> 2009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RW.CITE{{455 Teichmann,J. 2009}}</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66</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48</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20</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35</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35</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w:t>
            </w:r>
            <w:r>
              <w:rPr>
                <w:rFonts w:ascii="Times New Roman" w:hAnsi="Times New Roman" w:cs="Times New Roman"/>
                <w:sz w:val="18"/>
                <w:szCs w:val="18"/>
              </w:rPr>
              <w:t>5</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26</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Unsal</w:t>
            </w:r>
            <w:proofErr w:type="spellEnd"/>
            <w:r w:rsidRPr="00B8544C">
              <w:rPr>
                <w:rFonts w:ascii="Times New Roman" w:hAnsi="Times New Roman" w:cs="Times New Roman"/>
                <w:b w:val="0"/>
                <w:sz w:val="18"/>
                <w:szCs w:val="18"/>
              </w:rPr>
              <w:t xml:space="preserve"> 2017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RW.CITE{{464 Unsal,A.B. 2017}}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67</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65</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23</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39</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48</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24</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25</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24</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25</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r w:rsidRPr="00B8544C">
              <w:rPr>
                <w:rFonts w:ascii="Times New Roman" w:hAnsi="Times New Roman" w:cs="Times New Roman"/>
                <w:b w:val="0"/>
                <w:sz w:val="18"/>
                <w:szCs w:val="18"/>
              </w:rPr>
              <w:t xml:space="preserve">Yin 2010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RW.CITE{{485 Yin,M.T. 2010}}</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68</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92</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95</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w:t>
            </w:r>
            <w:r>
              <w:rPr>
                <w:rFonts w:ascii="Times New Roman" w:hAnsi="Times New Roman" w:cs="Times New Roman"/>
                <w:sz w:val="18"/>
                <w:szCs w:val="18"/>
              </w:rPr>
              <w:t>6</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60</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w:t>
            </w:r>
            <w:r>
              <w:rPr>
                <w:rFonts w:ascii="Times New Roman" w:hAnsi="Times New Roman" w:cs="Times New Roman"/>
                <w:sz w:val="18"/>
                <w:szCs w:val="18"/>
              </w:rPr>
              <w:t>8</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30</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r w:rsidRPr="00B8544C">
              <w:rPr>
                <w:rFonts w:ascii="Times New Roman" w:hAnsi="Times New Roman" w:cs="Times New Roman"/>
                <w:b w:val="0"/>
                <w:sz w:val="18"/>
                <w:szCs w:val="18"/>
              </w:rPr>
              <w:t xml:space="preserve">Yin 2014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RW.CITE{{486 Yin,M.T. 2014}}</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69</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ART</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30</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14</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sidRPr="00AA4013">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w:t>
            </w:r>
            <w:r>
              <w:rPr>
                <w:rFonts w:ascii="Times New Roman" w:hAnsi="Times New Roman" w:cs="Times New Roman"/>
                <w:sz w:val="18"/>
                <w:szCs w:val="18"/>
              </w:rPr>
              <w:t>3</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22</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26</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w:t>
            </w:r>
            <w:r>
              <w:rPr>
                <w:rFonts w:ascii="Times New Roman" w:hAnsi="Times New Roman" w:cs="Times New Roman"/>
                <w:sz w:val="18"/>
                <w:szCs w:val="18"/>
              </w:rPr>
              <w:t>5</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cnfStyle w:val="000000100000"/>
          <w:trHeight w:val="432"/>
        </w:trPr>
        <w:tc>
          <w:tcPr>
            <w:cnfStyle w:val="001000000000"/>
            <w:tcW w:w="922" w:type="dxa"/>
            <w:noWrap/>
            <w:hideMark/>
          </w:tcPr>
          <w:p w:rsidR="00CA652E" w:rsidRPr="00B8544C" w:rsidRDefault="00CA652E" w:rsidP="009A2FA4">
            <w:pPr>
              <w:rPr>
                <w:rFonts w:ascii="Times New Roman" w:hAnsi="Times New Roman" w:cs="Times New Roman"/>
                <w:b w:val="0"/>
                <w:sz w:val="18"/>
                <w:szCs w:val="18"/>
              </w:rPr>
            </w:pPr>
            <w:r w:rsidRPr="00B8544C">
              <w:rPr>
                <w:rFonts w:ascii="Times New Roman" w:hAnsi="Times New Roman" w:cs="Times New Roman"/>
                <w:b w:val="0"/>
                <w:sz w:val="18"/>
                <w:szCs w:val="18"/>
              </w:rPr>
              <w:t xml:space="preserve">Yin 2005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RW.CITE{{481 Yin,M. 2005}}</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70</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sidRPr="00AA4013">
              <w:rPr>
                <w:rFonts w:ascii="Times New Roman" w:hAnsi="Times New Roman" w:cs="Times New Roman"/>
                <w:bCs/>
                <w:sz w:val="18"/>
                <w:szCs w:val="18"/>
              </w:rPr>
              <w:t>Cross-sectional</w:t>
            </w:r>
            <w:proofErr w:type="spellEnd"/>
          </w:p>
        </w:tc>
        <w:tc>
          <w:tcPr>
            <w:tcW w:w="70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Mixed</w:t>
            </w:r>
          </w:p>
        </w:tc>
        <w:tc>
          <w:tcPr>
            <w:tcW w:w="669"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31</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186</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100000"/>
              <w:rPr>
                <w:rFonts w:ascii="Times New Roman" w:hAnsi="Times New Roman" w:cs="Times New Roman"/>
                <w:sz w:val="18"/>
                <w:szCs w:val="18"/>
              </w:rPr>
            </w:pPr>
            <w:proofErr w:type="gramStart"/>
            <w:r w:rsidRPr="00AA4013">
              <w:rPr>
                <w:rFonts w:ascii="Times New Roman" w:hAnsi="Times New Roman" w:cs="Times New Roman"/>
                <w:sz w:val="18"/>
                <w:szCs w:val="18"/>
              </w:rPr>
              <w:t>0</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56</w:t>
            </w:r>
          </w:p>
        </w:tc>
        <w:tc>
          <w:tcPr>
            <w:tcW w:w="722"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57</w:t>
            </w:r>
          </w:p>
        </w:tc>
        <w:tc>
          <w:tcPr>
            <w:tcW w:w="667"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26</w:t>
            </w:r>
          </w:p>
        </w:tc>
        <w:tc>
          <w:tcPr>
            <w:tcW w:w="775"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28</w:t>
            </w:r>
          </w:p>
        </w:tc>
        <w:tc>
          <w:tcPr>
            <w:tcW w:w="841" w:type="dxa"/>
            <w:noWrap/>
            <w:hideMark/>
          </w:tcPr>
          <w:p w:rsidR="00CA652E" w:rsidRPr="00AA4013" w:rsidRDefault="00CA652E" w:rsidP="00B3156F">
            <w:pPr>
              <w:cnfStyle w:val="000000100000"/>
              <w:rPr>
                <w:rFonts w:ascii="Times New Roman" w:hAnsi="Times New Roman" w:cs="Times New Roman"/>
                <w:sz w:val="18"/>
                <w:szCs w:val="18"/>
              </w:rPr>
            </w:pPr>
            <w:r w:rsidRPr="00AA4013">
              <w:rPr>
                <w:rFonts w:ascii="Times New Roman" w:hAnsi="Times New Roman" w:cs="Times New Roman"/>
                <w:sz w:val="18"/>
                <w:szCs w:val="18"/>
              </w:rPr>
              <w:t>III</w:t>
            </w:r>
          </w:p>
        </w:tc>
      </w:tr>
      <w:tr w:rsidR="00CA652E" w:rsidRPr="00AA4013" w:rsidTr="00B3156F">
        <w:trPr>
          <w:trHeight w:val="432"/>
        </w:trPr>
        <w:tc>
          <w:tcPr>
            <w:cnfStyle w:val="001000000000"/>
            <w:tcW w:w="922" w:type="dxa"/>
            <w:noWrap/>
            <w:hideMark/>
          </w:tcPr>
          <w:p w:rsidR="00CA652E" w:rsidRPr="00B8544C" w:rsidRDefault="00CA652E" w:rsidP="009A2FA4">
            <w:pPr>
              <w:rPr>
                <w:rFonts w:ascii="Times New Roman" w:hAnsi="Times New Roman" w:cs="Times New Roman"/>
                <w:b w:val="0"/>
                <w:bCs w:val="0"/>
                <w:sz w:val="18"/>
                <w:szCs w:val="18"/>
              </w:rPr>
            </w:pPr>
            <w:proofErr w:type="spellStart"/>
            <w:r w:rsidRPr="00B8544C">
              <w:rPr>
                <w:rFonts w:ascii="Times New Roman" w:hAnsi="Times New Roman" w:cs="Times New Roman"/>
                <w:b w:val="0"/>
                <w:bCs w:val="0"/>
                <w:sz w:val="18"/>
                <w:szCs w:val="18"/>
              </w:rPr>
              <w:t>Zhang</w:t>
            </w:r>
            <w:proofErr w:type="spellEnd"/>
            <w:r w:rsidRPr="00B8544C">
              <w:rPr>
                <w:rFonts w:ascii="Times New Roman" w:hAnsi="Times New Roman" w:cs="Times New Roman"/>
                <w:b w:val="0"/>
                <w:bCs w:val="0"/>
                <w:sz w:val="18"/>
                <w:szCs w:val="18"/>
              </w:rPr>
              <w:t xml:space="preserve"> 2013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RW.CITE{{500 Zhang,L. 2013}}</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71</w:t>
            </w:r>
            <w:r w:rsidR="00734DBD" w:rsidRPr="00B8544C">
              <w:rPr>
                <w:rFonts w:ascii="Times New Roman" w:hAnsi="Times New Roman" w:cs="Times New Roman"/>
                <w:sz w:val="18"/>
                <w:szCs w:val="18"/>
              </w:rPr>
              <w:fldChar w:fldCharType="end"/>
            </w:r>
          </w:p>
        </w:tc>
        <w:tc>
          <w:tcPr>
            <w:tcW w:w="956"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sidRPr="00AA4013">
              <w:rPr>
                <w:rFonts w:ascii="Times New Roman" w:hAnsi="Times New Roman" w:cs="Times New Roman"/>
                <w:bCs/>
                <w:sz w:val="18"/>
                <w:szCs w:val="18"/>
              </w:rPr>
              <w:t>Prospective</w:t>
            </w:r>
            <w:proofErr w:type="spellEnd"/>
            <w:r w:rsidRPr="00AA4013">
              <w:rPr>
                <w:rFonts w:ascii="Times New Roman" w:hAnsi="Times New Roman" w:cs="Times New Roman"/>
                <w:bCs/>
                <w:sz w:val="18"/>
                <w:szCs w:val="18"/>
              </w:rPr>
              <w:t xml:space="preserve"> </w:t>
            </w:r>
            <w:proofErr w:type="spellStart"/>
            <w:r w:rsidRPr="00AA4013">
              <w:rPr>
                <w:rFonts w:ascii="Times New Roman" w:hAnsi="Times New Roman" w:cs="Times New Roman"/>
                <w:bCs/>
                <w:sz w:val="18"/>
                <w:szCs w:val="18"/>
              </w:rPr>
              <w:t>cohort</w:t>
            </w:r>
            <w:proofErr w:type="spellEnd"/>
          </w:p>
        </w:tc>
        <w:tc>
          <w:tcPr>
            <w:tcW w:w="70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Naive</w:t>
            </w:r>
          </w:p>
        </w:tc>
        <w:tc>
          <w:tcPr>
            <w:tcW w:w="669"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 xml:space="preserve">40 </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40</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proofErr w:type="gramStart"/>
            <w:r>
              <w:rPr>
                <w:rFonts w:ascii="Times New Roman" w:hAnsi="Times New Roman" w:cs="Times New Roman"/>
                <w:sz w:val="18"/>
                <w:szCs w:val="18"/>
              </w:rPr>
              <w:t>88</w:t>
            </w:r>
            <w:r>
              <w:rPr>
                <w:rFonts w:ascii="Times New Roman" w:eastAsia="Times New Roman" w:hAnsi="Times New Roman" w:cs="Times New Roman"/>
                <w:color w:val="000000"/>
                <w:sz w:val="18"/>
                <w:szCs w:val="18"/>
              </w:rPr>
              <w:t>%</w:t>
            </w:r>
            <w:proofErr w:type="gramEnd"/>
          </w:p>
        </w:tc>
        <w:tc>
          <w:tcPr>
            <w:tcW w:w="722" w:type="dxa"/>
            <w:noWrap/>
            <w:hideMark/>
          </w:tcPr>
          <w:p w:rsidR="00CA652E" w:rsidRPr="00AA4013" w:rsidRDefault="00CA652E" w:rsidP="00B3156F">
            <w:pPr>
              <w:cnfStyle w:val="000000000000"/>
              <w:rPr>
                <w:rFonts w:ascii="Times New Roman" w:hAnsi="Times New Roman" w:cs="Times New Roman"/>
                <w:sz w:val="18"/>
                <w:szCs w:val="18"/>
              </w:rPr>
            </w:pPr>
            <w:proofErr w:type="gramStart"/>
            <w:r>
              <w:rPr>
                <w:rFonts w:ascii="Times New Roman" w:hAnsi="Times New Roman" w:cs="Times New Roman"/>
                <w:sz w:val="18"/>
                <w:szCs w:val="18"/>
              </w:rPr>
              <w:t>88</w:t>
            </w:r>
            <w:r>
              <w:rPr>
                <w:rFonts w:ascii="Times New Roman" w:eastAsia="Times New Roman" w:hAnsi="Times New Roman" w:cs="Times New Roman"/>
                <w:color w:val="000000"/>
                <w:sz w:val="18"/>
                <w:szCs w:val="18"/>
              </w:rPr>
              <w:t>%</w:t>
            </w:r>
            <w:proofErr w:type="gramEnd"/>
          </w:p>
        </w:tc>
        <w:tc>
          <w:tcPr>
            <w:tcW w:w="72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37</w:t>
            </w:r>
          </w:p>
        </w:tc>
        <w:tc>
          <w:tcPr>
            <w:tcW w:w="722"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37</w:t>
            </w:r>
          </w:p>
        </w:tc>
        <w:tc>
          <w:tcPr>
            <w:tcW w:w="667"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22</w:t>
            </w:r>
          </w:p>
        </w:tc>
        <w:tc>
          <w:tcPr>
            <w:tcW w:w="775"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23</w:t>
            </w:r>
          </w:p>
        </w:tc>
        <w:tc>
          <w:tcPr>
            <w:tcW w:w="841" w:type="dxa"/>
            <w:noWrap/>
            <w:hideMark/>
          </w:tcPr>
          <w:p w:rsidR="00CA652E" w:rsidRPr="00AA4013" w:rsidRDefault="00CA652E" w:rsidP="00B3156F">
            <w:pPr>
              <w:cnfStyle w:val="000000000000"/>
              <w:rPr>
                <w:rFonts w:ascii="Times New Roman" w:hAnsi="Times New Roman" w:cs="Times New Roman"/>
                <w:sz w:val="18"/>
                <w:szCs w:val="18"/>
              </w:rPr>
            </w:pPr>
            <w:r w:rsidRPr="00AA4013">
              <w:rPr>
                <w:rFonts w:ascii="Times New Roman" w:hAnsi="Times New Roman" w:cs="Times New Roman"/>
                <w:sz w:val="18"/>
                <w:szCs w:val="18"/>
              </w:rPr>
              <w:t>III</w:t>
            </w:r>
          </w:p>
        </w:tc>
      </w:tr>
    </w:tbl>
    <w:p w:rsidR="00CA652E" w:rsidRPr="004629DC" w:rsidRDefault="00CA652E" w:rsidP="00CA652E">
      <w:pPr>
        <w:spacing w:after="0" w:line="24" w:lineRule="atLeast"/>
        <w:rPr>
          <w:rFonts w:ascii="Times New Roman" w:hAnsi="Times New Roman" w:cs="Times New Roman"/>
          <w:sz w:val="18"/>
          <w:szCs w:val="18"/>
          <w:lang w:val="en-US"/>
        </w:rPr>
      </w:pPr>
      <w:r w:rsidRPr="004629DC">
        <w:rPr>
          <w:rFonts w:ascii="Times New Roman" w:hAnsi="Times New Roman" w:cs="Times New Roman"/>
          <w:sz w:val="18"/>
          <w:szCs w:val="18"/>
          <w:lang w:val="en-US"/>
        </w:rPr>
        <w:t>Age (years) and BMI (kg/m</w:t>
      </w:r>
      <w:r w:rsidRPr="004629DC">
        <w:rPr>
          <w:rFonts w:ascii="Times New Roman" w:hAnsi="Times New Roman" w:cs="Times New Roman"/>
          <w:sz w:val="18"/>
          <w:szCs w:val="18"/>
          <w:vertAlign w:val="superscript"/>
          <w:lang w:val="en-US"/>
        </w:rPr>
        <w:t>2</w:t>
      </w:r>
      <w:r w:rsidRPr="004629DC">
        <w:rPr>
          <w:rFonts w:ascii="Times New Roman" w:hAnsi="Times New Roman" w:cs="Times New Roman"/>
          <w:sz w:val="18"/>
          <w:szCs w:val="18"/>
          <w:lang w:val="en-US"/>
        </w:rPr>
        <w:t xml:space="preserve">) are presented as means. </w:t>
      </w:r>
      <w:r>
        <w:rPr>
          <w:rFonts w:ascii="Times New Roman" w:hAnsi="Times New Roman" w:cs="Times New Roman"/>
          <w:sz w:val="18"/>
          <w:szCs w:val="18"/>
          <w:lang w:val="en-US"/>
        </w:rPr>
        <w:t>Level of evidence based on level of evidence for prognostic studies. The same study may be present several times as it may report on different PLHIV populations (e.g. naïve vs. ART experienced).</w:t>
      </w:r>
    </w:p>
    <w:p w:rsidR="00CA652E" w:rsidRDefault="00CA652E" w:rsidP="00CA652E">
      <w:pPr>
        <w:spacing w:after="0" w:line="24" w:lineRule="atLeast"/>
        <w:rPr>
          <w:rFonts w:ascii="Times New Roman" w:hAnsi="Times New Roman" w:cs="Times New Roman"/>
          <w:sz w:val="18"/>
          <w:szCs w:val="18"/>
          <w:lang w:val="en-US"/>
        </w:rPr>
      </w:pPr>
      <w:r>
        <w:rPr>
          <w:rFonts w:ascii="Times New Roman" w:hAnsi="Times New Roman" w:cs="Times New Roman"/>
          <w:sz w:val="18"/>
          <w:szCs w:val="18"/>
          <w:lang w:val="en-US"/>
        </w:rPr>
        <w:t xml:space="preserve">Antiretroviral </w:t>
      </w:r>
      <w:proofErr w:type="spellStart"/>
      <w:r>
        <w:rPr>
          <w:rFonts w:ascii="Times New Roman" w:hAnsi="Times New Roman" w:cs="Times New Roman"/>
          <w:sz w:val="18"/>
          <w:szCs w:val="18"/>
          <w:lang w:val="en-US"/>
        </w:rPr>
        <w:t>theraphy</w:t>
      </w:r>
      <w:proofErr w:type="spellEnd"/>
      <w:r>
        <w:rPr>
          <w:rFonts w:ascii="Times New Roman" w:hAnsi="Times New Roman" w:cs="Times New Roman"/>
          <w:sz w:val="18"/>
          <w:szCs w:val="18"/>
          <w:lang w:val="en-US"/>
        </w:rPr>
        <w:t xml:space="preserve"> (ART), Body mass index (BMI), control (CO), p</w:t>
      </w:r>
      <w:r w:rsidRPr="00054F81">
        <w:rPr>
          <w:rFonts w:ascii="Times New Roman" w:hAnsi="Times New Roman" w:cs="Times New Roman"/>
          <w:sz w:val="18"/>
          <w:szCs w:val="18"/>
          <w:lang w:val="en-US"/>
        </w:rPr>
        <w:t xml:space="preserve">atients living with HIV </w:t>
      </w:r>
      <w:r>
        <w:rPr>
          <w:rFonts w:ascii="Times New Roman" w:hAnsi="Times New Roman" w:cs="Times New Roman"/>
          <w:sz w:val="18"/>
          <w:szCs w:val="18"/>
          <w:lang w:val="en-US"/>
        </w:rPr>
        <w:t>(PLHIV) protease inhibitor (PI)</w:t>
      </w:r>
    </w:p>
    <w:p w:rsidR="00CA652E" w:rsidRDefault="00CA652E">
      <w:pPr>
        <w:rPr>
          <w:lang w:val="en-US"/>
        </w:rPr>
      </w:pPr>
      <w:r>
        <w:rPr>
          <w:lang w:val="en-US"/>
        </w:rPr>
        <w:br w:type="page"/>
      </w:r>
    </w:p>
    <w:p w:rsidR="00CA652E" w:rsidRDefault="004B77E9" w:rsidP="00CA652E">
      <w:pPr>
        <w:spacing w:after="0" w:line="24" w:lineRule="atLeast"/>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w:t>
      </w:r>
      <w:r w:rsidR="002F0713">
        <w:rPr>
          <w:rFonts w:ascii="Times New Roman" w:hAnsi="Times New Roman" w:cs="Times New Roman"/>
          <w:iCs/>
          <w:sz w:val="24"/>
          <w:szCs w:val="24"/>
          <w:lang w:val="en-GB"/>
        </w:rPr>
        <w:t>Table 4</w:t>
      </w:r>
      <w:r w:rsidR="00CA652E">
        <w:rPr>
          <w:rFonts w:ascii="Times New Roman" w:hAnsi="Times New Roman" w:cs="Times New Roman"/>
          <w:iCs/>
          <w:sz w:val="24"/>
          <w:szCs w:val="24"/>
          <w:lang w:val="en-GB"/>
        </w:rPr>
        <w:t>.</w:t>
      </w:r>
      <w:proofErr w:type="gramEnd"/>
      <w:r w:rsidR="00CA652E">
        <w:rPr>
          <w:rFonts w:ascii="Times New Roman" w:hAnsi="Times New Roman" w:cs="Times New Roman"/>
          <w:iCs/>
          <w:sz w:val="24"/>
          <w:szCs w:val="24"/>
          <w:lang w:val="en-GB"/>
        </w:rPr>
        <w:t xml:space="preserve"> RCTs and cohort studies investigating longitudinal changes of BMD in PLHIV</w:t>
      </w:r>
    </w:p>
    <w:tbl>
      <w:tblPr>
        <w:tblStyle w:val="Lysskygge1"/>
        <w:tblW w:w="9854" w:type="dxa"/>
        <w:tblLook w:val="04A0"/>
      </w:tblPr>
      <w:tblGrid>
        <w:gridCol w:w="965"/>
        <w:gridCol w:w="1614"/>
        <w:gridCol w:w="668"/>
        <w:gridCol w:w="756"/>
        <w:gridCol w:w="2027"/>
        <w:gridCol w:w="731"/>
        <w:gridCol w:w="784"/>
        <w:gridCol w:w="731"/>
        <w:gridCol w:w="731"/>
        <w:gridCol w:w="847"/>
      </w:tblGrid>
      <w:tr w:rsidR="00CA652E" w:rsidRPr="00CF79C7" w:rsidTr="00B3156F">
        <w:trPr>
          <w:cnfStyle w:val="100000000000"/>
          <w:trHeight w:val="566"/>
        </w:trPr>
        <w:tc>
          <w:tcPr>
            <w:cnfStyle w:val="001000000000"/>
            <w:tcW w:w="929" w:type="dxa"/>
            <w:noWrap/>
            <w:hideMark/>
          </w:tcPr>
          <w:p w:rsidR="00CA652E" w:rsidRPr="00B8544C" w:rsidRDefault="00CA652E" w:rsidP="00B3156F">
            <w:pPr>
              <w:rPr>
                <w:rFonts w:ascii="Times New Roman" w:eastAsia="Times New Roman" w:hAnsi="Times New Roman" w:cs="Times New Roman"/>
                <w:bCs w:val="0"/>
                <w:color w:val="000000"/>
                <w:sz w:val="18"/>
                <w:szCs w:val="18"/>
              </w:rPr>
            </w:pPr>
            <w:proofErr w:type="spellStart"/>
            <w:r w:rsidRPr="00B8544C">
              <w:rPr>
                <w:rFonts w:ascii="Times New Roman" w:eastAsia="Times New Roman" w:hAnsi="Times New Roman" w:cs="Times New Roman"/>
                <w:bCs w:val="0"/>
                <w:color w:val="000000"/>
                <w:sz w:val="18"/>
                <w:szCs w:val="18"/>
              </w:rPr>
              <w:t>Study</w:t>
            </w:r>
            <w:proofErr w:type="spellEnd"/>
          </w:p>
        </w:tc>
        <w:tc>
          <w:tcPr>
            <w:tcW w:w="1547"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r w:rsidRPr="00B8544C">
              <w:rPr>
                <w:rFonts w:ascii="Times New Roman" w:eastAsia="Times New Roman" w:hAnsi="Times New Roman" w:cs="Times New Roman"/>
                <w:bCs w:val="0"/>
                <w:color w:val="000000"/>
                <w:sz w:val="18"/>
                <w:szCs w:val="18"/>
              </w:rPr>
              <w:t>Population</w:t>
            </w:r>
          </w:p>
        </w:tc>
        <w:tc>
          <w:tcPr>
            <w:tcW w:w="646"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r w:rsidRPr="00B8544C">
              <w:rPr>
                <w:rFonts w:ascii="Times New Roman" w:eastAsia="Times New Roman" w:hAnsi="Times New Roman" w:cs="Times New Roman"/>
                <w:bCs w:val="0"/>
                <w:color w:val="000000"/>
                <w:sz w:val="18"/>
                <w:szCs w:val="18"/>
              </w:rPr>
              <w:t xml:space="preserve">Time </w:t>
            </w:r>
            <w:proofErr w:type="spellStart"/>
            <w:r w:rsidRPr="00B8544C">
              <w:rPr>
                <w:rFonts w:ascii="Times New Roman" w:eastAsia="Times New Roman" w:hAnsi="Times New Roman" w:cs="Times New Roman"/>
                <w:bCs w:val="0"/>
                <w:color w:val="000000"/>
                <w:sz w:val="18"/>
                <w:szCs w:val="18"/>
              </w:rPr>
              <w:t>period</w:t>
            </w:r>
            <w:proofErr w:type="spellEnd"/>
          </w:p>
        </w:tc>
        <w:tc>
          <w:tcPr>
            <w:tcW w:w="815"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r w:rsidRPr="00B8544C">
              <w:rPr>
                <w:rFonts w:ascii="Times New Roman" w:eastAsia="Times New Roman" w:hAnsi="Times New Roman" w:cs="Times New Roman"/>
                <w:bCs w:val="0"/>
                <w:color w:val="000000"/>
                <w:sz w:val="18"/>
                <w:szCs w:val="18"/>
              </w:rPr>
              <w:t>Design</w:t>
            </w:r>
          </w:p>
        </w:tc>
        <w:tc>
          <w:tcPr>
            <w:tcW w:w="2225"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r w:rsidRPr="00B8544C">
              <w:rPr>
                <w:rFonts w:ascii="Times New Roman" w:eastAsia="Times New Roman" w:hAnsi="Times New Roman" w:cs="Times New Roman"/>
                <w:bCs w:val="0"/>
                <w:color w:val="000000"/>
                <w:sz w:val="18"/>
                <w:szCs w:val="18"/>
              </w:rPr>
              <w:t>ART</w:t>
            </w:r>
          </w:p>
        </w:tc>
        <w:tc>
          <w:tcPr>
            <w:tcW w:w="706"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r w:rsidRPr="00B8544C">
              <w:rPr>
                <w:rFonts w:ascii="Times New Roman" w:eastAsia="Times New Roman" w:hAnsi="Times New Roman" w:cs="Times New Roman"/>
                <w:bCs w:val="0"/>
                <w:color w:val="000000"/>
                <w:sz w:val="18"/>
                <w:szCs w:val="18"/>
              </w:rPr>
              <w:t>PLHIV (n)</w:t>
            </w:r>
          </w:p>
        </w:tc>
        <w:tc>
          <w:tcPr>
            <w:tcW w:w="757"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r w:rsidRPr="00B8544C">
              <w:rPr>
                <w:rFonts w:ascii="Times New Roman" w:eastAsia="Times New Roman" w:hAnsi="Times New Roman" w:cs="Times New Roman"/>
                <w:bCs w:val="0"/>
                <w:color w:val="000000"/>
                <w:sz w:val="18"/>
                <w:szCs w:val="18"/>
              </w:rPr>
              <w:t>PLHIV (%men)</w:t>
            </w:r>
          </w:p>
        </w:tc>
        <w:tc>
          <w:tcPr>
            <w:tcW w:w="706"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r w:rsidRPr="00B8544C">
              <w:rPr>
                <w:rFonts w:ascii="Times New Roman" w:eastAsia="Times New Roman" w:hAnsi="Times New Roman" w:cs="Times New Roman"/>
                <w:bCs w:val="0"/>
                <w:color w:val="000000"/>
                <w:sz w:val="18"/>
                <w:szCs w:val="18"/>
              </w:rPr>
              <w:t>Age PLHIV</w:t>
            </w:r>
          </w:p>
        </w:tc>
        <w:tc>
          <w:tcPr>
            <w:tcW w:w="706"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r w:rsidRPr="00B8544C">
              <w:rPr>
                <w:rFonts w:ascii="Times New Roman" w:eastAsia="Times New Roman" w:hAnsi="Times New Roman" w:cs="Times New Roman"/>
                <w:bCs w:val="0"/>
                <w:color w:val="000000"/>
                <w:sz w:val="18"/>
                <w:szCs w:val="18"/>
              </w:rPr>
              <w:t>PLHIV BMI</w:t>
            </w:r>
          </w:p>
        </w:tc>
        <w:tc>
          <w:tcPr>
            <w:tcW w:w="817" w:type="dxa"/>
            <w:noWrap/>
            <w:hideMark/>
          </w:tcPr>
          <w:p w:rsidR="00CA652E" w:rsidRPr="00B8544C" w:rsidRDefault="00CA652E" w:rsidP="00B3156F">
            <w:pPr>
              <w:cnfStyle w:val="100000000000"/>
              <w:rPr>
                <w:rFonts w:ascii="Times New Roman" w:eastAsia="Times New Roman" w:hAnsi="Times New Roman" w:cs="Times New Roman"/>
                <w:bCs w:val="0"/>
                <w:color w:val="000000"/>
                <w:sz w:val="18"/>
                <w:szCs w:val="18"/>
              </w:rPr>
            </w:pPr>
            <w:proofErr w:type="spellStart"/>
            <w:r w:rsidRPr="00B8544C">
              <w:rPr>
                <w:rFonts w:ascii="Times New Roman" w:eastAsia="Times New Roman" w:hAnsi="Times New Roman" w:cs="Times New Roman"/>
                <w:bCs w:val="0"/>
                <w:color w:val="000000"/>
                <w:sz w:val="18"/>
                <w:szCs w:val="18"/>
              </w:rPr>
              <w:t>Evidence</w:t>
            </w:r>
            <w:proofErr w:type="spellEnd"/>
            <w:r w:rsidRPr="00B8544C">
              <w:rPr>
                <w:rFonts w:ascii="Times New Roman" w:eastAsia="Times New Roman" w:hAnsi="Times New Roman" w:cs="Times New Roman"/>
                <w:bCs w:val="0"/>
                <w:color w:val="000000"/>
                <w:sz w:val="18"/>
                <w:szCs w:val="18"/>
              </w:rPr>
              <w:t xml:space="preserve"> </w:t>
            </w:r>
            <w:proofErr w:type="spellStart"/>
            <w:r w:rsidRPr="00B8544C">
              <w:rPr>
                <w:rFonts w:ascii="Times New Roman" w:eastAsia="Times New Roman" w:hAnsi="Times New Roman" w:cs="Times New Roman"/>
                <w:bCs w:val="0"/>
                <w:color w:val="000000"/>
                <w:sz w:val="18"/>
                <w:szCs w:val="18"/>
              </w:rPr>
              <w:t>level</w:t>
            </w:r>
            <w:proofErr w:type="spellEnd"/>
          </w:p>
        </w:tc>
      </w:tr>
      <w:tr w:rsidR="00CA652E" w:rsidRPr="00B3156F" w:rsidTr="00B3156F">
        <w:trPr>
          <w:cnfStyle w:val="000000100000"/>
          <w:trHeight w:val="566"/>
        </w:trPr>
        <w:tc>
          <w:tcPr>
            <w:cnfStyle w:val="001000000000"/>
            <w:tcW w:w="3937" w:type="dxa"/>
            <w:gridSpan w:val="4"/>
            <w:noWrap/>
            <w:hideMark/>
          </w:tcPr>
          <w:p w:rsidR="00CA652E" w:rsidRPr="00B8544C" w:rsidRDefault="00CA652E" w:rsidP="00B3156F">
            <w:pPr>
              <w:rPr>
                <w:rFonts w:ascii="Times New Roman" w:eastAsia="Times New Roman" w:hAnsi="Times New Roman" w:cs="Times New Roman"/>
                <w:color w:val="000000"/>
                <w:sz w:val="18"/>
                <w:szCs w:val="18"/>
                <w:lang w:val="en-US"/>
              </w:rPr>
            </w:pPr>
            <w:r w:rsidRPr="00B8544C">
              <w:rPr>
                <w:rFonts w:ascii="Times New Roman" w:eastAsia="Times New Roman" w:hAnsi="Times New Roman" w:cs="Times New Roman"/>
                <w:color w:val="000000"/>
                <w:sz w:val="18"/>
                <w:szCs w:val="18"/>
                <w:lang w:val="en-US"/>
              </w:rPr>
              <w:t>RCTs investigating TAF and TDF</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p>
        </w:tc>
        <w:tc>
          <w:tcPr>
            <w:tcW w:w="706" w:type="dxa"/>
            <w:noWrap/>
            <w:hideMark/>
          </w:tcPr>
          <w:p w:rsidR="00CA652E" w:rsidRPr="002E1F59" w:rsidRDefault="00CA652E" w:rsidP="00B3156F">
            <w:pPr>
              <w:cnfStyle w:val="000000100000"/>
              <w:rPr>
                <w:rFonts w:ascii="Times New Roman" w:eastAsia="Times New Roman" w:hAnsi="Times New Roman" w:cs="Times New Roman"/>
                <w:color w:val="000000"/>
                <w:sz w:val="18"/>
                <w:szCs w:val="18"/>
                <w:lang w:val="en-US"/>
              </w:rPr>
            </w:pPr>
          </w:p>
        </w:tc>
        <w:tc>
          <w:tcPr>
            <w:tcW w:w="757" w:type="dxa"/>
            <w:noWrap/>
            <w:hideMark/>
          </w:tcPr>
          <w:p w:rsidR="00CA652E" w:rsidRPr="002E1F59" w:rsidRDefault="00CA652E" w:rsidP="00B3156F">
            <w:pPr>
              <w:cnfStyle w:val="000000100000"/>
              <w:rPr>
                <w:rFonts w:ascii="Times New Roman" w:eastAsia="Times New Roman" w:hAnsi="Times New Roman" w:cs="Times New Roman"/>
                <w:color w:val="000000"/>
                <w:sz w:val="18"/>
                <w:szCs w:val="18"/>
                <w:lang w:val="en-US"/>
              </w:rPr>
            </w:pPr>
          </w:p>
        </w:tc>
        <w:tc>
          <w:tcPr>
            <w:tcW w:w="706" w:type="dxa"/>
            <w:noWrap/>
            <w:hideMark/>
          </w:tcPr>
          <w:p w:rsidR="00CA652E" w:rsidRPr="002E1F59" w:rsidRDefault="00CA652E" w:rsidP="00B3156F">
            <w:pPr>
              <w:cnfStyle w:val="000000100000"/>
              <w:rPr>
                <w:rFonts w:ascii="Times New Roman" w:eastAsia="Times New Roman" w:hAnsi="Times New Roman" w:cs="Times New Roman"/>
                <w:color w:val="000000"/>
                <w:sz w:val="18"/>
                <w:szCs w:val="18"/>
                <w:lang w:val="en-US"/>
              </w:rPr>
            </w:pPr>
          </w:p>
        </w:tc>
        <w:tc>
          <w:tcPr>
            <w:tcW w:w="706" w:type="dxa"/>
            <w:noWrap/>
            <w:hideMark/>
          </w:tcPr>
          <w:p w:rsidR="00CA652E" w:rsidRPr="002E1F59" w:rsidRDefault="00CA652E" w:rsidP="00B3156F">
            <w:pPr>
              <w:cnfStyle w:val="000000100000"/>
              <w:rPr>
                <w:rFonts w:ascii="Times New Roman" w:eastAsia="Times New Roman" w:hAnsi="Times New Roman" w:cs="Times New Roman"/>
                <w:color w:val="000000"/>
                <w:sz w:val="18"/>
                <w:szCs w:val="18"/>
                <w:lang w:val="en-US"/>
              </w:rPr>
            </w:pPr>
          </w:p>
        </w:tc>
        <w:tc>
          <w:tcPr>
            <w:tcW w:w="817" w:type="dxa"/>
            <w:noWrap/>
            <w:hideMark/>
          </w:tcPr>
          <w:p w:rsidR="00CA652E" w:rsidRPr="002E1F59" w:rsidRDefault="00CA652E" w:rsidP="00B3156F">
            <w:pPr>
              <w:cnfStyle w:val="000000100000"/>
              <w:rPr>
                <w:rFonts w:ascii="Times New Roman" w:eastAsia="Times New Roman" w:hAnsi="Times New Roman" w:cs="Times New Roman"/>
                <w:color w:val="000000"/>
                <w:sz w:val="18"/>
                <w:szCs w:val="18"/>
                <w:lang w:val="en-US"/>
              </w:rPr>
            </w:pP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Arribas</w:t>
            </w:r>
            <w:proofErr w:type="spellEnd"/>
            <w:r w:rsidRPr="00B8544C">
              <w:rPr>
                <w:rFonts w:ascii="Times New Roman" w:eastAsia="Times New Roman" w:hAnsi="Times New Roman" w:cs="Times New Roman"/>
                <w:b w:val="0"/>
                <w:color w:val="000000"/>
                <w:sz w:val="18"/>
                <w:szCs w:val="18"/>
              </w:rPr>
              <w:t xml:space="preserve"> 2017</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RW.CITE{{30 Arribas,J.R.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72</w:t>
            </w:r>
            <w:r w:rsidR="00734DBD" w:rsidRPr="00B8544C">
              <w:rPr>
                <w:rFonts w:ascii="Times New Roman" w:eastAsia="Times New Roman" w:hAnsi="Times New Roman" w:cs="Times New Roman"/>
                <w:color w:val="000000"/>
                <w:sz w:val="18"/>
                <w:szCs w:val="18"/>
              </w:rPr>
              <w:fldChar w:fldCharType="end"/>
            </w:r>
            <w:r w:rsidRPr="00B8544C">
              <w:rPr>
                <w:rFonts w:ascii="Times New Roman" w:eastAsia="Times New Roman" w:hAnsi="Times New Roman" w:cs="Times New Roman"/>
                <w:b w:val="0"/>
                <w:color w:val="000000"/>
                <w:sz w:val="18"/>
                <w:szCs w:val="18"/>
              </w:rPr>
              <w:t>*</w:t>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2 </w:t>
            </w:r>
            <w:proofErr w:type="spellStart"/>
            <w:r w:rsidRPr="00CF79C7">
              <w:rPr>
                <w:rFonts w:ascii="Times New Roman" w:eastAsia="Times New Roman" w:hAnsi="Times New Roman" w:cs="Times New Roman"/>
                <w:color w:val="000000"/>
                <w:sz w:val="18"/>
                <w:szCs w:val="18"/>
              </w:rPr>
              <w:t>phase</w:t>
            </w:r>
            <w:proofErr w:type="spellEnd"/>
            <w:r w:rsidRPr="00CF79C7">
              <w:rPr>
                <w:rFonts w:ascii="Times New Roman" w:eastAsia="Times New Roman" w:hAnsi="Times New Roman" w:cs="Times New Roman"/>
                <w:color w:val="000000"/>
                <w:sz w:val="18"/>
                <w:szCs w:val="18"/>
              </w:rPr>
              <w:t xml:space="preserve"> 3 </w:t>
            </w:r>
            <w:proofErr w:type="spellStart"/>
            <w:r w:rsidRPr="00CF79C7">
              <w:rPr>
                <w:rFonts w:ascii="Times New Roman" w:eastAsia="Times New Roman" w:hAnsi="Times New Roman" w:cs="Times New Roman"/>
                <w:color w:val="000000"/>
                <w:sz w:val="18"/>
                <w:szCs w:val="18"/>
              </w:rPr>
              <w:t>trails</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TAF or TDF</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w:t>
            </w:r>
            <w:r w:rsidRPr="00CF79C7">
              <w:rPr>
                <w:rFonts w:ascii="Times New Roman" w:eastAsia="Times New Roman" w:hAnsi="Times New Roman" w:cs="Times New Roman"/>
                <w:color w:val="000000"/>
                <w:sz w:val="18"/>
                <w:szCs w:val="18"/>
              </w:rPr>
              <w:t>733</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85</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33-35</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24-25</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Eron</w:t>
            </w:r>
            <w:proofErr w:type="spellEnd"/>
            <w:r w:rsidRPr="00B8544C">
              <w:rPr>
                <w:rFonts w:ascii="Times New Roman" w:eastAsia="Times New Roman" w:hAnsi="Times New Roman" w:cs="Times New Roman"/>
                <w:b w:val="0"/>
                <w:color w:val="000000"/>
                <w:sz w:val="18"/>
                <w:szCs w:val="18"/>
              </w:rPr>
              <w:t xml:space="preserve"> 2018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RW.CITE{{516 Eron,J.J. 2018}}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73</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AMBER</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sz w:val="18"/>
                <w:szCs w:val="18"/>
                <w:lang w:val="en-US"/>
              </w:rPr>
            </w:pPr>
            <w:r w:rsidRPr="00CF79C7">
              <w:rPr>
                <w:rFonts w:ascii="Times New Roman" w:eastAsia="Times New Roman" w:hAnsi="Times New Roman" w:cs="Times New Roman"/>
                <w:sz w:val="18"/>
                <w:szCs w:val="18"/>
                <w:lang w:val="en-US"/>
              </w:rPr>
              <w:t xml:space="preserve">Naive randomized to TAF or TDF </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113</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88</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34</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Mills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RW.CITE{{314 Mills,A.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74</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Multicenter </w:t>
            </w:r>
            <w:proofErr w:type="spellStart"/>
            <w:r w:rsidRPr="00CF79C7">
              <w:rPr>
                <w:rFonts w:ascii="Times New Roman" w:eastAsia="Times New Roman" w:hAnsi="Times New Roman" w:cs="Times New Roman"/>
                <w:color w:val="000000"/>
                <w:sz w:val="18"/>
                <w:szCs w:val="18"/>
              </w:rPr>
              <w:t>phase</w:t>
            </w:r>
            <w:proofErr w:type="spellEnd"/>
            <w:r w:rsidRPr="00CF79C7">
              <w:rPr>
                <w:rFonts w:ascii="Times New Roman" w:eastAsia="Times New Roman" w:hAnsi="Times New Roman" w:cs="Times New Roman"/>
                <w:color w:val="000000"/>
                <w:sz w:val="18"/>
                <w:szCs w:val="18"/>
              </w:rPr>
              <w:t xml:space="preserve"> 2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2012-2014</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5D66B3"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TAF or TDF, both with DRV/</w:t>
            </w:r>
            <w:r>
              <w:rPr>
                <w:rFonts w:ascii="Times New Roman" w:eastAsia="Times New Roman" w:hAnsi="Times New Roman" w:cs="Times New Roman"/>
                <w:color w:val="000000"/>
                <w:sz w:val="18"/>
                <w:szCs w:val="18"/>
                <w:lang w:val="en-US"/>
              </w:rPr>
              <w:t>C</w:t>
            </w:r>
            <w:r w:rsidRPr="00CF79C7">
              <w:rPr>
                <w:rFonts w:ascii="Times New Roman" w:eastAsia="Times New Roman" w:hAnsi="Times New Roman" w:cs="Times New Roman"/>
                <w:color w:val="000000"/>
                <w:sz w:val="18"/>
                <w:szCs w:val="18"/>
                <w:lang w:val="en-US"/>
              </w:rPr>
              <w:t xml:space="preserve">/FTC. </w:t>
            </w:r>
            <w:r w:rsidRPr="005D66B3">
              <w:rPr>
                <w:rFonts w:ascii="Times New Roman" w:eastAsia="Times New Roman" w:hAnsi="Times New Roman" w:cs="Times New Roman"/>
                <w:color w:val="000000"/>
                <w:sz w:val="18"/>
                <w:szCs w:val="18"/>
                <w:lang w:val="en-US"/>
              </w:rPr>
              <w:t>Single tablet regimen</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153</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93</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33</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Mills 2016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RW.CITE{{313 Mills,A.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75</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sz w:val="18"/>
                <w:szCs w:val="18"/>
                <w:lang w:val="en-US"/>
              </w:rPr>
            </w:pPr>
            <w:r w:rsidRPr="00CF79C7">
              <w:rPr>
                <w:rFonts w:ascii="Times New Roman" w:eastAsia="Times New Roman" w:hAnsi="Times New Roman" w:cs="Times New Roman"/>
                <w:sz w:val="18"/>
                <w:szCs w:val="18"/>
                <w:lang w:val="en-US"/>
              </w:rPr>
              <w:t>GS-US-292-0109 (phase 3 non-inferiority trial)</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2013-2015</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proofErr w:type="spellStart"/>
            <w:r w:rsidRPr="00CF79C7">
              <w:rPr>
                <w:rFonts w:ascii="Times New Roman" w:eastAsia="Times New Roman" w:hAnsi="Times New Roman" w:cs="Times New Roman"/>
                <w:color w:val="000000"/>
                <w:sz w:val="18"/>
                <w:szCs w:val="18"/>
                <w:lang w:val="en-US"/>
              </w:rPr>
              <w:t>Virologically</w:t>
            </w:r>
            <w:proofErr w:type="spellEnd"/>
            <w:r w:rsidRPr="00CF79C7">
              <w:rPr>
                <w:rFonts w:ascii="Times New Roman" w:eastAsia="Times New Roman" w:hAnsi="Times New Roman" w:cs="Times New Roman"/>
                <w:color w:val="000000"/>
                <w:sz w:val="18"/>
                <w:szCs w:val="18"/>
                <w:lang w:val="en-US"/>
              </w:rPr>
              <w:t xml:space="preserve"> suppressed randomized to switch from TDF to TAF or stay on one of four TDF-based regimen</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w:t>
            </w:r>
            <w:r w:rsidRPr="00CF79C7">
              <w:rPr>
                <w:rFonts w:ascii="Times New Roman" w:eastAsia="Times New Roman" w:hAnsi="Times New Roman" w:cs="Times New Roman"/>
                <w:color w:val="000000"/>
                <w:sz w:val="18"/>
                <w:szCs w:val="18"/>
              </w:rPr>
              <w:t>436</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89-</w:t>
            </w:r>
            <w:proofErr w:type="gramStart"/>
            <w:r w:rsidRPr="00CF79C7">
              <w:rPr>
                <w:rFonts w:ascii="Times New Roman" w:eastAsia="Times New Roman" w:hAnsi="Times New Roman" w:cs="Times New Roman"/>
                <w:color w:val="000000"/>
                <w:sz w:val="18"/>
                <w:szCs w:val="18"/>
              </w:rPr>
              <w:t>90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40-41</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Post 2017b</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RW.CITE{{382 Post,F.A.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76</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proofErr w:type="spellStart"/>
            <w:r w:rsidRPr="00CF79C7">
              <w:rPr>
                <w:rFonts w:ascii="Times New Roman" w:eastAsia="Times New Roman" w:hAnsi="Times New Roman" w:cs="Times New Roman"/>
                <w:color w:val="000000"/>
                <w:sz w:val="18"/>
                <w:szCs w:val="18"/>
                <w:lang w:val="en-US"/>
              </w:rPr>
              <w:t>Virologically</w:t>
            </w:r>
            <w:proofErr w:type="spellEnd"/>
            <w:r w:rsidRPr="00CF79C7">
              <w:rPr>
                <w:rFonts w:ascii="Times New Roman" w:eastAsia="Times New Roman" w:hAnsi="Times New Roman" w:cs="Times New Roman"/>
                <w:color w:val="000000"/>
                <w:sz w:val="18"/>
                <w:szCs w:val="18"/>
                <w:lang w:val="en-US"/>
              </w:rPr>
              <w:t xml:space="preserve"> suppressed randomized to switch from FTC/TDF to FTC/TAF back-bone evaluated by third agent (boosted PI </w:t>
            </w:r>
            <w:proofErr w:type="spellStart"/>
            <w:r w:rsidRPr="00CF79C7">
              <w:rPr>
                <w:rFonts w:ascii="Times New Roman" w:eastAsia="Times New Roman" w:hAnsi="Times New Roman" w:cs="Times New Roman"/>
                <w:color w:val="000000"/>
                <w:sz w:val="18"/>
                <w:szCs w:val="18"/>
                <w:lang w:val="en-US"/>
              </w:rPr>
              <w:t>vs</w:t>
            </w:r>
            <w:proofErr w:type="spellEnd"/>
            <w:r w:rsidRPr="00CF79C7">
              <w:rPr>
                <w:rFonts w:ascii="Times New Roman" w:eastAsia="Times New Roman" w:hAnsi="Times New Roman" w:cs="Times New Roman"/>
                <w:color w:val="000000"/>
                <w:sz w:val="18"/>
                <w:szCs w:val="18"/>
                <w:lang w:val="en-US"/>
              </w:rPr>
              <w:t xml:space="preserve"> </w:t>
            </w:r>
            <w:proofErr w:type="spellStart"/>
            <w:r w:rsidRPr="00CF79C7">
              <w:rPr>
                <w:rFonts w:ascii="Times New Roman" w:eastAsia="Times New Roman" w:hAnsi="Times New Roman" w:cs="Times New Roman"/>
                <w:color w:val="000000"/>
                <w:sz w:val="18"/>
                <w:szCs w:val="18"/>
                <w:lang w:val="en-US"/>
              </w:rPr>
              <w:t>unboosted</w:t>
            </w:r>
            <w:proofErr w:type="spellEnd"/>
            <w:r w:rsidRPr="00CF79C7">
              <w:rPr>
                <w:rFonts w:ascii="Times New Roman" w:eastAsia="Times New Roman" w:hAnsi="Times New Roman" w:cs="Times New Roman"/>
                <w:color w:val="000000"/>
                <w:sz w:val="18"/>
                <w:szCs w:val="18"/>
                <w:lang w:val="en-US"/>
              </w:rPr>
              <w:t xml:space="preserve"> third agent)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633</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85</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49</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Raffi</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RW.CITE{{394 Raffi,F.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77</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GS-US-311-108 Double-blind phase 3 trial</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2014-2016</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Switch to TAF or stay on TDF</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663</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84-</w:t>
            </w:r>
            <w:proofErr w:type="gramStart"/>
            <w:r w:rsidRPr="00CF79C7">
              <w:rPr>
                <w:rFonts w:ascii="Times New Roman" w:eastAsia="Times New Roman" w:hAnsi="Times New Roman" w:cs="Times New Roman"/>
                <w:color w:val="000000"/>
                <w:sz w:val="18"/>
                <w:szCs w:val="18"/>
              </w:rPr>
              <w:t>86</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49</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Sax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RW.CITE{{419 Sax,P.E.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78</w:t>
            </w:r>
            <w:r w:rsidR="00734DBD" w:rsidRPr="00B8544C">
              <w:rPr>
                <w:rFonts w:ascii="Times New Roman" w:eastAsia="Times New Roman" w:hAnsi="Times New Roman" w:cs="Times New Roman"/>
                <w:color w:val="000000"/>
                <w:sz w:val="18"/>
                <w:szCs w:val="18"/>
              </w:rPr>
              <w:fldChar w:fldCharType="end"/>
            </w:r>
            <w:r w:rsidRPr="00B8544C">
              <w:rPr>
                <w:rFonts w:ascii="Times New Roman" w:eastAsia="Times New Roman" w:hAnsi="Times New Roman" w:cs="Times New Roman"/>
                <w:b w:val="0"/>
                <w:color w:val="000000"/>
                <w:sz w:val="18"/>
                <w:szCs w:val="18"/>
              </w:rPr>
              <w:t>*</w:t>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GS-US-292-0102 (phase 2 multicenter study)</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2011-2013</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Naive randomized to TDF </w:t>
            </w:r>
            <w:proofErr w:type="spellStart"/>
            <w:r w:rsidRPr="00CF79C7">
              <w:rPr>
                <w:rFonts w:ascii="Times New Roman" w:eastAsia="Times New Roman" w:hAnsi="Times New Roman" w:cs="Times New Roman"/>
                <w:color w:val="000000"/>
                <w:sz w:val="18"/>
                <w:szCs w:val="18"/>
                <w:lang w:val="en-US"/>
              </w:rPr>
              <w:t>vs</w:t>
            </w:r>
            <w:proofErr w:type="spellEnd"/>
            <w:r w:rsidRPr="00CF79C7">
              <w:rPr>
                <w:rFonts w:ascii="Times New Roman" w:eastAsia="Times New Roman" w:hAnsi="Times New Roman" w:cs="Times New Roman"/>
                <w:color w:val="000000"/>
                <w:sz w:val="18"/>
                <w:szCs w:val="18"/>
                <w:lang w:val="en-US"/>
              </w:rPr>
              <w:t xml:space="preserve"> TAF</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w:t>
            </w:r>
            <w:r w:rsidRPr="00CF79C7">
              <w:rPr>
                <w:rFonts w:ascii="Times New Roman" w:eastAsia="Times New Roman" w:hAnsi="Times New Roman" w:cs="Times New Roman"/>
                <w:color w:val="000000"/>
                <w:sz w:val="18"/>
                <w:szCs w:val="18"/>
              </w:rPr>
              <w:t>733</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96-</w:t>
            </w:r>
            <w:proofErr w:type="gramStart"/>
            <w:r w:rsidRPr="00CF79C7">
              <w:rPr>
                <w:rFonts w:ascii="Times New Roman" w:eastAsia="Times New Roman" w:hAnsi="Times New Roman" w:cs="Times New Roman"/>
                <w:color w:val="000000"/>
                <w:sz w:val="18"/>
                <w:szCs w:val="18"/>
              </w:rPr>
              <w:t>98</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34-38</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Wohl</w:t>
            </w:r>
            <w:proofErr w:type="spellEnd"/>
            <w:r w:rsidRPr="00B8544C">
              <w:rPr>
                <w:rFonts w:ascii="Times New Roman" w:eastAsia="Times New Roman" w:hAnsi="Times New Roman" w:cs="Times New Roman"/>
                <w:b w:val="0"/>
                <w:color w:val="000000"/>
                <w:sz w:val="18"/>
                <w:szCs w:val="18"/>
              </w:rPr>
              <w:t xml:space="preserve"> 2016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RW.CITE{{476 Wohl,D.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79</w:t>
            </w:r>
            <w:r w:rsidR="00734DBD" w:rsidRPr="00B8544C">
              <w:rPr>
                <w:rFonts w:ascii="Times New Roman" w:eastAsia="Times New Roman" w:hAnsi="Times New Roman" w:cs="Times New Roman"/>
                <w:color w:val="000000"/>
                <w:sz w:val="18"/>
                <w:szCs w:val="18"/>
              </w:rPr>
              <w:fldChar w:fldCharType="end"/>
            </w:r>
            <w:r w:rsidRPr="00B8544C">
              <w:rPr>
                <w:rFonts w:ascii="Times New Roman" w:eastAsia="Times New Roman" w:hAnsi="Times New Roman" w:cs="Times New Roman"/>
                <w:b w:val="0"/>
                <w:color w:val="000000"/>
                <w:sz w:val="18"/>
                <w:szCs w:val="18"/>
              </w:rPr>
              <w:t>*</w:t>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GS-US-292-0104/0111</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Naive randomized to TAF </w:t>
            </w:r>
            <w:proofErr w:type="spellStart"/>
            <w:r w:rsidRPr="00CF79C7">
              <w:rPr>
                <w:rFonts w:ascii="Times New Roman" w:eastAsia="Times New Roman" w:hAnsi="Times New Roman" w:cs="Times New Roman"/>
                <w:color w:val="000000"/>
                <w:sz w:val="18"/>
                <w:szCs w:val="18"/>
                <w:lang w:val="en-US"/>
              </w:rPr>
              <w:t>vs</w:t>
            </w:r>
            <w:proofErr w:type="spellEnd"/>
            <w:r w:rsidRPr="00CF79C7">
              <w:rPr>
                <w:rFonts w:ascii="Times New Roman" w:eastAsia="Times New Roman" w:hAnsi="Times New Roman" w:cs="Times New Roman"/>
                <w:color w:val="000000"/>
                <w:sz w:val="18"/>
                <w:szCs w:val="18"/>
                <w:lang w:val="en-US"/>
              </w:rPr>
              <w:t xml:space="preserve"> TDF</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w:t>
            </w:r>
            <w:r w:rsidRPr="00CF79C7">
              <w:rPr>
                <w:rFonts w:ascii="Times New Roman" w:eastAsia="Times New Roman" w:hAnsi="Times New Roman" w:cs="Times New Roman"/>
                <w:color w:val="000000"/>
                <w:sz w:val="18"/>
                <w:szCs w:val="18"/>
              </w:rPr>
              <w:t>733</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85</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33-35</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24-25</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B3156F" w:rsidTr="00B3156F">
        <w:trPr>
          <w:trHeight w:val="566"/>
        </w:trPr>
        <w:tc>
          <w:tcPr>
            <w:cnfStyle w:val="001000000000"/>
            <w:tcW w:w="3122" w:type="dxa"/>
            <w:gridSpan w:val="3"/>
            <w:noWrap/>
            <w:hideMark/>
          </w:tcPr>
          <w:p w:rsidR="00CA652E" w:rsidRPr="00B8544C" w:rsidRDefault="00CA652E" w:rsidP="00B3156F">
            <w:pPr>
              <w:rPr>
                <w:rFonts w:ascii="Times New Roman" w:eastAsia="Times New Roman" w:hAnsi="Times New Roman" w:cs="Times New Roman"/>
                <w:color w:val="000000"/>
                <w:sz w:val="18"/>
                <w:szCs w:val="18"/>
                <w:lang w:val="en-US"/>
              </w:rPr>
            </w:pPr>
            <w:r w:rsidRPr="00B8544C">
              <w:rPr>
                <w:rFonts w:ascii="Times New Roman" w:eastAsia="Times New Roman" w:hAnsi="Times New Roman" w:cs="Times New Roman"/>
                <w:color w:val="000000"/>
                <w:sz w:val="18"/>
                <w:szCs w:val="18"/>
                <w:lang w:val="en-US"/>
              </w:rPr>
              <w:t xml:space="preserve">RCTs investigating </w:t>
            </w:r>
            <w:proofErr w:type="spellStart"/>
            <w:r w:rsidRPr="00B8544C">
              <w:rPr>
                <w:rFonts w:ascii="Times New Roman" w:eastAsia="Times New Roman" w:hAnsi="Times New Roman" w:cs="Times New Roman"/>
                <w:color w:val="000000"/>
                <w:sz w:val="18"/>
                <w:szCs w:val="18"/>
                <w:lang w:val="en-US"/>
              </w:rPr>
              <w:t>abacavir</w:t>
            </w:r>
            <w:proofErr w:type="spellEnd"/>
            <w:r w:rsidRPr="00B8544C">
              <w:rPr>
                <w:rFonts w:ascii="Times New Roman" w:eastAsia="Times New Roman" w:hAnsi="Times New Roman" w:cs="Times New Roman"/>
                <w:color w:val="000000"/>
                <w:sz w:val="18"/>
                <w:szCs w:val="18"/>
                <w:lang w:val="en-US"/>
              </w:rPr>
              <w:t xml:space="preserve"> and TDF</w:t>
            </w:r>
          </w:p>
        </w:tc>
        <w:tc>
          <w:tcPr>
            <w:tcW w:w="815" w:type="dxa"/>
            <w:noWrap/>
            <w:hideMark/>
          </w:tcPr>
          <w:p w:rsidR="00CA652E" w:rsidRPr="002E1F59" w:rsidRDefault="00CA652E" w:rsidP="00B3156F">
            <w:pPr>
              <w:cnfStyle w:val="000000000000"/>
              <w:rPr>
                <w:rFonts w:ascii="Times New Roman" w:eastAsia="Times New Roman" w:hAnsi="Times New Roman" w:cs="Times New Roman"/>
                <w:color w:val="000000"/>
                <w:sz w:val="18"/>
                <w:szCs w:val="18"/>
                <w:lang w:val="en-US"/>
              </w:rPr>
            </w:pPr>
          </w:p>
        </w:tc>
        <w:tc>
          <w:tcPr>
            <w:tcW w:w="2225" w:type="dxa"/>
            <w:noWrap/>
            <w:hideMark/>
          </w:tcPr>
          <w:p w:rsidR="00CA652E" w:rsidRPr="002E1F59" w:rsidRDefault="00CA652E" w:rsidP="00B3156F">
            <w:pPr>
              <w:cnfStyle w:val="000000000000"/>
              <w:rPr>
                <w:rFonts w:ascii="Times New Roman" w:eastAsia="Times New Roman" w:hAnsi="Times New Roman" w:cs="Times New Roman"/>
                <w:color w:val="000000"/>
                <w:sz w:val="18"/>
                <w:szCs w:val="18"/>
                <w:lang w:val="en-US"/>
              </w:rPr>
            </w:pPr>
          </w:p>
        </w:tc>
        <w:tc>
          <w:tcPr>
            <w:tcW w:w="706" w:type="dxa"/>
            <w:noWrap/>
            <w:hideMark/>
          </w:tcPr>
          <w:p w:rsidR="00CA652E" w:rsidRPr="002E1F59" w:rsidRDefault="00CA652E" w:rsidP="00B3156F">
            <w:pPr>
              <w:cnfStyle w:val="000000000000"/>
              <w:rPr>
                <w:rFonts w:ascii="Times New Roman" w:eastAsia="Times New Roman" w:hAnsi="Times New Roman" w:cs="Times New Roman"/>
                <w:color w:val="000000"/>
                <w:sz w:val="18"/>
                <w:szCs w:val="18"/>
                <w:lang w:val="en-US"/>
              </w:rPr>
            </w:pPr>
          </w:p>
        </w:tc>
        <w:tc>
          <w:tcPr>
            <w:tcW w:w="757" w:type="dxa"/>
            <w:noWrap/>
            <w:hideMark/>
          </w:tcPr>
          <w:p w:rsidR="00CA652E" w:rsidRPr="002E1F59" w:rsidRDefault="00CA652E" w:rsidP="00B3156F">
            <w:pPr>
              <w:cnfStyle w:val="000000000000"/>
              <w:rPr>
                <w:rFonts w:ascii="Times New Roman" w:eastAsia="Times New Roman" w:hAnsi="Times New Roman" w:cs="Times New Roman"/>
                <w:color w:val="000000"/>
                <w:sz w:val="18"/>
                <w:szCs w:val="18"/>
                <w:lang w:val="en-US"/>
              </w:rPr>
            </w:pPr>
          </w:p>
        </w:tc>
        <w:tc>
          <w:tcPr>
            <w:tcW w:w="706" w:type="dxa"/>
            <w:noWrap/>
            <w:hideMark/>
          </w:tcPr>
          <w:p w:rsidR="00CA652E" w:rsidRPr="000A5674" w:rsidRDefault="00CA652E" w:rsidP="00B3156F">
            <w:pPr>
              <w:cnfStyle w:val="000000000000"/>
              <w:rPr>
                <w:rFonts w:ascii="Times New Roman" w:eastAsia="Times New Roman" w:hAnsi="Times New Roman" w:cs="Times New Roman"/>
                <w:color w:val="000000"/>
                <w:sz w:val="18"/>
                <w:szCs w:val="18"/>
                <w:lang w:val="en-US"/>
              </w:rPr>
            </w:pPr>
          </w:p>
        </w:tc>
        <w:tc>
          <w:tcPr>
            <w:tcW w:w="706" w:type="dxa"/>
            <w:noWrap/>
            <w:hideMark/>
          </w:tcPr>
          <w:p w:rsidR="00CA652E" w:rsidRPr="000A5674" w:rsidRDefault="00CA652E" w:rsidP="00B3156F">
            <w:pPr>
              <w:cnfStyle w:val="000000000000"/>
              <w:rPr>
                <w:rFonts w:ascii="Times New Roman" w:eastAsia="Times New Roman" w:hAnsi="Times New Roman" w:cs="Times New Roman"/>
                <w:color w:val="000000"/>
                <w:sz w:val="18"/>
                <w:szCs w:val="18"/>
                <w:lang w:val="en-US"/>
              </w:rPr>
            </w:pPr>
          </w:p>
        </w:tc>
        <w:tc>
          <w:tcPr>
            <w:tcW w:w="817" w:type="dxa"/>
            <w:noWrap/>
            <w:hideMark/>
          </w:tcPr>
          <w:p w:rsidR="00CA652E" w:rsidRPr="000A5674" w:rsidRDefault="00CA652E" w:rsidP="00B3156F">
            <w:pPr>
              <w:cnfStyle w:val="000000000000"/>
              <w:rPr>
                <w:rFonts w:ascii="Times New Roman" w:eastAsia="Times New Roman" w:hAnsi="Times New Roman" w:cs="Times New Roman"/>
                <w:color w:val="000000"/>
                <w:sz w:val="18"/>
                <w:szCs w:val="18"/>
                <w:lang w:val="en-US"/>
              </w:rPr>
            </w:pPr>
          </w:p>
        </w:tc>
      </w:tr>
      <w:tr w:rsidR="00CA652E" w:rsidRPr="000A5674"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Erlandson</w:t>
            </w:r>
            <w:proofErr w:type="spellEnd"/>
            <w:r w:rsidRPr="00B8544C">
              <w:rPr>
                <w:rFonts w:ascii="Times New Roman" w:eastAsia="Times New Roman" w:hAnsi="Times New Roman" w:cs="Times New Roman"/>
                <w:b w:val="0"/>
                <w:color w:val="000000"/>
                <w:sz w:val="18"/>
                <w:szCs w:val="18"/>
              </w:rPr>
              <w:t xml:space="preserve"> 2013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RW.CITE{{173 Erlandson,K.M.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80</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A5224s, sub-study of A5202 </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2005-2008</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ABC or TDF</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269</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85</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0A5674"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Grant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RW.CITE{{208 Grant,P.M.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81</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ACTG A5224s and ASSERT </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2005-2008</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Post-hoc</w:t>
            </w:r>
            <w:proofErr w:type="spellEnd"/>
            <w:r w:rsidRPr="00CF79C7">
              <w:rPr>
                <w:rFonts w:ascii="Times New Roman" w:eastAsia="Times New Roman" w:hAnsi="Times New Roman" w:cs="Times New Roman"/>
                <w:color w:val="000000"/>
                <w:sz w:val="18"/>
                <w:szCs w:val="18"/>
              </w:rPr>
              <w:t xml:space="preserve"> of 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TDF or ABC</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652</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83</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25</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0A5674"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Gupta</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RW.CITE{{221 Gupta,S.K.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82</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ACTG A5224s</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2005-2008</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TDF or ABC</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269</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85</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0A5674"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McComsey</w:t>
            </w:r>
            <w:proofErr w:type="spellEnd"/>
            <w:r w:rsidRPr="00B8544C">
              <w:rPr>
                <w:rFonts w:ascii="Times New Roman" w:eastAsia="Times New Roman" w:hAnsi="Times New Roman" w:cs="Times New Roman"/>
                <w:b w:val="0"/>
                <w:color w:val="000000"/>
                <w:sz w:val="18"/>
                <w:szCs w:val="18"/>
              </w:rPr>
              <w:t xml:space="preserve"> 2011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RW.CITE{{532 McComsey,G.A. 2011}}</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83</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A5224s, sub-study of A5202 </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2005-2008</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ABC/3TC or TDF/FTC with open-label EFV or ATV/ r</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269</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85</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0A5674"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Moyle</w:t>
            </w:r>
            <w:proofErr w:type="spellEnd"/>
            <w:r w:rsidRPr="00B8544C">
              <w:rPr>
                <w:rFonts w:ascii="Times New Roman" w:eastAsia="Times New Roman" w:hAnsi="Times New Roman" w:cs="Times New Roman"/>
                <w:b w:val="0"/>
                <w:color w:val="000000"/>
                <w:sz w:val="18"/>
                <w:szCs w:val="18"/>
              </w:rPr>
              <w:t xml:space="preserve"> 2013</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RW.CITE{{324 Moyle,G.J.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84</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ASSERT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2007-2009</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Naive randomized to ABC/3TC </w:t>
            </w:r>
            <w:proofErr w:type="spellStart"/>
            <w:r w:rsidRPr="00CF79C7">
              <w:rPr>
                <w:rFonts w:ascii="Times New Roman" w:eastAsia="Times New Roman" w:hAnsi="Times New Roman" w:cs="Times New Roman"/>
                <w:color w:val="000000"/>
                <w:sz w:val="18"/>
                <w:szCs w:val="18"/>
                <w:lang w:val="en-US"/>
              </w:rPr>
              <w:t>vs</w:t>
            </w:r>
            <w:proofErr w:type="spellEnd"/>
            <w:r w:rsidRPr="00CF79C7">
              <w:rPr>
                <w:rFonts w:ascii="Times New Roman" w:eastAsia="Times New Roman" w:hAnsi="Times New Roman" w:cs="Times New Roman"/>
                <w:color w:val="000000"/>
                <w:sz w:val="18"/>
                <w:szCs w:val="18"/>
                <w:lang w:val="en-US"/>
              </w:rPr>
              <w:t xml:space="preserve"> TDF/FTC, + EFV</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385</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81</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37</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0A5674"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Negredo</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RW.CITE{{342 Negredo,E.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85</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OsteoTDF</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2010-2012</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proofErr w:type="spellStart"/>
            <w:r w:rsidRPr="00CF79C7">
              <w:rPr>
                <w:rFonts w:ascii="Times New Roman" w:eastAsia="Times New Roman" w:hAnsi="Times New Roman" w:cs="Times New Roman"/>
                <w:color w:val="000000"/>
                <w:sz w:val="18"/>
                <w:szCs w:val="18"/>
                <w:lang w:val="en-US"/>
              </w:rPr>
              <w:t>Virologically</w:t>
            </w:r>
            <w:proofErr w:type="spellEnd"/>
            <w:r w:rsidRPr="00CF79C7">
              <w:rPr>
                <w:rFonts w:ascii="Times New Roman" w:eastAsia="Times New Roman" w:hAnsi="Times New Roman" w:cs="Times New Roman"/>
                <w:color w:val="000000"/>
                <w:sz w:val="18"/>
                <w:szCs w:val="18"/>
                <w:lang w:val="en-US"/>
              </w:rPr>
              <w:t xml:space="preserve"> suppressed randomized to stay on TDF or switch to ABC</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48</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79-</w:t>
            </w:r>
            <w:proofErr w:type="gramStart"/>
            <w:r w:rsidRPr="00CF79C7">
              <w:rPr>
                <w:rFonts w:ascii="Times New Roman" w:eastAsia="Times New Roman" w:hAnsi="Times New Roman" w:cs="Times New Roman"/>
                <w:color w:val="000000"/>
                <w:sz w:val="18"/>
                <w:szCs w:val="18"/>
              </w:rPr>
              <w:t>89</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49</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22-24</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0A5674"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Rasmussen 2012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RW.CITE{{398 Rasmussen,T.A.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86</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SWAP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2008-2010</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Switch from ZDV to ABC or TDF </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40</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55-</w:t>
            </w:r>
            <w:proofErr w:type="gramStart"/>
            <w:r w:rsidRPr="00CF79C7">
              <w:rPr>
                <w:rFonts w:ascii="Times New Roman" w:eastAsia="Times New Roman" w:hAnsi="Times New Roman" w:cs="Times New Roman"/>
                <w:color w:val="000000"/>
                <w:sz w:val="18"/>
                <w:szCs w:val="18"/>
              </w:rPr>
              <w:t>70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46-50</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25</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0A5674"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lastRenderedPageBreak/>
              <w:t>Stellbrink</w:t>
            </w:r>
            <w:proofErr w:type="spellEnd"/>
            <w:r w:rsidRPr="00B8544C">
              <w:rPr>
                <w:rFonts w:ascii="Times New Roman" w:eastAsia="Times New Roman" w:hAnsi="Times New Roman" w:cs="Times New Roman"/>
                <w:b w:val="0"/>
                <w:color w:val="000000"/>
                <w:sz w:val="18"/>
                <w:szCs w:val="18"/>
              </w:rPr>
              <w:t xml:space="preserve"> 2010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RW.CITE{{440 Stellbrink,H.J. 2010}}</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87</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ASSERT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2007-2009</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ABC or TDF</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385</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81</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37</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B3156F" w:rsidTr="00B3156F">
        <w:trPr>
          <w:cnfStyle w:val="000000100000"/>
          <w:trHeight w:val="566"/>
        </w:trPr>
        <w:tc>
          <w:tcPr>
            <w:cnfStyle w:val="001000000000"/>
            <w:tcW w:w="3122" w:type="dxa"/>
            <w:gridSpan w:val="3"/>
            <w:noWrap/>
            <w:hideMark/>
          </w:tcPr>
          <w:p w:rsidR="00CA652E" w:rsidRPr="00B8544C" w:rsidRDefault="00CA652E" w:rsidP="00B3156F">
            <w:pPr>
              <w:rPr>
                <w:rFonts w:ascii="Times New Roman" w:eastAsia="Times New Roman" w:hAnsi="Times New Roman" w:cs="Times New Roman"/>
                <w:color w:val="000000"/>
                <w:sz w:val="18"/>
                <w:szCs w:val="18"/>
                <w:lang w:val="en-US"/>
              </w:rPr>
            </w:pPr>
            <w:r w:rsidRPr="00B8544C">
              <w:rPr>
                <w:rFonts w:ascii="Times New Roman" w:eastAsia="Times New Roman" w:hAnsi="Times New Roman" w:cs="Times New Roman"/>
                <w:color w:val="000000"/>
                <w:sz w:val="18"/>
                <w:szCs w:val="18"/>
                <w:lang w:val="en-US"/>
              </w:rPr>
              <w:t>Other RCTs and cohort studies</w:t>
            </w:r>
          </w:p>
        </w:tc>
        <w:tc>
          <w:tcPr>
            <w:tcW w:w="815" w:type="dxa"/>
            <w:noWrap/>
            <w:hideMark/>
          </w:tcPr>
          <w:p w:rsidR="00CA652E" w:rsidRPr="000A5674" w:rsidRDefault="00CA652E" w:rsidP="00B3156F">
            <w:pPr>
              <w:cnfStyle w:val="000000100000"/>
              <w:rPr>
                <w:rFonts w:ascii="Times New Roman" w:eastAsia="Times New Roman" w:hAnsi="Times New Roman" w:cs="Times New Roman"/>
                <w:color w:val="000000"/>
                <w:sz w:val="18"/>
                <w:szCs w:val="18"/>
                <w:lang w:val="en-US"/>
              </w:rPr>
            </w:pP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p>
        </w:tc>
        <w:tc>
          <w:tcPr>
            <w:tcW w:w="706" w:type="dxa"/>
            <w:noWrap/>
            <w:hideMark/>
          </w:tcPr>
          <w:p w:rsidR="00CA652E" w:rsidRPr="000A5674" w:rsidRDefault="00CA652E" w:rsidP="00B3156F">
            <w:pPr>
              <w:cnfStyle w:val="000000100000"/>
              <w:rPr>
                <w:rFonts w:ascii="Times New Roman" w:eastAsia="Times New Roman" w:hAnsi="Times New Roman" w:cs="Times New Roman"/>
                <w:color w:val="000000"/>
                <w:sz w:val="18"/>
                <w:szCs w:val="18"/>
                <w:lang w:val="en-US"/>
              </w:rPr>
            </w:pPr>
          </w:p>
        </w:tc>
        <w:tc>
          <w:tcPr>
            <w:tcW w:w="757" w:type="dxa"/>
            <w:noWrap/>
            <w:hideMark/>
          </w:tcPr>
          <w:p w:rsidR="00CA652E" w:rsidRPr="000A5674" w:rsidRDefault="00CA652E" w:rsidP="00B3156F">
            <w:pPr>
              <w:cnfStyle w:val="000000100000"/>
              <w:rPr>
                <w:rFonts w:ascii="Times New Roman" w:eastAsia="Times New Roman" w:hAnsi="Times New Roman" w:cs="Times New Roman"/>
                <w:color w:val="000000"/>
                <w:sz w:val="18"/>
                <w:szCs w:val="18"/>
                <w:lang w:val="en-US"/>
              </w:rPr>
            </w:pPr>
          </w:p>
        </w:tc>
        <w:tc>
          <w:tcPr>
            <w:tcW w:w="706" w:type="dxa"/>
            <w:noWrap/>
            <w:hideMark/>
          </w:tcPr>
          <w:p w:rsidR="00CA652E" w:rsidRPr="000A5674" w:rsidRDefault="00CA652E" w:rsidP="00B3156F">
            <w:pPr>
              <w:cnfStyle w:val="000000100000"/>
              <w:rPr>
                <w:rFonts w:ascii="Times New Roman" w:eastAsia="Times New Roman" w:hAnsi="Times New Roman" w:cs="Times New Roman"/>
                <w:color w:val="000000"/>
                <w:sz w:val="18"/>
                <w:szCs w:val="18"/>
                <w:lang w:val="en-US"/>
              </w:rPr>
            </w:pPr>
          </w:p>
        </w:tc>
        <w:tc>
          <w:tcPr>
            <w:tcW w:w="706" w:type="dxa"/>
            <w:noWrap/>
            <w:hideMark/>
          </w:tcPr>
          <w:p w:rsidR="00CA652E" w:rsidRPr="000A5674" w:rsidRDefault="00CA652E" w:rsidP="00B3156F">
            <w:pPr>
              <w:cnfStyle w:val="000000100000"/>
              <w:rPr>
                <w:rFonts w:ascii="Times New Roman" w:eastAsia="Times New Roman" w:hAnsi="Times New Roman" w:cs="Times New Roman"/>
                <w:color w:val="000000"/>
                <w:sz w:val="18"/>
                <w:szCs w:val="18"/>
                <w:lang w:val="en-US"/>
              </w:rPr>
            </w:pPr>
          </w:p>
        </w:tc>
        <w:tc>
          <w:tcPr>
            <w:tcW w:w="817" w:type="dxa"/>
            <w:noWrap/>
            <w:hideMark/>
          </w:tcPr>
          <w:p w:rsidR="00CA652E" w:rsidRPr="000A5674" w:rsidRDefault="00CA652E" w:rsidP="00B3156F">
            <w:pPr>
              <w:cnfStyle w:val="000000100000"/>
              <w:rPr>
                <w:rFonts w:ascii="Times New Roman" w:eastAsia="Times New Roman" w:hAnsi="Times New Roman" w:cs="Times New Roman"/>
                <w:color w:val="000000"/>
                <w:sz w:val="18"/>
                <w:szCs w:val="18"/>
                <w:lang w:val="en-US"/>
              </w:rPr>
            </w:pP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Assoumou</w:t>
            </w:r>
            <w:proofErr w:type="spellEnd"/>
            <w:r w:rsidRPr="00B8544C">
              <w:rPr>
                <w:rFonts w:ascii="Times New Roman" w:eastAsia="Times New Roman" w:hAnsi="Times New Roman" w:cs="Times New Roman"/>
                <w:b w:val="0"/>
                <w:color w:val="000000"/>
                <w:sz w:val="18"/>
                <w:szCs w:val="18"/>
              </w:rPr>
              <w:t xml:space="preserve"> 2013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RW.CITE{{31 Assoumou,L.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88</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ANRS 120 </w:t>
            </w:r>
            <w:proofErr w:type="spellStart"/>
            <w:r w:rsidRPr="00CF79C7">
              <w:rPr>
                <w:rFonts w:ascii="Times New Roman" w:eastAsia="Times New Roman" w:hAnsi="Times New Roman" w:cs="Times New Roman"/>
                <w:color w:val="000000"/>
                <w:sz w:val="18"/>
                <w:szCs w:val="18"/>
              </w:rPr>
              <w:t>Fosivir</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trial</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ART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94</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46</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22</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Bernadino</w:t>
            </w:r>
            <w:proofErr w:type="spellEnd"/>
            <w:r w:rsidRPr="00B8544C">
              <w:rPr>
                <w:rFonts w:ascii="Times New Roman" w:eastAsia="Times New Roman" w:hAnsi="Times New Roman" w:cs="Times New Roman"/>
                <w:b w:val="0"/>
                <w:color w:val="000000"/>
                <w:sz w:val="18"/>
                <w:szCs w:val="18"/>
              </w:rPr>
              <w:t xml:space="preserve">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RW.CITE{{63 Bernardino,J.I.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89</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NEAT001/ANRS143</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2010-2011</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RAL or TDF</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152</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89-</w:t>
            </w:r>
            <w:proofErr w:type="gramStart"/>
            <w:r w:rsidRPr="00CF79C7">
              <w:rPr>
                <w:rFonts w:ascii="Times New Roman" w:eastAsia="Times New Roman" w:hAnsi="Times New Roman" w:cs="Times New Roman"/>
                <w:color w:val="000000"/>
                <w:sz w:val="18"/>
                <w:szCs w:val="18"/>
              </w:rPr>
              <w:t>95</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39-40</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Bloch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RW.CITE{{68 Bloch,M.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90</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Hospital</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TDF </w:t>
            </w:r>
            <w:proofErr w:type="spellStart"/>
            <w:r w:rsidRPr="00CF79C7">
              <w:rPr>
                <w:rFonts w:ascii="Times New Roman" w:eastAsia="Times New Roman" w:hAnsi="Times New Roman" w:cs="Times New Roman"/>
                <w:color w:val="000000"/>
                <w:sz w:val="18"/>
                <w:szCs w:val="18"/>
              </w:rPr>
              <w:t>switched</w:t>
            </w:r>
            <w:proofErr w:type="spellEnd"/>
            <w:r w:rsidRPr="00CF79C7">
              <w:rPr>
                <w:rFonts w:ascii="Times New Roman" w:eastAsia="Times New Roman" w:hAnsi="Times New Roman" w:cs="Times New Roman"/>
                <w:color w:val="000000"/>
                <w:sz w:val="18"/>
                <w:szCs w:val="18"/>
              </w:rPr>
              <w:t xml:space="preserve"> to RAL</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37</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97</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49</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Bolland</w:t>
            </w:r>
            <w:proofErr w:type="spellEnd"/>
            <w:r w:rsidRPr="00B8544C">
              <w:rPr>
                <w:rFonts w:ascii="Times New Roman" w:eastAsia="Times New Roman" w:hAnsi="Times New Roman" w:cs="Times New Roman"/>
                <w:b w:val="0"/>
                <w:color w:val="000000"/>
                <w:sz w:val="18"/>
                <w:szCs w:val="18"/>
              </w:rPr>
              <w:t xml:space="preserve"> 2007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RW.CITE{{74 Bolland,M.J. 2007}}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48</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Infectious</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disease</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clinics</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ART</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47</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B3156F">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Bolland</w:t>
            </w:r>
            <w:proofErr w:type="spellEnd"/>
            <w:r w:rsidRPr="00B8544C">
              <w:rPr>
                <w:rFonts w:ascii="Times New Roman" w:eastAsia="Times New Roman" w:hAnsi="Times New Roman" w:cs="Times New Roman"/>
                <w:b w:val="0"/>
                <w:color w:val="000000"/>
                <w:sz w:val="18"/>
                <w:szCs w:val="18"/>
              </w:rPr>
              <w:t xml:space="preserve"> 2012</w:t>
            </w:r>
          </w:p>
        </w:tc>
        <w:tc>
          <w:tcPr>
            <w:tcW w:w="1547" w:type="dxa"/>
            <w:noWrap/>
            <w:hideMark/>
          </w:tcPr>
          <w:p w:rsidR="00CA652E" w:rsidRPr="004E1864" w:rsidRDefault="00CA652E" w:rsidP="009A2FA4">
            <w:pPr>
              <w:cnfStyle w:val="000000000000"/>
              <w:rPr>
                <w:rFonts w:ascii="Times New Roman" w:eastAsia="Times New Roman" w:hAnsi="Times New Roman" w:cs="Times New Roman"/>
                <w:color w:val="000000"/>
                <w:sz w:val="18"/>
                <w:szCs w:val="18"/>
                <w:lang w:val="en-US"/>
              </w:rPr>
            </w:pPr>
            <w:r w:rsidRPr="004E1864">
              <w:rPr>
                <w:rFonts w:ascii="Times New Roman" w:eastAsia="Times New Roman" w:hAnsi="Times New Roman" w:cs="Times New Roman"/>
                <w:color w:val="000000"/>
                <w:sz w:val="18"/>
                <w:szCs w:val="18"/>
                <w:lang w:val="en-US"/>
              </w:rPr>
              <w:t xml:space="preserve">Infectious disease clinics </w:t>
            </w:r>
            <w:r w:rsidR="00734DBD">
              <w:rPr>
                <w:rFonts w:ascii="Times New Roman" w:eastAsia="Times New Roman" w:hAnsi="Times New Roman" w:cs="Times New Roman"/>
                <w:color w:val="000000"/>
                <w:sz w:val="18"/>
                <w:szCs w:val="18"/>
              </w:rPr>
              <w:fldChar w:fldCharType="begin"/>
            </w:r>
            <w:r w:rsidRPr="004E1864">
              <w:rPr>
                <w:rFonts w:ascii="Times New Roman" w:eastAsia="Times New Roman" w:hAnsi="Times New Roman" w:cs="Times New Roman"/>
                <w:color w:val="000000"/>
                <w:sz w:val="18"/>
                <w:szCs w:val="18"/>
                <w:lang w:val="en-US"/>
              </w:rPr>
              <w:instrText>ADDIN RW.CITE{{70 Bolland,M.J. 2012}}</w:instrText>
            </w:r>
            <w:r w:rsidR="00734DBD">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49</w:t>
            </w:r>
            <w:r w:rsidR="00734DBD">
              <w:rPr>
                <w:rFonts w:ascii="Times New Roman" w:eastAsia="Times New Roman" w:hAnsi="Times New Roman" w:cs="Times New Roman"/>
                <w:color w:val="000000"/>
                <w:sz w:val="18"/>
                <w:szCs w:val="18"/>
              </w:rPr>
              <w:fldChar w:fldCharType="end"/>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ART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32</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49</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25</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Bonjoch</w:t>
            </w:r>
            <w:proofErr w:type="spellEnd"/>
            <w:r w:rsidRPr="00B8544C">
              <w:rPr>
                <w:rFonts w:ascii="Times New Roman" w:eastAsia="Times New Roman" w:hAnsi="Times New Roman" w:cs="Times New Roman"/>
                <w:b w:val="0"/>
                <w:color w:val="000000"/>
                <w:sz w:val="18"/>
                <w:szCs w:val="18"/>
              </w:rPr>
              <w:t xml:space="preserve"> 2010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RW.CITE{{78 Bonjoch,A. 2010}}</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91</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HIV unit</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2000-2009</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ART (</w:t>
            </w:r>
            <w:proofErr w:type="gramStart"/>
            <w:r w:rsidRPr="00CF79C7">
              <w:rPr>
                <w:rFonts w:ascii="Times New Roman" w:eastAsia="Times New Roman" w:hAnsi="Times New Roman" w:cs="Times New Roman"/>
                <w:color w:val="000000"/>
                <w:sz w:val="18"/>
                <w:szCs w:val="18"/>
              </w:rPr>
              <w:t>1%</w:t>
            </w:r>
            <w:proofErr w:type="gramEnd"/>
            <w:r w:rsidRPr="00CF79C7">
              <w:rPr>
                <w:rFonts w:ascii="Times New Roman" w:eastAsia="Times New Roman" w:hAnsi="Times New Roman" w:cs="Times New Roman"/>
                <w:color w:val="000000"/>
                <w:sz w:val="18"/>
                <w:szCs w:val="18"/>
              </w:rPr>
              <w:t xml:space="preserve"> naive)</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391</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72</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42</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Briot</w:t>
            </w:r>
            <w:proofErr w:type="spellEnd"/>
            <w:r w:rsidRPr="00B8544C">
              <w:rPr>
                <w:rFonts w:ascii="Times New Roman" w:eastAsia="Times New Roman" w:hAnsi="Times New Roman" w:cs="Times New Roman"/>
                <w:b w:val="0"/>
                <w:color w:val="000000"/>
                <w:sz w:val="18"/>
                <w:szCs w:val="18"/>
              </w:rPr>
              <w:t xml:space="preserve"> 2011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RW.CITE{{84 Briot,K. 2011}}</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92</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Monark</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2003-2005</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LPV/r or LPV+ZDV</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68</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64-</w:t>
            </w:r>
            <w:proofErr w:type="gramStart"/>
            <w:r w:rsidRPr="00CF79C7">
              <w:rPr>
                <w:rFonts w:ascii="Times New Roman" w:eastAsia="Times New Roman" w:hAnsi="Times New Roman" w:cs="Times New Roman"/>
                <w:color w:val="000000"/>
                <w:sz w:val="18"/>
                <w:szCs w:val="18"/>
              </w:rPr>
              <w:t>70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26-38</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23-24</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Brown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RW.CITE{{94 Brown,T.T.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93</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A5260s, </w:t>
            </w:r>
            <w:proofErr w:type="spellStart"/>
            <w:r w:rsidRPr="00CF79C7">
              <w:rPr>
                <w:rFonts w:ascii="Times New Roman" w:eastAsia="Times New Roman" w:hAnsi="Times New Roman" w:cs="Times New Roman"/>
                <w:color w:val="000000"/>
                <w:sz w:val="18"/>
                <w:szCs w:val="18"/>
                <w:lang w:val="en-US"/>
              </w:rPr>
              <w:t>substudy</w:t>
            </w:r>
            <w:proofErr w:type="spellEnd"/>
            <w:r w:rsidRPr="00CF79C7">
              <w:rPr>
                <w:rFonts w:ascii="Times New Roman" w:eastAsia="Times New Roman" w:hAnsi="Times New Roman" w:cs="Times New Roman"/>
                <w:color w:val="000000"/>
                <w:sz w:val="18"/>
                <w:szCs w:val="18"/>
                <w:lang w:val="en-US"/>
              </w:rPr>
              <w:t xml:space="preserve"> of AIDS Clinical Trial Group A5257</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2009-2013</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TDF or RAL</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328</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89-</w:t>
            </w:r>
            <w:proofErr w:type="gramStart"/>
            <w:r w:rsidRPr="00CF79C7">
              <w:rPr>
                <w:rFonts w:ascii="Times New Roman" w:eastAsia="Times New Roman" w:hAnsi="Times New Roman" w:cs="Times New Roman"/>
                <w:color w:val="000000"/>
                <w:sz w:val="18"/>
                <w:szCs w:val="18"/>
              </w:rPr>
              <w:t>91</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36-37</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24-26</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Calza</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RW.CITE{{110 Calza,L.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94</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Infectious</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disease</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clinic</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2011-2015</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ART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71</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46</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sz w:val="18"/>
                <w:szCs w:val="18"/>
              </w:rPr>
            </w:pPr>
            <w:proofErr w:type="spellStart"/>
            <w:r w:rsidRPr="00B8544C">
              <w:rPr>
                <w:rFonts w:ascii="Times New Roman" w:eastAsia="Times New Roman" w:hAnsi="Times New Roman" w:cs="Times New Roman"/>
                <w:b w:val="0"/>
                <w:sz w:val="18"/>
                <w:szCs w:val="18"/>
              </w:rPr>
              <w:t>Casado</w:t>
            </w:r>
            <w:proofErr w:type="spellEnd"/>
            <w:r w:rsidRPr="00B8544C">
              <w:rPr>
                <w:rFonts w:ascii="Times New Roman" w:eastAsia="Times New Roman" w:hAnsi="Times New Roman" w:cs="Times New Roman"/>
                <w:b w:val="0"/>
                <w:sz w:val="18"/>
                <w:szCs w:val="18"/>
              </w:rPr>
              <w:t xml:space="preserve"> 2016 </w:t>
            </w:r>
            <w:r w:rsidR="00734DBD" w:rsidRPr="00B8544C">
              <w:rPr>
                <w:rFonts w:ascii="Times New Roman" w:eastAsia="Times New Roman" w:hAnsi="Times New Roman" w:cs="Times New Roman"/>
                <w:sz w:val="18"/>
                <w:szCs w:val="18"/>
              </w:rPr>
              <w:fldChar w:fldCharType="begin"/>
            </w:r>
            <w:r w:rsidRPr="00B8544C">
              <w:rPr>
                <w:rFonts w:ascii="Times New Roman" w:eastAsia="Times New Roman" w:hAnsi="Times New Roman" w:cs="Times New Roman"/>
                <w:b w:val="0"/>
                <w:sz w:val="18"/>
                <w:szCs w:val="18"/>
              </w:rPr>
              <w:instrText>ADDIN RW.CITE{{120 Casado,J.L. 2016}}</w:instrText>
            </w:r>
            <w:r w:rsidR="00734DBD" w:rsidRPr="00B8544C">
              <w:rPr>
                <w:rFonts w:ascii="Times New Roman" w:eastAsia="Times New Roman" w:hAnsi="Times New Roman" w:cs="Times New Roman"/>
                <w:sz w:val="18"/>
                <w:szCs w:val="18"/>
              </w:rPr>
              <w:fldChar w:fldCharType="separate"/>
            </w:r>
            <w:r w:rsidR="009A2FA4">
              <w:rPr>
                <w:rFonts w:ascii="Calibri" w:eastAsia="Times New Roman" w:hAnsi="Calibri" w:cs="Calibri"/>
                <w:sz w:val="18"/>
                <w:szCs w:val="18"/>
                <w:vertAlign w:val="superscript"/>
              </w:rPr>
              <w:t>95</w:t>
            </w:r>
            <w:r w:rsidR="00734DBD" w:rsidRPr="00B8544C">
              <w:rPr>
                <w:rFonts w:ascii="Times New Roman" w:eastAsia="Times New Roman" w:hAnsi="Times New Roman" w:cs="Times New Roman"/>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Hospital</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2012-2014</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TDF </w:t>
            </w:r>
            <w:proofErr w:type="spellStart"/>
            <w:r w:rsidRPr="00CF79C7">
              <w:rPr>
                <w:rFonts w:ascii="Times New Roman" w:eastAsia="Times New Roman" w:hAnsi="Times New Roman" w:cs="Times New Roman"/>
                <w:color w:val="000000"/>
                <w:sz w:val="18"/>
                <w:szCs w:val="18"/>
              </w:rPr>
              <w:t>switched</w:t>
            </w:r>
            <w:proofErr w:type="spellEnd"/>
            <w:r w:rsidRPr="00CF79C7">
              <w:rPr>
                <w:rFonts w:ascii="Times New Roman" w:eastAsia="Times New Roman" w:hAnsi="Times New Roman" w:cs="Times New Roman"/>
                <w:color w:val="000000"/>
                <w:sz w:val="18"/>
                <w:szCs w:val="18"/>
              </w:rPr>
              <w:t xml:space="preserve"> to RAL</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90</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48</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Cook 2016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RW.CITE{{141 Cook,P.P.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96</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Single HIV </w:t>
            </w:r>
            <w:proofErr w:type="spellStart"/>
            <w:r w:rsidRPr="00CF79C7">
              <w:rPr>
                <w:rFonts w:ascii="Times New Roman" w:eastAsia="Times New Roman" w:hAnsi="Times New Roman" w:cs="Times New Roman"/>
                <w:color w:val="000000"/>
                <w:sz w:val="18"/>
                <w:szCs w:val="18"/>
              </w:rPr>
              <w:t>clinic</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2011-2015</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TDF or RAL</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60-</w:t>
            </w:r>
            <w:proofErr w:type="gramStart"/>
            <w:r w:rsidRPr="00CF79C7">
              <w:rPr>
                <w:rFonts w:ascii="Times New Roman" w:eastAsia="Times New Roman" w:hAnsi="Times New Roman" w:cs="Times New Roman"/>
                <w:color w:val="000000"/>
                <w:sz w:val="18"/>
                <w:szCs w:val="18"/>
              </w:rPr>
              <w:t>80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30-37</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24-27</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Cotter</w:t>
            </w:r>
            <w:proofErr w:type="spellEnd"/>
            <w:r w:rsidRPr="00B8544C">
              <w:rPr>
                <w:rFonts w:ascii="Times New Roman" w:eastAsia="Times New Roman" w:hAnsi="Times New Roman" w:cs="Times New Roman"/>
                <w:b w:val="0"/>
                <w:color w:val="000000"/>
                <w:sz w:val="18"/>
                <w:szCs w:val="18"/>
              </w:rPr>
              <w:t xml:space="preserve"> 2013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RW.CITE{{145 Cotter,A.G.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97</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Substudy</w:t>
            </w:r>
            <w:proofErr w:type="spellEnd"/>
            <w:r w:rsidRPr="00CF79C7">
              <w:rPr>
                <w:rFonts w:ascii="Times New Roman" w:eastAsia="Times New Roman" w:hAnsi="Times New Roman" w:cs="Times New Roman"/>
                <w:color w:val="000000"/>
                <w:sz w:val="18"/>
                <w:szCs w:val="18"/>
              </w:rPr>
              <w:t xml:space="preserve"> of PREPARE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2006-2008</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Switch to TDF or remain on </w:t>
            </w:r>
            <w:r>
              <w:rPr>
                <w:rFonts w:ascii="Times New Roman" w:eastAsia="Times New Roman" w:hAnsi="Times New Roman" w:cs="Times New Roman"/>
                <w:color w:val="000000"/>
                <w:sz w:val="18"/>
                <w:szCs w:val="18"/>
                <w:lang w:val="en-US"/>
              </w:rPr>
              <w:t>ZDV</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53</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75-</w:t>
            </w:r>
            <w:proofErr w:type="gramStart"/>
            <w:r w:rsidRPr="00CF79C7">
              <w:rPr>
                <w:rFonts w:ascii="Times New Roman" w:eastAsia="Times New Roman" w:hAnsi="Times New Roman" w:cs="Times New Roman"/>
                <w:color w:val="000000"/>
                <w:sz w:val="18"/>
                <w:szCs w:val="18"/>
              </w:rPr>
              <w:t>93</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45-47</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23-24</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Duviver</w:t>
            </w:r>
            <w:proofErr w:type="spellEnd"/>
            <w:r w:rsidRPr="00B8544C">
              <w:rPr>
                <w:rFonts w:ascii="Times New Roman" w:eastAsia="Times New Roman" w:hAnsi="Times New Roman" w:cs="Times New Roman"/>
                <w:b w:val="0"/>
                <w:color w:val="000000"/>
                <w:sz w:val="18"/>
                <w:szCs w:val="18"/>
              </w:rPr>
              <w:t xml:space="preserve"> 2009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RW.CITE{{168 Duvivier,C. 2009}}</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98</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ANRS 121 </w:t>
            </w:r>
            <w:proofErr w:type="spellStart"/>
            <w:r w:rsidRPr="00CF79C7">
              <w:rPr>
                <w:rFonts w:ascii="Times New Roman" w:eastAsia="Times New Roman" w:hAnsi="Times New Roman" w:cs="Times New Roman"/>
                <w:color w:val="000000"/>
                <w:sz w:val="18"/>
                <w:szCs w:val="18"/>
              </w:rPr>
              <w:t>substudy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2003-2005</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ART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71</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77</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40</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Gallant</w:t>
            </w:r>
            <w:proofErr w:type="spellEnd"/>
            <w:r w:rsidRPr="00B8544C">
              <w:rPr>
                <w:rFonts w:ascii="Times New Roman" w:eastAsia="Times New Roman" w:hAnsi="Times New Roman" w:cs="Times New Roman"/>
                <w:b w:val="0"/>
                <w:color w:val="000000"/>
                <w:sz w:val="18"/>
                <w:szCs w:val="18"/>
              </w:rPr>
              <w:t xml:space="preserve"> 2004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RW.CITE{{184 Gallant,J.E. 2004}}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99</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Multicenter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2000-2004</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Naive randomized to TDF or </w:t>
            </w:r>
            <w:proofErr w:type="spellStart"/>
            <w:r w:rsidRPr="00CF79C7">
              <w:rPr>
                <w:rFonts w:ascii="Times New Roman" w:eastAsia="Times New Roman" w:hAnsi="Times New Roman" w:cs="Times New Roman"/>
                <w:color w:val="000000"/>
                <w:sz w:val="18"/>
                <w:szCs w:val="18"/>
                <w:lang w:val="en-US"/>
              </w:rPr>
              <w:t>stavudine</w:t>
            </w:r>
            <w:proofErr w:type="spell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600</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74-</w:t>
            </w:r>
            <w:proofErr w:type="gramStart"/>
            <w:r w:rsidRPr="00CF79C7">
              <w:rPr>
                <w:rFonts w:ascii="Times New Roman" w:eastAsia="Times New Roman" w:hAnsi="Times New Roman" w:cs="Times New Roman"/>
                <w:color w:val="000000"/>
                <w:sz w:val="18"/>
                <w:szCs w:val="18"/>
              </w:rPr>
              <w:t>75</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36</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Galli</w:t>
            </w:r>
            <w:proofErr w:type="spellEnd"/>
            <w:r w:rsidRPr="00B8544C">
              <w:rPr>
                <w:rFonts w:ascii="Times New Roman" w:eastAsia="Times New Roman" w:hAnsi="Times New Roman" w:cs="Times New Roman"/>
                <w:b w:val="0"/>
                <w:color w:val="000000"/>
                <w:sz w:val="18"/>
                <w:szCs w:val="18"/>
              </w:rPr>
              <w:t xml:space="preserve"> 2016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RW.CITE{{185 Galli,L.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100</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MODAt</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2010-2014</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ATV/r </w:t>
            </w:r>
            <w:proofErr w:type="spellStart"/>
            <w:r w:rsidRPr="00CF79C7">
              <w:rPr>
                <w:rFonts w:ascii="Times New Roman" w:eastAsia="Times New Roman" w:hAnsi="Times New Roman" w:cs="Times New Roman"/>
                <w:color w:val="000000"/>
                <w:sz w:val="18"/>
                <w:szCs w:val="18"/>
                <w:lang w:val="en-US"/>
              </w:rPr>
              <w:t>monotherapy</w:t>
            </w:r>
            <w:proofErr w:type="spellEnd"/>
            <w:r w:rsidRPr="00CF79C7">
              <w:rPr>
                <w:rFonts w:ascii="Times New Roman" w:eastAsia="Times New Roman" w:hAnsi="Times New Roman" w:cs="Times New Roman"/>
                <w:color w:val="000000"/>
                <w:sz w:val="18"/>
                <w:szCs w:val="18"/>
                <w:lang w:val="en-US"/>
              </w:rPr>
              <w:t xml:space="preserve"> </w:t>
            </w:r>
            <w:proofErr w:type="spellStart"/>
            <w:r w:rsidRPr="00CF79C7">
              <w:rPr>
                <w:rFonts w:ascii="Times New Roman" w:eastAsia="Times New Roman" w:hAnsi="Times New Roman" w:cs="Times New Roman"/>
                <w:color w:val="000000"/>
                <w:sz w:val="18"/>
                <w:szCs w:val="18"/>
                <w:lang w:val="en-US"/>
              </w:rPr>
              <w:t>vs</w:t>
            </w:r>
            <w:proofErr w:type="spellEnd"/>
            <w:r w:rsidRPr="00CF79C7">
              <w:rPr>
                <w:rFonts w:ascii="Times New Roman" w:eastAsia="Times New Roman" w:hAnsi="Times New Roman" w:cs="Times New Roman"/>
                <w:color w:val="000000"/>
                <w:sz w:val="18"/>
                <w:szCs w:val="18"/>
                <w:lang w:val="en-US"/>
              </w:rPr>
              <w:t xml:space="preserve"> ATV/r triple therapy</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69</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82-</w:t>
            </w:r>
            <w:proofErr w:type="gramStart"/>
            <w:r w:rsidRPr="00CF79C7">
              <w:rPr>
                <w:rFonts w:ascii="Times New Roman" w:eastAsia="Times New Roman" w:hAnsi="Times New Roman" w:cs="Times New Roman"/>
                <w:color w:val="000000"/>
                <w:sz w:val="18"/>
                <w:szCs w:val="18"/>
              </w:rPr>
              <w:t>86</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41</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23-24</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Grund 2009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RW.CITE{{211 Grund,B. 2009}}</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101</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SMART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2002-2006</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Mixed</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214</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81</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44</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Guerri-Fernandez</w:t>
            </w:r>
            <w:proofErr w:type="spellEnd"/>
            <w:r w:rsidRPr="00B8544C">
              <w:rPr>
                <w:rFonts w:ascii="Times New Roman" w:eastAsia="Times New Roman" w:hAnsi="Times New Roman" w:cs="Times New Roman"/>
                <w:b w:val="0"/>
                <w:color w:val="000000"/>
                <w:sz w:val="18"/>
                <w:szCs w:val="18"/>
              </w:rPr>
              <w:t xml:space="preserve"> 2018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RW.CITE{{518 Guerri-Fernandez,R. 2018}}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102</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Consecutively</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recruited</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Naive </w:t>
            </w:r>
            <w:proofErr w:type="spellStart"/>
            <w:r w:rsidRPr="00CF79C7">
              <w:rPr>
                <w:rFonts w:ascii="Times New Roman" w:eastAsia="Times New Roman" w:hAnsi="Times New Roman" w:cs="Times New Roman"/>
                <w:color w:val="000000"/>
                <w:sz w:val="18"/>
                <w:szCs w:val="18"/>
              </w:rPr>
              <w:t>starting</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on</w:t>
            </w:r>
            <w:proofErr w:type="spellEnd"/>
            <w:r w:rsidRPr="00CF79C7">
              <w:rPr>
                <w:rFonts w:ascii="Times New Roman" w:eastAsia="Times New Roman" w:hAnsi="Times New Roman" w:cs="Times New Roman"/>
                <w:color w:val="000000"/>
                <w:sz w:val="18"/>
                <w:szCs w:val="18"/>
              </w:rPr>
              <w:t xml:space="preserve"> TDF</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40</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83%</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Hamill</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RW.CITE{{222 Hamill,M.M.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56</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Single center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2010-2011</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Naive </w:t>
            </w:r>
            <w:proofErr w:type="spellStart"/>
            <w:r w:rsidRPr="00CF79C7">
              <w:rPr>
                <w:rFonts w:ascii="Times New Roman" w:eastAsia="Times New Roman" w:hAnsi="Times New Roman" w:cs="Times New Roman"/>
                <w:color w:val="000000"/>
                <w:sz w:val="18"/>
                <w:szCs w:val="18"/>
              </w:rPr>
              <w:t>initiating</w:t>
            </w:r>
            <w:proofErr w:type="spellEnd"/>
            <w:r w:rsidRPr="00CF79C7">
              <w:rPr>
                <w:rFonts w:ascii="Times New Roman" w:eastAsia="Times New Roman" w:hAnsi="Times New Roman" w:cs="Times New Roman"/>
                <w:color w:val="000000"/>
                <w:sz w:val="18"/>
                <w:szCs w:val="18"/>
              </w:rPr>
              <w:t xml:space="preserve"> ART (&gt;</w:t>
            </w:r>
            <w:proofErr w:type="gramStart"/>
            <w:r w:rsidRPr="00CF79C7">
              <w:rPr>
                <w:rFonts w:ascii="Times New Roman" w:eastAsia="Times New Roman" w:hAnsi="Times New Roman" w:cs="Times New Roman"/>
                <w:color w:val="000000"/>
                <w:sz w:val="18"/>
                <w:szCs w:val="18"/>
              </w:rPr>
              <w:t>85%</w:t>
            </w:r>
            <w:proofErr w:type="gramEnd"/>
            <w:r w:rsidRPr="00CF79C7">
              <w:rPr>
                <w:rFonts w:ascii="Times New Roman" w:eastAsia="Times New Roman" w:hAnsi="Times New Roman" w:cs="Times New Roman"/>
                <w:color w:val="000000"/>
                <w:sz w:val="18"/>
                <w:szCs w:val="18"/>
              </w:rPr>
              <w:t xml:space="preserve"> TDF)</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120</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33-35</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26-28</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Hansen 2011</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RW.CITE{{227 Hansen,A.B. 2011}}</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103</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SPAR </w:t>
            </w:r>
            <w:proofErr w:type="spellStart"/>
            <w:r w:rsidRPr="00CF79C7">
              <w:rPr>
                <w:rFonts w:ascii="Times New Roman" w:eastAsia="Times New Roman" w:hAnsi="Times New Roman" w:cs="Times New Roman"/>
                <w:color w:val="000000"/>
                <w:sz w:val="18"/>
                <w:szCs w:val="18"/>
              </w:rPr>
              <w:t>trial</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substudy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2006-?</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ZDV + EFV or LPV/r + EFV</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59</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90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43</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22</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Haskelberg</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RW.CITE{{231 Haskelberg,H.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104</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The Second-Line study (phase IV multicenter study)</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2010-2013</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Randomi</w:t>
            </w:r>
            <w:r>
              <w:rPr>
                <w:rFonts w:ascii="Times New Roman" w:eastAsia="Times New Roman" w:hAnsi="Times New Roman" w:cs="Times New Roman"/>
                <w:color w:val="000000"/>
                <w:sz w:val="18"/>
                <w:szCs w:val="18"/>
                <w:lang w:val="en-US"/>
              </w:rPr>
              <w:t>zed to RAL+LPV/r or 2-3 N</w:t>
            </w:r>
            <w:r w:rsidRPr="00CF79C7">
              <w:rPr>
                <w:rFonts w:ascii="Times New Roman" w:eastAsia="Times New Roman" w:hAnsi="Times New Roman" w:cs="Times New Roman"/>
                <w:color w:val="000000"/>
                <w:sz w:val="18"/>
                <w:szCs w:val="18"/>
                <w:lang w:val="en-US"/>
              </w:rPr>
              <w:t xml:space="preserve">RTI + LPV/r </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210</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48%</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39</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Hileman</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RW.CITE{{236 Hileman,C.O.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57</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Single </w:t>
            </w:r>
            <w:proofErr w:type="spellStart"/>
            <w:r w:rsidRPr="00CF79C7">
              <w:rPr>
                <w:rFonts w:ascii="Times New Roman" w:eastAsia="Times New Roman" w:hAnsi="Times New Roman" w:cs="Times New Roman"/>
                <w:color w:val="000000"/>
                <w:sz w:val="18"/>
                <w:szCs w:val="18"/>
              </w:rPr>
              <w:t>Immunology</w:t>
            </w:r>
            <w:proofErr w:type="spellEnd"/>
            <w:r w:rsidRPr="00CF79C7">
              <w:rPr>
                <w:rFonts w:ascii="Times New Roman" w:eastAsia="Times New Roman" w:hAnsi="Times New Roman" w:cs="Times New Roman"/>
                <w:color w:val="000000"/>
                <w:sz w:val="18"/>
                <w:szCs w:val="18"/>
              </w:rPr>
              <w:t xml:space="preserve"> Unit</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2010-2013</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sz w:val="18"/>
                <w:szCs w:val="18"/>
              </w:rPr>
            </w:pPr>
            <w:r w:rsidRPr="00CF79C7">
              <w:rPr>
                <w:rFonts w:ascii="Times New Roman" w:eastAsia="Times New Roman" w:hAnsi="Times New Roman" w:cs="Times New Roman"/>
                <w:sz w:val="18"/>
                <w:szCs w:val="18"/>
              </w:rPr>
              <w:t xml:space="preserve">Naive </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47</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70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40</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lastRenderedPageBreak/>
              <w:t>Hoy</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RW.CITE{{242 Hoy,J.F.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105</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START Bone Mineral Density </w:t>
            </w:r>
            <w:proofErr w:type="spellStart"/>
            <w:r w:rsidRPr="00CF79C7">
              <w:rPr>
                <w:rFonts w:ascii="Times New Roman" w:eastAsia="Times New Roman" w:hAnsi="Times New Roman" w:cs="Times New Roman"/>
                <w:color w:val="000000"/>
                <w:sz w:val="18"/>
                <w:szCs w:val="18"/>
                <w:lang w:val="en-US"/>
              </w:rPr>
              <w:t>Substudy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2011-2015</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Naive randomized to initiating treatment </w:t>
            </w:r>
            <w:proofErr w:type="spellStart"/>
            <w:r w:rsidRPr="00CF79C7">
              <w:rPr>
                <w:rFonts w:ascii="Times New Roman" w:eastAsia="Times New Roman" w:hAnsi="Times New Roman" w:cs="Times New Roman"/>
                <w:color w:val="000000"/>
                <w:sz w:val="18"/>
                <w:szCs w:val="18"/>
                <w:lang w:val="en-US"/>
              </w:rPr>
              <w:t>vs</w:t>
            </w:r>
            <w:proofErr w:type="spellEnd"/>
            <w:r w:rsidRPr="00CF79C7">
              <w:rPr>
                <w:rFonts w:ascii="Times New Roman" w:eastAsia="Times New Roman" w:hAnsi="Times New Roman" w:cs="Times New Roman"/>
                <w:color w:val="000000"/>
                <w:sz w:val="18"/>
                <w:szCs w:val="18"/>
                <w:lang w:val="en-US"/>
              </w:rPr>
              <w:t xml:space="preserve"> deferring ART (to CD4 &lt; 350)</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399</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74%</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32</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Koga</w:t>
            </w:r>
            <w:proofErr w:type="spellEnd"/>
            <w:r w:rsidRPr="00B8544C">
              <w:rPr>
                <w:rFonts w:ascii="Times New Roman" w:eastAsia="Times New Roman" w:hAnsi="Times New Roman" w:cs="Times New Roman"/>
                <w:b w:val="0"/>
                <w:color w:val="000000"/>
                <w:sz w:val="18"/>
                <w:szCs w:val="18"/>
              </w:rPr>
              <w:t xml:space="preserve"> 2016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RW.CITE{{268 Koga,I.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106</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Hospital</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2010-2015</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ART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54</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42</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Madeddu</w:t>
            </w:r>
            <w:proofErr w:type="spellEnd"/>
            <w:r w:rsidRPr="00B8544C">
              <w:rPr>
                <w:rFonts w:ascii="Times New Roman" w:eastAsia="Times New Roman" w:hAnsi="Times New Roman" w:cs="Times New Roman"/>
                <w:b w:val="0"/>
                <w:color w:val="000000"/>
                <w:sz w:val="18"/>
                <w:szCs w:val="18"/>
              </w:rPr>
              <w:t xml:space="preserve"> 2014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RW.CITE{{288 Madeddu,G. 2014}}</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107</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HIV </w:t>
            </w:r>
            <w:proofErr w:type="spellStart"/>
            <w:r w:rsidRPr="00CF79C7">
              <w:rPr>
                <w:rFonts w:ascii="Times New Roman" w:eastAsia="Times New Roman" w:hAnsi="Times New Roman" w:cs="Times New Roman"/>
                <w:color w:val="000000"/>
                <w:sz w:val="18"/>
                <w:szCs w:val="18"/>
              </w:rPr>
              <w:t>University</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Care</w:t>
            </w:r>
            <w:proofErr w:type="spellEnd"/>
            <w:r w:rsidRPr="00CF79C7">
              <w:rPr>
                <w:rFonts w:ascii="Times New Roman" w:eastAsia="Times New Roman" w:hAnsi="Times New Roman" w:cs="Times New Roman"/>
                <w:color w:val="000000"/>
                <w:sz w:val="18"/>
                <w:szCs w:val="18"/>
              </w:rPr>
              <w:t xml:space="preserve"> Center</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ART</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51</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53</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40</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Martin 2013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RW.CITE{{300 Martin,A.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108</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The </w:t>
            </w:r>
            <w:proofErr w:type="spellStart"/>
            <w:r w:rsidRPr="00CF79C7">
              <w:rPr>
                <w:rFonts w:ascii="Times New Roman" w:eastAsia="Times New Roman" w:hAnsi="Times New Roman" w:cs="Times New Roman"/>
                <w:color w:val="000000"/>
                <w:sz w:val="18"/>
                <w:szCs w:val="18"/>
              </w:rPr>
              <w:t>Second-Line</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2010-2013</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Adults </w:t>
            </w:r>
            <w:proofErr w:type="spellStart"/>
            <w:r w:rsidRPr="00CF79C7">
              <w:rPr>
                <w:rFonts w:ascii="Times New Roman" w:eastAsia="Times New Roman" w:hAnsi="Times New Roman" w:cs="Times New Roman"/>
                <w:color w:val="000000"/>
                <w:sz w:val="18"/>
                <w:szCs w:val="18"/>
                <w:lang w:val="en-US"/>
              </w:rPr>
              <w:t>virologically</w:t>
            </w:r>
            <w:proofErr w:type="spellEnd"/>
            <w:r w:rsidRPr="00CF79C7">
              <w:rPr>
                <w:rFonts w:ascii="Times New Roman" w:eastAsia="Times New Roman" w:hAnsi="Times New Roman" w:cs="Times New Roman"/>
                <w:color w:val="000000"/>
                <w:sz w:val="18"/>
                <w:szCs w:val="18"/>
                <w:lang w:val="en-US"/>
              </w:rPr>
              <w:t xml:space="preserve"> failing standard first-line therapy randomized to RAL and LPV/r </w:t>
            </w:r>
            <w:proofErr w:type="spellStart"/>
            <w:r w:rsidRPr="00CF79C7">
              <w:rPr>
                <w:rFonts w:ascii="Times New Roman" w:eastAsia="Times New Roman" w:hAnsi="Times New Roman" w:cs="Times New Roman"/>
                <w:color w:val="000000"/>
                <w:sz w:val="18"/>
                <w:szCs w:val="18"/>
                <w:lang w:val="en-US"/>
              </w:rPr>
              <w:t>vs</w:t>
            </w:r>
            <w:proofErr w:type="spellEnd"/>
            <w:r w:rsidRPr="00CF79C7">
              <w:rPr>
                <w:rFonts w:ascii="Times New Roman" w:eastAsia="Times New Roman" w:hAnsi="Times New Roman" w:cs="Times New Roman"/>
                <w:color w:val="000000"/>
                <w:sz w:val="18"/>
                <w:szCs w:val="18"/>
                <w:lang w:val="en-US"/>
              </w:rPr>
              <w:t xml:space="preserve"> standard second line therapy (LPV/r + 2-3 N(t)RTIs)</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210</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48</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39</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Mondi</w:t>
            </w:r>
            <w:proofErr w:type="spellEnd"/>
            <w:r w:rsidRPr="00B8544C">
              <w:rPr>
                <w:rFonts w:ascii="Times New Roman" w:eastAsia="Times New Roman" w:hAnsi="Times New Roman" w:cs="Times New Roman"/>
                <w:b w:val="0"/>
                <w:color w:val="000000"/>
                <w:sz w:val="18"/>
                <w:szCs w:val="18"/>
              </w:rPr>
              <w:t xml:space="preserve">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RW.CITE{{316 Mondi,A.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109</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ATLAS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proofErr w:type="spellStart"/>
            <w:r w:rsidRPr="00CF79C7">
              <w:rPr>
                <w:rFonts w:ascii="Times New Roman" w:eastAsia="Times New Roman" w:hAnsi="Times New Roman" w:cs="Times New Roman"/>
                <w:color w:val="000000"/>
                <w:sz w:val="18"/>
                <w:szCs w:val="18"/>
                <w:lang w:val="en-US"/>
              </w:rPr>
              <w:t>Virologically</w:t>
            </w:r>
            <w:proofErr w:type="spellEnd"/>
            <w:r w:rsidRPr="00CF79C7">
              <w:rPr>
                <w:rFonts w:ascii="Times New Roman" w:eastAsia="Times New Roman" w:hAnsi="Times New Roman" w:cs="Times New Roman"/>
                <w:color w:val="000000"/>
                <w:sz w:val="18"/>
                <w:szCs w:val="18"/>
                <w:lang w:val="en-US"/>
              </w:rPr>
              <w:t xml:space="preserve"> suppressed simplification trial from three-drug A</w:t>
            </w:r>
            <w:r>
              <w:rPr>
                <w:rFonts w:ascii="Times New Roman" w:eastAsia="Times New Roman" w:hAnsi="Times New Roman" w:cs="Times New Roman"/>
                <w:color w:val="000000"/>
                <w:sz w:val="18"/>
                <w:szCs w:val="18"/>
                <w:lang w:val="en-US"/>
              </w:rPr>
              <w:t>T</w:t>
            </w:r>
            <w:r w:rsidRPr="00CF79C7">
              <w:rPr>
                <w:rFonts w:ascii="Times New Roman" w:eastAsia="Times New Roman" w:hAnsi="Times New Roman" w:cs="Times New Roman"/>
                <w:color w:val="000000"/>
                <w:sz w:val="18"/>
                <w:szCs w:val="18"/>
                <w:lang w:val="en-US"/>
              </w:rPr>
              <w:t>V/r + 2 NRTIs bas</w:t>
            </w:r>
            <w:r>
              <w:rPr>
                <w:rFonts w:ascii="Times New Roman" w:eastAsia="Times New Roman" w:hAnsi="Times New Roman" w:cs="Times New Roman"/>
                <w:color w:val="000000"/>
                <w:sz w:val="18"/>
                <w:szCs w:val="18"/>
                <w:lang w:val="en-US"/>
              </w:rPr>
              <w:t>ed regimen to dual regimen of AT</w:t>
            </w:r>
            <w:r w:rsidRPr="00CF79C7">
              <w:rPr>
                <w:rFonts w:ascii="Times New Roman" w:eastAsia="Times New Roman" w:hAnsi="Times New Roman" w:cs="Times New Roman"/>
                <w:color w:val="000000"/>
                <w:sz w:val="18"/>
                <w:szCs w:val="18"/>
                <w:lang w:val="en-US"/>
              </w:rPr>
              <w:t>V/r + 3TC</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40</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58</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45</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Post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RW.CITE{{380 Post,F.A.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110</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Multicenter phase 3 study (GS-US-292-0112)</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2013-2016</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proofErr w:type="spellStart"/>
            <w:r w:rsidRPr="00CF79C7">
              <w:rPr>
                <w:rFonts w:ascii="Times New Roman" w:eastAsia="Times New Roman" w:hAnsi="Times New Roman" w:cs="Times New Roman"/>
                <w:color w:val="000000"/>
                <w:sz w:val="18"/>
                <w:szCs w:val="18"/>
                <w:lang w:val="en-US"/>
              </w:rPr>
              <w:t>Virologically</w:t>
            </w:r>
            <w:proofErr w:type="spellEnd"/>
            <w:r w:rsidRPr="00CF79C7">
              <w:rPr>
                <w:rFonts w:ascii="Times New Roman" w:eastAsia="Times New Roman" w:hAnsi="Times New Roman" w:cs="Times New Roman"/>
                <w:color w:val="000000"/>
                <w:sz w:val="18"/>
                <w:szCs w:val="18"/>
                <w:lang w:val="en-US"/>
              </w:rPr>
              <w:t xml:space="preserve"> suppressed switched from baseline treatment (65% including TDF) to </w:t>
            </w:r>
            <w:r>
              <w:rPr>
                <w:rFonts w:ascii="Times New Roman" w:eastAsia="Times New Roman" w:hAnsi="Times New Roman" w:cs="Times New Roman"/>
                <w:color w:val="000000"/>
                <w:sz w:val="18"/>
                <w:szCs w:val="18"/>
                <w:lang w:val="en-US"/>
              </w:rPr>
              <w:t>E</w:t>
            </w:r>
            <w:r w:rsidRPr="00CF79C7">
              <w:rPr>
                <w:rFonts w:ascii="Times New Roman" w:eastAsia="Times New Roman" w:hAnsi="Times New Roman" w:cs="Times New Roman"/>
                <w:color w:val="000000"/>
                <w:sz w:val="18"/>
                <w:szCs w:val="18"/>
                <w:lang w:val="en-US"/>
              </w:rPr>
              <w:t>/</w:t>
            </w:r>
            <w:r>
              <w:rPr>
                <w:rFonts w:ascii="Times New Roman" w:eastAsia="Times New Roman" w:hAnsi="Times New Roman" w:cs="Times New Roman"/>
                <w:color w:val="000000"/>
                <w:sz w:val="18"/>
                <w:szCs w:val="18"/>
                <w:lang w:val="en-US"/>
              </w:rPr>
              <w:t>C</w:t>
            </w:r>
            <w:r w:rsidRPr="00CF79C7">
              <w:rPr>
                <w:rFonts w:ascii="Times New Roman" w:eastAsia="Times New Roman" w:hAnsi="Times New Roman" w:cs="Times New Roman"/>
                <w:color w:val="000000"/>
                <w:sz w:val="18"/>
                <w:szCs w:val="18"/>
                <w:lang w:val="en-US"/>
              </w:rPr>
              <w:t xml:space="preserve">/FTC/TAF </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242</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58</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Pozniak</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RW.CITE{{385 Pozniak,A. 2016}}</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111</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GS-US-292-0112 (open-label phase 3 study)</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2013-2014</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Switch to TAF</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242</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79</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58</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Rey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RW.CITE{{399 Rey,D.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112</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Single center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2003-2010</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commencing a first ARV treatment (76,2% TDF)</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50</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39-40</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22-23</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Rivas 2008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RW.CITE{{403 Rivas,P. 2008}}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113</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Single center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2002-2005</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initiating ZDV/3TC + ABC or LPV/r</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32</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39-44</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Rockstroh</w:t>
            </w:r>
            <w:proofErr w:type="spellEnd"/>
            <w:r w:rsidRPr="00B8544C">
              <w:rPr>
                <w:rFonts w:ascii="Times New Roman" w:eastAsia="Times New Roman" w:hAnsi="Times New Roman" w:cs="Times New Roman"/>
                <w:b w:val="0"/>
                <w:color w:val="000000"/>
                <w:sz w:val="18"/>
                <w:szCs w:val="18"/>
              </w:rPr>
              <w:t xml:space="preserve"> 2013</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RW.CITE{{405 Rockstroh,J.K.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114</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GS-US-236-0103 (</w:t>
            </w:r>
            <w:proofErr w:type="spellStart"/>
            <w:r w:rsidRPr="00CF79C7">
              <w:rPr>
                <w:rFonts w:ascii="Times New Roman" w:eastAsia="Times New Roman" w:hAnsi="Times New Roman" w:cs="Times New Roman"/>
                <w:color w:val="000000"/>
                <w:sz w:val="18"/>
                <w:szCs w:val="18"/>
              </w:rPr>
              <w:t>phase</w:t>
            </w:r>
            <w:proofErr w:type="spellEnd"/>
            <w:r w:rsidRPr="00CF79C7">
              <w:rPr>
                <w:rFonts w:ascii="Times New Roman" w:eastAsia="Times New Roman" w:hAnsi="Times New Roman" w:cs="Times New Roman"/>
                <w:color w:val="000000"/>
                <w:sz w:val="18"/>
                <w:szCs w:val="18"/>
              </w:rPr>
              <w:t xml:space="preserve"> 3 </w:t>
            </w:r>
            <w:proofErr w:type="spellStart"/>
            <w:r w:rsidRPr="00CF79C7">
              <w:rPr>
                <w:rFonts w:ascii="Times New Roman" w:eastAsia="Times New Roman" w:hAnsi="Times New Roman" w:cs="Times New Roman"/>
                <w:color w:val="000000"/>
                <w:sz w:val="18"/>
                <w:szCs w:val="18"/>
              </w:rPr>
              <w:t>study</w:t>
            </w:r>
            <w:proofErr w:type="spellEnd"/>
            <w:r w:rsidRPr="00CF79C7">
              <w:rPr>
                <w:rFonts w:ascii="Times New Roman" w:eastAsia="Times New Roman" w:hAnsi="Times New Roman" w:cs="Times New Roman"/>
                <w:color w:val="000000"/>
                <w:sz w:val="18"/>
                <w:szCs w:val="18"/>
              </w:rPr>
              <w:t>)</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Naive  randomized to E/C/FTC/TDF </w:t>
            </w:r>
            <w:proofErr w:type="spellStart"/>
            <w:r w:rsidRPr="00CF79C7">
              <w:rPr>
                <w:rFonts w:ascii="Times New Roman" w:eastAsia="Times New Roman" w:hAnsi="Times New Roman" w:cs="Times New Roman"/>
                <w:color w:val="000000"/>
                <w:sz w:val="18"/>
                <w:szCs w:val="18"/>
                <w:lang w:val="en-US"/>
              </w:rPr>
              <w:t>vs</w:t>
            </w:r>
            <w:proofErr w:type="spellEnd"/>
            <w:r w:rsidRPr="00CF79C7">
              <w:rPr>
                <w:rFonts w:ascii="Times New Roman" w:eastAsia="Times New Roman" w:hAnsi="Times New Roman" w:cs="Times New Roman"/>
                <w:color w:val="000000"/>
                <w:sz w:val="18"/>
                <w:szCs w:val="18"/>
                <w:lang w:val="en-US"/>
              </w:rPr>
              <w:t xml:space="preserve"> ATV/r + FTC/TDF</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708</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Saitz</w:t>
            </w:r>
            <w:proofErr w:type="spellEnd"/>
            <w:r w:rsidRPr="00B8544C">
              <w:rPr>
                <w:rFonts w:ascii="Times New Roman" w:eastAsia="Times New Roman" w:hAnsi="Times New Roman" w:cs="Times New Roman"/>
                <w:b w:val="0"/>
                <w:color w:val="000000"/>
                <w:sz w:val="18"/>
                <w:szCs w:val="18"/>
              </w:rPr>
              <w:t xml:space="preserve"> 2018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RW.CITE{{502 Saitz,R. 2018}}</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115</w:t>
            </w:r>
            <w:r w:rsidR="00734DBD" w:rsidRPr="00B8544C">
              <w:rPr>
                <w:rFonts w:ascii="Times New Roman" w:eastAsia="Times New Roman" w:hAnsi="Times New Roman" w:cs="Times New Roman"/>
                <w:color w:val="000000"/>
                <w:sz w:val="18"/>
                <w:szCs w:val="18"/>
              </w:rPr>
              <w:fldChar w:fldCharType="end"/>
            </w:r>
            <w:r w:rsidRPr="00B8544C">
              <w:rPr>
                <w:rFonts w:ascii="Times New Roman" w:eastAsia="Times New Roman" w:hAnsi="Times New Roman" w:cs="Times New Roman"/>
                <w:b w:val="0"/>
                <w:color w:val="000000"/>
                <w:sz w:val="18"/>
                <w:szCs w:val="18"/>
              </w:rPr>
              <w:t xml:space="preserve"> </w:t>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Boston ARCH prospective cohort study</w:t>
            </w:r>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2012-2014</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Mixed</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234</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64</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50</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Sharma</w:t>
            </w:r>
            <w:proofErr w:type="spellEnd"/>
            <w:r w:rsidRPr="00B8544C">
              <w:rPr>
                <w:rFonts w:ascii="Times New Roman" w:eastAsia="Times New Roman" w:hAnsi="Times New Roman" w:cs="Times New Roman"/>
                <w:b w:val="0"/>
                <w:color w:val="000000"/>
                <w:sz w:val="18"/>
                <w:szCs w:val="18"/>
              </w:rPr>
              <w:t xml:space="preserve"> 2012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RW.CITE{{431 Sharma,A.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116</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 xml:space="preserve">Metabolic </w:t>
            </w:r>
            <w:proofErr w:type="spellStart"/>
            <w:r w:rsidRPr="00CF79C7">
              <w:rPr>
                <w:rFonts w:ascii="Times New Roman" w:eastAsia="Times New Roman" w:hAnsi="Times New Roman" w:cs="Times New Roman"/>
                <w:color w:val="000000"/>
                <w:sz w:val="18"/>
                <w:szCs w:val="18"/>
                <w:lang w:val="en-US"/>
              </w:rPr>
              <w:t>substudy</w:t>
            </w:r>
            <w:proofErr w:type="spellEnd"/>
            <w:r w:rsidRPr="00CF79C7">
              <w:rPr>
                <w:rFonts w:ascii="Times New Roman" w:eastAsia="Times New Roman" w:hAnsi="Times New Roman" w:cs="Times New Roman"/>
                <w:color w:val="000000"/>
                <w:sz w:val="18"/>
                <w:szCs w:val="18"/>
                <w:lang w:val="en-US"/>
              </w:rPr>
              <w:t xml:space="preserve"> of WIHS (Women's Interagency HIV Study)</w:t>
            </w:r>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2001-2009</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Mixed</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318</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44</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27</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Sharma</w:t>
            </w:r>
            <w:proofErr w:type="spellEnd"/>
            <w:r w:rsidRPr="00B8544C">
              <w:rPr>
                <w:rFonts w:ascii="Times New Roman" w:eastAsia="Times New Roman" w:hAnsi="Times New Roman" w:cs="Times New Roman"/>
                <w:b w:val="0"/>
                <w:color w:val="000000"/>
                <w:sz w:val="18"/>
                <w:szCs w:val="18"/>
              </w:rPr>
              <w:t xml:space="preserve"> 2010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RW.CITE{{428 Sharma,A. 2010}}</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117</w:t>
            </w:r>
            <w:r w:rsidR="00734DBD" w:rsidRPr="00B8544C">
              <w:rPr>
                <w:rFonts w:ascii="Times New Roman" w:eastAsia="Times New Roman" w:hAnsi="Times New Roman" w:cs="Times New Roman"/>
                <w:color w:val="000000"/>
                <w:sz w:val="18"/>
                <w:szCs w:val="18"/>
              </w:rPr>
              <w:fldChar w:fldCharType="end"/>
            </w:r>
            <w:r w:rsidRPr="00B8544C">
              <w:rPr>
                <w:rFonts w:ascii="Times New Roman" w:eastAsia="Times New Roman" w:hAnsi="Times New Roman" w:cs="Times New Roman"/>
                <w:b w:val="0"/>
                <w:color w:val="000000"/>
                <w:sz w:val="18"/>
                <w:szCs w:val="18"/>
              </w:rPr>
              <w:t xml:space="preserve"> </w:t>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CHAMPS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2002</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Mixed</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230</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55</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26</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Sharma</w:t>
            </w:r>
            <w:proofErr w:type="spellEnd"/>
            <w:r w:rsidRPr="00B8544C">
              <w:rPr>
                <w:rFonts w:ascii="Times New Roman" w:eastAsia="Times New Roman" w:hAnsi="Times New Roman" w:cs="Times New Roman"/>
                <w:b w:val="0"/>
                <w:color w:val="000000"/>
                <w:sz w:val="18"/>
                <w:szCs w:val="18"/>
              </w:rPr>
              <w:t xml:space="preserve"> 2015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RW.CITE{{427 Sharma,A. 2015}}</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65</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Menopause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2001-2005</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Mixed</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246</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47</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28</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Tinago</w:t>
            </w:r>
            <w:proofErr w:type="spellEnd"/>
            <w:r w:rsidRPr="00B8544C">
              <w:rPr>
                <w:rFonts w:ascii="Times New Roman" w:eastAsia="Times New Roman" w:hAnsi="Times New Roman" w:cs="Times New Roman"/>
                <w:b w:val="0"/>
                <w:color w:val="000000"/>
                <w:sz w:val="18"/>
                <w:szCs w:val="18"/>
              </w:rPr>
              <w:t xml:space="preserve"> 2017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RW.CITE{{459 Tinago,W. 2017}}</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118</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HIV UPBEAT </w:t>
            </w:r>
            <w:proofErr w:type="spellStart"/>
            <w:r w:rsidRPr="00CF79C7">
              <w:rPr>
                <w:rFonts w:ascii="Times New Roman" w:eastAsia="Times New Roman" w:hAnsi="Times New Roman" w:cs="Times New Roman"/>
                <w:color w:val="000000"/>
                <w:sz w:val="18"/>
                <w:szCs w:val="18"/>
              </w:rPr>
              <w:t>Study</w:t>
            </w:r>
            <w:proofErr w:type="spellEnd"/>
            <w:r w:rsidRPr="00CF79C7">
              <w:rPr>
                <w:rFonts w:ascii="Times New Roman" w:eastAsia="Times New Roman" w:hAnsi="Times New Roman" w:cs="Times New Roman"/>
                <w:color w:val="000000"/>
                <w:sz w:val="18"/>
                <w:szCs w:val="18"/>
              </w:rPr>
              <w:t xml:space="preserve"> </w:t>
            </w:r>
            <w:proofErr w:type="spellStart"/>
            <w:r w:rsidRPr="00CF79C7">
              <w:rPr>
                <w:rFonts w:ascii="Times New Roman" w:eastAsia="Times New Roman" w:hAnsi="Times New Roman" w:cs="Times New Roman"/>
                <w:color w:val="000000"/>
                <w:sz w:val="18"/>
                <w:szCs w:val="18"/>
              </w:rPr>
              <w:t>group</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2012-2015</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Mixed</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176</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61</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39</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Van </w:t>
            </w:r>
            <w:proofErr w:type="spellStart"/>
            <w:r w:rsidRPr="00B8544C">
              <w:rPr>
                <w:rFonts w:ascii="Times New Roman" w:eastAsia="Times New Roman" w:hAnsi="Times New Roman" w:cs="Times New Roman"/>
                <w:b w:val="0"/>
                <w:color w:val="000000"/>
                <w:sz w:val="18"/>
                <w:szCs w:val="18"/>
              </w:rPr>
              <w:t>Vonderen</w:t>
            </w:r>
            <w:proofErr w:type="spellEnd"/>
            <w:r w:rsidRPr="00B8544C">
              <w:rPr>
                <w:rFonts w:ascii="Times New Roman" w:eastAsia="Times New Roman" w:hAnsi="Times New Roman" w:cs="Times New Roman"/>
                <w:b w:val="0"/>
                <w:color w:val="000000"/>
                <w:sz w:val="18"/>
                <w:szCs w:val="18"/>
              </w:rPr>
              <w:t xml:space="preserve"> 2009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RW.CITE{{465 van Vonderen,M.G. 2009}}</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119</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MEDICLAS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2003-2007</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RCT</w:t>
            </w:r>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lang w:val="en-US"/>
              </w:rPr>
            </w:pPr>
            <w:r w:rsidRPr="00CF79C7">
              <w:rPr>
                <w:rFonts w:ascii="Times New Roman" w:eastAsia="Times New Roman" w:hAnsi="Times New Roman" w:cs="Times New Roman"/>
                <w:color w:val="000000"/>
                <w:sz w:val="18"/>
                <w:szCs w:val="18"/>
                <w:lang w:val="en-US"/>
              </w:rPr>
              <w:t>Naive randomized to LPV/r with ZDV/3TC or NVP</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48</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38-43</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23</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Ib</w:t>
            </w:r>
          </w:p>
        </w:tc>
      </w:tr>
      <w:tr w:rsidR="00CA652E" w:rsidRPr="00CF79C7" w:rsidTr="00B3156F">
        <w:trPr>
          <w:cnfStyle w:val="000000100000"/>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r w:rsidRPr="00B8544C">
              <w:rPr>
                <w:rFonts w:ascii="Times New Roman" w:eastAsia="Times New Roman" w:hAnsi="Times New Roman" w:cs="Times New Roman"/>
                <w:b w:val="0"/>
                <w:color w:val="000000"/>
                <w:sz w:val="18"/>
                <w:szCs w:val="18"/>
              </w:rPr>
              <w:t xml:space="preserve">Yin 2012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RW.CITE{{493 Yin,M.T. 2012}}</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120</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Single center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2002-2008</w:t>
            </w:r>
          </w:p>
        </w:tc>
        <w:tc>
          <w:tcPr>
            <w:tcW w:w="81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Mixed</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73</w:t>
            </w:r>
          </w:p>
        </w:tc>
        <w:tc>
          <w:tcPr>
            <w:tcW w:w="75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56</w:t>
            </w:r>
          </w:p>
        </w:tc>
        <w:tc>
          <w:tcPr>
            <w:tcW w:w="706"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28</w:t>
            </w:r>
          </w:p>
        </w:tc>
        <w:tc>
          <w:tcPr>
            <w:tcW w:w="817" w:type="dxa"/>
            <w:noWrap/>
            <w:hideMark/>
          </w:tcPr>
          <w:p w:rsidR="00CA652E" w:rsidRPr="00CF79C7" w:rsidRDefault="00CA652E" w:rsidP="00B3156F">
            <w:pPr>
              <w:cnfStyle w:val="0000001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r w:rsidR="00CA652E" w:rsidRPr="00CF79C7" w:rsidTr="00B3156F">
        <w:trPr>
          <w:trHeight w:val="566"/>
        </w:trPr>
        <w:tc>
          <w:tcPr>
            <w:cnfStyle w:val="001000000000"/>
            <w:tcW w:w="929" w:type="dxa"/>
            <w:noWrap/>
            <w:hideMark/>
          </w:tcPr>
          <w:p w:rsidR="00CA652E" w:rsidRPr="00B8544C" w:rsidRDefault="00CA652E" w:rsidP="009A2FA4">
            <w:pPr>
              <w:rPr>
                <w:rFonts w:ascii="Times New Roman" w:eastAsia="Times New Roman" w:hAnsi="Times New Roman" w:cs="Times New Roman"/>
                <w:b w:val="0"/>
                <w:color w:val="000000"/>
                <w:sz w:val="18"/>
                <w:szCs w:val="18"/>
              </w:rPr>
            </w:pPr>
            <w:proofErr w:type="spellStart"/>
            <w:r w:rsidRPr="00B8544C">
              <w:rPr>
                <w:rFonts w:ascii="Times New Roman" w:eastAsia="Times New Roman" w:hAnsi="Times New Roman" w:cs="Times New Roman"/>
                <w:b w:val="0"/>
                <w:color w:val="000000"/>
                <w:sz w:val="18"/>
                <w:szCs w:val="18"/>
              </w:rPr>
              <w:t>Zhang</w:t>
            </w:r>
            <w:proofErr w:type="spellEnd"/>
            <w:r w:rsidRPr="00B8544C">
              <w:rPr>
                <w:rFonts w:ascii="Times New Roman" w:eastAsia="Times New Roman" w:hAnsi="Times New Roman" w:cs="Times New Roman"/>
                <w:b w:val="0"/>
                <w:color w:val="000000"/>
                <w:sz w:val="18"/>
                <w:szCs w:val="18"/>
              </w:rPr>
              <w:t xml:space="preserve"> 2013 </w:t>
            </w:r>
            <w:r w:rsidR="00734DBD" w:rsidRPr="00B8544C">
              <w:rPr>
                <w:rFonts w:ascii="Times New Roman" w:eastAsia="Times New Roman" w:hAnsi="Times New Roman" w:cs="Times New Roman"/>
                <w:color w:val="000000"/>
                <w:sz w:val="18"/>
                <w:szCs w:val="18"/>
              </w:rPr>
              <w:fldChar w:fldCharType="begin"/>
            </w:r>
            <w:r w:rsidRPr="00B8544C">
              <w:rPr>
                <w:rFonts w:ascii="Times New Roman" w:eastAsia="Times New Roman" w:hAnsi="Times New Roman" w:cs="Times New Roman"/>
                <w:b w:val="0"/>
                <w:color w:val="000000"/>
                <w:sz w:val="18"/>
                <w:szCs w:val="18"/>
              </w:rPr>
              <w:instrText>ADDIN RW.CITE{{500 Zhang,L. 2013}}</w:instrText>
            </w:r>
            <w:r w:rsidR="00734DBD" w:rsidRPr="00B8544C">
              <w:rPr>
                <w:rFonts w:ascii="Times New Roman" w:eastAsia="Times New Roman" w:hAnsi="Times New Roman" w:cs="Times New Roman"/>
                <w:color w:val="000000"/>
                <w:sz w:val="18"/>
                <w:szCs w:val="18"/>
              </w:rPr>
              <w:fldChar w:fldCharType="separate"/>
            </w:r>
            <w:r w:rsidR="009A2FA4">
              <w:rPr>
                <w:rFonts w:ascii="Calibri" w:eastAsia="Times New Roman" w:hAnsi="Calibri" w:cs="Calibri"/>
                <w:sz w:val="18"/>
                <w:szCs w:val="18"/>
                <w:vertAlign w:val="superscript"/>
              </w:rPr>
              <w:t>71</w:t>
            </w:r>
            <w:r w:rsidR="00734DBD" w:rsidRPr="00B8544C">
              <w:rPr>
                <w:rFonts w:ascii="Times New Roman" w:eastAsia="Times New Roman" w:hAnsi="Times New Roman" w:cs="Times New Roman"/>
                <w:color w:val="000000"/>
                <w:sz w:val="18"/>
                <w:szCs w:val="18"/>
              </w:rPr>
              <w:fldChar w:fldCharType="end"/>
            </w:r>
          </w:p>
        </w:tc>
        <w:tc>
          <w:tcPr>
            <w:tcW w:w="154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Single center </w:t>
            </w:r>
            <w:proofErr w:type="spellStart"/>
            <w:r w:rsidRPr="00CF79C7">
              <w:rPr>
                <w:rFonts w:ascii="Times New Roman" w:eastAsia="Times New Roman" w:hAnsi="Times New Roman" w:cs="Times New Roman"/>
                <w:color w:val="000000"/>
                <w:sz w:val="18"/>
                <w:szCs w:val="18"/>
              </w:rPr>
              <w:t>study</w:t>
            </w:r>
            <w:proofErr w:type="spellEnd"/>
          </w:p>
        </w:tc>
        <w:tc>
          <w:tcPr>
            <w:tcW w:w="64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2007-2012</w:t>
            </w:r>
          </w:p>
        </w:tc>
        <w:tc>
          <w:tcPr>
            <w:tcW w:w="81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spellStart"/>
            <w:r w:rsidRPr="00CF79C7">
              <w:rPr>
                <w:rFonts w:ascii="Times New Roman" w:eastAsia="Times New Roman" w:hAnsi="Times New Roman" w:cs="Times New Roman"/>
                <w:color w:val="000000"/>
                <w:sz w:val="18"/>
                <w:szCs w:val="18"/>
              </w:rPr>
              <w:t>Cohort</w:t>
            </w:r>
            <w:proofErr w:type="spellEnd"/>
          </w:p>
        </w:tc>
        <w:tc>
          <w:tcPr>
            <w:tcW w:w="2225"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 xml:space="preserve">Naive </w:t>
            </w:r>
            <w:proofErr w:type="spellStart"/>
            <w:r w:rsidRPr="00CF79C7">
              <w:rPr>
                <w:rFonts w:ascii="Times New Roman" w:eastAsia="Times New Roman" w:hAnsi="Times New Roman" w:cs="Times New Roman"/>
                <w:color w:val="000000"/>
                <w:sz w:val="18"/>
                <w:szCs w:val="18"/>
              </w:rPr>
              <w:t>initiating</w:t>
            </w:r>
            <w:proofErr w:type="spellEnd"/>
            <w:r w:rsidRPr="00CF79C7">
              <w:rPr>
                <w:rFonts w:ascii="Times New Roman" w:eastAsia="Times New Roman" w:hAnsi="Times New Roman" w:cs="Times New Roman"/>
                <w:color w:val="000000"/>
                <w:sz w:val="18"/>
                <w:szCs w:val="18"/>
              </w:rPr>
              <w:t xml:space="preserve"> ART</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40</w:t>
            </w:r>
          </w:p>
        </w:tc>
        <w:tc>
          <w:tcPr>
            <w:tcW w:w="75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proofErr w:type="gramStart"/>
            <w:r w:rsidRPr="00CF79C7">
              <w:rPr>
                <w:rFonts w:ascii="Times New Roman" w:eastAsia="Times New Roman" w:hAnsi="Times New Roman" w:cs="Times New Roman"/>
                <w:color w:val="000000"/>
                <w:sz w:val="18"/>
                <w:szCs w:val="18"/>
              </w:rPr>
              <w:t>88</w:t>
            </w:r>
            <w:r>
              <w:rPr>
                <w:rFonts w:ascii="Times New Roman" w:eastAsia="Times New Roman" w:hAnsi="Times New Roman" w:cs="Times New Roman"/>
                <w:color w:val="000000"/>
                <w:sz w:val="18"/>
                <w:szCs w:val="18"/>
              </w:rPr>
              <w:t>%</w:t>
            </w:r>
            <w:proofErr w:type="gramEnd"/>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37</w:t>
            </w:r>
          </w:p>
        </w:tc>
        <w:tc>
          <w:tcPr>
            <w:tcW w:w="706"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22</w:t>
            </w:r>
          </w:p>
        </w:tc>
        <w:tc>
          <w:tcPr>
            <w:tcW w:w="817" w:type="dxa"/>
            <w:noWrap/>
            <w:hideMark/>
          </w:tcPr>
          <w:p w:rsidR="00CA652E" w:rsidRPr="00CF79C7" w:rsidRDefault="00CA652E" w:rsidP="00B3156F">
            <w:pPr>
              <w:cnfStyle w:val="000000000000"/>
              <w:rPr>
                <w:rFonts w:ascii="Times New Roman" w:eastAsia="Times New Roman" w:hAnsi="Times New Roman" w:cs="Times New Roman"/>
                <w:color w:val="000000"/>
                <w:sz w:val="18"/>
                <w:szCs w:val="18"/>
              </w:rPr>
            </w:pPr>
            <w:r w:rsidRPr="00CF79C7">
              <w:rPr>
                <w:rFonts w:ascii="Times New Roman" w:eastAsia="Times New Roman" w:hAnsi="Times New Roman" w:cs="Times New Roman"/>
                <w:color w:val="000000"/>
                <w:sz w:val="18"/>
                <w:szCs w:val="18"/>
              </w:rPr>
              <w:t>II</w:t>
            </w:r>
          </w:p>
        </w:tc>
      </w:tr>
    </w:tbl>
    <w:p w:rsidR="00CA652E" w:rsidRDefault="00CA652E" w:rsidP="00CA652E">
      <w:pPr>
        <w:spacing w:after="0" w:line="24" w:lineRule="atLeast"/>
        <w:rPr>
          <w:rFonts w:ascii="Times New Roman" w:hAnsi="Times New Roman" w:cs="Times New Roman"/>
          <w:sz w:val="18"/>
          <w:szCs w:val="18"/>
          <w:lang w:val="en-US"/>
        </w:rPr>
      </w:pPr>
      <w:r w:rsidRPr="004629DC">
        <w:rPr>
          <w:rFonts w:ascii="Times New Roman" w:hAnsi="Times New Roman" w:cs="Times New Roman"/>
          <w:sz w:val="18"/>
          <w:szCs w:val="18"/>
          <w:lang w:val="en-US"/>
        </w:rPr>
        <w:lastRenderedPageBreak/>
        <w:t>Age (years) and BMI (kg/m</w:t>
      </w:r>
      <w:r w:rsidRPr="004629DC">
        <w:rPr>
          <w:rFonts w:ascii="Times New Roman" w:hAnsi="Times New Roman" w:cs="Times New Roman"/>
          <w:sz w:val="18"/>
          <w:szCs w:val="18"/>
          <w:vertAlign w:val="superscript"/>
          <w:lang w:val="en-US"/>
        </w:rPr>
        <w:t>2</w:t>
      </w:r>
      <w:r w:rsidRPr="004629DC">
        <w:rPr>
          <w:rFonts w:ascii="Times New Roman" w:hAnsi="Times New Roman" w:cs="Times New Roman"/>
          <w:sz w:val="18"/>
          <w:szCs w:val="18"/>
          <w:lang w:val="en-US"/>
        </w:rPr>
        <w:t xml:space="preserve">) are presented as means. </w:t>
      </w:r>
      <w:r>
        <w:rPr>
          <w:rFonts w:ascii="Times New Roman" w:hAnsi="Times New Roman" w:cs="Times New Roman"/>
          <w:sz w:val="18"/>
          <w:szCs w:val="18"/>
          <w:lang w:val="en-US"/>
        </w:rPr>
        <w:t>Level of evidence based on level of evidence for prognostic studies</w:t>
      </w:r>
    </w:p>
    <w:p w:rsidR="00CA652E" w:rsidRPr="00AE7237" w:rsidRDefault="00CA652E" w:rsidP="00CA652E">
      <w:pPr>
        <w:spacing w:after="0" w:line="24" w:lineRule="atLeast"/>
        <w:rPr>
          <w:rFonts w:ascii="Times New Roman" w:hAnsi="Times New Roman" w:cs="Times New Roman"/>
          <w:sz w:val="18"/>
          <w:szCs w:val="18"/>
          <w:lang w:val="en-US"/>
        </w:rPr>
      </w:pPr>
      <w:proofErr w:type="spellStart"/>
      <w:r>
        <w:rPr>
          <w:rFonts w:ascii="Times New Roman" w:hAnsi="Times New Roman" w:cs="Times New Roman"/>
          <w:sz w:val="18"/>
          <w:szCs w:val="18"/>
          <w:lang w:val="en-US"/>
        </w:rPr>
        <w:t>Abacavir</w:t>
      </w:r>
      <w:proofErr w:type="spellEnd"/>
      <w:r>
        <w:rPr>
          <w:rFonts w:ascii="Times New Roman" w:hAnsi="Times New Roman" w:cs="Times New Roman"/>
          <w:sz w:val="18"/>
          <w:szCs w:val="18"/>
          <w:lang w:val="en-US"/>
        </w:rPr>
        <w:t xml:space="preserve"> (ABC), </w:t>
      </w:r>
      <w:proofErr w:type="spellStart"/>
      <w:r>
        <w:rPr>
          <w:rFonts w:ascii="Times New Roman" w:hAnsi="Times New Roman" w:cs="Times New Roman"/>
          <w:sz w:val="18"/>
          <w:szCs w:val="18"/>
          <w:lang w:val="en-US"/>
        </w:rPr>
        <w:t>atazanavir</w:t>
      </w:r>
      <w:proofErr w:type="spellEnd"/>
      <w:r>
        <w:rPr>
          <w:rFonts w:ascii="Times New Roman" w:hAnsi="Times New Roman" w:cs="Times New Roman"/>
          <w:sz w:val="18"/>
          <w:szCs w:val="18"/>
          <w:lang w:val="en-US"/>
        </w:rPr>
        <w:t xml:space="preserve"> (ATV), </w:t>
      </w:r>
      <w:proofErr w:type="spellStart"/>
      <w:r>
        <w:rPr>
          <w:rFonts w:ascii="Times New Roman" w:hAnsi="Times New Roman" w:cs="Times New Roman"/>
          <w:sz w:val="18"/>
          <w:szCs w:val="18"/>
          <w:lang w:val="en-US"/>
        </w:rPr>
        <w:t>atazanavir</w:t>
      </w:r>
      <w:proofErr w:type="spellEnd"/>
      <w:r>
        <w:rPr>
          <w:rFonts w:ascii="Times New Roman" w:hAnsi="Times New Roman" w:cs="Times New Roman"/>
          <w:sz w:val="18"/>
          <w:szCs w:val="18"/>
          <w:lang w:val="en-US"/>
        </w:rPr>
        <w:t>/</w:t>
      </w:r>
      <w:proofErr w:type="spellStart"/>
      <w:r>
        <w:rPr>
          <w:rFonts w:ascii="Times New Roman" w:hAnsi="Times New Roman" w:cs="Times New Roman"/>
          <w:sz w:val="18"/>
          <w:szCs w:val="18"/>
          <w:lang w:val="en-US"/>
        </w:rPr>
        <w:t>ritonavir</w:t>
      </w:r>
      <w:proofErr w:type="spellEnd"/>
      <w:r>
        <w:rPr>
          <w:rFonts w:ascii="Times New Roman" w:hAnsi="Times New Roman" w:cs="Times New Roman"/>
          <w:sz w:val="18"/>
          <w:szCs w:val="18"/>
          <w:lang w:val="en-US"/>
        </w:rPr>
        <w:t xml:space="preserve"> (ATV/r), antiretroviral </w:t>
      </w:r>
      <w:proofErr w:type="spellStart"/>
      <w:r>
        <w:rPr>
          <w:rFonts w:ascii="Times New Roman" w:hAnsi="Times New Roman" w:cs="Times New Roman"/>
          <w:sz w:val="18"/>
          <w:szCs w:val="18"/>
          <w:lang w:val="en-US"/>
        </w:rPr>
        <w:t>theraphy</w:t>
      </w:r>
      <w:proofErr w:type="spellEnd"/>
      <w:r>
        <w:rPr>
          <w:rFonts w:ascii="Times New Roman" w:hAnsi="Times New Roman" w:cs="Times New Roman"/>
          <w:sz w:val="18"/>
          <w:szCs w:val="18"/>
          <w:lang w:val="en-US"/>
        </w:rPr>
        <w:t xml:space="preserve"> </w:t>
      </w:r>
      <w:r w:rsidRPr="00AE7237">
        <w:rPr>
          <w:rFonts w:ascii="Times New Roman" w:hAnsi="Times New Roman" w:cs="Times New Roman"/>
          <w:sz w:val="18"/>
          <w:szCs w:val="18"/>
          <w:lang w:val="en-US"/>
        </w:rPr>
        <w:t xml:space="preserve">(ART), </w:t>
      </w:r>
      <w:r>
        <w:rPr>
          <w:rFonts w:ascii="Times New Roman" w:hAnsi="Times New Roman" w:cs="Times New Roman"/>
          <w:sz w:val="18"/>
          <w:szCs w:val="18"/>
          <w:lang w:val="en-US"/>
        </w:rPr>
        <w:t>b</w:t>
      </w:r>
      <w:r w:rsidRPr="00AE7237">
        <w:rPr>
          <w:rFonts w:ascii="Times New Roman" w:hAnsi="Times New Roman" w:cs="Times New Roman"/>
          <w:sz w:val="18"/>
          <w:szCs w:val="18"/>
          <w:lang w:val="en-US"/>
        </w:rPr>
        <w:t>ody mass index (BMI),</w:t>
      </w: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cobicistat</w:t>
      </w:r>
      <w:proofErr w:type="spellEnd"/>
      <w:r>
        <w:rPr>
          <w:rFonts w:ascii="Times New Roman" w:hAnsi="Times New Roman" w:cs="Times New Roman"/>
          <w:sz w:val="18"/>
          <w:szCs w:val="18"/>
          <w:lang w:val="en-US"/>
        </w:rPr>
        <w:t xml:space="preserve"> (C), </w:t>
      </w:r>
      <w:proofErr w:type="spellStart"/>
      <w:r>
        <w:rPr>
          <w:rFonts w:ascii="Times New Roman" w:hAnsi="Times New Roman" w:cs="Times New Roman"/>
          <w:sz w:val="18"/>
          <w:szCs w:val="18"/>
          <w:lang w:val="en-US"/>
        </w:rPr>
        <w:t>darunavir</w:t>
      </w:r>
      <w:proofErr w:type="spellEnd"/>
      <w:r>
        <w:rPr>
          <w:rFonts w:ascii="Times New Roman" w:hAnsi="Times New Roman" w:cs="Times New Roman"/>
          <w:sz w:val="18"/>
          <w:szCs w:val="18"/>
          <w:lang w:val="en-US"/>
        </w:rPr>
        <w:t xml:space="preserve"> (DRV), </w:t>
      </w:r>
      <w:proofErr w:type="spellStart"/>
      <w:r>
        <w:rPr>
          <w:rFonts w:ascii="Times New Roman" w:hAnsi="Times New Roman" w:cs="Times New Roman"/>
          <w:sz w:val="18"/>
          <w:szCs w:val="18"/>
          <w:lang w:val="en-US"/>
        </w:rPr>
        <w:t>efavirenz</w:t>
      </w:r>
      <w:proofErr w:type="spellEnd"/>
      <w:r>
        <w:rPr>
          <w:rFonts w:ascii="Times New Roman" w:hAnsi="Times New Roman" w:cs="Times New Roman"/>
          <w:sz w:val="18"/>
          <w:szCs w:val="18"/>
          <w:lang w:val="en-US"/>
        </w:rPr>
        <w:t xml:space="preserve"> (EFV), </w:t>
      </w:r>
      <w:proofErr w:type="spellStart"/>
      <w:r>
        <w:rPr>
          <w:rFonts w:ascii="Times New Roman" w:hAnsi="Times New Roman" w:cs="Times New Roman"/>
          <w:sz w:val="18"/>
          <w:szCs w:val="18"/>
          <w:lang w:val="en-US"/>
        </w:rPr>
        <w:t>elvitegravir</w:t>
      </w:r>
      <w:proofErr w:type="spellEnd"/>
      <w:r>
        <w:rPr>
          <w:rFonts w:ascii="Times New Roman" w:hAnsi="Times New Roman" w:cs="Times New Roman"/>
          <w:sz w:val="18"/>
          <w:szCs w:val="18"/>
          <w:lang w:val="en-US"/>
        </w:rPr>
        <w:t xml:space="preserve"> (E),</w:t>
      </w:r>
      <w:r w:rsidRPr="00AE7237">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emtricitabine</w:t>
      </w:r>
      <w:proofErr w:type="spellEnd"/>
      <w:r>
        <w:rPr>
          <w:rFonts w:ascii="Times New Roman" w:hAnsi="Times New Roman" w:cs="Times New Roman"/>
          <w:sz w:val="18"/>
          <w:szCs w:val="18"/>
          <w:lang w:val="en-US"/>
        </w:rPr>
        <w:t xml:space="preserve"> (FTC), </w:t>
      </w:r>
      <w:proofErr w:type="spellStart"/>
      <w:r>
        <w:rPr>
          <w:rFonts w:ascii="Times New Roman" w:hAnsi="Times New Roman" w:cs="Times New Roman"/>
          <w:sz w:val="18"/>
          <w:szCs w:val="18"/>
          <w:lang w:val="en-US"/>
        </w:rPr>
        <w:t>lamivudine</w:t>
      </w:r>
      <w:proofErr w:type="spellEnd"/>
      <w:r>
        <w:rPr>
          <w:rFonts w:ascii="Times New Roman" w:hAnsi="Times New Roman" w:cs="Times New Roman"/>
          <w:sz w:val="18"/>
          <w:szCs w:val="18"/>
          <w:lang w:val="en-US"/>
        </w:rPr>
        <w:t xml:space="preserve"> (3TC), </w:t>
      </w:r>
      <w:proofErr w:type="spellStart"/>
      <w:r>
        <w:rPr>
          <w:rFonts w:ascii="Times New Roman" w:hAnsi="Times New Roman" w:cs="Times New Roman"/>
          <w:sz w:val="18"/>
          <w:szCs w:val="18"/>
          <w:lang w:val="en-US"/>
        </w:rPr>
        <w:t>lopinavir</w:t>
      </w:r>
      <w:proofErr w:type="spellEnd"/>
      <w:r>
        <w:rPr>
          <w:rFonts w:ascii="Times New Roman" w:hAnsi="Times New Roman" w:cs="Times New Roman"/>
          <w:sz w:val="18"/>
          <w:szCs w:val="18"/>
          <w:lang w:val="en-US"/>
        </w:rPr>
        <w:t xml:space="preserve"> (LPV), </w:t>
      </w:r>
      <w:proofErr w:type="spellStart"/>
      <w:r>
        <w:rPr>
          <w:rFonts w:ascii="Times New Roman" w:hAnsi="Times New Roman" w:cs="Times New Roman"/>
          <w:sz w:val="18"/>
          <w:szCs w:val="18"/>
          <w:lang w:val="en-US"/>
        </w:rPr>
        <w:t>lopinavir</w:t>
      </w:r>
      <w:proofErr w:type="spellEnd"/>
      <w:r>
        <w:rPr>
          <w:rFonts w:ascii="Times New Roman" w:hAnsi="Times New Roman" w:cs="Times New Roman"/>
          <w:sz w:val="18"/>
          <w:szCs w:val="18"/>
          <w:lang w:val="en-US"/>
        </w:rPr>
        <w:t>/</w:t>
      </w:r>
      <w:proofErr w:type="spellStart"/>
      <w:r>
        <w:rPr>
          <w:rFonts w:ascii="Times New Roman" w:hAnsi="Times New Roman" w:cs="Times New Roman"/>
          <w:sz w:val="18"/>
          <w:szCs w:val="18"/>
          <w:lang w:val="en-US"/>
        </w:rPr>
        <w:t>ritonavir</w:t>
      </w:r>
      <w:proofErr w:type="spellEnd"/>
      <w:r>
        <w:rPr>
          <w:rFonts w:ascii="Times New Roman" w:hAnsi="Times New Roman" w:cs="Times New Roman"/>
          <w:sz w:val="18"/>
          <w:szCs w:val="18"/>
          <w:lang w:val="en-US"/>
        </w:rPr>
        <w:t xml:space="preserve"> (LPV/r), </w:t>
      </w:r>
      <w:proofErr w:type="spellStart"/>
      <w:r>
        <w:rPr>
          <w:rFonts w:ascii="Times New Roman" w:hAnsi="Times New Roman" w:cs="Times New Roman"/>
          <w:sz w:val="18"/>
          <w:szCs w:val="18"/>
          <w:lang w:val="en-US"/>
        </w:rPr>
        <w:t>nevirapine</w:t>
      </w:r>
      <w:proofErr w:type="spellEnd"/>
      <w:r>
        <w:rPr>
          <w:rFonts w:ascii="Times New Roman" w:hAnsi="Times New Roman" w:cs="Times New Roman"/>
          <w:sz w:val="18"/>
          <w:szCs w:val="18"/>
          <w:lang w:val="en-US"/>
        </w:rPr>
        <w:t xml:space="preserve"> (NPV), nucleoside/nucleotide reverse transcriptase inhibitors (NRTI), </w:t>
      </w:r>
      <w:r w:rsidRPr="00AE7237">
        <w:rPr>
          <w:rFonts w:ascii="Times New Roman" w:hAnsi="Times New Roman" w:cs="Times New Roman"/>
          <w:sz w:val="18"/>
          <w:szCs w:val="18"/>
          <w:lang w:val="en-US"/>
        </w:rPr>
        <w:t>patients living with HIV (PLHIV), protease inhibitor (PI),</w:t>
      </w: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raltegravir</w:t>
      </w:r>
      <w:proofErr w:type="spellEnd"/>
      <w:r>
        <w:rPr>
          <w:rFonts w:ascii="Times New Roman" w:hAnsi="Times New Roman" w:cs="Times New Roman"/>
          <w:sz w:val="18"/>
          <w:szCs w:val="18"/>
          <w:lang w:val="en-US"/>
        </w:rPr>
        <w:t xml:space="preserve"> (RAL)</w:t>
      </w:r>
      <w:r w:rsidRPr="00AE7237">
        <w:rPr>
          <w:rFonts w:ascii="Times New Roman" w:hAnsi="Times New Roman" w:cs="Times New Roman"/>
          <w:sz w:val="18"/>
          <w:szCs w:val="18"/>
          <w:lang w:val="en-US"/>
        </w:rPr>
        <w:t xml:space="preserve"> randomized controlled trial (RCT), </w:t>
      </w:r>
      <w:proofErr w:type="spellStart"/>
      <w:r w:rsidRPr="00AE7237">
        <w:rPr>
          <w:rFonts w:ascii="Times New Roman" w:hAnsi="Times New Roman" w:cs="Times New Roman"/>
          <w:bCs/>
          <w:sz w:val="18"/>
          <w:szCs w:val="18"/>
          <w:lang w:val="en-GB"/>
        </w:rPr>
        <w:t>tenofovir</w:t>
      </w:r>
      <w:proofErr w:type="spellEnd"/>
      <w:r w:rsidRPr="00AE7237">
        <w:rPr>
          <w:rFonts w:ascii="Times New Roman" w:hAnsi="Times New Roman" w:cs="Times New Roman"/>
          <w:bCs/>
          <w:sz w:val="18"/>
          <w:szCs w:val="18"/>
          <w:lang w:val="en-GB"/>
        </w:rPr>
        <w:t xml:space="preserve"> </w:t>
      </w:r>
      <w:proofErr w:type="spellStart"/>
      <w:r w:rsidRPr="00AE7237">
        <w:rPr>
          <w:rFonts w:ascii="Times New Roman" w:hAnsi="Times New Roman" w:cs="Times New Roman"/>
          <w:bCs/>
          <w:sz w:val="18"/>
          <w:szCs w:val="18"/>
          <w:lang w:val="en-GB"/>
        </w:rPr>
        <w:t>alafenamide</w:t>
      </w:r>
      <w:proofErr w:type="spellEnd"/>
      <w:r w:rsidRPr="00AE7237">
        <w:rPr>
          <w:rFonts w:ascii="Times New Roman" w:hAnsi="Times New Roman" w:cs="Times New Roman"/>
          <w:bCs/>
          <w:sz w:val="18"/>
          <w:szCs w:val="18"/>
          <w:lang w:val="en-GB"/>
        </w:rPr>
        <w:t xml:space="preserve"> (TAF), </w:t>
      </w:r>
      <w:proofErr w:type="spellStart"/>
      <w:r w:rsidRPr="00AE7237">
        <w:rPr>
          <w:rFonts w:ascii="Times New Roman" w:hAnsi="Times New Roman" w:cs="Times New Roman"/>
          <w:bCs/>
          <w:sz w:val="18"/>
          <w:szCs w:val="18"/>
          <w:lang w:val="en-GB"/>
        </w:rPr>
        <w:t>tenofovir</w:t>
      </w:r>
      <w:proofErr w:type="spellEnd"/>
      <w:r w:rsidRPr="00AE7237">
        <w:rPr>
          <w:rFonts w:ascii="Times New Roman" w:hAnsi="Times New Roman" w:cs="Times New Roman"/>
          <w:bCs/>
          <w:sz w:val="18"/>
          <w:szCs w:val="18"/>
          <w:lang w:val="en-GB"/>
        </w:rPr>
        <w:t xml:space="preserve"> </w:t>
      </w:r>
      <w:proofErr w:type="spellStart"/>
      <w:r w:rsidRPr="00AE7237">
        <w:rPr>
          <w:rFonts w:ascii="Times New Roman" w:hAnsi="Times New Roman" w:cs="Times New Roman"/>
          <w:bCs/>
          <w:sz w:val="18"/>
          <w:szCs w:val="18"/>
          <w:lang w:val="en-GB"/>
        </w:rPr>
        <w:t>disoproxil</w:t>
      </w:r>
      <w:proofErr w:type="spellEnd"/>
      <w:r w:rsidRPr="00AE7237">
        <w:rPr>
          <w:rFonts w:ascii="Times New Roman" w:hAnsi="Times New Roman" w:cs="Times New Roman"/>
          <w:bCs/>
          <w:sz w:val="18"/>
          <w:szCs w:val="18"/>
          <w:lang w:val="en-GB"/>
        </w:rPr>
        <w:t xml:space="preserve"> </w:t>
      </w:r>
      <w:proofErr w:type="spellStart"/>
      <w:r w:rsidRPr="00AE7237">
        <w:rPr>
          <w:rFonts w:ascii="Times New Roman" w:hAnsi="Times New Roman" w:cs="Times New Roman"/>
          <w:bCs/>
          <w:sz w:val="18"/>
          <w:szCs w:val="18"/>
          <w:lang w:val="en-GB"/>
        </w:rPr>
        <w:t>fumarate</w:t>
      </w:r>
      <w:proofErr w:type="spellEnd"/>
      <w:r w:rsidRPr="00AE7237">
        <w:rPr>
          <w:rFonts w:ascii="Times New Roman" w:hAnsi="Times New Roman" w:cs="Times New Roman"/>
          <w:bCs/>
          <w:sz w:val="18"/>
          <w:szCs w:val="18"/>
          <w:lang w:val="en-GB"/>
        </w:rPr>
        <w:t xml:space="preserve"> (TDF)</w:t>
      </w:r>
      <w:r>
        <w:rPr>
          <w:rFonts w:ascii="Times New Roman" w:hAnsi="Times New Roman" w:cs="Times New Roman"/>
          <w:bCs/>
          <w:sz w:val="18"/>
          <w:szCs w:val="18"/>
          <w:lang w:val="en-GB"/>
        </w:rPr>
        <w:t xml:space="preserve">, </w:t>
      </w:r>
      <w:proofErr w:type="spellStart"/>
      <w:r>
        <w:rPr>
          <w:rFonts w:ascii="Times New Roman" w:hAnsi="Times New Roman" w:cs="Times New Roman"/>
          <w:bCs/>
          <w:sz w:val="18"/>
          <w:szCs w:val="18"/>
          <w:lang w:val="en-GB"/>
        </w:rPr>
        <w:t>Zidovudine</w:t>
      </w:r>
      <w:proofErr w:type="spellEnd"/>
      <w:r>
        <w:rPr>
          <w:rFonts w:ascii="Times New Roman" w:hAnsi="Times New Roman" w:cs="Times New Roman"/>
          <w:bCs/>
          <w:sz w:val="18"/>
          <w:szCs w:val="18"/>
          <w:lang w:val="en-GB"/>
        </w:rPr>
        <w:t xml:space="preserve"> (ZDV),</w:t>
      </w:r>
    </w:p>
    <w:p w:rsidR="00CA652E" w:rsidRPr="00AE7237" w:rsidRDefault="00CA652E" w:rsidP="00CA652E">
      <w:pPr>
        <w:rPr>
          <w:rFonts w:ascii="Times New Roman" w:hAnsi="Times New Roman" w:cs="Times New Roman"/>
          <w:iCs/>
          <w:sz w:val="18"/>
          <w:szCs w:val="18"/>
          <w:lang w:val="en-GB"/>
        </w:rPr>
      </w:pPr>
      <w:r w:rsidRPr="00AE7237">
        <w:rPr>
          <w:rFonts w:ascii="Times New Roman" w:hAnsi="Times New Roman" w:cs="Times New Roman"/>
          <w:iCs/>
          <w:sz w:val="18"/>
          <w:szCs w:val="18"/>
          <w:lang w:val="en-GB"/>
        </w:rPr>
        <w:t>* These three studies report on the same population and only one study is included in the meta-analysis.</w:t>
      </w:r>
    </w:p>
    <w:p w:rsidR="00CA652E" w:rsidRDefault="00CA652E" w:rsidP="00CA652E">
      <w:pPr>
        <w:rPr>
          <w:rFonts w:ascii="Times New Roman" w:hAnsi="Times New Roman" w:cs="Times New Roman"/>
          <w:iCs/>
          <w:sz w:val="24"/>
          <w:szCs w:val="24"/>
          <w:lang w:val="en-GB"/>
        </w:rPr>
      </w:pPr>
      <w:r>
        <w:rPr>
          <w:rFonts w:ascii="Times New Roman" w:hAnsi="Times New Roman" w:cs="Times New Roman"/>
          <w:iCs/>
          <w:sz w:val="24"/>
          <w:szCs w:val="24"/>
          <w:lang w:val="en-GB"/>
        </w:rPr>
        <w:br w:type="page"/>
      </w:r>
      <w:proofErr w:type="gramStart"/>
      <w:r w:rsidR="004B77E9" w:rsidRPr="004B77E9">
        <w:rPr>
          <w:rFonts w:ascii="Times New Roman" w:hAnsi="Times New Roman" w:cs="Times New Roman"/>
          <w:iCs/>
          <w:sz w:val="24"/>
          <w:szCs w:val="24"/>
          <w:highlight w:val="green"/>
          <w:lang w:val="en-GB"/>
        </w:rPr>
        <w:lastRenderedPageBreak/>
        <w:t>Supplementary</w:t>
      </w:r>
      <w:r w:rsidR="004B77E9">
        <w:rPr>
          <w:rFonts w:ascii="Times New Roman" w:hAnsi="Times New Roman" w:cs="Times New Roman"/>
          <w:iCs/>
          <w:sz w:val="24"/>
          <w:szCs w:val="24"/>
          <w:lang w:val="en-GB"/>
        </w:rPr>
        <w:t xml:space="preserve"> </w:t>
      </w:r>
      <w:r w:rsidR="002F0713">
        <w:rPr>
          <w:rFonts w:ascii="Times New Roman" w:hAnsi="Times New Roman" w:cs="Times New Roman"/>
          <w:iCs/>
          <w:sz w:val="24"/>
          <w:szCs w:val="24"/>
          <w:lang w:val="en-GB"/>
        </w:rPr>
        <w:t>Table 5</w:t>
      </w:r>
      <w:r>
        <w:rPr>
          <w:rFonts w:ascii="Times New Roman" w:hAnsi="Times New Roman" w:cs="Times New Roman"/>
          <w:iCs/>
          <w:sz w:val="24"/>
          <w:szCs w:val="24"/>
          <w:lang w:val="en-GB"/>
        </w:rPr>
        <w:t>.</w:t>
      </w:r>
      <w:proofErr w:type="gramEnd"/>
      <w:r>
        <w:rPr>
          <w:rFonts w:ascii="Times New Roman" w:hAnsi="Times New Roman" w:cs="Times New Roman"/>
          <w:iCs/>
          <w:sz w:val="24"/>
          <w:szCs w:val="24"/>
          <w:lang w:val="en-GB"/>
        </w:rPr>
        <w:t xml:space="preserve"> </w:t>
      </w:r>
      <w:proofErr w:type="gramStart"/>
      <w:r>
        <w:rPr>
          <w:rFonts w:ascii="Times New Roman" w:hAnsi="Times New Roman" w:cs="Times New Roman"/>
          <w:iCs/>
          <w:sz w:val="24"/>
          <w:szCs w:val="24"/>
          <w:lang w:val="en-GB"/>
        </w:rPr>
        <w:t xml:space="preserve">Characteristics of studies investigating </w:t>
      </w:r>
      <w:proofErr w:type="spellStart"/>
      <w:r>
        <w:rPr>
          <w:rFonts w:ascii="Times New Roman" w:hAnsi="Times New Roman" w:cs="Times New Roman"/>
          <w:iCs/>
          <w:sz w:val="24"/>
          <w:szCs w:val="24"/>
          <w:lang w:val="en-GB"/>
        </w:rPr>
        <w:t>antiosteoporotic</w:t>
      </w:r>
      <w:proofErr w:type="spellEnd"/>
      <w:r>
        <w:rPr>
          <w:rFonts w:ascii="Times New Roman" w:hAnsi="Times New Roman" w:cs="Times New Roman"/>
          <w:iCs/>
          <w:sz w:val="24"/>
          <w:szCs w:val="24"/>
          <w:lang w:val="en-GB"/>
        </w:rPr>
        <w:t xml:space="preserve"> treatment in patients living with HIV.</w:t>
      </w:r>
      <w:proofErr w:type="gramEnd"/>
    </w:p>
    <w:tbl>
      <w:tblPr>
        <w:tblStyle w:val="Lysskygge1"/>
        <w:tblW w:w="9677" w:type="dxa"/>
        <w:tblLook w:val="04A0"/>
      </w:tblPr>
      <w:tblGrid>
        <w:gridCol w:w="1176"/>
        <w:gridCol w:w="767"/>
        <w:gridCol w:w="1206"/>
        <w:gridCol w:w="2046"/>
        <w:gridCol w:w="787"/>
        <w:gridCol w:w="846"/>
        <w:gridCol w:w="787"/>
        <w:gridCol w:w="1146"/>
        <w:gridCol w:w="916"/>
      </w:tblGrid>
      <w:tr w:rsidR="00CA652E" w:rsidRPr="00AA4013" w:rsidTr="00B3156F">
        <w:trPr>
          <w:cnfStyle w:val="100000000000"/>
          <w:trHeight w:val="334"/>
        </w:trPr>
        <w:tc>
          <w:tcPr>
            <w:cnfStyle w:val="001000000000"/>
            <w:tcW w:w="1176" w:type="dxa"/>
            <w:noWrap/>
            <w:hideMark/>
          </w:tcPr>
          <w:p w:rsidR="00CA652E" w:rsidRPr="00B8544C" w:rsidRDefault="00CA652E" w:rsidP="00B3156F">
            <w:pPr>
              <w:rPr>
                <w:rFonts w:ascii="Times New Roman" w:hAnsi="Times New Roman" w:cs="Times New Roman"/>
                <w:sz w:val="18"/>
                <w:szCs w:val="18"/>
              </w:rPr>
            </w:pPr>
            <w:proofErr w:type="spellStart"/>
            <w:r w:rsidRPr="00B8544C">
              <w:rPr>
                <w:rFonts w:ascii="Times New Roman" w:hAnsi="Times New Roman" w:cs="Times New Roman"/>
                <w:sz w:val="18"/>
                <w:szCs w:val="18"/>
              </w:rPr>
              <w:t>Study</w:t>
            </w:r>
            <w:proofErr w:type="spellEnd"/>
          </w:p>
          <w:p w:rsidR="00CA652E" w:rsidRPr="00B8544C" w:rsidRDefault="00CA652E" w:rsidP="00B3156F">
            <w:pPr>
              <w:rPr>
                <w:rFonts w:ascii="Times New Roman" w:hAnsi="Times New Roman" w:cs="Times New Roman"/>
                <w:sz w:val="18"/>
                <w:szCs w:val="18"/>
              </w:rPr>
            </w:pPr>
          </w:p>
          <w:p w:rsidR="00CA652E" w:rsidRPr="00B8544C" w:rsidRDefault="00CA652E" w:rsidP="00B3156F">
            <w:pPr>
              <w:rPr>
                <w:rFonts w:ascii="Times New Roman" w:hAnsi="Times New Roman" w:cs="Times New Roman"/>
                <w:sz w:val="18"/>
                <w:szCs w:val="18"/>
              </w:rPr>
            </w:pPr>
          </w:p>
        </w:tc>
        <w:tc>
          <w:tcPr>
            <w:tcW w:w="767"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Design</w:t>
            </w:r>
          </w:p>
        </w:tc>
        <w:tc>
          <w:tcPr>
            <w:tcW w:w="1206" w:type="dxa"/>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BMD /</w:t>
            </w:r>
            <w:proofErr w:type="spellStart"/>
            <w:r w:rsidRPr="00B8544C">
              <w:rPr>
                <w:rFonts w:ascii="Times New Roman" w:hAnsi="Times New Roman" w:cs="Times New Roman"/>
                <w:sz w:val="18"/>
                <w:szCs w:val="18"/>
              </w:rPr>
              <w:t>osteoporosis</w:t>
            </w:r>
            <w:proofErr w:type="spellEnd"/>
            <w:r w:rsidRPr="00B8544C">
              <w:rPr>
                <w:rFonts w:ascii="Times New Roman" w:hAnsi="Times New Roman" w:cs="Times New Roman"/>
                <w:sz w:val="18"/>
                <w:szCs w:val="18"/>
              </w:rPr>
              <w:t xml:space="preserve"> status at baseline</w:t>
            </w:r>
          </w:p>
        </w:tc>
        <w:tc>
          <w:tcPr>
            <w:tcW w:w="2046" w:type="dxa"/>
            <w:noWrap/>
            <w:hideMark/>
          </w:tcPr>
          <w:p w:rsidR="00CA652E" w:rsidRPr="00B8544C" w:rsidRDefault="00CA652E" w:rsidP="00B3156F">
            <w:pPr>
              <w:cnfStyle w:val="100000000000"/>
              <w:rPr>
                <w:rFonts w:ascii="Times New Roman" w:hAnsi="Times New Roman" w:cs="Times New Roman"/>
                <w:sz w:val="18"/>
                <w:szCs w:val="18"/>
              </w:rPr>
            </w:pPr>
            <w:proofErr w:type="spellStart"/>
            <w:r w:rsidRPr="00B8544C">
              <w:rPr>
                <w:rFonts w:ascii="Times New Roman" w:hAnsi="Times New Roman" w:cs="Times New Roman"/>
                <w:sz w:val="18"/>
                <w:szCs w:val="18"/>
              </w:rPr>
              <w:t>Antiosteoporotic</w:t>
            </w:r>
            <w:proofErr w:type="spellEnd"/>
            <w:r w:rsidRPr="00B8544C">
              <w:rPr>
                <w:rFonts w:ascii="Times New Roman" w:hAnsi="Times New Roman" w:cs="Times New Roman"/>
                <w:sz w:val="18"/>
                <w:szCs w:val="18"/>
              </w:rPr>
              <w:t xml:space="preserve"> </w:t>
            </w:r>
            <w:proofErr w:type="spellStart"/>
            <w:r w:rsidRPr="00B8544C">
              <w:rPr>
                <w:rFonts w:ascii="Times New Roman" w:hAnsi="Times New Roman" w:cs="Times New Roman"/>
                <w:sz w:val="18"/>
                <w:szCs w:val="18"/>
              </w:rPr>
              <w:t>treatment</w:t>
            </w:r>
            <w:proofErr w:type="spellEnd"/>
          </w:p>
        </w:tc>
        <w:tc>
          <w:tcPr>
            <w:tcW w:w="787"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PLHIV (n)</w:t>
            </w:r>
          </w:p>
        </w:tc>
        <w:tc>
          <w:tcPr>
            <w:tcW w:w="846"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PLHIV (%men)</w:t>
            </w:r>
          </w:p>
        </w:tc>
        <w:tc>
          <w:tcPr>
            <w:tcW w:w="787" w:type="dxa"/>
            <w:noWrap/>
            <w:hideMark/>
          </w:tcPr>
          <w:p w:rsidR="00CA652E" w:rsidRPr="00B8544C" w:rsidRDefault="00CA652E" w:rsidP="00B3156F">
            <w:pPr>
              <w:cnfStyle w:val="100000000000"/>
              <w:rPr>
                <w:rFonts w:ascii="Times New Roman" w:hAnsi="Times New Roman" w:cs="Times New Roman"/>
                <w:sz w:val="18"/>
                <w:szCs w:val="18"/>
              </w:rPr>
            </w:pPr>
            <w:r w:rsidRPr="00B8544C">
              <w:rPr>
                <w:rFonts w:ascii="Times New Roman" w:hAnsi="Times New Roman" w:cs="Times New Roman"/>
                <w:sz w:val="18"/>
                <w:szCs w:val="18"/>
              </w:rPr>
              <w:t>Age PLHIV</w:t>
            </w:r>
          </w:p>
        </w:tc>
        <w:tc>
          <w:tcPr>
            <w:tcW w:w="1146" w:type="dxa"/>
          </w:tcPr>
          <w:p w:rsidR="00CA652E" w:rsidRPr="00B8544C" w:rsidRDefault="00CA652E" w:rsidP="00B3156F">
            <w:pPr>
              <w:cnfStyle w:val="100000000000"/>
              <w:rPr>
                <w:rFonts w:ascii="Times New Roman" w:hAnsi="Times New Roman" w:cs="Times New Roman"/>
                <w:sz w:val="18"/>
                <w:szCs w:val="18"/>
              </w:rPr>
            </w:pPr>
            <w:proofErr w:type="spellStart"/>
            <w:r w:rsidRPr="00B8544C">
              <w:rPr>
                <w:rFonts w:ascii="Times New Roman" w:hAnsi="Times New Roman" w:cs="Times New Roman"/>
                <w:sz w:val="18"/>
                <w:szCs w:val="18"/>
              </w:rPr>
              <w:t>Result</w:t>
            </w:r>
            <w:proofErr w:type="spellEnd"/>
          </w:p>
        </w:tc>
        <w:tc>
          <w:tcPr>
            <w:tcW w:w="916" w:type="dxa"/>
            <w:noWrap/>
            <w:hideMark/>
          </w:tcPr>
          <w:p w:rsidR="00CA652E" w:rsidRPr="00B8544C" w:rsidRDefault="00CA652E" w:rsidP="00B3156F">
            <w:pPr>
              <w:cnfStyle w:val="100000000000"/>
              <w:rPr>
                <w:rFonts w:ascii="Times New Roman" w:hAnsi="Times New Roman" w:cs="Times New Roman"/>
                <w:sz w:val="18"/>
                <w:szCs w:val="18"/>
              </w:rPr>
            </w:pPr>
            <w:proofErr w:type="spellStart"/>
            <w:r w:rsidRPr="00B8544C">
              <w:rPr>
                <w:rFonts w:ascii="Times New Roman" w:hAnsi="Times New Roman" w:cs="Times New Roman"/>
                <w:sz w:val="18"/>
                <w:szCs w:val="18"/>
              </w:rPr>
              <w:t>Evidence</w:t>
            </w:r>
            <w:proofErr w:type="spellEnd"/>
            <w:r w:rsidRPr="00B8544C">
              <w:rPr>
                <w:rFonts w:ascii="Times New Roman" w:hAnsi="Times New Roman" w:cs="Times New Roman"/>
                <w:sz w:val="18"/>
                <w:szCs w:val="18"/>
              </w:rPr>
              <w:t xml:space="preserve"> </w:t>
            </w:r>
            <w:proofErr w:type="spellStart"/>
            <w:r w:rsidRPr="00B8544C">
              <w:rPr>
                <w:rFonts w:ascii="Times New Roman" w:hAnsi="Times New Roman" w:cs="Times New Roman"/>
                <w:sz w:val="18"/>
                <w:szCs w:val="18"/>
              </w:rPr>
              <w:t>level</w:t>
            </w:r>
            <w:proofErr w:type="spellEnd"/>
          </w:p>
        </w:tc>
      </w:tr>
      <w:tr w:rsidR="00CA652E" w:rsidRPr="00AA4013" w:rsidTr="00B3156F">
        <w:trPr>
          <w:cnfStyle w:val="000000100000"/>
          <w:trHeight w:val="334"/>
        </w:trPr>
        <w:tc>
          <w:tcPr>
            <w:cnfStyle w:val="001000000000"/>
            <w:tcW w:w="1176" w:type="dxa"/>
            <w:noWrap/>
            <w:hideMark/>
          </w:tcPr>
          <w:p w:rsidR="00CA652E" w:rsidRPr="00B8544C" w:rsidRDefault="00CA652E" w:rsidP="00B3156F">
            <w:pPr>
              <w:rPr>
                <w:rFonts w:ascii="Times New Roman" w:hAnsi="Times New Roman" w:cs="Times New Roman"/>
                <w:sz w:val="18"/>
                <w:szCs w:val="18"/>
              </w:rPr>
            </w:pPr>
            <w:proofErr w:type="spellStart"/>
            <w:r w:rsidRPr="00B8544C">
              <w:rPr>
                <w:rFonts w:ascii="Times New Roman" w:hAnsi="Times New Roman" w:cs="Times New Roman"/>
                <w:sz w:val="18"/>
                <w:szCs w:val="18"/>
              </w:rPr>
              <w:t>Alendronate</w:t>
            </w:r>
            <w:proofErr w:type="spellEnd"/>
          </w:p>
        </w:tc>
        <w:tc>
          <w:tcPr>
            <w:tcW w:w="767" w:type="dxa"/>
            <w:noWrap/>
            <w:hideMark/>
          </w:tcPr>
          <w:p w:rsidR="00CA652E" w:rsidRPr="00AA4013" w:rsidRDefault="00CA652E" w:rsidP="00B3156F">
            <w:pPr>
              <w:cnfStyle w:val="000000100000"/>
              <w:rPr>
                <w:rFonts w:ascii="Times New Roman" w:hAnsi="Times New Roman" w:cs="Times New Roman"/>
                <w:bCs/>
                <w:sz w:val="18"/>
                <w:szCs w:val="18"/>
              </w:rPr>
            </w:pPr>
          </w:p>
        </w:tc>
        <w:tc>
          <w:tcPr>
            <w:tcW w:w="1206" w:type="dxa"/>
          </w:tcPr>
          <w:p w:rsidR="00CA652E" w:rsidRPr="00AA4013" w:rsidRDefault="00CA652E" w:rsidP="00B3156F">
            <w:pPr>
              <w:cnfStyle w:val="000000100000"/>
              <w:rPr>
                <w:rFonts w:ascii="Times New Roman" w:hAnsi="Times New Roman" w:cs="Times New Roman"/>
                <w:sz w:val="18"/>
                <w:szCs w:val="18"/>
              </w:rPr>
            </w:pPr>
          </w:p>
        </w:tc>
        <w:tc>
          <w:tcPr>
            <w:tcW w:w="2046" w:type="dxa"/>
            <w:noWrap/>
            <w:hideMark/>
          </w:tcPr>
          <w:p w:rsidR="00CA652E" w:rsidRPr="00AA4013" w:rsidRDefault="00CA652E" w:rsidP="00B3156F">
            <w:pPr>
              <w:cnfStyle w:val="000000100000"/>
              <w:rPr>
                <w:rFonts w:ascii="Times New Roman" w:hAnsi="Times New Roman" w:cs="Times New Roman"/>
                <w:sz w:val="18"/>
                <w:szCs w:val="18"/>
              </w:rPr>
            </w:pPr>
          </w:p>
        </w:tc>
        <w:tc>
          <w:tcPr>
            <w:tcW w:w="787" w:type="dxa"/>
            <w:noWrap/>
            <w:hideMark/>
          </w:tcPr>
          <w:p w:rsidR="00CA652E" w:rsidRPr="00AA4013" w:rsidRDefault="00CA652E" w:rsidP="00B3156F">
            <w:pPr>
              <w:cnfStyle w:val="000000100000"/>
              <w:rPr>
                <w:rFonts w:ascii="Times New Roman" w:hAnsi="Times New Roman" w:cs="Times New Roman"/>
                <w:sz w:val="18"/>
                <w:szCs w:val="18"/>
              </w:rPr>
            </w:pPr>
          </w:p>
        </w:tc>
        <w:tc>
          <w:tcPr>
            <w:tcW w:w="846" w:type="dxa"/>
            <w:noWrap/>
            <w:hideMark/>
          </w:tcPr>
          <w:p w:rsidR="00CA652E" w:rsidRPr="00AA4013" w:rsidRDefault="00CA652E" w:rsidP="00B3156F">
            <w:pPr>
              <w:cnfStyle w:val="000000100000"/>
              <w:rPr>
                <w:rFonts w:ascii="Times New Roman" w:hAnsi="Times New Roman" w:cs="Times New Roman"/>
                <w:sz w:val="18"/>
                <w:szCs w:val="18"/>
              </w:rPr>
            </w:pPr>
          </w:p>
        </w:tc>
        <w:tc>
          <w:tcPr>
            <w:tcW w:w="787" w:type="dxa"/>
            <w:noWrap/>
            <w:hideMark/>
          </w:tcPr>
          <w:p w:rsidR="00CA652E" w:rsidRPr="00AA4013" w:rsidRDefault="00CA652E" w:rsidP="00B3156F">
            <w:pPr>
              <w:cnfStyle w:val="000000100000"/>
              <w:rPr>
                <w:rFonts w:ascii="Times New Roman" w:hAnsi="Times New Roman" w:cs="Times New Roman"/>
                <w:sz w:val="18"/>
                <w:szCs w:val="18"/>
              </w:rPr>
            </w:pPr>
          </w:p>
        </w:tc>
        <w:tc>
          <w:tcPr>
            <w:tcW w:w="1146" w:type="dxa"/>
          </w:tcPr>
          <w:p w:rsidR="00CA652E" w:rsidRPr="00AA4013" w:rsidRDefault="00CA652E" w:rsidP="00B3156F">
            <w:pPr>
              <w:cnfStyle w:val="000000100000"/>
              <w:rPr>
                <w:rFonts w:ascii="Times New Roman" w:hAnsi="Times New Roman" w:cs="Times New Roman"/>
                <w:sz w:val="18"/>
                <w:szCs w:val="18"/>
              </w:rPr>
            </w:pPr>
          </w:p>
        </w:tc>
        <w:tc>
          <w:tcPr>
            <w:tcW w:w="916" w:type="dxa"/>
            <w:noWrap/>
            <w:hideMark/>
          </w:tcPr>
          <w:p w:rsidR="00CA652E" w:rsidRPr="00AA4013" w:rsidRDefault="00CA652E" w:rsidP="00B3156F">
            <w:pPr>
              <w:cnfStyle w:val="000000100000"/>
              <w:rPr>
                <w:rFonts w:ascii="Times New Roman" w:hAnsi="Times New Roman" w:cs="Times New Roman"/>
                <w:sz w:val="18"/>
                <w:szCs w:val="18"/>
              </w:rPr>
            </w:pPr>
          </w:p>
        </w:tc>
      </w:tr>
      <w:tr w:rsidR="00CA652E" w:rsidRPr="0050568D" w:rsidTr="00B3156F">
        <w:trPr>
          <w:trHeight w:val="334"/>
        </w:trPr>
        <w:tc>
          <w:tcPr>
            <w:cnfStyle w:val="001000000000"/>
            <w:tcW w:w="1176"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McComsey</w:t>
            </w:r>
            <w:proofErr w:type="spellEnd"/>
            <w:r w:rsidRPr="00B8544C">
              <w:rPr>
                <w:rFonts w:ascii="Times New Roman" w:hAnsi="Times New Roman" w:cs="Times New Roman"/>
                <w:b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RW.CITE{{309 McComsey,G.A.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121</w:t>
            </w:r>
            <w:r w:rsidR="00734DBD" w:rsidRPr="00B8544C">
              <w:rPr>
                <w:rFonts w:ascii="Times New Roman" w:hAnsi="Times New Roman" w:cs="Times New Roman"/>
                <w:sz w:val="18"/>
                <w:szCs w:val="18"/>
              </w:rPr>
              <w:fldChar w:fldCharType="end"/>
            </w:r>
          </w:p>
        </w:tc>
        <w:tc>
          <w:tcPr>
            <w:tcW w:w="767" w:type="dxa"/>
            <w:noWrap/>
            <w:hideMark/>
          </w:tcPr>
          <w:p w:rsidR="00CA652E" w:rsidRPr="00AA4013" w:rsidRDefault="00CA652E" w:rsidP="00B3156F">
            <w:pPr>
              <w:cnfStyle w:val="000000000000"/>
              <w:rPr>
                <w:rFonts w:ascii="Times New Roman" w:hAnsi="Times New Roman" w:cs="Times New Roman"/>
                <w:bCs/>
                <w:sz w:val="18"/>
                <w:szCs w:val="18"/>
              </w:rPr>
            </w:pPr>
            <w:r>
              <w:rPr>
                <w:rFonts w:ascii="Times New Roman" w:hAnsi="Times New Roman" w:cs="Times New Roman"/>
                <w:bCs/>
                <w:sz w:val="18"/>
                <w:szCs w:val="18"/>
              </w:rPr>
              <w:t>RCT</w:t>
            </w:r>
          </w:p>
        </w:tc>
        <w:tc>
          <w:tcPr>
            <w:tcW w:w="1206" w:type="dxa"/>
          </w:tcPr>
          <w:p w:rsidR="00CA652E" w:rsidRPr="0050568D"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T-score &lt;</w:t>
            </w:r>
            <w:r w:rsidRPr="0050568D">
              <w:rPr>
                <w:rFonts w:ascii="Times New Roman" w:hAnsi="Times New Roman" w:cs="Times New Roman"/>
                <w:sz w:val="18"/>
                <w:szCs w:val="18"/>
                <w:lang w:val="en-US"/>
              </w:rPr>
              <w:t xml:space="preserve"> -1.4</w:t>
            </w:r>
          </w:p>
        </w:tc>
        <w:tc>
          <w:tcPr>
            <w:tcW w:w="2046" w:type="dxa"/>
            <w:noWrap/>
            <w:hideMark/>
          </w:tcPr>
          <w:p w:rsidR="00CA652E" w:rsidRPr="0050568D"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 xml:space="preserve">70 mg </w:t>
            </w:r>
            <w:proofErr w:type="spellStart"/>
            <w:r>
              <w:rPr>
                <w:rFonts w:ascii="Times New Roman" w:hAnsi="Times New Roman" w:cs="Times New Roman"/>
                <w:sz w:val="18"/>
                <w:szCs w:val="18"/>
                <w:lang w:val="en-US"/>
              </w:rPr>
              <w:t>alendronate</w:t>
            </w:r>
            <w:proofErr w:type="spellEnd"/>
            <w:r>
              <w:rPr>
                <w:rFonts w:ascii="Times New Roman" w:hAnsi="Times New Roman" w:cs="Times New Roman"/>
                <w:sz w:val="18"/>
                <w:szCs w:val="18"/>
                <w:lang w:val="en-US"/>
              </w:rPr>
              <w:t xml:space="preserve"> weekly </w:t>
            </w:r>
            <w:proofErr w:type="spellStart"/>
            <w:r>
              <w:rPr>
                <w:rFonts w:ascii="Times New Roman" w:hAnsi="Times New Roman" w:cs="Times New Roman"/>
                <w:sz w:val="18"/>
                <w:szCs w:val="18"/>
                <w:lang w:val="en-US"/>
              </w:rPr>
              <w:t>vs</w:t>
            </w:r>
            <w:proofErr w:type="spellEnd"/>
            <w:r>
              <w:rPr>
                <w:rFonts w:ascii="Times New Roman" w:hAnsi="Times New Roman" w:cs="Times New Roman"/>
                <w:sz w:val="18"/>
                <w:szCs w:val="18"/>
                <w:lang w:val="en-US"/>
              </w:rPr>
              <w:t xml:space="preserve"> placebo both </w:t>
            </w:r>
            <w:r w:rsidRPr="0050568D">
              <w:rPr>
                <w:rFonts w:ascii="Times New Roman" w:hAnsi="Times New Roman" w:cs="Times New Roman"/>
                <w:sz w:val="18"/>
                <w:szCs w:val="18"/>
                <w:lang w:val="en-US"/>
              </w:rPr>
              <w:t>+ calcium and vitamin D</w:t>
            </w:r>
            <w:r>
              <w:rPr>
                <w:rFonts w:ascii="Times New Roman" w:hAnsi="Times New Roman" w:cs="Times New Roman"/>
                <w:sz w:val="18"/>
                <w:szCs w:val="18"/>
                <w:lang w:val="en-US"/>
              </w:rPr>
              <w:t xml:space="preserve"> for 48 weeks.</w:t>
            </w:r>
            <w:r w:rsidRPr="0050568D">
              <w:rPr>
                <w:rFonts w:ascii="Times New Roman" w:hAnsi="Times New Roman" w:cs="Times New Roman"/>
                <w:sz w:val="18"/>
                <w:szCs w:val="18"/>
                <w:lang w:val="en-US"/>
              </w:rPr>
              <w:t xml:space="preserve"> </w:t>
            </w:r>
          </w:p>
        </w:tc>
        <w:tc>
          <w:tcPr>
            <w:tcW w:w="787" w:type="dxa"/>
            <w:noWrap/>
            <w:hideMark/>
          </w:tcPr>
          <w:p w:rsidR="00CA652E" w:rsidRPr="0050568D"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82</w:t>
            </w:r>
          </w:p>
        </w:tc>
        <w:tc>
          <w:tcPr>
            <w:tcW w:w="846" w:type="dxa"/>
            <w:noWrap/>
            <w:hideMark/>
          </w:tcPr>
          <w:p w:rsidR="00CA652E" w:rsidRPr="0050568D"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71</w:t>
            </w:r>
            <w:r>
              <w:rPr>
                <w:rFonts w:ascii="Times New Roman" w:eastAsia="Times New Roman" w:hAnsi="Times New Roman" w:cs="Times New Roman"/>
                <w:color w:val="000000"/>
                <w:sz w:val="18"/>
                <w:szCs w:val="18"/>
              </w:rPr>
              <w:t>%</w:t>
            </w:r>
          </w:p>
        </w:tc>
        <w:tc>
          <w:tcPr>
            <w:tcW w:w="787" w:type="dxa"/>
            <w:noWrap/>
            <w:hideMark/>
          </w:tcPr>
          <w:p w:rsidR="00CA652E" w:rsidRPr="0050568D"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48</w:t>
            </w:r>
          </w:p>
        </w:tc>
        <w:tc>
          <w:tcPr>
            <w:tcW w:w="1146" w:type="dxa"/>
          </w:tcPr>
          <w:p w:rsidR="00CA652E" w:rsidRPr="0050568D" w:rsidRDefault="00CA652E" w:rsidP="00B3156F">
            <w:pPr>
              <w:cnfStyle w:val="0000000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Alendronate</w:t>
            </w:r>
            <w:proofErr w:type="spellEnd"/>
            <w:r>
              <w:rPr>
                <w:rFonts w:ascii="Times New Roman" w:hAnsi="Times New Roman" w:cs="Times New Roman"/>
                <w:sz w:val="18"/>
                <w:szCs w:val="18"/>
                <w:lang w:val="en-US"/>
              </w:rPr>
              <w:t xml:space="preserve"> significantly improved BMD at the lumbar spine and total hip.</w:t>
            </w:r>
          </w:p>
        </w:tc>
        <w:tc>
          <w:tcPr>
            <w:tcW w:w="916" w:type="dxa"/>
            <w:noWrap/>
            <w:hideMark/>
          </w:tcPr>
          <w:p w:rsidR="00CA652E" w:rsidRPr="0050568D" w:rsidRDefault="00CA652E" w:rsidP="00B3156F">
            <w:pPr>
              <w:cnfStyle w:val="0000000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Ib</w:t>
            </w:r>
            <w:proofErr w:type="spellEnd"/>
          </w:p>
        </w:tc>
      </w:tr>
      <w:tr w:rsidR="00CA652E" w:rsidRPr="006F2B21" w:rsidTr="00B3156F">
        <w:trPr>
          <w:cnfStyle w:val="000000100000"/>
          <w:trHeight w:val="334"/>
        </w:trPr>
        <w:tc>
          <w:tcPr>
            <w:cnfStyle w:val="001000000000"/>
            <w:tcW w:w="1176" w:type="dxa"/>
            <w:noWrap/>
            <w:hideMark/>
          </w:tcPr>
          <w:p w:rsidR="00CA652E" w:rsidRPr="00B8544C" w:rsidRDefault="00CA652E" w:rsidP="009A2FA4">
            <w:pPr>
              <w:rPr>
                <w:rFonts w:ascii="Times New Roman" w:hAnsi="Times New Roman" w:cs="Times New Roman"/>
                <w:b w:val="0"/>
                <w:sz w:val="18"/>
                <w:szCs w:val="18"/>
                <w:lang w:val="en-US"/>
              </w:rPr>
            </w:pPr>
            <w:proofErr w:type="spellStart"/>
            <w:r w:rsidRPr="00B8544C">
              <w:rPr>
                <w:rFonts w:ascii="Times New Roman" w:hAnsi="Times New Roman" w:cs="Times New Roman"/>
                <w:b w:val="0"/>
                <w:sz w:val="18"/>
                <w:szCs w:val="18"/>
                <w:lang w:val="en-US"/>
              </w:rPr>
              <w:t>Mondy</w:t>
            </w:r>
            <w:proofErr w:type="spellEnd"/>
            <w:r w:rsidRPr="00B8544C">
              <w:rPr>
                <w:rFonts w:ascii="Times New Roman" w:hAnsi="Times New Roman" w:cs="Times New Roman"/>
                <w:b w:val="0"/>
                <w:sz w:val="18"/>
                <w:szCs w:val="18"/>
                <w:lang w:val="en-US"/>
              </w:rPr>
              <w:t xml:space="preserve"> 2005 </w:t>
            </w:r>
            <w:r w:rsidR="00734DBD" w:rsidRPr="00B8544C">
              <w:rPr>
                <w:rFonts w:ascii="Times New Roman" w:hAnsi="Times New Roman" w:cs="Times New Roman"/>
                <w:sz w:val="18"/>
                <w:szCs w:val="18"/>
                <w:lang w:val="en-US"/>
              </w:rPr>
              <w:fldChar w:fldCharType="begin"/>
            </w:r>
            <w:r w:rsidRPr="00B8544C">
              <w:rPr>
                <w:rFonts w:ascii="Times New Roman" w:hAnsi="Times New Roman" w:cs="Times New Roman"/>
                <w:b w:val="0"/>
                <w:sz w:val="18"/>
                <w:szCs w:val="18"/>
                <w:lang w:val="en-US"/>
              </w:rPr>
              <w:instrText>ADDIN RW.CITE{{317 Mondy,K. 2005}}</w:instrText>
            </w:r>
            <w:r w:rsidR="00734DBD" w:rsidRPr="00B8544C">
              <w:rPr>
                <w:rFonts w:ascii="Times New Roman" w:hAnsi="Times New Roman" w:cs="Times New Roman"/>
                <w:sz w:val="18"/>
                <w:szCs w:val="18"/>
                <w:lang w:val="en-US"/>
              </w:rPr>
              <w:fldChar w:fldCharType="separate"/>
            </w:r>
            <w:r w:rsidR="009A2FA4">
              <w:rPr>
                <w:rFonts w:ascii="Calibri" w:eastAsia="Times New Roman" w:hAnsi="Calibri" w:cs="Calibri"/>
                <w:sz w:val="18"/>
                <w:szCs w:val="18"/>
                <w:vertAlign w:val="superscript"/>
              </w:rPr>
              <w:t>122</w:t>
            </w:r>
            <w:r w:rsidR="00734DBD" w:rsidRPr="00B8544C">
              <w:rPr>
                <w:rFonts w:ascii="Times New Roman" w:hAnsi="Times New Roman" w:cs="Times New Roman"/>
                <w:sz w:val="18"/>
                <w:szCs w:val="18"/>
                <w:lang w:val="en-US"/>
              </w:rPr>
              <w:fldChar w:fldCharType="end"/>
            </w:r>
          </w:p>
        </w:tc>
        <w:tc>
          <w:tcPr>
            <w:tcW w:w="767" w:type="dxa"/>
            <w:noWrap/>
            <w:hideMark/>
          </w:tcPr>
          <w:p w:rsidR="00CA652E" w:rsidRPr="006F2B21" w:rsidRDefault="00CA652E" w:rsidP="00B3156F">
            <w:pPr>
              <w:cnfStyle w:val="000000100000"/>
              <w:rPr>
                <w:rFonts w:ascii="Times New Roman" w:hAnsi="Times New Roman" w:cs="Times New Roman"/>
                <w:bCs/>
                <w:sz w:val="18"/>
                <w:szCs w:val="18"/>
                <w:lang w:val="en-US"/>
              </w:rPr>
            </w:pPr>
            <w:r>
              <w:rPr>
                <w:rFonts w:ascii="Times New Roman" w:hAnsi="Times New Roman" w:cs="Times New Roman"/>
                <w:bCs/>
                <w:sz w:val="18"/>
                <w:szCs w:val="18"/>
                <w:lang w:val="en-US"/>
              </w:rPr>
              <w:t>RCT</w:t>
            </w:r>
          </w:p>
        </w:tc>
        <w:tc>
          <w:tcPr>
            <w:tcW w:w="1206" w:type="dxa"/>
          </w:tcPr>
          <w:p w:rsidR="00CA652E" w:rsidRPr="006F2B21" w:rsidRDefault="00CA65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Osteopenia</w:t>
            </w:r>
            <w:proofErr w:type="spellEnd"/>
            <w:r>
              <w:rPr>
                <w:rFonts w:ascii="Times New Roman" w:hAnsi="Times New Roman" w:cs="Times New Roman"/>
                <w:sz w:val="18"/>
                <w:szCs w:val="18"/>
                <w:lang w:val="en-US"/>
              </w:rPr>
              <w:t xml:space="preserve"> or osteoporosis</w:t>
            </w:r>
          </w:p>
        </w:tc>
        <w:tc>
          <w:tcPr>
            <w:tcW w:w="2046" w:type="dxa"/>
            <w:noWrap/>
            <w:hideMark/>
          </w:tcPr>
          <w:p w:rsidR="00CA652E" w:rsidRPr="006F2B21"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 xml:space="preserve">70 mg </w:t>
            </w:r>
            <w:proofErr w:type="spellStart"/>
            <w:r>
              <w:rPr>
                <w:rFonts w:ascii="Times New Roman" w:hAnsi="Times New Roman" w:cs="Times New Roman"/>
                <w:sz w:val="18"/>
                <w:szCs w:val="18"/>
                <w:lang w:val="en-US"/>
              </w:rPr>
              <w:t>alendronate</w:t>
            </w:r>
            <w:proofErr w:type="spellEnd"/>
            <w:r>
              <w:rPr>
                <w:rFonts w:ascii="Times New Roman" w:hAnsi="Times New Roman" w:cs="Times New Roman"/>
                <w:sz w:val="18"/>
                <w:szCs w:val="18"/>
                <w:lang w:val="en-US"/>
              </w:rPr>
              <w:t xml:space="preserve"> weekly </w:t>
            </w:r>
            <w:proofErr w:type="spellStart"/>
            <w:r>
              <w:rPr>
                <w:rFonts w:ascii="Times New Roman" w:hAnsi="Times New Roman" w:cs="Times New Roman"/>
                <w:sz w:val="18"/>
                <w:szCs w:val="18"/>
                <w:lang w:val="en-US"/>
              </w:rPr>
              <w:t>vs</w:t>
            </w:r>
            <w:proofErr w:type="spellEnd"/>
            <w:r>
              <w:rPr>
                <w:rFonts w:ascii="Times New Roman" w:hAnsi="Times New Roman" w:cs="Times New Roman"/>
                <w:sz w:val="18"/>
                <w:szCs w:val="18"/>
                <w:lang w:val="en-US"/>
              </w:rPr>
              <w:t xml:space="preserve"> no study drug both </w:t>
            </w:r>
            <w:r w:rsidRPr="0050568D">
              <w:rPr>
                <w:rFonts w:ascii="Times New Roman" w:hAnsi="Times New Roman" w:cs="Times New Roman"/>
                <w:sz w:val="18"/>
                <w:szCs w:val="18"/>
                <w:lang w:val="en-US"/>
              </w:rPr>
              <w:t>+ calcium and vitamin D</w:t>
            </w:r>
            <w:r>
              <w:rPr>
                <w:rFonts w:ascii="Times New Roman" w:hAnsi="Times New Roman" w:cs="Times New Roman"/>
                <w:sz w:val="18"/>
                <w:szCs w:val="18"/>
                <w:lang w:val="en-US"/>
              </w:rPr>
              <w:t xml:space="preserve"> for 48 weeks.</w:t>
            </w:r>
          </w:p>
        </w:tc>
        <w:tc>
          <w:tcPr>
            <w:tcW w:w="787" w:type="dxa"/>
            <w:noWrap/>
            <w:hideMark/>
          </w:tcPr>
          <w:p w:rsidR="00CA652E" w:rsidRPr="006F2B21"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31</w:t>
            </w:r>
          </w:p>
        </w:tc>
        <w:tc>
          <w:tcPr>
            <w:tcW w:w="846" w:type="dxa"/>
            <w:noWrap/>
            <w:hideMark/>
          </w:tcPr>
          <w:p w:rsidR="00CA652E" w:rsidRPr="006F2B21"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87</w:t>
            </w:r>
            <w:r>
              <w:rPr>
                <w:rFonts w:ascii="Times New Roman" w:eastAsia="Times New Roman" w:hAnsi="Times New Roman" w:cs="Times New Roman"/>
                <w:color w:val="000000"/>
                <w:sz w:val="18"/>
                <w:szCs w:val="18"/>
              </w:rPr>
              <w:t>%</w:t>
            </w:r>
          </w:p>
        </w:tc>
        <w:tc>
          <w:tcPr>
            <w:tcW w:w="787" w:type="dxa"/>
            <w:noWrap/>
            <w:hideMark/>
          </w:tcPr>
          <w:p w:rsidR="00CA652E" w:rsidRPr="006F2B21"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44</w:t>
            </w:r>
          </w:p>
        </w:tc>
        <w:tc>
          <w:tcPr>
            <w:tcW w:w="1146" w:type="dxa"/>
          </w:tcPr>
          <w:p w:rsidR="00CA652E" w:rsidRPr="006F2B21" w:rsidRDefault="00CA65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Alendronate</w:t>
            </w:r>
            <w:proofErr w:type="spellEnd"/>
            <w:r>
              <w:rPr>
                <w:rFonts w:ascii="Times New Roman" w:hAnsi="Times New Roman" w:cs="Times New Roman"/>
                <w:sz w:val="18"/>
                <w:szCs w:val="18"/>
                <w:lang w:val="en-US"/>
              </w:rPr>
              <w:t xml:space="preserve"> significantly improved BMD at the lumbar spine no difference at total hip</w:t>
            </w:r>
          </w:p>
        </w:tc>
        <w:tc>
          <w:tcPr>
            <w:tcW w:w="916" w:type="dxa"/>
            <w:noWrap/>
            <w:hideMark/>
          </w:tcPr>
          <w:p w:rsidR="00CA652E" w:rsidRPr="006F2B21" w:rsidRDefault="00CA65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Ib</w:t>
            </w:r>
            <w:proofErr w:type="spellEnd"/>
          </w:p>
        </w:tc>
      </w:tr>
      <w:tr w:rsidR="00CA652E" w:rsidRPr="00867C8C" w:rsidTr="00B3156F">
        <w:trPr>
          <w:trHeight w:val="334"/>
        </w:trPr>
        <w:tc>
          <w:tcPr>
            <w:cnfStyle w:val="001000000000"/>
            <w:tcW w:w="1176"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Rozenberg</w:t>
            </w:r>
            <w:proofErr w:type="spellEnd"/>
            <w:r w:rsidRPr="00B8544C">
              <w:rPr>
                <w:rFonts w:ascii="Times New Roman" w:hAnsi="Times New Roman" w:cs="Times New Roman"/>
                <w:b w:val="0"/>
                <w:sz w:val="18"/>
                <w:szCs w:val="18"/>
              </w:rPr>
              <w:t xml:space="preserve"> 2012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RW.CITE{{411 Rozenberg,S. 2012}}</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123</w:t>
            </w:r>
            <w:r w:rsidR="00734DBD" w:rsidRPr="00B8544C">
              <w:rPr>
                <w:rFonts w:ascii="Times New Roman" w:hAnsi="Times New Roman" w:cs="Times New Roman"/>
                <w:sz w:val="18"/>
                <w:szCs w:val="18"/>
              </w:rPr>
              <w:fldChar w:fldCharType="end"/>
            </w:r>
          </w:p>
        </w:tc>
        <w:tc>
          <w:tcPr>
            <w:tcW w:w="767" w:type="dxa"/>
            <w:noWrap/>
            <w:hideMark/>
          </w:tcPr>
          <w:p w:rsidR="00CA652E" w:rsidRPr="00AA4013" w:rsidRDefault="00CA652E" w:rsidP="00B3156F">
            <w:pPr>
              <w:cnfStyle w:val="000000000000"/>
              <w:rPr>
                <w:rFonts w:ascii="Times New Roman" w:hAnsi="Times New Roman" w:cs="Times New Roman"/>
                <w:bCs/>
                <w:sz w:val="18"/>
                <w:szCs w:val="18"/>
              </w:rPr>
            </w:pPr>
            <w:r>
              <w:rPr>
                <w:rFonts w:ascii="Times New Roman" w:hAnsi="Times New Roman" w:cs="Times New Roman"/>
                <w:bCs/>
                <w:sz w:val="18"/>
                <w:szCs w:val="18"/>
                <w:lang w:val="en-US"/>
              </w:rPr>
              <w:t>RCT</w:t>
            </w:r>
          </w:p>
        </w:tc>
        <w:tc>
          <w:tcPr>
            <w:tcW w:w="1206" w:type="dxa"/>
          </w:tcPr>
          <w:p w:rsidR="00CA652E" w:rsidRPr="00AA4013" w:rsidRDefault="00CA652E" w:rsidP="00B3156F">
            <w:pPr>
              <w:cnfStyle w:val="000000000000"/>
              <w:rPr>
                <w:rFonts w:ascii="Times New Roman" w:hAnsi="Times New Roman" w:cs="Times New Roman"/>
                <w:sz w:val="18"/>
                <w:szCs w:val="18"/>
              </w:rPr>
            </w:pPr>
            <w:proofErr w:type="spellStart"/>
            <w:r>
              <w:rPr>
                <w:rFonts w:ascii="Times New Roman" w:hAnsi="Times New Roman" w:cs="Times New Roman"/>
                <w:sz w:val="18"/>
                <w:szCs w:val="18"/>
              </w:rPr>
              <w:t>Osteoporosis</w:t>
            </w:r>
            <w:proofErr w:type="spellEnd"/>
          </w:p>
        </w:tc>
        <w:tc>
          <w:tcPr>
            <w:tcW w:w="2046" w:type="dxa"/>
            <w:noWrap/>
            <w:hideMark/>
          </w:tcPr>
          <w:p w:rsidR="00CA652E" w:rsidRPr="00867C8C"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 xml:space="preserve">70 mg </w:t>
            </w:r>
            <w:proofErr w:type="spellStart"/>
            <w:r>
              <w:rPr>
                <w:rFonts w:ascii="Times New Roman" w:hAnsi="Times New Roman" w:cs="Times New Roman"/>
                <w:sz w:val="18"/>
                <w:szCs w:val="18"/>
                <w:lang w:val="en-US"/>
              </w:rPr>
              <w:t>alendronate</w:t>
            </w:r>
            <w:proofErr w:type="spellEnd"/>
            <w:r>
              <w:rPr>
                <w:rFonts w:ascii="Times New Roman" w:hAnsi="Times New Roman" w:cs="Times New Roman"/>
                <w:sz w:val="18"/>
                <w:szCs w:val="18"/>
                <w:lang w:val="en-US"/>
              </w:rPr>
              <w:t xml:space="preserve"> weekly </w:t>
            </w:r>
            <w:proofErr w:type="spellStart"/>
            <w:r>
              <w:rPr>
                <w:rFonts w:ascii="Times New Roman" w:hAnsi="Times New Roman" w:cs="Times New Roman"/>
                <w:sz w:val="18"/>
                <w:szCs w:val="18"/>
                <w:lang w:val="en-US"/>
              </w:rPr>
              <w:t>vs</w:t>
            </w:r>
            <w:proofErr w:type="spellEnd"/>
            <w:r>
              <w:rPr>
                <w:rFonts w:ascii="Times New Roman" w:hAnsi="Times New Roman" w:cs="Times New Roman"/>
                <w:sz w:val="18"/>
                <w:szCs w:val="18"/>
                <w:lang w:val="en-US"/>
              </w:rPr>
              <w:t xml:space="preserve"> placebo both </w:t>
            </w:r>
            <w:r w:rsidRPr="0050568D">
              <w:rPr>
                <w:rFonts w:ascii="Times New Roman" w:hAnsi="Times New Roman" w:cs="Times New Roman"/>
                <w:sz w:val="18"/>
                <w:szCs w:val="18"/>
                <w:lang w:val="en-US"/>
              </w:rPr>
              <w:t>+ calcium and vitamin D</w:t>
            </w:r>
            <w:r>
              <w:rPr>
                <w:rFonts w:ascii="Times New Roman" w:hAnsi="Times New Roman" w:cs="Times New Roman"/>
                <w:sz w:val="18"/>
                <w:szCs w:val="18"/>
                <w:lang w:val="en-US"/>
              </w:rPr>
              <w:t xml:space="preserve"> for 96 weeks.</w:t>
            </w:r>
          </w:p>
        </w:tc>
        <w:tc>
          <w:tcPr>
            <w:tcW w:w="787" w:type="dxa"/>
            <w:noWrap/>
            <w:hideMark/>
          </w:tcPr>
          <w:p w:rsidR="00CA652E" w:rsidRPr="00867C8C"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44</w:t>
            </w:r>
          </w:p>
        </w:tc>
        <w:tc>
          <w:tcPr>
            <w:tcW w:w="846" w:type="dxa"/>
            <w:noWrap/>
            <w:hideMark/>
          </w:tcPr>
          <w:p w:rsidR="00CA652E" w:rsidRPr="00867C8C"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45</w:t>
            </w:r>
            <w:r>
              <w:rPr>
                <w:rFonts w:ascii="Times New Roman" w:eastAsia="Times New Roman" w:hAnsi="Times New Roman" w:cs="Times New Roman"/>
                <w:color w:val="000000"/>
                <w:sz w:val="18"/>
                <w:szCs w:val="18"/>
              </w:rPr>
              <w:t>%</w:t>
            </w:r>
          </w:p>
        </w:tc>
        <w:tc>
          <w:tcPr>
            <w:tcW w:w="787" w:type="dxa"/>
            <w:noWrap/>
            <w:hideMark/>
          </w:tcPr>
          <w:p w:rsidR="00CA652E" w:rsidRPr="00867C8C"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43-47</w:t>
            </w:r>
          </w:p>
        </w:tc>
        <w:tc>
          <w:tcPr>
            <w:tcW w:w="1146" w:type="dxa"/>
          </w:tcPr>
          <w:p w:rsidR="00CA652E" w:rsidRPr="00867C8C" w:rsidRDefault="00CA652E" w:rsidP="00B3156F">
            <w:pPr>
              <w:cnfStyle w:val="0000000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Alendronate</w:t>
            </w:r>
            <w:proofErr w:type="spellEnd"/>
            <w:r>
              <w:rPr>
                <w:rFonts w:ascii="Times New Roman" w:hAnsi="Times New Roman" w:cs="Times New Roman"/>
                <w:sz w:val="18"/>
                <w:szCs w:val="18"/>
                <w:lang w:val="en-US"/>
              </w:rPr>
              <w:t xml:space="preserve"> significantly improved BMD at the lumbar spine  but not total hip </w:t>
            </w:r>
          </w:p>
        </w:tc>
        <w:tc>
          <w:tcPr>
            <w:tcW w:w="916" w:type="dxa"/>
            <w:noWrap/>
            <w:hideMark/>
          </w:tcPr>
          <w:p w:rsidR="00CA652E" w:rsidRPr="00867C8C" w:rsidRDefault="00CA652E" w:rsidP="00B3156F">
            <w:pPr>
              <w:cnfStyle w:val="0000000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Ib</w:t>
            </w:r>
            <w:proofErr w:type="spellEnd"/>
          </w:p>
        </w:tc>
      </w:tr>
      <w:tr w:rsidR="00CA652E" w:rsidRPr="00AA4013" w:rsidTr="00B3156F">
        <w:trPr>
          <w:cnfStyle w:val="000000100000"/>
          <w:trHeight w:val="334"/>
        </w:trPr>
        <w:tc>
          <w:tcPr>
            <w:cnfStyle w:val="001000000000"/>
            <w:tcW w:w="1176" w:type="dxa"/>
            <w:noWrap/>
            <w:hideMark/>
          </w:tcPr>
          <w:p w:rsidR="00CA652E" w:rsidRPr="00B8544C" w:rsidRDefault="00643A2E" w:rsidP="00B3156F">
            <w:pPr>
              <w:rPr>
                <w:rFonts w:ascii="Times New Roman" w:hAnsi="Times New Roman" w:cs="Times New Roman"/>
                <w:sz w:val="18"/>
                <w:szCs w:val="18"/>
              </w:rPr>
            </w:pPr>
            <w:proofErr w:type="spellStart"/>
            <w:r>
              <w:rPr>
                <w:rFonts w:ascii="Times New Roman" w:hAnsi="Times New Roman" w:cs="Times New Roman"/>
                <w:sz w:val="16"/>
                <w:szCs w:val="18"/>
              </w:rPr>
              <w:t>Zole</w:t>
            </w:r>
            <w:r w:rsidR="00C12352">
              <w:rPr>
                <w:rFonts w:ascii="Times New Roman" w:hAnsi="Times New Roman" w:cs="Times New Roman"/>
                <w:sz w:val="16"/>
                <w:szCs w:val="18"/>
              </w:rPr>
              <w:t>dronate</w:t>
            </w:r>
            <w:proofErr w:type="spellEnd"/>
          </w:p>
        </w:tc>
        <w:tc>
          <w:tcPr>
            <w:tcW w:w="767" w:type="dxa"/>
            <w:noWrap/>
            <w:hideMark/>
          </w:tcPr>
          <w:p w:rsidR="00CA652E" w:rsidRPr="00AA4013" w:rsidRDefault="00CA652E" w:rsidP="00B3156F">
            <w:pPr>
              <w:cnfStyle w:val="000000100000"/>
              <w:rPr>
                <w:rFonts w:ascii="Times New Roman" w:hAnsi="Times New Roman" w:cs="Times New Roman"/>
                <w:bCs/>
                <w:sz w:val="18"/>
                <w:szCs w:val="18"/>
              </w:rPr>
            </w:pPr>
          </w:p>
        </w:tc>
        <w:tc>
          <w:tcPr>
            <w:tcW w:w="1206" w:type="dxa"/>
          </w:tcPr>
          <w:p w:rsidR="00CA652E" w:rsidRPr="00AA4013" w:rsidRDefault="00CA652E" w:rsidP="00B3156F">
            <w:pPr>
              <w:cnfStyle w:val="000000100000"/>
              <w:rPr>
                <w:rFonts w:ascii="Times New Roman" w:hAnsi="Times New Roman" w:cs="Times New Roman"/>
                <w:sz w:val="18"/>
                <w:szCs w:val="18"/>
              </w:rPr>
            </w:pPr>
          </w:p>
        </w:tc>
        <w:tc>
          <w:tcPr>
            <w:tcW w:w="2046" w:type="dxa"/>
            <w:noWrap/>
            <w:hideMark/>
          </w:tcPr>
          <w:p w:rsidR="00CA652E" w:rsidRPr="00AA4013" w:rsidRDefault="00CA652E" w:rsidP="00B3156F">
            <w:pPr>
              <w:cnfStyle w:val="000000100000"/>
              <w:rPr>
                <w:rFonts w:ascii="Times New Roman" w:hAnsi="Times New Roman" w:cs="Times New Roman"/>
                <w:sz w:val="18"/>
                <w:szCs w:val="18"/>
              </w:rPr>
            </w:pPr>
          </w:p>
        </w:tc>
        <w:tc>
          <w:tcPr>
            <w:tcW w:w="787" w:type="dxa"/>
            <w:noWrap/>
            <w:hideMark/>
          </w:tcPr>
          <w:p w:rsidR="00CA652E" w:rsidRPr="00AA4013" w:rsidRDefault="00CA652E" w:rsidP="00B3156F">
            <w:pPr>
              <w:cnfStyle w:val="000000100000"/>
              <w:rPr>
                <w:rFonts w:ascii="Times New Roman" w:hAnsi="Times New Roman" w:cs="Times New Roman"/>
                <w:sz w:val="18"/>
                <w:szCs w:val="18"/>
              </w:rPr>
            </w:pPr>
          </w:p>
        </w:tc>
        <w:tc>
          <w:tcPr>
            <w:tcW w:w="846" w:type="dxa"/>
            <w:noWrap/>
            <w:hideMark/>
          </w:tcPr>
          <w:p w:rsidR="00CA652E" w:rsidRPr="00AA4013" w:rsidRDefault="00CA652E" w:rsidP="00B3156F">
            <w:pPr>
              <w:cnfStyle w:val="000000100000"/>
              <w:rPr>
                <w:rFonts w:ascii="Times New Roman" w:hAnsi="Times New Roman" w:cs="Times New Roman"/>
                <w:sz w:val="18"/>
                <w:szCs w:val="18"/>
              </w:rPr>
            </w:pPr>
          </w:p>
        </w:tc>
        <w:tc>
          <w:tcPr>
            <w:tcW w:w="787" w:type="dxa"/>
            <w:noWrap/>
            <w:hideMark/>
          </w:tcPr>
          <w:p w:rsidR="00CA652E" w:rsidRPr="00AA4013" w:rsidRDefault="00CA652E" w:rsidP="00B3156F">
            <w:pPr>
              <w:cnfStyle w:val="000000100000"/>
              <w:rPr>
                <w:rFonts w:ascii="Times New Roman" w:hAnsi="Times New Roman" w:cs="Times New Roman"/>
                <w:sz w:val="18"/>
                <w:szCs w:val="18"/>
              </w:rPr>
            </w:pPr>
          </w:p>
        </w:tc>
        <w:tc>
          <w:tcPr>
            <w:tcW w:w="1146" w:type="dxa"/>
          </w:tcPr>
          <w:p w:rsidR="00CA652E" w:rsidRPr="00AA4013" w:rsidRDefault="00CA652E" w:rsidP="00B3156F">
            <w:pPr>
              <w:cnfStyle w:val="000000100000"/>
              <w:rPr>
                <w:rFonts w:ascii="Times New Roman" w:hAnsi="Times New Roman" w:cs="Times New Roman"/>
                <w:sz w:val="18"/>
                <w:szCs w:val="18"/>
              </w:rPr>
            </w:pPr>
          </w:p>
        </w:tc>
        <w:tc>
          <w:tcPr>
            <w:tcW w:w="916" w:type="dxa"/>
            <w:noWrap/>
            <w:hideMark/>
          </w:tcPr>
          <w:p w:rsidR="00CA652E" w:rsidRPr="00AA4013" w:rsidRDefault="00CA652E" w:rsidP="00B3156F">
            <w:pPr>
              <w:cnfStyle w:val="000000100000"/>
              <w:rPr>
                <w:rFonts w:ascii="Times New Roman" w:hAnsi="Times New Roman" w:cs="Times New Roman"/>
                <w:sz w:val="18"/>
                <w:szCs w:val="18"/>
              </w:rPr>
            </w:pPr>
          </w:p>
        </w:tc>
      </w:tr>
      <w:tr w:rsidR="00CA652E" w:rsidRPr="00AA4013" w:rsidTr="00B3156F">
        <w:trPr>
          <w:trHeight w:val="334"/>
        </w:trPr>
        <w:tc>
          <w:tcPr>
            <w:cnfStyle w:val="001000000000"/>
            <w:tcW w:w="1176" w:type="dxa"/>
            <w:noWrap/>
            <w:hideMark/>
          </w:tcPr>
          <w:p w:rsidR="00CA652E" w:rsidRPr="00B8544C" w:rsidRDefault="00CA652E" w:rsidP="009A2FA4">
            <w:pPr>
              <w:rPr>
                <w:rFonts w:ascii="Times New Roman" w:hAnsi="Times New Roman" w:cs="Times New Roman"/>
                <w:b w:val="0"/>
                <w:bCs w:val="0"/>
                <w:sz w:val="18"/>
                <w:szCs w:val="18"/>
              </w:rPr>
            </w:pPr>
            <w:proofErr w:type="spellStart"/>
            <w:r w:rsidRPr="00B8544C">
              <w:rPr>
                <w:rFonts w:ascii="Times New Roman" w:hAnsi="Times New Roman" w:cs="Times New Roman"/>
                <w:b w:val="0"/>
                <w:bCs w:val="0"/>
                <w:sz w:val="18"/>
                <w:szCs w:val="18"/>
              </w:rPr>
              <w:t>Bolland</w:t>
            </w:r>
            <w:proofErr w:type="spellEnd"/>
            <w:r w:rsidRPr="00B8544C">
              <w:rPr>
                <w:rFonts w:ascii="Times New Roman" w:hAnsi="Times New Roman" w:cs="Times New Roman"/>
                <w:b w:val="0"/>
                <w:bCs w:val="0"/>
                <w:sz w:val="18"/>
                <w:szCs w:val="18"/>
              </w:rPr>
              <w:t xml:space="preserve"> 2007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bCs w:val="0"/>
                <w:sz w:val="18"/>
                <w:szCs w:val="18"/>
              </w:rPr>
              <w:instrText>ADDIN RW.CITE{{75 Bolland,M.J. 2007}}</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124</w:t>
            </w:r>
            <w:r w:rsidR="00734DBD" w:rsidRPr="00B8544C">
              <w:rPr>
                <w:rFonts w:ascii="Times New Roman" w:hAnsi="Times New Roman" w:cs="Times New Roman"/>
                <w:sz w:val="18"/>
                <w:szCs w:val="18"/>
              </w:rPr>
              <w:fldChar w:fldCharType="end"/>
            </w:r>
          </w:p>
        </w:tc>
        <w:tc>
          <w:tcPr>
            <w:tcW w:w="767" w:type="dxa"/>
            <w:noWrap/>
            <w:hideMark/>
          </w:tcPr>
          <w:p w:rsidR="00CA652E" w:rsidRPr="00AA4013" w:rsidRDefault="00CA652E" w:rsidP="00B3156F">
            <w:pPr>
              <w:cnfStyle w:val="000000000000"/>
              <w:rPr>
                <w:rFonts w:ascii="Times New Roman" w:hAnsi="Times New Roman" w:cs="Times New Roman"/>
                <w:bCs/>
                <w:sz w:val="18"/>
                <w:szCs w:val="18"/>
              </w:rPr>
            </w:pPr>
            <w:r>
              <w:rPr>
                <w:rFonts w:ascii="Times New Roman" w:hAnsi="Times New Roman" w:cs="Times New Roman"/>
                <w:bCs/>
                <w:sz w:val="18"/>
                <w:szCs w:val="18"/>
              </w:rPr>
              <w:t>RCT</w:t>
            </w:r>
          </w:p>
        </w:tc>
        <w:tc>
          <w:tcPr>
            <w:tcW w:w="1206" w:type="dxa"/>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T-score &lt; -</w:t>
            </w:r>
            <w:proofErr w:type="gramStart"/>
            <w:r>
              <w:rPr>
                <w:rFonts w:ascii="Times New Roman" w:hAnsi="Times New Roman" w:cs="Times New Roman"/>
                <w:sz w:val="18"/>
                <w:szCs w:val="18"/>
              </w:rPr>
              <w:t>0.5</w:t>
            </w:r>
            <w:proofErr w:type="gramEnd"/>
          </w:p>
        </w:tc>
        <w:tc>
          <w:tcPr>
            <w:tcW w:w="2046" w:type="dxa"/>
            <w:noWrap/>
            <w:hideMark/>
          </w:tcPr>
          <w:p w:rsidR="00CA652E" w:rsidRPr="0002210C" w:rsidRDefault="00CA652E" w:rsidP="00C12352">
            <w:pPr>
              <w:cnfStyle w:val="000000000000"/>
              <w:rPr>
                <w:rFonts w:ascii="Times New Roman" w:hAnsi="Times New Roman" w:cs="Times New Roman"/>
                <w:sz w:val="18"/>
                <w:szCs w:val="18"/>
                <w:lang w:val="en-US"/>
              </w:rPr>
            </w:pPr>
            <w:r w:rsidRPr="0002210C">
              <w:rPr>
                <w:rFonts w:ascii="Times New Roman" w:hAnsi="Times New Roman" w:cs="Times New Roman"/>
                <w:sz w:val="18"/>
                <w:szCs w:val="18"/>
                <w:lang w:val="en-US"/>
              </w:rPr>
              <w:t xml:space="preserve">Annual iv </w:t>
            </w:r>
            <w:proofErr w:type="spellStart"/>
            <w:proofErr w:type="gramStart"/>
            <w:r>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Pr>
                <w:rFonts w:ascii="Times New Roman" w:hAnsi="Times New Roman" w:cs="Times New Roman"/>
                <w:sz w:val="18"/>
                <w:szCs w:val="18"/>
                <w:lang w:val="en-US"/>
              </w:rPr>
              <w:t>(</w:t>
            </w:r>
            <w:proofErr w:type="gramEnd"/>
            <w:r>
              <w:rPr>
                <w:rFonts w:ascii="Times New Roman" w:hAnsi="Times New Roman" w:cs="Times New Roman"/>
                <w:sz w:val="18"/>
                <w:szCs w:val="18"/>
                <w:lang w:val="en-US"/>
              </w:rPr>
              <w:t>two doses)</w:t>
            </w:r>
            <w:r w:rsidRPr="0002210C">
              <w:rPr>
                <w:rFonts w:ascii="Times New Roman" w:hAnsi="Times New Roman" w:cs="Times New Roman"/>
                <w:sz w:val="18"/>
                <w:szCs w:val="18"/>
                <w:lang w:val="en-US"/>
              </w:rPr>
              <w:t xml:space="preserve"> or placebo </w:t>
            </w:r>
            <w:r>
              <w:rPr>
                <w:rFonts w:ascii="Times New Roman" w:hAnsi="Times New Roman" w:cs="Times New Roman"/>
                <w:sz w:val="18"/>
                <w:szCs w:val="18"/>
                <w:lang w:val="en-US"/>
              </w:rPr>
              <w:t xml:space="preserve">+ calcium and vitamin D </w:t>
            </w:r>
            <w:r w:rsidRPr="0002210C">
              <w:rPr>
                <w:rFonts w:ascii="Times New Roman" w:hAnsi="Times New Roman" w:cs="Times New Roman"/>
                <w:sz w:val="18"/>
                <w:szCs w:val="18"/>
                <w:lang w:val="en-US"/>
              </w:rPr>
              <w:t>for 2 year</w:t>
            </w:r>
            <w:r>
              <w:rPr>
                <w:rFonts w:ascii="Times New Roman" w:hAnsi="Times New Roman" w:cs="Times New Roman"/>
                <w:sz w:val="18"/>
                <w:szCs w:val="18"/>
                <w:lang w:val="en-US"/>
              </w:rPr>
              <w:t>s.</w:t>
            </w:r>
          </w:p>
        </w:tc>
        <w:tc>
          <w:tcPr>
            <w:tcW w:w="78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43</w:t>
            </w:r>
          </w:p>
        </w:tc>
        <w:tc>
          <w:tcPr>
            <w:tcW w:w="846" w:type="dxa"/>
            <w:noWrap/>
            <w:hideMark/>
          </w:tcPr>
          <w:p w:rsidR="00CA652E" w:rsidRPr="00AA4013" w:rsidRDefault="00CA652E" w:rsidP="00B3156F">
            <w:pPr>
              <w:cnfStyle w:val="000000000000"/>
              <w:rPr>
                <w:rFonts w:ascii="Times New Roman" w:hAnsi="Times New Roman" w:cs="Times New Roman"/>
                <w:sz w:val="18"/>
                <w:szCs w:val="18"/>
              </w:rPr>
            </w:pPr>
            <w:proofErr w:type="gramStart"/>
            <w:r>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8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49-50</w:t>
            </w:r>
          </w:p>
        </w:tc>
        <w:tc>
          <w:tcPr>
            <w:tcW w:w="1146" w:type="dxa"/>
          </w:tcPr>
          <w:p w:rsidR="00CA652E" w:rsidRPr="00DE600A" w:rsidRDefault="00C12352" w:rsidP="00B3156F">
            <w:pPr>
              <w:cnfStyle w:val="000000000000"/>
              <w:rPr>
                <w:rFonts w:ascii="Times New Roman" w:hAnsi="Times New Roman" w:cs="Times New Roman"/>
                <w:sz w:val="18"/>
                <w:szCs w:val="18"/>
                <w:lang w:val="en-US"/>
              </w:rPr>
            </w:pPr>
            <w:proofErr w:type="spellStart"/>
            <w:r w:rsidRPr="00C12352">
              <w:rPr>
                <w:rFonts w:ascii="Times New Roman" w:hAnsi="Times New Roman" w:cs="Times New Roman"/>
                <w:sz w:val="18"/>
                <w:szCs w:val="18"/>
                <w:lang w:val="en-US"/>
              </w:rPr>
              <w:t>Z</w:t>
            </w:r>
            <w:r w:rsidR="00643A2E">
              <w:rPr>
                <w:rFonts w:ascii="Times New Roman" w:hAnsi="Times New Roman" w:cs="Times New Roman"/>
                <w:sz w:val="18"/>
                <w:szCs w:val="18"/>
                <w:lang w:val="en-US"/>
              </w:rPr>
              <w:t>ole</w:t>
            </w:r>
            <w:r>
              <w:rPr>
                <w:rFonts w:ascii="Times New Roman" w:hAnsi="Times New Roman" w:cs="Times New Roman"/>
                <w:sz w:val="18"/>
                <w:szCs w:val="18"/>
                <w:lang w:val="en-US"/>
              </w:rPr>
              <w:t>dronate</w:t>
            </w:r>
            <w:proofErr w:type="spellEnd"/>
            <w:r w:rsidRPr="00DE600A">
              <w:rPr>
                <w:rFonts w:ascii="Times New Roman" w:hAnsi="Times New Roman" w:cs="Times New Roman"/>
                <w:sz w:val="18"/>
                <w:szCs w:val="18"/>
                <w:lang w:val="en-US"/>
              </w:rPr>
              <w:t xml:space="preserve"> </w:t>
            </w:r>
            <w:r w:rsidR="00CA652E" w:rsidRPr="00DE600A">
              <w:rPr>
                <w:rFonts w:ascii="Times New Roman" w:hAnsi="Times New Roman" w:cs="Times New Roman"/>
                <w:sz w:val="18"/>
                <w:szCs w:val="18"/>
                <w:lang w:val="en-US"/>
              </w:rPr>
              <w:t>significantly</w:t>
            </w:r>
            <w:r w:rsidR="00CA652E">
              <w:rPr>
                <w:rFonts w:ascii="Times New Roman" w:hAnsi="Times New Roman" w:cs="Times New Roman"/>
                <w:sz w:val="18"/>
                <w:szCs w:val="18"/>
                <w:lang w:val="en-US"/>
              </w:rPr>
              <w:t xml:space="preserve"> increased</w:t>
            </w:r>
            <w:r w:rsidR="00CA652E" w:rsidRPr="00DE600A">
              <w:rPr>
                <w:rFonts w:ascii="Times New Roman" w:hAnsi="Times New Roman" w:cs="Times New Roman"/>
                <w:sz w:val="18"/>
                <w:szCs w:val="18"/>
                <w:lang w:val="en-US"/>
              </w:rPr>
              <w:t xml:space="preserve"> BMD at the lumbar spine and hip</w:t>
            </w:r>
            <w:r w:rsidR="00CA652E">
              <w:rPr>
                <w:rFonts w:ascii="Times New Roman" w:hAnsi="Times New Roman" w:cs="Times New Roman"/>
                <w:sz w:val="18"/>
                <w:szCs w:val="18"/>
                <w:lang w:val="en-US"/>
              </w:rPr>
              <w:t>.</w:t>
            </w:r>
          </w:p>
        </w:tc>
        <w:tc>
          <w:tcPr>
            <w:tcW w:w="916"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Ib</w:t>
            </w:r>
          </w:p>
        </w:tc>
      </w:tr>
      <w:tr w:rsidR="00CA652E" w:rsidRPr="00407AD7" w:rsidTr="00B3156F">
        <w:trPr>
          <w:cnfStyle w:val="000000100000"/>
          <w:trHeight w:val="334"/>
        </w:trPr>
        <w:tc>
          <w:tcPr>
            <w:cnfStyle w:val="001000000000"/>
            <w:tcW w:w="1176"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Bolland</w:t>
            </w:r>
            <w:proofErr w:type="spellEnd"/>
            <w:r w:rsidRPr="00B8544C">
              <w:rPr>
                <w:rFonts w:ascii="Times New Roman" w:hAnsi="Times New Roman" w:cs="Times New Roman"/>
                <w:b w:val="0"/>
                <w:sz w:val="18"/>
                <w:szCs w:val="18"/>
              </w:rPr>
              <w:t xml:space="preserve"> 2008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RW.CITE{{73 Bolland,M.J. 2008}}</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125</w:t>
            </w:r>
            <w:r w:rsidR="00734DBD" w:rsidRPr="00B8544C">
              <w:rPr>
                <w:rFonts w:ascii="Times New Roman" w:hAnsi="Times New Roman" w:cs="Times New Roman"/>
                <w:sz w:val="18"/>
                <w:szCs w:val="18"/>
              </w:rPr>
              <w:fldChar w:fldCharType="end"/>
            </w:r>
          </w:p>
        </w:tc>
        <w:tc>
          <w:tcPr>
            <w:tcW w:w="767" w:type="dxa"/>
            <w:noWrap/>
            <w:hideMark/>
          </w:tcPr>
          <w:p w:rsidR="00CA652E" w:rsidRPr="00AA4013" w:rsidRDefault="00CA652E" w:rsidP="00B3156F">
            <w:pPr>
              <w:cnfStyle w:val="000000100000"/>
              <w:rPr>
                <w:rFonts w:ascii="Times New Roman" w:hAnsi="Times New Roman" w:cs="Times New Roman"/>
                <w:bCs/>
                <w:sz w:val="18"/>
                <w:szCs w:val="18"/>
              </w:rPr>
            </w:pPr>
            <w:proofErr w:type="spellStart"/>
            <w:r>
              <w:rPr>
                <w:rFonts w:ascii="Times New Roman" w:hAnsi="Times New Roman" w:cs="Times New Roman"/>
                <w:bCs/>
                <w:sz w:val="18"/>
                <w:szCs w:val="18"/>
              </w:rPr>
              <w:t>Cohort</w:t>
            </w:r>
            <w:proofErr w:type="spellEnd"/>
          </w:p>
        </w:tc>
        <w:tc>
          <w:tcPr>
            <w:tcW w:w="1206" w:type="dxa"/>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T-score &lt; -</w:t>
            </w:r>
            <w:proofErr w:type="gramStart"/>
            <w:r>
              <w:rPr>
                <w:rFonts w:ascii="Times New Roman" w:hAnsi="Times New Roman" w:cs="Times New Roman"/>
                <w:sz w:val="18"/>
                <w:szCs w:val="18"/>
              </w:rPr>
              <w:t>0.5</w:t>
            </w:r>
            <w:proofErr w:type="gramEnd"/>
          </w:p>
        </w:tc>
        <w:tc>
          <w:tcPr>
            <w:tcW w:w="2046" w:type="dxa"/>
            <w:noWrap/>
            <w:hideMark/>
          </w:tcPr>
          <w:p w:rsidR="00CA652E" w:rsidRPr="00407AD7" w:rsidRDefault="00CA652E" w:rsidP="00B3156F">
            <w:pPr>
              <w:cnfStyle w:val="000000100000"/>
              <w:rPr>
                <w:rFonts w:ascii="Times New Roman" w:hAnsi="Times New Roman" w:cs="Times New Roman"/>
                <w:sz w:val="18"/>
                <w:szCs w:val="18"/>
                <w:lang w:val="en-US"/>
              </w:rPr>
            </w:pPr>
            <w:r w:rsidRPr="00407AD7">
              <w:rPr>
                <w:rFonts w:ascii="Times New Roman" w:hAnsi="Times New Roman" w:cs="Times New Roman"/>
                <w:sz w:val="18"/>
                <w:szCs w:val="18"/>
                <w:lang w:val="en-US"/>
              </w:rPr>
              <w:t xml:space="preserve">Follow up of </w:t>
            </w:r>
            <w:proofErr w:type="spellStart"/>
            <w:r w:rsidRPr="00407AD7">
              <w:rPr>
                <w:rFonts w:ascii="Times New Roman" w:hAnsi="Times New Roman" w:cs="Times New Roman"/>
                <w:sz w:val="18"/>
                <w:szCs w:val="18"/>
                <w:lang w:val="en-US"/>
              </w:rPr>
              <w:t>Bolland</w:t>
            </w:r>
            <w:proofErr w:type="spellEnd"/>
            <w:r w:rsidRPr="00407AD7">
              <w:rPr>
                <w:rFonts w:ascii="Times New Roman" w:hAnsi="Times New Roman" w:cs="Times New Roman"/>
                <w:sz w:val="18"/>
                <w:szCs w:val="18"/>
                <w:lang w:val="en-US"/>
              </w:rPr>
              <w:t xml:space="preserve"> 2007. No treatment in follow up period.</w:t>
            </w:r>
          </w:p>
        </w:tc>
        <w:tc>
          <w:tcPr>
            <w:tcW w:w="78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33</w:t>
            </w:r>
          </w:p>
        </w:tc>
        <w:tc>
          <w:tcPr>
            <w:tcW w:w="846" w:type="dxa"/>
            <w:noWrap/>
            <w:hideMark/>
          </w:tcPr>
          <w:p w:rsidR="00CA652E" w:rsidRPr="00AA4013" w:rsidRDefault="00CA652E" w:rsidP="00B3156F">
            <w:pPr>
              <w:cnfStyle w:val="000000100000"/>
              <w:rPr>
                <w:rFonts w:ascii="Times New Roman" w:hAnsi="Times New Roman" w:cs="Times New Roman"/>
                <w:sz w:val="18"/>
                <w:szCs w:val="18"/>
              </w:rPr>
            </w:pPr>
            <w:proofErr w:type="gramStart"/>
            <w:r>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87" w:type="dxa"/>
            <w:noWrap/>
            <w:hideMark/>
          </w:tcPr>
          <w:p w:rsidR="00CA652E" w:rsidRPr="00AA4013" w:rsidRDefault="00CA652E" w:rsidP="00B3156F">
            <w:pPr>
              <w:cnfStyle w:val="000000100000"/>
              <w:rPr>
                <w:rFonts w:ascii="Times New Roman" w:hAnsi="Times New Roman" w:cs="Times New Roman"/>
                <w:sz w:val="18"/>
                <w:szCs w:val="18"/>
              </w:rPr>
            </w:pPr>
            <w:r>
              <w:rPr>
                <w:rFonts w:ascii="Times New Roman" w:hAnsi="Times New Roman" w:cs="Times New Roman"/>
                <w:sz w:val="18"/>
                <w:szCs w:val="18"/>
              </w:rPr>
              <w:t>50</w:t>
            </w:r>
          </w:p>
        </w:tc>
        <w:tc>
          <w:tcPr>
            <w:tcW w:w="1146" w:type="dxa"/>
          </w:tcPr>
          <w:p w:rsidR="00CA652E" w:rsidRPr="00407AD7" w:rsidRDefault="00643A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sidR="00C12352" w:rsidRPr="00DE600A">
              <w:rPr>
                <w:rFonts w:ascii="Times New Roman" w:hAnsi="Times New Roman" w:cs="Times New Roman"/>
                <w:sz w:val="18"/>
                <w:szCs w:val="18"/>
                <w:lang w:val="en-US"/>
              </w:rPr>
              <w:t xml:space="preserve"> </w:t>
            </w:r>
            <w:r w:rsidR="00CA652E" w:rsidRPr="00DE600A">
              <w:rPr>
                <w:rFonts w:ascii="Times New Roman" w:hAnsi="Times New Roman" w:cs="Times New Roman"/>
                <w:sz w:val="18"/>
                <w:szCs w:val="18"/>
                <w:lang w:val="en-US"/>
              </w:rPr>
              <w:t>significantly</w:t>
            </w:r>
            <w:r w:rsidR="00CA652E">
              <w:rPr>
                <w:rFonts w:ascii="Times New Roman" w:hAnsi="Times New Roman" w:cs="Times New Roman"/>
                <w:sz w:val="18"/>
                <w:szCs w:val="18"/>
                <w:lang w:val="en-US"/>
              </w:rPr>
              <w:t xml:space="preserve"> increased</w:t>
            </w:r>
            <w:r w:rsidR="00CA652E" w:rsidRPr="00DE600A">
              <w:rPr>
                <w:rFonts w:ascii="Times New Roman" w:hAnsi="Times New Roman" w:cs="Times New Roman"/>
                <w:sz w:val="18"/>
                <w:szCs w:val="18"/>
                <w:lang w:val="en-US"/>
              </w:rPr>
              <w:t xml:space="preserve"> BMD at the lumbar spine and hip</w:t>
            </w:r>
            <w:r w:rsidR="00CA652E">
              <w:rPr>
                <w:rFonts w:ascii="Times New Roman" w:hAnsi="Times New Roman" w:cs="Times New Roman"/>
                <w:sz w:val="18"/>
                <w:szCs w:val="18"/>
                <w:lang w:val="en-US"/>
              </w:rPr>
              <w:t xml:space="preserve"> after 36 months.</w:t>
            </w:r>
          </w:p>
        </w:tc>
        <w:tc>
          <w:tcPr>
            <w:tcW w:w="916" w:type="dxa"/>
            <w:noWrap/>
            <w:hideMark/>
          </w:tcPr>
          <w:p w:rsidR="00CA652E" w:rsidRPr="00407AD7"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II</w:t>
            </w:r>
          </w:p>
        </w:tc>
      </w:tr>
      <w:tr w:rsidR="00CA652E" w:rsidRPr="00D34964" w:rsidTr="00B3156F">
        <w:trPr>
          <w:trHeight w:val="334"/>
        </w:trPr>
        <w:tc>
          <w:tcPr>
            <w:cnfStyle w:val="001000000000"/>
            <w:tcW w:w="1176" w:type="dxa"/>
            <w:noWrap/>
            <w:hideMark/>
          </w:tcPr>
          <w:p w:rsidR="00CA652E" w:rsidRPr="00B8544C" w:rsidRDefault="00CA652E" w:rsidP="009A2FA4">
            <w:pPr>
              <w:rPr>
                <w:rFonts w:ascii="Times New Roman" w:hAnsi="Times New Roman" w:cs="Times New Roman"/>
                <w:b w:val="0"/>
                <w:sz w:val="18"/>
                <w:szCs w:val="18"/>
              </w:rPr>
            </w:pPr>
            <w:proofErr w:type="spellStart"/>
            <w:r w:rsidRPr="00B8544C">
              <w:rPr>
                <w:rFonts w:ascii="Times New Roman" w:hAnsi="Times New Roman" w:cs="Times New Roman"/>
                <w:b w:val="0"/>
                <w:sz w:val="18"/>
                <w:szCs w:val="18"/>
              </w:rPr>
              <w:t>Bolland</w:t>
            </w:r>
            <w:proofErr w:type="spellEnd"/>
            <w:r w:rsidRPr="00B8544C">
              <w:rPr>
                <w:rFonts w:ascii="Times New Roman" w:hAnsi="Times New Roman" w:cs="Times New Roman"/>
                <w:b w:val="0"/>
                <w:sz w:val="18"/>
                <w:szCs w:val="18"/>
              </w:rPr>
              <w:t xml:space="preserve"> 2012 </w:t>
            </w:r>
            <w:r w:rsidR="00734DBD" w:rsidRPr="00B8544C">
              <w:rPr>
                <w:rFonts w:ascii="Times New Roman" w:hAnsi="Times New Roman" w:cs="Times New Roman"/>
                <w:sz w:val="18"/>
                <w:szCs w:val="18"/>
              </w:rPr>
              <w:fldChar w:fldCharType="begin"/>
            </w:r>
            <w:r w:rsidRPr="00B8544C">
              <w:rPr>
                <w:rFonts w:ascii="Times New Roman" w:hAnsi="Times New Roman" w:cs="Times New Roman"/>
                <w:b w:val="0"/>
                <w:sz w:val="18"/>
                <w:szCs w:val="18"/>
              </w:rPr>
              <w:instrText>ADDIN RW.CITE{{69 Bolland,M.J. 2012}}</w:instrText>
            </w:r>
            <w:r w:rsidR="00734DBD" w:rsidRPr="00B8544C">
              <w:rPr>
                <w:rFonts w:ascii="Times New Roman" w:hAnsi="Times New Roman" w:cs="Times New Roman"/>
                <w:sz w:val="18"/>
                <w:szCs w:val="18"/>
              </w:rPr>
              <w:fldChar w:fldCharType="separate"/>
            </w:r>
            <w:r w:rsidR="009A2FA4">
              <w:rPr>
                <w:rFonts w:ascii="Calibri" w:eastAsia="Times New Roman" w:hAnsi="Calibri" w:cs="Calibri"/>
                <w:sz w:val="18"/>
                <w:szCs w:val="18"/>
                <w:vertAlign w:val="superscript"/>
              </w:rPr>
              <w:t>126</w:t>
            </w:r>
            <w:r w:rsidR="00734DBD" w:rsidRPr="00B8544C">
              <w:rPr>
                <w:rFonts w:ascii="Times New Roman" w:hAnsi="Times New Roman" w:cs="Times New Roman"/>
                <w:sz w:val="18"/>
                <w:szCs w:val="18"/>
              </w:rPr>
              <w:fldChar w:fldCharType="end"/>
            </w:r>
          </w:p>
        </w:tc>
        <w:tc>
          <w:tcPr>
            <w:tcW w:w="767" w:type="dxa"/>
            <w:noWrap/>
            <w:hideMark/>
          </w:tcPr>
          <w:p w:rsidR="00CA652E" w:rsidRPr="00AA4013" w:rsidRDefault="00CA652E" w:rsidP="00B3156F">
            <w:pPr>
              <w:cnfStyle w:val="000000000000"/>
              <w:rPr>
                <w:rFonts w:ascii="Times New Roman" w:hAnsi="Times New Roman" w:cs="Times New Roman"/>
                <w:bCs/>
                <w:sz w:val="18"/>
                <w:szCs w:val="18"/>
              </w:rPr>
            </w:pPr>
            <w:proofErr w:type="spellStart"/>
            <w:r>
              <w:rPr>
                <w:rFonts w:ascii="Times New Roman" w:hAnsi="Times New Roman" w:cs="Times New Roman"/>
                <w:bCs/>
                <w:sz w:val="18"/>
                <w:szCs w:val="18"/>
              </w:rPr>
              <w:t>Cohort</w:t>
            </w:r>
            <w:proofErr w:type="spellEnd"/>
          </w:p>
        </w:tc>
        <w:tc>
          <w:tcPr>
            <w:tcW w:w="1206" w:type="dxa"/>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T-score &lt; -</w:t>
            </w:r>
            <w:proofErr w:type="gramStart"/>
            <w:r>
              <w:rPr>
                <w:rFonts w:ascii="Times New Roman" w:hAnsi="Times New Roman" w:cs="Times New Roman"/>
                <w:sz w:val="18"/>
                <w:szCs w:val="18"/>
              </w:rPr>
              <w:t>0.5</w:t>
            </w:r>
            <w:proofErr w:type="gramEnd"/>
          </w:p>
        </w:tc>
        <w:tc>
          <w:tcPr>
            <w:tcW w:w="2046" w:type="dxa"/>
            <w:noWrap/>
            <w:hideMark/>
          </w:tcPr>
          <w:p w:rsidR="00CA652E" w:rsidRPr="00407AD7"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Four year extension</w:t>
            </w:r>
            <w:r w:rsidRPr="00407AD7">
              <w:rPr>
                <w:rFonts w:ascii="Times New Roman" w:hAnsi="Times New Roman" w:cs="Times New Roman"/>
                <w:sz w:val="18"/>
                <w:szCs w:val="18"/>
                <w:lang w:val="en-US"/>
              </w:rPr>
              <w:t xml:space="preserve"> of </w:t>
            </w:r>
            <w:proofErr w:type="spellStart"/>
            <w:r w:rsidRPr="00407AD7">
              <w:rPr>
                <w:rFonts w:ascii="Times New Roman" w:hAnsi="Times New Roman" w:cs="Times New Roman"/>
                <w:sz w:val="18"/>
                <w:szCs w:val="18"/>
                <w:lang w:val="en-US"/>
              </w:rPr>
              <w:t>Bolland</w:t>
            </w:r>
            <w:proofErr w:type="spellEnd"/>
            <w:r w:rsidRPr="00407AD7">
              <w:rPr>
                <w:rFonts w:ascii="Times New Roman" w:hAnsi="Times New Roman" w:cs="Times New Roman"/>
                <w:sz w:val="18"/>
                <w:szCs w:val="18"/>
                <w:lang w:val="en-US"/>
              </w:rPr>
              <w:t xml:space="preserve"> 2007. No treatment in follow up period.</w:t>
            </w:r>
          </w:p>
        </w:tc>
        <w:tc>
          <w:tcPr>
            <w:tcW w:w="78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43</w:t>
            </w:r>
          </w:p>
        </w:tc>
        <w:tc>
          <w:tcPr>
            <w:tcW w:w="846" w:type="dxa"/>
            <w:noWrap/>
            <w:hideMark/>
          </w:tcPr>
          <w:p w:rsidR="00CA652E" w:rsidRPr="00AA4013" w:rsidRDefault="00CA652E" w:rsidP="00B3156F">
            <w:pPr>
              <w:cnfStyle w:val="000000000000"/>
              <w:rPr>
                <w:rFonts w:ascii="Times New Roman" w:hAnsi="Times New Roman" w:cs="Times New Roman"/>
                <w:sz w:val="18"/>
                <w:szCs w:val="18"/>
              </w:rPr>
            </w:pPr>
            <w:proofErr w:type="gramStart"/>
            <w:r>
              <w:rPr>
                <w:rFonts w:ascii="Times New Roman" w:hAnsi="Times New Roman" w:cs="Times New Roman"/>
                <w:sz w:val="18"/>
                <w:szCs w:val="18"/>
              </w:rPr>
              <w:t>100</w:t>
            </w:r>
            <w:r>
              <w:rPr>
                <w:rFonts w:ascii="Times New Roman" w:eastAsia="Times New Roman" w:hAnsi="Times New Roman" w:cs="Times New Roman"/>
                <w:color w:val="000000"/>
                <w:sz w:val="18"/>
                <w:szCs w:val="18"/>
              </w:rPr>
              <w:t>%</w:t>
            </w:r>
            <w:proofErr w:type="gramEnd"/>
          </w:p>
        </w:tc>
        <w:tc>
          <w:tcPr>
            <w:tcW w:w="787" w:type="dxa"/>
            <w:noWrap/>
            <w:hideMark/>
          </w:tcPr>
          <w:p w:rsidR="00CA652E" w:rsidRPr="00AA4013" w:rsidRDefault="00CA652E" w:rsidP="00B3156F">
            <w:pPr>
              <w:cnfStyle w:val="000000000000"/>
              <w:rPr>
                <w:rFonts w:ascii="Times New Roman" w:hAnsi="Times New Roman" w:cs="Times New Roman"/>
                <w:sz w:val="18"/>
                <w:szCs w:val="18"/>
              </w:rPr>
            </w:pPr>
            <w:r>
              <w:rPr>
                <w:rFonts w:ascii="Times New Roman" w:hAnsi="Times New Roman" w:cs="Times New Roman"/>
                <w:sz w:val="18"/>
                <w:szCs w:val="18"/>
              </w:rPr>
              <w:t>49-50</w:t>
            </w:r>
          </w:p>
        </w:tc>
        <w:tc>
          <w:tcPr>
            <w:tcW w:w="1146" w:type="dxa"/>
          </w:tcPr>
          <w:p w:rsidR="00CA652E" w:rsidRPr="00407AD7"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 xml:space="preserve">The effect of </w:t>
            </w:r>
            <w:proofErr w:type="spellStart"/>
            <w:r w:rsidR="00643A2E">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sidR="00C12352">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persists after five years. </w:t>
            </w:r>
          </w:p>
        </w:tc>
        <w:tc>
          <w:tcPr>
            <w:tcW w:w="916" w:type="dxa"/>
            <w:noWrap/>
            <w:hideMark/>
          </w:tcPr>
          <w:p w:rsidR="00CA652E" w:rsidRPr="00407AD7"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II</w:t>
            </w:r>
          </w:p>
        </w:tc>
      </w:tr>
      <w:tr w:rsidR="00CA652E" w:rsidRPr="00D34964" w:rsidTr="00B3156F">
        <w:trPr>
          <w:cnfStyle w:val="000000100000"/>
          <w:trHeight w:val="334"/>
        </w:trPr>
        <w:tc>
          <w:tcPr>
            <w:cnfStyle w:val="001000000000"/>
            <w:tcW w:w="1176" w:type="dxa"/>
            <w:noWrap/>
            <w:hideMark/>
          </w:tcPr>
          <w:p w:rsidR="00CA652E" w:rsidRPr="00B8544C" w:rsidRDefault="00CA652E" w:rsidP="009A2FA4">
            <w:pPr>
              <w:rPr>
                <w:rFonts w:ascii="Times New Roman" w:hAnsi="Times New Roman" w:cs="Times New Roman"/>
                <w:b w:val="0"/>
                <w:sz w:val="18"/>
                <w:szCs w:val="18"/>
                <w:lang w:val="en-US"/>
              </w:rPr>
            </w:pPr>
            <w:r w:rsidRPr="00B8544C">
              <w:rPr>
                <w:rFonts w:ascii="Times New Roman" w:hAnsi="Times New Roman" w:cs="Times New Roman"/>
                <w:b w:val="0"/>
                <w:sz w:val="18"/>
                <w:szCs w:val="18"/>
                <w:lang w:val="en-US"/>
              </w:rPr>
              <w:t xml:space="preserve">Hoy 2018 </w:t>
            </w:r>
            <w:r w:rsidR="00734DBD" w:rsidRPr="00B8544C">
              <w:rPr>
                <w:rFonts w:ascii="Times New Roman" w:hAnsi="Times New Roman" w:cs="Times New Roman"/>
                <w:sz w:val="18"/>
                <w:szCs w:val="18"/>
                <w:lang w:val="en-US"/>
              </w:rPr>
              <w:fldChar w:fldCharType="begin"/>
            </w:r>
            <w:r w:rsidRPr="00B8544C">
              <w:rPr>
                <w:rFonts w:ascii="Times New Roman" w:hAnsi="Times New Roman" w:cs="Times New Roman"/>
                <w:b w:val="0"/>
                <w:sz w:val="18"/>
                <w:szCs w:val="18"/>
                <w:lang w:val="en-US"/>
              </w:rPr>
              <w:instrText>ADDIN RW.CITE{{501 Hoy,J.F. 2018}}</w:instrText>
            </w:r>
            <w:r w:rsidR="00734DBD" w:rsidRPr="00B8544C">
              <w:rPr>
                <w:rFonts w:ascii="Times New Roman" w:hAnsi="Times New Roman" w:cs="Times New Roman"/>
                <w:sz w:val="18"/>
                <w:szCs w:val="18"/>
                <w:lang w:val="en-US"/>
              </w:rPr>
              <w:fldChar w:fldCharType="separate"/>
            </w:r>
            <w:r w:rsidR="009A2FA4">
              <w:rPr>
                <w:rFonts w:ascii="Calibri" w:eastAsia="Times New Roman" w:hAnsi="Calibri" w:cs="Calibri"/>
                <w:sz w:val="18"/>
                <w:szCs w:val="18"/>
                <w:vertAlign w:val="superscript"/>
              </w:rPr>
              <w:t>127</w:t>
            </w:r>
            <w:r w:rsidR="00734DBD" w:rsidRPr="00B8544C">
              <w:rPr>
                <w:rFonts w:ascii="Times New Roman" w:hAnsi="Times New Roman" w:cs="Times New Roman"/>
                <w:sz w:val="18"/>
                <w:szCs w:val="18"/>
                <w:lang w:val="en-US"/>
              </w:rPr>
              <w:fldChar w:fldCharType="end"/>
            </w:r>
          </w:p>
        </w:tc>
        <w:tc>
          <w:tcPr>
            <w:tcW w:w="767" w:type="dxa"/>
            <w:noWrap/>
            <w:hideMark/>
          </w:tcPr>
          <w:p w:rsidR="00CA652E" w:rsidRPr="00D34964" w:rsidRDefault="00CA652E" w:rsidP="00B3156F">
            <w:pPr>
              <w:cnfStyle w:val="000000100000"/>
              <w:rPr>
                <w:rFonts w:ascii="Times New Roman" w:hAnsi="Times New Roman" w:cs="Times New Roman"/>
                <w:bCs/>
                <w:sz w:val="18"/>
                <w:szCs w:val="18"/>
                <w:lang w:val="en-US"/>
              </w:rPr>
            </w:pPr>
            <w:r>
              <w:rPr>
                <w:rFonts w:ascii="Times New Roman" w:hAnsi="Times New Roman" w:cs="Times New Roman"/>
                <w:bCs/>
                <w:sz w:val="18"/>
                <w:szCs w:val="18"/>
                <w:lang w:val="en-US"/>
              </w:rPr>
              <w:t>RCT</w:t>
            </w:r>
          </w:p>
        </w:tc>
        <w:tc>
          <w:tcPr>
            <w:tcW w:w="1206" w:type="dxa"/>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rPr>
              <w:t>T-score &lt; -1.0</w:t>
            </w:r>
          </w:p>
        </w:tc>
        <w:tc>
          <w:tcPr>
            <w:tcW w:w="2046" w:type="dxa"/>
            <w:noWrap/>
            <w:hideMark/>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 xml:space="preserve">Continue TDF and start </w:t>
            </w:r>
            <w:proofErr w:type="spellStart"/>
            <w:r w:rsidR="00643A2E">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sidR="00C12352">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or switch from TDF to another active antiretroviral therapy for 24 months. </w:t>
            </w:r>
          </w:p>
        </w:tc>
        <w:tc>
          <w:tcPr>
            <w:tcW w:w="787" w:type="dxa"/>
            <w:noWrap/>
            <w:hideMark/>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87</w:t>
            </w:r>
          </w:p>
        </w:tc>
        <w:tc>
          <w:tcPr>
            <w:tcW w:w="846" w:type="dxa"/>
            <w:noWrap/>
            <w:hideMark/>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93-100</w:t>
            </w:r>
            <w:r>
              <w:rPr>
                <w:rFonts w:ascii="Times New Roman" w:eastAsia="Times New Roman" w:hAnsi="Times New Roman" w:cs="Times New Roman"/>
                <w:color w:val="000000"/>
                <w:sz w:val="18"/>
                <w:szCs w:val="18"/>
              </w:rPr>
              <w:t>%</w:t>
            </w:r>
          </w:p>
        </w:tc>
        <w:tc>
          <w:tcPr>
            <w:tcW w:w="787" w:type="dxa"/>
            <w:noWrap/>
            <w:hideMark/>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49-51</w:t>
            </w:r>
          </w:p>
        </w:tc>
        <w:tc>
          <w:tcPr>
            <w:tcW w:w="1146" w:type="dxa"/>
          </w:tcPr>
          <w:p w:rsidR="00CA652E" w:rsidRPr="00D34964" w:rsidRDefault="00643A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sidR="00CA652E">
              <w:rPr>
                <w:rFonts w:ascii="Times New Roman" w:hAnsi="Times New Roman" w:cs="Times New Roman"/>
                <w:sz w:val="18"/>
                <w:szCs w:val="18"/>
                <w:lang w:val="en-US"/>
              </w:rPr>
              <w:t xml:space="preserve"> and TDF significantly increased BMD at the total hip and lumbar spine compared to switch after 12- and 24 months.</w:t>
            </w:r>
          </w:p>
        </w:tc>
        <w:tc>
          <w:tcPr>
            <w:tcW w:w="916" w:type="dxa"/>
            <w:noWrap/>
            <w:hideMark/>
          </w:tcPr>
          <w:p w:rsidR="00CA652E" w:rsidRPr="00D34964" w:rsidRDefault="00CA65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Ib</w:t>
            </w:r>
            <w:proofErr w:type="spellEnd"/>
          </w:p>
        </w:tc>
      </w:tr>
      <w:tr w:rsidR="00CA652E" w:rsidRPr="008A6553" w:rsidTr="00B3156F">
        <w:trPr>
          <w:trHeight w:val="334"/>
        </w:trPr>
        <w:tc>
          <w:tcPr>
            <w:cnfStyle w:val="001000000000"/>
            <w:tcW w:w="1176" w:type="dxa"/>
            <w:noWrap/>
            <w:hideMark/>
          </w:tcPr>
          <w:p w:rsidR="00CA652E" w:rsidRPr="00B8544C" w:rsidRDefault="00CA652E" w:rsidP="009A2FA4">
            <w:pPr>
              <w:rPr>
                <w:rFonts w:ascii="Times New Roman" w:hAnsi="Times New Roman" w:cs="Times New Roman"/>
                <w:b w:val="0"/>
                <w:sz w:val="18"/>
                <w:szCs w:val="18"/>
                <w:lang w:val="en-US"/>
              </w:rPr>
            </w:pPr>
            <w:proofErr w:type="spellStart"/>
            <w:r w:rsidRPr="00B8544C">
              <w:rPr>
                <w:rFonts w:ascii="Times New Roman" w:hAnsi="Times New Roman" w:cs="Times New Roman"/>
                <w:b w:val="0"/>
                <w:sz w:val="18"/>
                <w:szCs w:val="18"/>
                <w:lang w:val="en-US"/>
              </w:rPr>
              <w:lastRenderedPageBreak/>
              <w:t>Negredo</w:t>
            </w:r>
            <w:proofErr w:type="spellEnd"/>
            <w:r w:rsidRPr="00B8544C">
              <w:rPr>
                <w:rFonts w:ascii="Times New Roman" w:hAnsi="Times New Roman" w:cs="Times New Roman"/>
                <w:b w:val="0"/>
                <w:sz w:val="18"/>
                <w:szCs w:val="18"/>
                <w:lang w:val="en-US"/>
              </w:rPr>
              <w:t xml:space="preserve"> 2014 </w:t>
            </w:r>
            <w:r w:rsidR="00734DBD" w:rsidRPr="00B8544C">
              <w:rPr>
                <w:rFonts w:ascii="Times New Roman" w:hAnsi="Times New Roman" w:cs="Times New Roman"/>
                <w:sz w:val="18"/>
                <w:szCs w:val="18"/>
                <w:lang w:val="en-US"/>
              </w:rPr>
              <w:fldChar w:fldCharType="begin"/>
            </w:r>
            <w:r w:rsidRPr="00B8544C">
              <w:rPr>
                <w:rFonts w:ascii="Times New Roman" w:hAnsi="Times New Roman" w:cs="Times New Roman"/>
                <w:b w:val="0"/>
                <w:sz w:val="18"/>
                <w:szCs w:val="18"/>
                <w:lang w:val="en-US"/>
              </w:rPr>
              <w:instrText>ADDIN RW.CITE{{338 Negredo,E. 2014}}</w:instrText>
            </w:r>
            <w:r w:rsidR="00734DBD" w:rsidRPr="00B8544C">
              <w:rPr>
                <w:rFonts w:ascii="Times New Roman" w:hAnsi="Times New Roman" w:cs="Times New Roman"/>
                <w:sz w:val="18"/>
                <w:szCs w:val="18"/>
                <w:lang w:val="en-US"/>
              </w:rPr>
              <w:fldChar w:fldCharType="separate"/>
            </w:r>
            <w:r w:rsidR="009A2FA4">
              <w:rPr>
                <w:rFonts w:ascii="Calibri" w:eastAsia="Times New Roman" w:hAnsi="Calibri" w:cs="Calibri"/>
                <w:sz w:val="18"/>
                <w:szCs w:val="18"/>
                <w:vertAlign w:val="superscript"/>
              </w:rPr>
              <w:t>128</w:t>
            </w:r>
            <w:r w:rsidR="00734DBD" w:rsidRPr="00B8544C">
              <w:rPr>
                <w:rFonts w:ascii="Times New Roman" w:hAnsi="Times New Roman" w:cs="Times New Roman"/>
                <w:sz w:val="18"/>
                <w:szCs w:val="18"/>
                <w:lang w:val="en-US"/>
              </w:rPr>
              <w:fldChar w:fldCharType="end"/>
            </w:r>
          </w:p>
        </w:tc>
        <w:tc>
          <w:tcPr>
            <w:tcW w:w="767" w:type="dxa"/>
            <w:noWrap/>
            <w:hideMark/>
          </w:tcPr>
          <w:p w:rsidR="00CA652E" w:rsidRPr="00D34964" w:rsidRDefault="00CA652E" w:rsidP="00B3156F">
            <w:pPr>
              <w:cnfStyle w:val="000000000000"/>
              <w:rPr>
                <w:rFonts w:ascii="Times New Roman" w:hAnsi="Times New Roman" w:cs="Times New Roman"/>
                <w:bCs/>
                <w:sz w:val="18"/>
                <w:szCs w:val="18"/>
                <w:lang w:val="en-US"/>
              </w:rPr>
            </w:pPr>
            <w:r>
              <w:rPr>
                <w:rFonts w:ascii="Times New Roman" w:hAnsi="Times New Roman" w:cs="Times New Roman"/>
                <w:bCs/>
                <w:sz w:val="18"/>
                <w:szCs w:val="18"/>
                <w:lang w:val="en-US"/>
              </w:rPr>
              <w:t>RCT</w:t>
            </w:r>
          </w:p>
        </w:tc>
        <w:tc>
          <w:tcPr>
            <w:tcW w:w="1206" w:type="dxa"/>
          </w:tcPr>
          <w:p w:rsidR="00CA652E" w:rsidRPr="00D34964"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rPr>
              <w:t>T-score &lt; -1.0</w:t>
            </w:r>
          </w:p>
        </w:tc>
        <w:tc>
          <w:tcPr>
            <w:tcW w:w="2046" w:type="dxa"/>
            <w:noWrap/>
            <w:hideMark/>
          </w:tcPr>
          <w:p w:rsidR="00CA652E" w:rsidRPr="00D34964"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 xml:space="preserve">Randomized to 1 or 2 doses of </w:t>
            </w:r>
            <w:proofErr w:type="spellStart"/>
            <w:r w:rsidR="00643A2E">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sidR="00C12352">
              <w:rPr>
                <w:rFonts w:ascii="Times New Roman" w:hAnsi="Times New Roman" w:cs="Times New Roman"/>
                <w:sz w:val="18"/>
                <w:szCs w:val="18"/>
                <w:lang w:val="en-US"/>
              </w:rPr>
              <w:t xml:space="preserve"> </w:t>
            </w:r>
            <w:r>
              <w:rPr>
                <w:rFonts w:ascii="Times New Roman" w:hAnsi="Times New Roman" w:cs="Times New Roman"/>
                <w:sz w:val="18"/>
                <w:szCs w:val="18"/>
                <w:lang w:val="en-US"/>
              </w:rPr>
              <w:t>or control.</w:t>
            </w:r>
          </w:p>
        </w:tc>
        <w:tc>
          <w:tcPr>
            <w:tcW w:w="787" w:type="dxa"/>
            <w:noWrap/>
            <w:hideMark/>
          </w:tcPr>
          <w:p w:rsidR="00CA652E" w:rsidRPr="00D34964"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21</w:t>
            </w:r>
          </w:p>
        </w:tc>
        <w:tc>
          <w:tcPr>
            <w:tcW w:w="846" w:type="dxa"/>
            <w:noWrap/>
            <w:hideMark/>
          </w:tcPr>
          <w:p w:rsidR="00CA652E" w:rsidRPr="00D34964"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78-91</w:t>
            </w:r>
            <w:r>
              <w:rPr>
                <w:rFonts w:ascii="Times New Roman" w:eastAsia="Times New Roman" w:hAnsi="Times New Roman" w:cs="Times New Roman"/>
                <w:color w:val="000000"/>
                <w:sz w:val="18"/>
                <w:szCs w:val="18"/>
              </w:rPr>
              <w:t>%</w:t>
            </w:r>
          </w:p>
        </w:tc>
        <w:tc>
          <w:tcPr>
            <w:tcW w:w="787" w:type="dxa"/>
            <w:noWrap/>
            <w:hideMark/>
          </w:tcPr>
          <w:p w:rsidR="00CA652E" w:rsidRPr="00D34964" w:rsidRDefault="00CA652E" w:rsidP="00B3156F">
            <w:pPr>
              <w:cnfStyle w:val="000000000000"/>
              <w:rPr>
                <w:rFonts w:ascii="Times New Roman" w:hAnsi="Times New Roman" w:cs="Times New Roman"/>
                <w:sz w:val="18"/>
                <w:szCs w:val="18"/>
                <w:lang w:val="en-US"/>
              </w:rPr>
            </w:pPr>
            <w:r>
              <w:rPr>
                <w:rFonts w:ascii="Times New Roman" w:hAnsi="Times New Roman" w:cs="Times New Roman"/>
                <w:sz w:val="18"/>
                <w:szCs w:val="18"/>
                <w:lang w:val="en-US"/>
              </w:rPr>
              <w:t>46-49</w:t>
            </w:r>
          </w:p>
        </w:tc>
        <w:tc>
          <w:tcPr>
            <w:tcW w:w="1146" w:type="dxa"/>
          </w:tcPr>
          <w:p w:rsidR="00CA652E" w:rsidRPr="00D34964" w:rsidRDefault="00643A2E" w:rsidP="00B3156F">
            <w:pPr>
              <w:cnfStyle w:val="0000000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sidR="00C12352">
              <w:rPr>
                <w:rFonts w:ascii="Times New Roman" w:hAnsi="Times New Roman" w:cs="Times New Roman"/>
                <w:sz w:val="18"/>
                <w:szCs w:val="18"/>
                <w:lang w:val="en-US"/>
              </w:rPr>
              <w:t xml:space="preserve"> </w:t>
            </w:r>
            <w:r w:rsidR="00CA652E">
              <w:rPr>
                <w:rFonts w:ascii="Times New Roman" w:hAnsi="Times New Roman" w:cs="Times New Roman"/>
                <w:sz w:val="18"/>
                <w:szCs w:val="18"/>
                <w:lang w:val="en-US"/>
              </w:rPr>
              <w:t>significantly improved BMD at lumbar spine. No difference between 1 and 2 doses.</w:t>
            </w:r>
          </w:p>
        </w:tc>
        <w:tc>
          <w:tcPr>
            <w:tcW w:w="916" w:type="dxa"/>
            <w:noWrap/>
            <w:hideMark/>
          </w:tcPr>
          <w:p w:rsidR="00CA652E" w:rsidRPr="00D34964" w:rsidRDefault="00CA652E" w:rsidP="00B3156F">
            <w:pPr>
              <w:cnfStyle w:val="0000000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Ib</w:t>
            </w:r>
            <w:proofErr w:type="spellEnd"/>
          </w:p>
        </w:tc>
      </w:tr>
      <w:tr w:rsidR="00CA652E" w:rsidRPr="00D34964" w:rsidTr="00B3156F">
        <w:trPr>
          <w:cnfStyle w:val="000000100000"/>
          <w:trHeight w:val="334"/>
        </w:trPr>
        <w:tc>
          <w:tcPr>
            <w:cnfStyle w:val="001000000000"/>
            <w:tcW w:w="1176" w:type="dxa"/>
            <w:noWrap/>
            <w:hideMark/>
          </w:tcPr>
          <w:p w:rsidR="00CA652E" w:rsidRPr="00B8544C" w:rsidRDefault="00CA652E" w:rsidP="009A2FA4">
            <w:pPr>
              <w:rPr>
                <w:rFonts w:ascii="Times New Roman" w:hAnsi="Times New Roman" w:cs="Times New Roman"/>
                <w:b w:val="0"/>
                <w:sz w:val="18"/>
                <w:szCs w:val="18"/>
                <w:lang w:val="en-US"/>
              </w:rPr>
            </w:pPr>
            <w:proofErr w:type="spellStart"/>
            <w:r w:rsidRPr="00B8544C">
              <w:rPr>
                <w:rFonts w:ascii="Times New Roman" w:hAnsi="Times New Roman" w:cs="Times New Roman"/>
                <w:b w:val="0"/>
                <w:sz w:val="18"/>
                <w:szCs w:val="18"/>
                <w:lang w:val="en-US"/>
              </w:rPr>
              <w:t>Ofotokun</w:t>
            </w:r>
            <w:proofErr w:type="spellEnd"/>
            <w:r w:rsidRPr="00B8544C">
              <w:rPr>
                <w:rFonts w:ascii="Times New Roman" w:hAnsi="Times New Roman" w:cs="Times New Roman"/>
                <w:b w:val="0"/>
                <w:sz w:val="18"/>
                <w:szCs w:val="18"/>
                <w:lang w:val="en-US"/>
              </w:rPr>
              <w:t xml:space="preserve"> 2016 </w:t>
            </w:r>
            <w:r w:rsidR="00734DBD" w:rsidRPr="00B8544C">
              <w:rPr>
                <w:rFonts w:ascii="Times New Roman" w:hAnsi="Times New Roman" w:cs="Times New Roman"/>
                <w:sz w:val="18"/>
                <w:szCs w:val="18"/>
                <w:lang w:val="en-US"/>
              </w:rPr>
              <w:fldChar w:fldCharType="begin"/>
            </w:r>
            <w:r w:rsidRPr="00B8544C">
              <w:rPr>
                <w:rFonts w:ascii="Times New Roman" w:hAnsi="Times New Roman" w:cs="Times New Roman"/>
                <w:b w:val="0"/>
                <w:sz w:val="18"/>
                <w:szCs w:val="18"/>
                <w:lang w:val="en-US"/>
              </w:rPr>
              <w:instrText>ADDIN RW.CITE{{345 Ofotokun,I. 2016}}</w:instrText>
            </w:r>
            <w:r w:rsidR="00734DBD" w:rsidRPr="00B8544C">
              <w:rPr>
                <w:rFonts w:ascii="Times New Roman" w:hAnsi="Times New Roman" w:cs="Times New Roman"/>
                <w:sz w:val="18"/>
                <w:szCs w:val="18"/>
                <w:lang w:val="en-US"/>
              </w:rPr>
              <w:fldChar w:fldCharType="separate"/>
            </w:r>
            <w:r w:rsidR="009A2FA4">
              <w:rPr>
                <w:rFonts w:ascii="Calibri" w:eastAsia="Times New Roman" w:hAnsi="Calibri" w:cs="Calibri"/>
                <w:sz w:val="18"/>
                <w:szCs w:val="18"/>
                <w:vertAlign w:val="superscript"/>
              </w:rPr>
              <w:t>129</w:t>
            </w:r>
            <w:r w:rsidR="00734DBD" w:rsidRPr="00B8544C">
              <w:rPr>
                <w:rFonts w:ascii="Times New Roman" w:hAnsi="Times New Roman" w:cs="Times New Roman"/>
                <w:sz w:val="18"/>
                <w:szCs w:val="18"/>
                <w:lang w:val="en-US"/>
              </w:rPr>
              <w:fldChar w:fldCharType="end"/>
            </w:r>
          </w:p>
        </w:tc>
        <w:tc>
          <w:tcPr>
            <w:tcW w:w="767" w:type="dxa"/>
            <w:noWrap/>
            <w:hideMark/>
          </w:tcPr>
          <w:p w:rsidR="00CA652E" w:rsidRPr="00D34964" w:rsidRDefault="00CA652E" w:rsidP="00B3156F">
            <w:pPr>
              <w:cnfStyle w:val="000000100000"/>
              <w:rPr>
                <w:rFonts w:ascii="Times New Roman" w:hAnsi="Times New Roman" w:cs="Times New Roman"/>
                <w:bCs/>
                <w:sz w:val="18"/>
                <w:szCs w:val="18"/>
                <w:lang w:val="en-US"/>
              </w:rPr>
            </w:pPr>
            <w:r>
              <w:rPr>
                <w:rFonts w:ascii="Times New Roman" w:hAnsi="Times New Roman" w:cs="Times New Roman"/>
                <w:bCs/>
                <w:sz w:val="18"/>
                <w:szCs w:val="18"/>
                <w:lang w:val="en-US"/>
              </w:rPr>
              <w:t>RCT</w:t>
            </w:r>
          </w:p>
        </w:tc>
        <w:tc>
          <w:tcPr>
            <w:tcW w:w="1206" w:type="dxa"/>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Non-osteoporotic</w:t>
            </w:r>
          </w:p>
        </w:tc>
        <w:tc>
          <w:tcPr>
            <w:tcW w:w="2046" w:type="dxa"/>
            <w:noWrap/>
            <w:hideMark/>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 xml:space="preserve">ART initiation (TDF containing) randomized to </w:t>
            </w:r>
            <w:proofErr w:type="spellStart"/>
            <w:r w:rsidR="00643A2E">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sidR="00C12352">
              <w:rPr>
                <w:rFonts w:ascii="Times New Roman" w:hAnsi="Times New Roman" w:cs="Times New Roman"/>
                <w:sz w:val="18"/>
                <w:szCs w:val="18"/>
                <w:lang w:val="en-US"/>
              </w:rPr>
              <w:t xml:space="preserve"> </w:t>
            </w:r>
            <w:r>
              <w:rPr>
                <w:rFonts w:ascii="Times New Roman" w:hAnsi="Times New Roman" w:cs="Times New Roman"/>
                <w:sz w:val="18"/>
                <w:szCs w:val="18"/>
                <w:lang w:val="en-US"/>
              </w:rPr>
              <w:t>or placebo for 48 weeks.</w:t>
            </w:r>
          </w:p>
        </w:tc>
        <w:tc>
          <w:tcPr>
            <w:tcW w:w="787" w:type="dxa"/>
            <w:noWrap/>
            <w:hideMark/>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63 (ART naïve)</w:t>
            </w:r>
          </w:p>
        </w:tc>
        <w:tc>
          <w:tcPr>
            <w:tcW w:w="846" w:type="dxa"/>
            <w:noWrap/>
            <w:hideMark/>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79</w:t>
            </w:r>
            <w:r>
              <w:rPr>
                <w:rFonts w:ascii="Times New Roman" w:eastAsia="Times New Roman" w:hAnsi="Times New Roman" w:cs="Times New Roman"/>
                <w:color w:val="000000"/>
                <w:sz w:val="18"/>
                <w:szCs w:val="18"/>
              </w:rPr>
              <w:t>%</w:t>
            </w:r>
          </w:p>
        </w:tc>
        <w:tc>
          <w:tcPr>
            <w:tcW w:w="787" w:type="dxa"/>
            <w:noWrap/>
            <w:hideMark/>
          </w:tcPr>
          <w:p w:rsidR="00CA652E" w:rsidRPr="00D34964"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39-40</w:t>
            </w:r>
          </w:p>
        </w:tc>
        <w:tc>
          <w:tcPr>
            <w:tcW w:w="1146" w:type="dxa"/>
          </w:tcPr>
          <w:p w:rsidR="00CA652E" w:rsidRPr="00D34964" w:rsidRDefault="00643A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Zole</w:t>
            </w:r>
            <w:r w:rsidR="00C12352">
              <w:rPr>
                <w:rFonts w:ascii="Times New Roman" w:hAnsi="Times New Roman" w:cs="Times New Roman"/>
                <w:sz w:val="18"/>
                <w:szCs w:val="18"/>
                <w:lang w:val="en-US"/>
              </w:rPr>
              <w:t>dronate</w:t>
            </w:r>
            <w:proofErr w:type="spellEnd"/>
            <w:r w:rsidR="00C12352">
              <w:rPr>
                <w:rFonts w:ascii="Times New Roman" w:hAnsi="Times New Roman" w:cs="Times New Roman"/>
                <w:sz w:val="18"/>
                <w:szCs w:val="18"/>
                <w:lang w:val="en-US"/>
              </w:rPr>
              <w:t xml:space="preserve"> </w:t>
            </w:r>
            <w:r w:rsidR="00CA652E">
              <w:rPr>
                <w:rFonts w:ascii="Times New Roman" w:hAnsi="Times New Roman" w:cs="Times New Roman"/>
                <w:sz w:val="18"/>
                <w:szCs w:val="18"/>
                <w:lang w:val="en-US"/>
              </w:rPr>
              <w:t>significantly improved BMD at lumbar spine.</w:t>
            </w:r>
          </w:p>
        </w:tc>
        <w:tc>
          <w:tcPr>
            <w:tcW w:w="916" w:type="dxa"/>
            <w:noWrap/>
            <w:hideMark/>
          </w:tcPr>
          <w:p w:rsidR="00CA652E" w:rsidRPr="00D34964" w:rsidRDefault="00CA65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Ib</w:t>
            </w:r>
            <w:proofErr w:type="spellEnd"/>
          </w:p>
        </w:tc>
      </w:tr>
      <w:tr w:rsidR="00CA652E" w:rsidRPr="00B77566" w:rsidTr="00B3156F">
        <w:trPr>
          <w:trHeight w:val="334"/>
        </w:trPr>
        <w:tc>
          <w:tcPr>
            <w:cnfStyle w:val="001000000000"/>
            <w:tcW w:w="1176" w:type="dxa"/>
            <w:noWrap/>
            <w:hideMark/>
          </w:tcPr>
          <w:p w:rsidR="00CA652E" w:rsidRPr="00B8544C" w:rsidRDefault="00CA652E" w:rsidP="00B3156F">
            <w:pPr>
              <w:rPr>
                <w:rFonts w:ascii="Times New Roman" w:hAnsi="Times New Roman" w:cs="Times New Roman"/>
                <w:bCs w:val="0"/>
                <w:sz w:val="18"/>
                <w:szCs w:val="18"/>
                <w:lang w:val="en-US"/>
              </w:rPr>
            </w:pPr>
            <w:proofErr w:type="spellStart"/>
            <w:r w:rsidRPr="00B8544C">
              <w:rPr>
                <w:rFonts w:ascii="Times New Roman" w:hAnsi="Times New Roman" w:cs="Times New Roman"/>
                <w:bCs w:val="0"/>
                <w:sz w:val="18"/>
                <w:szCs w:val="18"/>
                <w:lang w:val="en-US"/>
              </w:rPr>
              <w:t>Risedronate</w:t>
            </w:r>
            <w:proofErr w:type="spellEnd"/>
          </w:p>
        </w:tc>
        <w:tc>
          <w:tcPr>
            <w:tcW w:w="767" w:type="dxa"/>
            <w:noWrap/>
            <w:hideMark/>
          </w:tcPr>
          <w:p w:rsidR="00CA652E" w:rsidRPr="00B77566" w:rsidRDefault="00CA652E" w:rsidP="00B3156F">
            <w:pPr>
              <w:cnfStyle w:val="000000000000"/>
              <w:rPr>
                <w:rFonts w:ascii="Times New Roman" w:hAnsi="Times New Roman" w:cs="Times New Roman"/>
                <w:sz w:val="18"/>
                <w:szCs w:val="18"/>
                <w:lang w:val="en-US"/>
              </w:rPr>
            </w:pPr>
          </w:p>
        </w:tc>
        <w:tc>
          <w:tcPr>
            <w:tcW w:w="1206" w:type="dxa"/>
          </w:tcPr>
          <w:p w:rsidR="00CA652E" w:rsidRPr="00B77566" w:rsidRDefault="00CA652E" w:rsidP="00B3156F">
            <w:pPr>
              <w:cnfStyle w:val="000000000000"/>
              <w:rPr>
                <w:rFonts w:ascii="Times New Roman" w:hAnsi="Times New Roman" w:cs="Times New Roman"/>
                <w:sz w:val="18"/>
                <w:szCs w:val="18"/>
                <w:lang w:val="en-US"/>
              </w:rPr>
            </w:pPr>
          </w:p>
        </w:tc>
        <w:tc>
          <w:tcPr>
            <w:tcW w:w="2046" w:type="dxa"/>
            <w:noWrap/>
            <w:hideMark/>
          </w:tcPr>
          <w:p w:rsidR="00CA652E" w:rsidRPr="00B77566" w:rsidRDefault="00CA652E" w:rsidP="00B3156F">
            <w:pPr>
              <w:cnfStyle w:val="000000000000"/>
              <w:rPr>
                <w:rFonts w:ascii="Times New Roman" w:hAnsi="Times New Roman" w:cs="Times New Roman"/>
                <w:sz w:val="18"/>
                <w:szCs w:val="18"/>
                <w:lang w:val="en-US"/>
              </w:rPr>
            </w:pPr>
          </w:p>
        </w:tc>
        <w:tc>
          <w:tcPr>
            <w:tcW w:w="787" w:type="dxa"/>
            <w:noWrap/>
            <w:hideMark/>
          </w:tcPr>
          <w:p w:rsidR="00CA652E" w:rsidRPr="00B77566" w:rsidRDefault="00CA652E" w:rsidP="00B3156F">
            <w:pPr>
              <w:cnfStyle w:val="000000000000"/>
              <w:rPr>
                <w:rFonts w:ascii="Times New Roman" w:hAnsi="Times New Roman" w:cs="Times New Roman"/>
                <w:sz w:val="18"/>
                <w:szCs w:val="18"/>
                <w:lang w:val="en-US"/>
              </w:rPr>
            </w:pPr>
          </w:p>
        </w:tc>
        <w:tc>
          <w:tcPr>
            <w:tcW w:w="846" w:type="dxa"/>
            <w:noWrap/>
            <w:hideMark/>
          </w:tcPr>
          <w:p w:rsidR="00CA652E" w:rsidRPr="00B77566" w:rsidRDefault="00CA652E" w:rsidP="00B3156F">
            <w:pPr>
              <w:cnfStyle w:val="000000000000"/>
              <w:rPr>
                <w:rFonts w:ascii="Times New Roman" w:hAnsi="Times New Roman" w:cs="Times New Roman"/>
                <w:sz w:val="18"/>
                <w:szCs w:val="18"/>
                <w:lang w:val="en-US"/>
              </w:rPr>
            </w:pPr>
          </w:p>
        </w:tc>
        <w:tc>
          <w:tcPr>
            <w:tcW w:w="787" w:type="dxa"/>
            <w:noWrap/>
            <w:hideMark/>
          </w:tcPr>
          <w:p w:rsidR="00CA652E" w:rsidRPr="00B77566" w:rsidRDefault="00CA652E" w:rsidP="00B3156F">
            <w:pPr>
              <w:cnfStyle w:val="000000000000"/>
              <w:rPr>
                <w:rFonts w:ascii="Times New Roman" w:hAnsi="Times New Roman" w:cs="Times New Roman"/>
                <w:sz w:val="18"/>
                <w:szCs w:val="18"/>
                <w:lang w:val="en-US"/>
              </w:rPr>
            </w:pPr>
          </w:p>
        </w:tc>
        <w:tc>
          <w:tcPr>
            <w:tcW w:w="1146" w:type="dxa"/>
          </w:tcPr>
          <w:p w:rsidR="00CA652E" w:rsidRPr="00B77566" w:rsidRDefault="00CA652E" w:rsidP="00B3156F">
            <w:pPr>
              <w:cnfStyle w:val="000000000000"/>
              <w:rPr>
                <w:rFonts w:ascii="Times New Roman" w:hAnsi="Times New Roman" w:cs="Times New Roman"/>
                <w:sz w:val="18"/>
                <w:szCs w:val="18"/>
                <w:lang w:val="en-US"/>
              </w:rPr>
            </w:pPr>
          </w:p>
        </w:tc>
        <w:tc>
          <w:tcPr>
            <w:tcW w:w="916" w:type="dxa"/>
            <w:noWrap/>
            <w:hideMark/>
          </w:tcPr>
          <w:p w:rsidR="00CA652E" w:rsidRPr="00B77566" w:rsidRDefault="00CA652E" w:rsidP="00B3156F">
            <w:pPr>
              <w:cnfStyle w:val="000000000000"/>
              <w:rPr>
                <w:rFonts w:ascii="Times New Roman" w:hAnsi="Times New Roman" w:cs="Times New Roman"/>
                <w:sz w:val="18"/>
                <w:szCs w:val="18"/>
                <w:lang w:val="en-US"/>
              </w:rPr>
            </w:pPr>
          </w:p>
        </w:tc>
      </w:tr>
      <w:tr w:rsidR="00CA652E" w:rsidRPr="009419E0" w:rsidTr="00B3156F">
        <w:trPr>
          <w:cnfStyle w:val="000000100000"/>
          <w:trHeight w:val="334"/>
        </w:trPr>
        <w:tc>
          <w:tcPr>
            <w:cnfStyle w:val="001000000000"/>
            <w:tcW w:w="1176" w:type="dxa"/>
            <w:noWrap/>
            <w:hideMark/>
          </w:tcPr>
          <w:p w:rsidR="00CA652E" w:rsidRPr="00B77566" w:rsidRDefault="00CA652E" w:rsidP="009A2FA4">
            <w:pPr>
              <w:rPr>
                <w:rFonts w:ascii="Times New Roman" w:hAnsi="Times New Roman" w:cs="Times New Roman"/>
                <w:sz w:val="18"/>
                <w:szCs w:val="18"/>
                <w:lang w:val="en-US"/>
              </w:rPr>
            </w:pPr>
            <w:proofErr w:type="spellStart"/>
            <w:r w:rsidRPr="00B8544C">
              <w:rPr>
                <w:rFonts w:ascii="Times New Roman" w:hAnsi="Times New Roman" w:cs="Times New Roman"/>
                <w:b w:val="0"/>
                <w:sz w:val="18"/>
                <w:szCs w:val="18"/>
                <w:lang w:val="en-US"/>
              </w:rPr>
              <w:t>Pepe</w:t>
            </w:r>
            <w:proofErr w:type="spellEnd"/>
            <w:r w:rsidRPr="00B8544C">
              <w:rPr>
                <w:rFonts w:ascii="Times New Roman" w:hAnsi="Times New Roman" w:cs="Times New Roman"/>
                <w:b w:val="0"/>
                <w:sz w:val="18"/>
                <w:szCs w:val="18"/>
                <w:lang w:val="en-US"/>
              </w:rPr>
              <w:t xml:space="preserve"> 2014</w:t>
            </w:r>
            <w:r>
              <w:rPr>
                <w:rFonts w:ascii="Times New Roman" w:hAnsi="Times New Roman" w:cs="Times New Roman"/>
                <w:sz w:val="18"/>
                <w:szCs w:val="18"/>
                <w:lang w:val="en-US"/>
              </w:rPr>
              <w:t xml:space="preserve"> </w:t>
            </w:r>
            <w:r w:rsidR="00734DBD">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ADDIN RW.CITE{{362 Pepe,J. 2014}}</w:instrText>
            </w:r>
            <w:r w:rsidR="00734DBD">
              <w:rPr>
                <w:rFonts w:ascii="Times New Roman" w:hAnsi="Times New Roman" w:cs="Times New Roman"/>
                <w:sz w:val="18"/>
                <w:szCs w:val="18"/>
                <w:lang w:val="en-US"/>
              </w:rPr>
              <w:fldChar w:fldCharType="separate"/>
            </w:r>
            <w:r w:rsidR="009A2FA4">
              <w:rPr>
                <w:rFonts w:ascii="Calibri" w:eastAsia="Times New Roman" w:hAnsi="Calibri" w:cs="Calibri"/>
                <w:b w:val="0"/>
                <w:bCs w:val="0"/>
                <w:sz w:val="18"/>
                <w:szCs w:val="18"/>
                <w:vertAlign w:val="superscript"/>
              </w:rPr>
              <w:t>130</w:t>
            </w:r>
            <w:r w:rsidR="00734DBD">
              <w:rPr>
                <w:rFonts w:ascii="Times New Roman" w:hAnsi="Times New Roman" w:cs="Times New Roman"/>
                <w:sz w:val="18"/>
                <w:szCs w:val="18"/>
                <w:lang w:val="en-US"/>
              </w:rPr>
              <w:fldChar w:fldCharType="end"/>
            </w:r>
          </w:p>
        </w:tc>
        <w:tc>
          <w:tcPr>
            <w:tcW w:w="767" w:type="dxa"/>
            <w:noWrap/>
            <w:hideMark/>
          </w:tcPr>
          <w:p w:rsidR="00CA652E" w:rsidRPr="00AA4013" w:rsidRDefault="00CA652E" w:rsidP="00B3156F">
            <w:pPr>
              <w:cnfStyle w:val="000000100000"/>
              <w:rPr>
                <w:rFonts w:ascii="Times New Roman" w:hAnsi="Times New Roman" w:cs="Times New Roman"/>
                <w:bCs/>
                <w:sz w:val="18"/>
                <w:szCs w:val="18"/>
              </w:rPr>
            </w:pPr>
            <w:r w:rsidRPr="00B77566">
              <w:rPr>
                <w:rFonts w:ascii="Times New Roman" w:hAnsi="Times New Roman" w:cs="Times New Roman"/>
                <w:bCs/>
                <w:sz w:val="18"/>
                <w:szCs w:val="18"/>
                <w:lang w:val="en-US"/>
              </w:rPr>
              <w:t>Coho</w:t>
            </w:r>
            <w:proofErr w:type="spellStart"/>
            <w:r>
              <w:rPr>
                <w:rFonts w:ascii="Times New Roman" w:hAnsi="Times New Roman" w:cs="Times New Roman"/>
                <w:bCs/>
                <w:sz w:val="18"/>
                <w:szCs w:val="18"/>
              </w:rPr>
              <w:t>rt</w:t>
            </w:r>
            <w:proofErr w:type="spellEnd"/>
          </w:p>
        </w:tc>
        <w:tc>
          <w:tcPr>
            <w:tcW w:w="1206" w:type="dxa"/>
          </w:tcPr>
          <w:p w:rsidR="00CA652E" w:rsidRPr="009419E0" w:rsidRDefault="00CA652E" w:rsidP="00B3156F">
            <w:pPr>
              <w:cnfStyle w:val="000000100000"/>
              <w:rPr>
                <w:rFonts w:ascii="Times New Roman" w:hAnsi="Times New Roman" w:cs="Times New Roman"/>
                <w:sz w:val="18"/>
                <w:szCs w:val="18"/>
                <w:lang w:val="en-US"/>
              </w:rPr>
            </w:pPr>
            <w:r w:rsidRPr="009419E0">
              <w:rPr>
                <w:rFonts w:ascii="Times New Roman" w:hAnsi="Times New Roman" w:cs="Times New Roman"/>
                <w:sz w:val="18"/>
                <w:szCs w:val="18"/>
                <w:lang w:val="en-US"/>
              </w:rPr>
              <w:t xml:space="preserve">Two groups </w:t>
            </w:r>
            <w:r>
              <w:rPr>
                <w:rFonts w:ascii="Times New Roman" w:hAnsi="Times New Roman" w:cs="Times New Roman"/>
                <w:sz w:val="18"/>
                <w:szCs w:val="18"/>
                <w:lang w:val="en-US"/>
              </w:rPr>
              <w:t xml:space="preserve">1) </w:t>
            </w:r>
            <w:r w:rsidRPr="009419E0">
              <w:rPr>
                <w:rFonts w:ascii="Times New Roman" w:hAnsi="Times New Roman" w:cs="Times New Roman"/>
                <w:sz w:val="18"/>
                <w:szCs w:val="18"/>
                <w:lang w:val="en-US"/>
              </w:rPr>
              <w:t>osteoporosis</w:t>
            </w:r>
            <w:r>
              <w:rPr>
                <w:rFonts w:ascii="Times New Roman" w:hAnsi="Times New Roman" w:cs="Times New Roman"/>
                <w:sz w:val="18"/>
                <w:szCs w:val="18"/>
                <w:lang w:val="en-US"/>
              </w:rPr>
              <w:t xml:space="preserve"> and </w:t>
            </w:r>
            <w:proofErr w:type="spellStart"/>
            <w:r>
              <w:rPr>
                <w:rFonts w:ascii="Times New Roman" w:hAnsi="Times New Roman" w:cs="Times New Roman"/>
                <w:sz w:val="18"/>
                <w:szCs w:val="18"/>
                <w:lang w:val="en-US"/>
              </w:rPr>
              <w:t>osteopenia</w:t>
            </w:r>
            <w:proofErr w:type="spellEnd"/>
            <w:r>
              <w:rPr>
                <w:rFonts w:ascii="Times New Roman" w:hAnsi="Times New Roman" w:cs="Times New Roman"/>
                <w:sz w:val="18"/>
                <w:szCs w:val="18"/>
                <w:lang w:val="en-US"/>
              </w:rPr>
              <w:t xml:space="preserve"> with fractures 2) normal or </w:t>
            </w:r>
            <w:proofErr w:type="spellStart"/>
            <w:r>
              <w:rPr>
                <w:rFonts w:ascii="Times New Roman" w:hAnsi="Times New Roman" w:cs="Times New Roman"/>
                <w:sz w:val="18"/>
                <w:szCs w:val="18"/>
                <w:lang w:val="en-US"/>
              </w:rPr>
              <w:t>osteopenia</w:t>
            </w:r>
            <w:proofErr w:type="spellEnd"/>
            <w:r>
              <w:rPr>
                <w:rFonts w:ascii="Times New Roman" w:hAnsi="Times New Roman" w:cs="Times New Roman"/>
                <w:sz w:val="18"/>
                <w:szCs w:val="18"/>
                <w:lang w:val="en-US"/>
              </w:rPr>
              <w:t xml:space="preserve"> without fractures</w:t>
            </w:r>
          </w:p>
        </w:tc>
        <w:tc>
          <w:tcPr>
            <w:tcW w:w="2046" w:type="dxa"/>
            <w:noWrap/>
            <w:hideMark/>
          </w:tcPr>
          <w:p w:rsidR="00CA652E" w:rsidRPr="009419E0" w:rsidRDefault="00CA65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Risedronate</w:t>
            </w:r>
            <w:proofErr w:type="spellEnd"/>
            <w:r>
              <w:rPr>
                <w:rFonts w:ascii="Times New Roman" w:hAnsi="Times New Roman" w:cs="Times New Roman"/>
                <w:sz w:val="18"/>
                <w:szCs w:val="18"/>
                <w:lang w:val="en-US"/>
              </w:rPr>
              <w:t xml:space="preserve"> twice monthly 12 months in group 1. Both groups with </w:t>
            </w:r>
            <w:r w:rsidRPr="0050568D">
              <w:rPr>
                <w:rFonts w:ascii="Times New Roman" w:hAnsi="Times New Roman" w:cs="Times New Roman"/>
                <w:sz w:val="18"/>
                <w:szCs w:val="18"/>
                <w:lang w:val="en-US"/>
              </w:rPr>
              <w:t>calcium and vitamin D</w:t>
            </w:r>
            <w:r>
              <w:rPr>
                <w:rFonts w:ascii="Times New Roman" w:hAnsi="Times New Roman" w:cs="Times New Roman"/>
                <w:sz w:val="18"/>
                <w:szCs w:val="18"/>
                <w:lang w:val="en-US"/>
              </w:rPr>
              <w:t>.</w:t>
            </w:r>
          </w:p>
        </w:tc>
        <w:tc>
          <w:tcPr>
            <w:tcW w:w="787" w:type="dxa"/>
            <w:noWrap/>
            <w:hideMark/>
          </w:tcPr>
          <w:p w:rsidR="00CA652E" w:rsidRPr="009419E0" w:rsidRDefault="00CA652E" w:rsidP="00B3156F">
            <w:pPr>
              <w:cnfStyle w:val="000000100000"/>
              <w:rPr>
                <w:rFonts w:ascii="Times New Roman" w:hAnsi="Times New Roman" w:cs="Times New Roman"/>
                <w:sz w:val="18"/>
                <w:szCs w:val="18"/>
                <w:lang w:val="en-US"/>
              </w:rPr>
            </w:pPr>
            <w:r w:rsidRPr="009419E0">
              <w:rPr>
                <w:rFonts w:ascii="Times New Roman" w:hAnsi="Times New Roman" w:cs="Times New Roman"/>
                <w:sz w:val="18"/>
                <w:szCs w:val="18"/>
                <w:lang w:val="en-US"/>
              </w:rPr>
              <w:t>41</w:t>
            </w:r>
          </w:p>
        </w:tc>
        <w:tc>
          <w:tcPr>
            <w:tcW w:w="846" w:type="dxa"/>
            <w:noWrap/>
            <w:hideMark/>
          </w:tcPr>
          <w:p w:rsidR="00CA652E" w:rsidRPr="009419E0"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100</w:t>
            </w:r>
            <w:r>
              <w:rPr>
                <w:rFonts w:ascii="Times New Roman" w:eastAsia="Times New Roman" w:hAnsi="Times New Roman" w:cs="Times New Roman"/>
                <w:color w:val="000000"/>
                <w:sz w:val="18"/>
                <w:szCs w:val="18"/>
              </w:rPr>
              <w:t>%</w:t>
            </w:r>
          </w:p>
        </w:tc>
        <w:tc>
          <w:tcPr>
            <w:tcW w:w="787" w:type="dxa"/>
            <w:noWrap/>
            <w:hideMark/>
          </w:tcPr>
          <w:p w:rsidR="00CA652E" w:rsidRPr="009419E0"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44-53</w:t>
            </w:r>
          </w:p>
        </w:tc>
        <w:tc>
          <w:tcPr>
            <w:tcW w:w="1146" w:type="dxa"/>
          </w:tcPr>
          <w:p w:rsidR="00CA652E" w:rsidRPr="009419E0" w:rsidRDefault="00CA652E" w:rsidP="00B3156F">
            <w:pPr>
              <w:cnfStyle w:val="000000100000"/>
              <w:rPr>
                <w:rFonts w:ascii="Times New Roman" w:hAnsi="Times New Roman" w:cs="Times New Roman"/>
                <w:sz w:val="18"/>
                <w:szCs w:val="18"/>
                <w:lang w:val="en-US"/>
              </w:rPr>
            </w:pPr>
            <w:proofErr w:type="spellStart"/>
            <w:r>
              <w:rPr>
                <w:rFonts w:ascii="Times New Roman" w:hAnsi="Times New Roman" w:cs="Times New Roman"/>
                <w:sz w:val="18"/>
                <w:szCs w:val="18"/>
                <w:lang w:val="en-US"/>
              </w:rPr>
              <w:t>Risedronate</w:t>
            </w:r>
            <w:proofErr w:type="spellEnd"/>
            <w:r>
              <w:rPr>
                <w:rFonts w:ascii="Times New Roman" w:hAnsi="Times New Roman" w:cs="Times New Roman"/>
                <w:sz w:val="18"/>
                <w:szCs w:val="18"/>
                <w:lang w:val="en-US"/>
              </w:rPr>
              <w:t xml:space="preserve"> significantly increased lumbar spine BMD in group 1. Better response in </w:t>
            </w:r>
            <w:proofErr w:type="spellStart"/>
            <w:r>
              <w:rPr>
                <w:rFonts w:ascii="Times New Roman" w:hAnsi="Times New Roman" w:cs="Times New Roman"/>
                <w:sz w:val="18"/>
                <w:szCs w:val="18"/>
                <w:lang w:val="en-US"/>
              </w:rPr>
              <w:t>eugonadal</w:t>
            </w:r>
            <w:proofErr w:type="spellEnd"/>
            <w:r>
              <w:rPr>
                <w:rFonts w:ascii="Times New Roman" w:hAnsi="Times New Roman" w:cs="Times New Roman"/>
                <w:sz w:val="18"/>
                <w:szCs w:val="18"/>
                <w:lang w:val="en-US"/>
              </w:rPr>
              <w:t xml:space="preserve"> men compared to </w:t>
            </w:r>
            <w:proofErr w:type="spellStart"/>
            <w:r>
              <w:rPr>
                <w:rFonts w:ascii="Times New Roman" w:hAnsi="Times New Roman" w:cs="Times New Roman"/>
                <w:sz w:val="18"/>
                <w:szCs w:val="18"/>
                <w:lang w:val="en-US"/>
              </w:rPr>
              <w:t>hypogonadal</w:t>
            </w:r>
            <w:proofErr w:type="spellEnd"/>
            <w:r>
              <w:rPr>
                <w:rFonts w:ascii="Times New Roman" w:hAnsi="Times New Roman" w:cs="Times New Roman"/>
                <w:sz w:val="18"/>
                <w:szCs w:val="18"/>
                <w:lang w:val="en-US"/>
              </w:rPr>
              <w:t xml:space="preserve"> men. </w:t>
            </w:r>
          </w:p>
        </w:tc>
        <w:tc>
          <w:tcPr>
            <w:tcW w:w="916" w:type="dxa"/>
            <w:noWrap/>
            <w:hideMark/>
          </w:tcPr>
          <w:p w:rsidR="00CA652E" w:rsidRPr="009419E0" w:rsidRDefault="00CA652E" w:rsidP="00B3156F">
            <w:pPr>
              <w:cnfStyle w:val="000000100000"/>
              <w:rPr>
                <w:rFonts w:ascii="Times New Roman" w:hAnsi="Times New Roman" w:cs="Times New Roman"/>
                <w:sz w:val="18"/>
                <w:szCs w:val="18"/>
                <w:lang w:val="en-US"/>
              </w:rPr>
            </w:pPr>
            <w:r>
              <w:rPr>
                <w:rFonts w:ascii="Times New Roman" w:hAnsi="Times New Roman" w:cs="Times New Roman"/>
                <w:sz w:val="18"/>
                <w:szCs w:val="18"/>
                <w:lang w:val="en-US"/>
              </w:rPr>
              <w:t>II</w:t>
            </w:r>
          </w:p>
        </w:tc>
      </w:tr>
    </w:tbl>
    <w:p w:rsidR="00CA652E" w:rsidRDefault="00CA652E" w:rsidP="00CA652E">
      <w:pPr>
        <w:spacing w:after="0" w:line="24" w:lineRule="atLeast"/>
        <w:rPr>
          <w:rFonts w:ascii="Times New Roman" w:hAnsi="Times New Roman" w:cs="Times New Roman"/>
          <w:sz w:val="18"/>
          <w:szCs w:val="18"/>
          <w:lang w:val="en-US"/>
        </w:rPr>
      </w:pPr>
      <w:r w:rsidRPr="004629DC">
        <w:rPr>
          <w:rFonts w:ascii="Times New Roman" w:hAnsi="Times New Roman" w:cs="Times New Roman"/>
          <w:sz w:val="18"/>
          <w:szCs w:val="18"/>
          <w:lang w:val="en-US"/>
        </w:rPr>
        <w:t xml:space="preserve">Age (years) </w:t>
      </w:r>
      <w:r>
        <w:rPr>
          <w:rFonts w:ascii="Times New Roman" w:hAnsi="Times New Roman" w:cs="Times New Roman"/>
          <w:sz w:val="18"/>
          <w:szCs w:val="18"/>
          <w:lang w:val="en-US"/>
        </w:rPr>
        <w:t>is presented as a mean</w:t>
      </w:r>
      <w:r w:rsidRPr="004629DC">
        <w:rPr>
          <w:rFonts w:ascii="Times New Roman" w:hAnsi="Times New Roman" w:cs="Times New Roman"/>
          <w:sz w:val="18"/>
          <w:szCs w:val="18"/>
          <w:lang w:val="en-US"/>
        </w:rPr>
        <w:t xml:space="preserve">. </w:t>
      </w:r>
      <w:r>
        <w:rPr>
          <w:rFonts w:ascii="Times New Roman" w:hAnsi="Times New Roman" w:cs="Times New Roman"/>
          <w:sz w:val="18"/>
          <w:szCs w:val="18"/>
          <w:lang w:val="en-US"/>
        </w:rPr>
        <w:t>Level of evidence based on level of evidence for prognostic studies</w:t>
      </w:r>
    </w:p>
    <w:p w:rsidR="00CA652E" w:rsidRDefault="00CA652E" w:rsidP="00CA652E">
      <w:pPr>
        <w:spacing w:after="0" w:line="24" w:lineRule="atLeast"/>
        <w:rPr>
          <w:rFonts w:ascii="Times New Roman" w:hAnsi="Times New Roman" w:cs="Times New Roman"/>
          <w:sz w:val="18"/>
          <w:szCs w:val="18"/>
          <w:lang w:val="en-US"/>
        </w:rPr>
      </w:pPr>
      <w:r>
        <w:rPr>
          <w:rFonts w:ascii="Times New Roman" w:hAnsi="Times New Roman" w:cs="Times New Roman"/>
          <w:sz w:val="18"/>
          <w:szCs w:val="18"/>
          <w:lang w:val="en-US"/>
        </w:rPr>
        <w:t>Bone mineral density (BMD), p</w:t>
      </w:r>
      <w:r w:rsidRPr="00054F81">
        <w:rPr>
          <w:rFonts w:ascii="Times New Roman" w:hAnsi="Times New Roman" w:cs="Times New Roman"/>
          <w:sz w:val="18"/>
          <w:szCs w:val="18"/>
          <w:lang w:val="en-US"/>
        </w:rPr>
        <w:t xml:space="preserve">atients living with HIV </w:t>
      </w:r>
      <w:r>
        <w:rPr>
          <w:rFonts w:ascii="Times New Roman" w:hAnsi="Times New Roman" w:cs="Times New Roman"/>
          <w:sz w:val="18"/>
          <w:szCs w:val="18"/>
          <w:lang w:val="en-US"/>
        </w:rPr>
        <w:t>(PLHIV), randomized controlled trial (RCT)</w:t>
      </w:r>
    </w:p>
    <w:p w:rsidR="00CA652E" w:rsidRPr="0086408F" w:rsidRDefault="00CA652E" w:rsidP="00CA652E">
      <w:pPr>
        <w:rPr>
          <w:rFonts w:ascii="Times New Roman" w:hAnsi="Times New Roman" w:cs="Times New Roman"/>
          <w:iCs/>
          <w:sz w:val="24"/>
          <w:szCs w:val="24"/>
          <w:lang w:val="en-US"/>
        </w:rPr>
      </w:pPr>
    </w:p>
    <w:p w:rsidR="00CA652E" w:rsidRDefault="00CA652E" w:rsidP="00CA652E">
      <w:pPr>
        <w:rPr>
          <w:rFonts w:ascii="Times New Roman" w:hAnsi="Times New Roman" w:cs="Times New Roman"/>
          <w:iCs/>
          <w:sz w:val="24"/>
          <w:szCs w:val="24"/>
          <w:lang w:val="en-GB"/>
        </w:rPr>
      </w:pPr>
      <w:r>
        <w:rPr>
          <w:rFonts w:ascii="Times New Roman" w:hAnsi="Times New Roman" w:cs="Times New Roman"/>
          <w:iCs/>
          <w:sz w:val="24"/>
          <w:szCs w:val="24"/>
          <w:lang w:val="en-GB"/>
        </w:rPr>
        <w:br w:type="page"/>
      </w:r>
    </w:p>
    <w:p w:rsidR="00CA652E" w:rsidRDefault="00CA652E" w:rsidP="00CA652E">
      <w:pPr>
        <w:rPr>
          <w:rFonts w:ascii="Times New Roman" w:hAnsi="Times New Roman" w:cs="Times New Roman"/>
          <w:iCs/>
          <w:sz w:val="24"/>
          <w:szCs w:val="24"/>
          <w:lang w:val="en-GB"/>
        </w:rPr>
      </w:pPr>
    </w:p>
    <w:p w:rsidR="00CA652E" w:rsidRDefault="004B77E9" w:rsidP="00CA652E">
      <w:pPr>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t>Supplementary</w:t>
      </w:r>
      <w:r>
        <w:rPr>
          <w:rFonts w:ascii="Times New Roman" w:hAnsi="Times New Roman" w:cs="Times New Roman"/>
          <w:iCs/>
          <w:sz w:val="24"/>
          <w:szCs w:val="24"/>
          <w:lang w:val="en-GB"/>
        </w:rPr>
        <w:t xml:space="preserve"> </w:t>
      </w:r>
      <w:r w:rsidR="002F0713">
        <w:rPr>
          <w:rFonts w:ascii="Times New Roman" w:hAnsi="Times New Roman" w:cs="Times New Roman"/>
          <w:iCs/>
          <w:sz w:val="24"/>
          <w:szCs w:val="24"/>
          <w:lang w:val="en-GB"/>
        </w:rPr>
        <w:t>Table 6</w:t>
      </w:r>
      <w:r w:rsidR="00CA652E">
        <w:rPr>
          <w:rFonts w:ascii="Times New Roman" w:hAnsi="Times New Roman" w:cs="Times New Roman"/>
          <w:iCs/>
          <w:sz w:val="24"/>
          <w:szCs w:val="24"/>
          <w:lang w:val="en-GB"/>
        </w:rPr>
        <w:t>.</w:t>
      </w:r>
      <w:proofErr w:type="gramEnd"/>
      <w:r w:rsidR="00CA652E">
        <w:rPr>
          <w:rFonts w:ascii="Times New Roman" w:hAnsi="Times New Roman" w:cs="Times New Roman"/>
          <w:iCs/>
          <w:sz w:val="24"/>
          <w:szCs w:val="24"/>
          <w:lang w:val="en-GB"/>
        </w:rPr>
        <w:t xml:space="preserve"> Guidelines identified for the management of osteoporosis in patients living with HIV.</w:t>
      </w:r>
    </w:p>
    <w:tbl>
      <w:tblPr>
        <w:tblStyle w:val="Lysskygge1"/>
        <w:tblW w:w="9617" w:type="dxa"/>
        <w:tblLook w:val="04A0"/>
      </w:tblPr>
      <w:tblGrid>
        <w:gridCol w:w="1343"/>
        <w:gridCol w:w="1381"/>
        <w:gridCol w:w="1340"/>
        <w:gridCol w:w="1693"/>
        <w:gridCol w:w="1410"/>
        <w:gridCol w:w="1073"/>
        <w:gridCol w:w="1377"/>
      </w:tblGrid>
      <w:tr w:rsidR="00CA652E" w:rsidRPr="0008450F" w:rsidTr="00B3156F">
        <w:trPr>
          <w:cnfStyle w:val="100000000000"/>
          <w:trHeight w:val="387"/>
        </w:trPr>
        <w:tc>
          <w:tcPr>
            <w:cnfStyle w:val="001000000000"/>
            <w:tcW w:w="1343" w:type="dxa"/>
          </w:tcPr>
          <w:p w:rsidR="00CA652E" w:rsidRPr="00B8544C" w:rsidRDefault="00CA652E" w:rsidP="00B3156F">
            <w:pPr>
              <w:rPr>
                <w:rFonts w:ascii="Times New Roman" w:hAnsi="Times New Roman" w:cs="Times New Roman"/>
                <w:sz w:val="16"/>
                <w:szCs w:val="16"/>
                <w:lang w:val="en-US"/>
              </w:rPr>
            </w:pPr>
            <w:r w:rsidRPr="00B8544C">
              <w:rPr>
                <w:rFonts w:ascii="Times New Roman" w:hAnsi="Times New Roman" w:cs="Times New Roman"/>
                <w:sz w:val="16"/>
                <w:szCs w:val="16"/>
                <w:lang w:val="en-US"/>
              </w:rPr>
              <w:t>Source</w:t>
            </w:r>
          </w:p>
        </w:tc>
        <w:tc>
          <w:tcPr>
            <w:tcW w:w="1381" w:type="dxa"/>
          </w:tcPr>
          <w:p w:rsidR="00CA652E" w:rsidRPr="00B8544C" w:rsidRDefault="00CA652E" w:rsidP="00B3156F">
            <w:pPr>
              <w:cnfStyle w:val="100000000000"/>
              <w:rPr>
                <w:rFonts w:ascii="Times New Roman" w:hAnsi="Times New Roman" w:cs="Times New Roman"/>
                <w:sz w:val="16"/>
                <w:szCs w:val="16"/>
                <w:lang w:val="en-US"/>
              </w:rPr>
            </w:pPr>
            <w:r w:rsidRPr="00B8544C">
              <w:rPr>
                <w:rFonts w:ascii="Times New Roman" w:hAnsi="Times New Roman" w:cs="Times New Roman"/>
                <w:sz w:val="16"/>
                <w:szCs w:val="16"/>
                <w:lang w:val="en-US"/>
              </w:rPr>
              <w:t>Whom to screen</w:t>
            </w:r>
          </w:p>
        </w:tc>
        <w:tc>
          <w:tcPr>
            <w:tcW w:w="1340" w:type="dxa"/>
          </w:tcPr>
          <w:p w:rsidR="00CA652E" w:rsidRPr="00B8544C" w:rsidRDefault="00CA652E" w:rsidP="00B3156F">
            <w:pPr>
              <w:cnfStyle w:val="100000000000"/>
              <w:rPr>
                <w:rFonts w:ascii="Times New Roman" w:hAnsi="Times New Roman" w:cs="Times New Roman"/>
                <w:sz w:val="16"/>
                <w:szCs w:val="16"/>
                <w:lang w:val="en-US"/>
              </w:rPr>
            </w:pPr>
            <w:r w:rsidRPr="00B8544C">
              <w:rPr>
                <w:rFonts w:ascii="Times New Roman" w:hAnsi="Times New Roman" w:cs="Times New Roman"/>
                <w:sz w:val="16"/>
                <w:szCs w:val="16"/>
                <w:lang w:val="en-US"/>
              </w:rPr>
              <w:t>Repeat screening</w:t>
            </w:r>
          </w:p>
        </w:tc>
        <w:tc>
          <w:tcPr>
            <w:tcW w:w="1693" w:type="dxa"/>
          </w:tcPr>
          <w:p w:rsidR="00CA652E" w:rsidRPr="00B8544C" w:rsidRDefault="00CA652E" w:rsidP="00B3156F">
            <w:pPr>
              <w:cnfStyle w:val="100000000000"/>
              <w:rPr>
                <w:rFonts w:ascii="Times New Roman" w:hAnsi="Times New Roman" w:cs="Times New Roman"/>
                <w:sz w:val="16"/>
                <w:szCs w:val="16"/>
                <w:lang w:val="en-US"/>
              </w:rPr>
            </w:pPr>
            <w:r w:rsidRPr="00B8544C">
              <w:rPr>
                <w:rFonts w:ascii="Times New Roman" w:hAnsi="Times New Roman" w:cs="Times New Roman"/>
                <w:sz w:val="16"/>
                <w:szCs w:val="16"/>
                <w:lang w:val="en-US"/>
              </w:rPr>
              <w:t>Whom to treat</w:t>
            </w:r>
          </w:p>
        </w:tc>
        <w:tc>
          <w:tcPr>
            <w:tcW w:w="1410" w:type="dxa"/>
          </w:tcPr>
          <w:p w:rsidR="00CA652E" w:rsidRPr="00B8544C" w:rsidRDefault="00CA652E" w:rsidP="00B3156F">
            <w:pPr>
              <w:cnfStyle w:val="100000000000"/>
              <w:rPr>
                <w:rFonts w:ascii="Times New Roman" w:hAnsi="Times New Roman" w:cs="Times New Roman"/>
                <w:sz w:val="16"/>
                <w:szCs w:val="16"/>
                <w:lang w:val="en-US"/>
              </w:rPr>
            </w:pPr>
            <w:r w:rsidRPr="00B8544C">
              <w:rPr>
                <w:rFonts w:ascii="Times New Roman" w:hAnsi="Times New Roman" w:cs="Times New Roman"/>
                <w:sz w:val="16"/>
                <w:szCs w:val="16"/>
                <w:lang w:val="en-US"/>
              </w:rPr>
              <w:t>Treatment</w:t>
            </w:r>
          </w:p>
        </w:tc>
        <w:tc>
          <w:tcPr>
            <w:tcW w:w="1073" w:type="dxa"/>
          </w:tcPr>
          <w:p w:rsidR="00CA652E" w:rsidRPr="00B8544C" w:rsidRDefault="00CA652E" w:rsidP="00B3156F">
            <w:pPr>
              <w:cnfStyle w:val="100000000000"/>
              <w:rPr>
                <w:rFonts w:ascii="Times New Roman" w:hAnsi="Times New Roman" w:cs="Times New Roman"/>
                <w:sz w:val="16"/>
                <w:szCs w:val="16"/>
                <w:lang w:val="en-US"/>
              </w:rPr>
            </w:pPr>
            <w:r w:rsidRPr="00B8544C">
              <w:rPr>
                <w:rFonts w:ascii="Times New Roman" w:hAnsi="Times New Roman" w:cs="Times New Roman"/>
                <w:sz w:val="16"/>
                <w:szCs w:val="16"/>
                <w:lang w:val="en-US"/>
              </w:rPr>
              <w:t>Dose</w:t>
            </w:r>
          </w:p>
        </w:tc>
        <w:tc>
          <w:tcPr>
            <w:tcW w:w="1377" w:type="dxa"/>
          </w:tcPr>
          <w:p w:rsidR="00CA652E" w:rsidRPr="00B8544C" w:rsidRDefault="00CA652E" w:rsidP="00B3156F">
            <w:pPr>
              <w:cnfStyle w:val="100000000000"/>
              <w:rPr>
                <w:rFonts w:ascii="Times New Roman" w:hAnsi="Times New Roman" w:cs="Times New Roman"/>
                <w:sz w:val="16"/>
                <w:szCs w:val="16"/>
                <w:lang w:val="en-US"/>
              </w:rPr>
            </w:pPr>
            <w:r w:rsidRPr="00B8544C">
              <w:rPr>
                <w:rFonts w:ascii="Times New Roman" w:hAnsi="Times New Roman" w:cs="Times New Roman"/>
                <w:sz w:val="16"/>
                <w:szCs w:val="16"/>
                <w:lang w:val="en-US"/>
              </w:rPr>
              <w:t>Duration of treatment</w:t>
            </w:r>
          </w:p>
        </w:tc>
      </w:tr>
      <w:tr w:rsidR="00CA652E" w:rsidRPr="00643A2E" w:rsidTr="00B3156F">
        <w:trPr>
          <w:cnfStyle w:val="000000100000"/>
          <w:trHeight w:val="2114"/>
        </w:trPr>
        <w:tc>
          <w:tcPr>
            <w:cnfStyle w:val="001000000000"/>
            <w:tcW w:w="1343" w:type="dxa"/>
          </w:tcPr>
          <w:p w:rsidR="00CA652E" w:rsidRPr="00B8544C" w:rsidRDefault="00CA652E" w:rsidP="00B3156F">
            <w:pPr>
              <w:rPr>
                <w:rFonts w:ascii="Times New Roman" w:hAnsi="Times New Roman" w:cs="Times New Roman"/>
                <w:b w:val="0"/>
                <w:sz w:val="16"/>
                <w:szCs w:val="16"/>
                <w:lang w:val="en-US"/>
              </w:rPr>
            </w:pPr>
            <w:proofErr w:type="spellStart"/>
            <w:r w:rsidRPr="00B8544C">
              <w:rPr>
                <w:rFonts w:ascii="Times New Roman" w:hAnsi="Times New Roman" w:cs="Times New Roman"/>
                <w:b w:val="0"/>
                <w:sz w:val="16"/>
                <w:szCs w:val="16"/>
                <w:lang w:val="en-US"/>
              </w:rPr>
              <w:t>Osteo</w:t>
            </w:r>
            <w:proofErr w:type="spellEnd"/>
            <w:r w:rsidRPr="00B8544C">
              <w:rPr>
                <w:rFonts w:ascii="Times New Roman" w:hAnsi="Times New Roman" w:cs="Times New Roman"/>
                <w:b w:val="0"/>
                <w:sz w:val="16"/>
                <w:szCs w:val="16"/>
                <w:lang w:val="en-US"/>
              </w:rPr>
              <w:t xml:space="preserve"> Renal Exchange Program,</w:t>
            </w:r>
          </w:p>
          <w:p w:rsidR="00CA652E" w:rsidRPr="00B8544C" w:rsidRDefault="00734DBD" w:rsidP="009A2FA4">
            <w:pPr>
              <w:rPr>
                <w:rFonts w:ascii="Times New Roman" w:hAnsi="Times New Roman" w:cs="Times New Roman"/>
                <w:b w:val="0"/>
                <w:sz w:val="16"/>
                <w:szCs w:val="16"/>
                <w:lang w:val="en-US"/>
              </w:rPr>
            </w:pPr>
            <w:r w:rsidRPr="00B8544C">
              <w:rPr>
                <w:rFonts w:ascii="Times New Roman" w:hAnsi="Times New Roman" w:cs="Times New Roman"/>
                <w:sz w:val="16"/>
                <w:szCs w:val="16"/>
                <w:lang w:val="en-US"/>
              </w:rPr>
              <w:fldChar w:fldCharType="begin"/>
            </w:r>
            <w:r w:rsidR="00CA652E" w:rsidRPr="00B8544C">
              <w:rPr>
                <w:rFonts w:ascii="Times New Roman" w:hAnsi="Times New Roman" w:cs="Times New Roman"/>
                <w:b w:val="0"/>
                <w:sz w:val="16"/>
                <w:szCs w:val="16"/>
                <w:lang w:val="en-US"/>
              </w:rPr>
              <w:instrText>ADDIN RW.CITE{{92 Brown,T.T. 2015}}</w:instrText>
            </w:r>
            <w:r w:rsidRPr="00B8544C">
              <w:rPr>
                <w:rFonts w:ascii="Times New Roman" w:hAnsi="Times New Roman" w:cs="Times New Roman"/>
                <w:sz w:val="16"/>
                <w:szCs w:val="16"/>
                <w:lang w:val="en-US"/>
              </w:rPr>
              <w:fldChar w:fldCharType="separate"/>
            </w:r>
            <w:r w:rsidR="009A2FA4">
              <w:rPr>
                <w:rFonts w:ascii="Calibri" w:eastAsia="Times New Roman" w:hAnsi="Calibri" w:cs="Calibri"/>
                <w:sz w:val="16"/>
                <w:szCs w:val="16"/>
                <w:vertAlign w:val="superscript"/>
              </w:rPr>
              <w:t>131</w:t>
            </w:r>
            <w:r w:rsidRPr="00B8544C">
              <w:rPr>
                <w:rFonts w:ascii="Times New Roman" w:hAnsi="Times New Roman" w:cs="Times New Roman"/>
                <w:sz w:val="16"/>
                <w:szCs w:val="16"/>
                <w:lang w:val="en-US"/>
              </w:rPr>
              <w:fldChar w:fldCharType="end"/>
            </w:r>
          </w:p>
        </w:tc>
        <w:tc>
          <w:tcPr>
            <w:tcW w:w="1381"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Individuals 40-50 year old with FRAX score &gt;10%, all ≥ 50 year old, all using glucocorticoids or history of fragility fracture or high risk of falls </w:t>
            </w:r>
          </w:p>
        </w:tc>
        <w:tc>
          <w:tcPr>
            <w:tcW w:w="1340"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1) T-score -1</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01 to -1</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99 in 5 years.</w:t>
            </w:r>
          </w:p>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2) T-score -2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00 to -2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 xml:space="preserve">49 or started on </w:t>
            </w:r>
            <w:proofErr w:type="spellStart"/>
            <w:r w:rsidRPr="00C12352">
              <w:rPr>
                <w:rFonts w:ascii="Times New Roman" w:hAnsi="Times New Roman" w:cs="Times New Roman"/>
                <w:sz w:val="16"/>
                <w:szCs w:val="16"/>
                <w:lang w:val="en-US"/>
              </w:rPr>
              <w:t>bisphosphonates</w:t>
            </w:r>
            <w:proofErr w:type="spellEnd"/>
            <w:r w:rsidRPr="00C12352">
              <w:rPr>
                <w:rFonts w:ascii="Times New Roman" w:hAnsi="Times New Roman" w:cs="Times New Roman"/>
                <w:sz w:val="16"/>
                <w:szCs w:val="16"/>
                <w:lang w:val="en-US"/>
              </w:rPr>
              <w:t xml:space="preserve"> 1-2 years.</w:t>
            </w:r>
          </w:p>
        </w:tc>
        <w:tc>
          <w:tcPr>
            <w:tcW w:w="1693"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1) Hip or vertebral fracture 2) T-score between -1</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0 and -2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5 and FRAX score ≥ 20 % or 3 ≥ at the hip 3) T-score≤-2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 xml:space="preserve">5 at FN, TH or LS  </w:t>
            </w:r>
          </w:p>
        </w:tc>
        <w:tc>
          <w:tcPr>
            <w:tcW w:w="1410"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Consider </w:t>
            </w:r>
            <w:proofErr w:type="spellStart"/>
            <w:r w:rsidRPr="00C12352">
              <w:rPr>
                <w:rFonts w:ascii="Times New Roman" w:hAnsi="Times New Roman" w:cs="Times New Roman"/>
                <w:sz w:val="16"/>
                <w:szCs w:val="16"/>
                <w:lang w:val="en-US"/>
              </w:rPr>
              <w:t>bisphosphonate</w:t>
            </w:r>
            <w:proofErr w:type="spellEnd"/>
            <w:r w:rsidRPr="00C12352">
              <w:rPr>
                <w:rFonts w:ascii="Times New Roman" w:hAnsi="Times New Roman" w:cs="Times New Roman"/>
                <w:sz w:val="16"/>
                <w:szCs w:val="16"/>
                <w:lang w:val="en-US"/>
              </w:rPr>
              <w:t xml:space="preserve"> therapy. Ensure calcium and vitamin D intake. Lifestyle advice.</w:t>
            </w:r>
          </w:p>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If on TDF recommended switching to </w:t>
            </w:r>
            <w:proofErr w:type="spellStart"/>
            <w:r w:rsidRPr="00C12352">
              <w:rPr>
                <w:rFonts w:ascii="Times New Roman" w:hAnsi="Times New Roman" w:cs="Times New Roman"/>
                <w:sz w:val="16"/>
                <w:szCs w:val="16"/>
                <w:lang w:val="en-US"/>
              </w:rPr>
              <w:t>abacavir</w:t>
            </w:r>
            <w:proofErr w:type="spellEnd"/>
            <w:r w:rsidRPr="00C12352">
              <w:rPr>
                <w:rFonts w:ascii="Times New Roman" w:hAnsi="Times New Roman" w:cs="Times New Roman"/>
                <w:sz w:val="16"/>
                <w:szCs w:val="16"/>
                <w:lang w:val="en-US"/>
              </w:rPr>
              <w:t xml:space="preserve"> or </w:t>
            </w:r>
            <w:proofErr w:type="spellStart"/>
            <w:r w:rsidRPr="00C12352">
              <w:rPr>
                <w:rFonts w:ascii="Times New Roman" w:hAnsi="Times New Roman" w:cs="Times New Roman"/>
                <w:sz w:val="16"/>
                <w:szCs w:val="16"/>
                <w:lang w:val="en-US"/>
              </w:rPr>
              <w:t>raltegravir</w:t>
            </w:r>
            <w:proofErr w:type="spellEnd"/>
            <w:r w:rsidRPr="00C12352">
              <w:rPr>
                <w:rFonts w:ascii="Times New Roman" w:hAnsi="Times New Roman" w:cs="Times New Roman"/>
                <w:sz w:val="16"/>
                <w:szCs w:val="16"/>
                <w:lang w:val="en-US"/>
              </w:rPr>
              <w:t xml:space="preserve">. </w:t>
            </w:r>
          </w:p>
        </w:tc>
        <w:tc>
          <w:tcPr>
            <w:tcW w:w="1073"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70 mg </w:t>
            </w:r>
            <w:proofErr w:type="spellStart"/>
            <w:r w:rsidRPr="00C12352">
              <w:rPr>
                <w:rFonts w:ascii="Times New Roman" w:hAnsi="Times New Roman" w:cs="Times New Roman"/>
                <w:sz w:val="16"/>
                <w:szCs w:val="16"/>
                <w:lang w:val="en-US"/>
              </w:rPr>
              <w:t>alendronate</w:t>
            </w:r>
            <w:proofErr w:type="spellEnd"/>
            <w:r w:rsidRPr="00C12352">
              <w:rPr>
                <w:rFonts w:ascii="Times New Roman" w:hAnsi="Times New Roman" w:cs="Times New Roman"/>
                <w:sz w:val="16"/>
                <w:szCs w:val="16"/>
                <w:lang w:val="en-US"/>
              </w:rPr>
              <w:t xml:space="preserve"> once weekly or 5 mg </w:t>
            </w:r>
            <w:proofErr w:type="spellStart"/>
            <w:r w:rsidR="00643A2E">
              <w:rPr>
                <w:rFonts w:ascii="Times New Roman" w:hAnsi="Times New Roman" w:cs="Times New Roman"/>
                <w:sz w:val="16"/>
                <w:szCs w:val="16"/>
                <w:lang w:val="en-US"/>
              </w:rPr>
              <w:t>zole</w:t>
            </w:r>
            <w:r w:rsidR="00C12352" w:rsidRPr="00C12352">
              <w:rPr>
                <w:rFonts w:ascii="Times New Roman" w:hAnsi="Times New Roman" w:cs="Times New Roman"/>
                <w:sz w:val="16"/>
                <w:szCs w:val="16"/>
                <w:lang w:val="en-US"/>
              </w:rPr>
              <w:t>dronate</w:t>
            </w:r>
            <w:proofErr w:type="spellEnd"/>
            <w:r w:rsidR="00C12352" w:rsidRPr="00C12352">
              <w:rPr>
                <w:rFonts w:ascii="Times New Roman" w:hAnsi="Times New Roman" w:cs="Times New Roman"/>
                <w:sz w:val="16"/>
                <w:szCs w:val="16"/>
                <w:lang w:val="en-US"/>
              </w:rPr>
              <w:t xml:space="preserve"> </w:t>
            </w:r>
            <w:r w:rsidRPr="00C12352">
              <w:rPr>
                <w:rFonts w:ascii="Times New Roman" w:hAnsi="Times New Roman" w:cs="Times New Roman"/>
                <w:sz w:val="16"/>
                <w:szCs w:val="16"/>
                <w:lang w:val="en-US"/>
              </w:rPr>
              <w:t>yearly.</w:t>
            </w:r>
          </w:p>
        </w:tc>
        <w:tc>
          <w:tcPr>
            <w:tcW w:w="1377" w:type="dxa"/>
          </w:tcPr>
          <w:p w:rsidR="00CA652E" w:rsidRPr="001D1DCA" w:rsidRDefault="00CA652E" w:rsidP="00B3156F">
            <w:pPr>
              <w:cnfStyle w:val="000000100000"/>
              <w:rPr>
                <w:rFonts w:ascii="Times New Roman" w:hAnsi="Times New Roman" w:cs="Times New Roman"/>
                <w:sz w:val="16"/>
                <w:szCs w:val="16"/>
                <w:lang w:val="en-US"/>
              </w:rPr>
            </w:pPr>
            <w:r w:rsidRPr="001D1DCA">
              <w:rPr>
                <w:rFonts w:ascii="Times New Roman" w:hAnsi="Times New Roman" w:cs="Times New Roman"/>
                <w:sz w:val="16"/>
                <w:szCs w:val="16"/>
                <w:lang w:val="en-US"/>
              </w:rPr>
              <w:t xml:space="preserve">Reassess indication for </w:t>
            </w:r>
            <w:proofErr w:type="spellStart"/>
            <w:r w:rsidRPr="001D1DCA">
              <w:rPr>
                <w:rFonts w:ascii="Times New Roman" w:hAnsi="Times New Roman" w:cs="Times New Roman"/>
                <w:sz w:val="16"/>
                <w:szCs w:val="16"/>
                <w:lang w:val="en-US"/>
              </w:rPr>
              <w:t>bisphosphonates</w:t>
            </w:r>
            <w:proofErr w:type="spellEnd"/>
            <w:r w:rsidRPr="001D1DCA">
              <w:rPr>
                <w:rFonts w:ascii="Times New Roman" w:hAnsi="Times New Roman" w:cs="Times New Roman"/>
                <w:sz w:val="16"/>
                <w:szCs w:val="16"/>
                <w:lang w:val="en-US"/>
              </w:rPr>
              <w:t xml:space="preserve"> in 3-5 years.</w:t>
            </w:r>
          </w:p>
        </w:tc>
      </w:tr>
      <w:tr w:rsidR="00CA652E" w:rsidRPr="00643A2E" w:rsidTr="00B3156F">
        <w:trPr>
          <w:trHeight w:val="1932"/>
        </w:trPr>
        <w:tc>
          <w:tcPr>
            <w:cnfStyle w:val="001000000000"/>
            <w:tcW w:w="1343" w:type="dxa"/>
          </w:tcPr>
          <w:p w:rsidR="00CA652E" w:rsidRPr="00B8544C" w:rsidRDefault="00CA652E" w:rsidP="009A2FA4">
            <w:pPr>
              <w:rPr>
                <w:rFonts w:ascii="Times New Roman" w:hAnsi="Times New Roman" w:cs="Times New Roman"/>
                <w:b w:val="0"/>
                <w:sz w:val="16"/>
                <w:szCs w:val="16"/>
                <w:lang w:val="en-US"/>
              </w:rPr>
            </w:pPr>
            <w:proofErr w:type="spellStart"/>
            <w:r w:rsidRPr="00B8544C">
              <w:rPr>
                <w:rFonts w:ascii="Times New Roman" w:hAnsi="Times New Roman" w:cs="Times New Roman"/>
                <w:b w:val="0"/>
                <w:sz w:val="16"/>
                <w:szCs w:val="16"/>
                <w:lang w:val="en-US"/>
              </w:rPr>
              <w:t>McComsey</w:t>
            </w:r>
            <w:proofErr w:type="spellEnd"/>
            <w:r w:rsidRPr="00B8544C">
              <w:rPr>
                <w:rFonts w:ascii="Times New Roman" w:hAnsi="Times New Roman" w:cs="Times New Roman"/>
                <w:b w:val="0"/>
                <w:sz w:val="16"/>
                <w:szCs w:val="16"/>
                <w:lang w:val="en-US"/>
              </w:rPr>
              <w:t xml:space="preserve"> 2010 </w:t>
            </w:r>
            <w:r w:rsidR="00734DBD" w:rsidRPr="00B8544C">
              <w:rPr>
                <w:rFonts w:ascii="Times New Roman" w:hAnsi="Times New Roman" w:cs="Times New Roman"/>
                <w:sz w:val="16"/>
                <w:szCs w:val="16"/>
                <w:lang w:val="en-US"/>
              </w:rPr>
              <w:fldChar w:fldCharType="begin"/>
            </w:r>
            <w:r w:rsidRPr="00B8544C">
              <w:rPr>
                <w:rFonts w:ascii="Times New Roman" w:hAnsi="Times New Roman" w:cs="Times New Roman"/>
                <w:b w:val="0"/>
                <w:sz w:val="16"/>
                <w:szCs w:val="16"/>
                <w:lang w:val="en-US"/>
              </w:rPr>
              <w:instrText>ADDIN RW.CITE{{311 McComsey,G.A. 2010}}</w:instrText>
            </w:r>
            <w:r w:rsidR="00734DBD" w:rsidRPr="00B8544C">
              <w:rPr>
                <w:rFonts w:ascii="Times New Roman" w:hAnsi="Times New Roman" w:cs="Times New Roman"/>
                <w:sz w:val="16"/>
                <w:szCs w:val="16"/>
                <w:lang w:val="en-US"/>
              </w:rPr>
              <w:fldChar w:fldCharType="separate"/>
            </w:r>
            <w:r w:rsidR="009A2FA4">
              <w:rPr>
                <w:rFonts w:ascii="Calibri" w:eastAsia="Times New Roman" w:hAnsi="Calibri" w:cs="Calibri"/>
                <w:sz w:val="16"/>
                <w:szCs w:val="16"/>
                <w:vertAlign w:val="superscript"/>
              </w:rPr>
              <w:t>132</w:t>
            </w:r>
            <w:r w:rsidR="00734DBD" w:rsidRPr="00B8544C">
              <w:rPr>
                <w:rFonts w:ascii="Times New Roman" w:hAnsi="Times New Roman" w:cs="Times New Roman"/>
                <w:sz w:val="16"/>
                <w:szCs w:val="16"/>
                <w:lang w:val="en-US"/>
              </w:rPr>
              <w:fldChar w:fldCharType="end"/>
            </w:r>
          </w:p>
        </w:tc>
        <w:tc>
          <w:tcPr>
            <w:tcW w:w="1381"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 50 </w:t>
            </w:r>
            <w:proofErr w:type="gramStart"/>
            <w:r w:rsidRPr="00C12352">
              <w:rPr>
                <w:rFonts w:ascii="Times New Roman" w:hAnsi="Times New Roman" w:cs="Times New Roman"/>
                <w:sz w:val="16"/>
                <w:szCs w:val="16"/>
                <w:lang w:val="en-US"/>
              </w:rPr>
              <w:t>years</w:t>
            </w:r>
            <w:proofErr w:type="gramEnd"/>
            <w:r w:rsidRPr="00C12352">
              <w:rPr>
                <w:rFonts w:ascii="Times New Roman" w:hAnsi="Times New Roman" w:cs="Times New Roman"/>
                <w:sz w:val="16"/>
                <w:szCs w:val="16"/>
                <w:lang w:val="en-US"/>
              </w:rPr>
              <w:t xml:space="preserve"> males and postmenopausal women and/or history of fracture.</w:t>
            </w:r>
          </w:p>
        </w:tc>
        <w:tc>
          <w:tcPr>
            <w:tcW w:w="1340"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1) T-score &gt;-1 and no fragility fracture in 2-5 years. 2) T-score -1</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01 to -2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49 and no fragility fracture 1-2 years. 3) T-score ≤-2</w:t>
            </w:r>
            <w:r w:rsidRPr="00C12352">
              <w:rPr>
                <w:rFonts w:ascii="Times New Roman" w:eastAsia="Times New Roman" w:hAnsi="Times New Roman" w:cs="Times New Roman"/>
                <w:color w:val="000000"/>
                <w:sz w:val="16"/>
                <w:szCs w:val="16"/>
              </w:rPr>
              <w:t>·</w:t>
            </w:r>
            <w:r w:rsidRPr="00C12352">
              <w:rPr>
                <w:rFonts w:ascii="Times New Roman" w:hAnsi="Times New Roman" w:cs="Times New Roman"/>
                <w:sz w:val="16"/>
                <w:szCs w:val="16"/>
                <w:lang w:val="en-US"/>
              </w:rPr>
              <w:t>5 or fragility fracture 1-2 years.</w:t>
            </w:r>
          </w:p>
        </w:tc>
        <w:tc>
          <w:tcPr>
            <w:tcW w:w="1693"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T-score ≤-2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5 or fragility fracture.</w:t>
            </w:r>
          </w:p>
        </w:tc>
        <w:tc>
          <w:tcPr>
            <w:tcW w:w="1410"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Consider </w:t>
            </w:r>
            <w:proofErr w:type="spellStart"/>
            <w:r w:rsidRPr="00C12352">
              <w:rPr>
                <w:rFonts w:ascii="Times New Roman" w:hAnsi="Times New Roman" w:cs="Times New Roman"/>
                <w:sz w:val="16"/>
                <w:szCs w:val="16"/>
                <w:lang w:val="en-US"/>
              </w:rPr>
              <w:t>bisposphonate</w:t>
            </w:r>
            <w:proofErr w:type="spellEnd"/>
            <w:r w:rsidRPr="00C12352">
              <w:rPr>
                <w:rFonts w:ascii="Times New Roman" w:hAnsi="Times New Roman" w:cs="Times New Roman"/>
                <w:sz w:val="16"/>
                <w:szCs w:val="16"/>
                <w:lang w:val="en-US"/>
              </w:rPr>
              <w:t xml:space="preserve"> or other treatment.</w:t>
            </w:r>
          </w:p>
        </w:tc>
        <w:tc>
          <w:tcPr>
            <w:tcW w:w="1073" w:type="dxa"/>
          </w:tcPr>
          <w:p w:rsidR="00CA652E" w:rsidRPr="00C12352" w:rsidRDefault="00CA652E" w:rsidP="00B3156F">
            <w:pPr>
              <w:cnfStyle w:val="000000000000"/>
              <w:rPr>
                <w:rFonts w:ascii="Times New Roman" w:hAnsi="Times New Roman" w:cs="Times New Roman"/>
                <w:sz w:val="16"/>
                <w:szCs w:val="16"/>
                <w:lang w:val="en-US"/>
              </w:rPr>
            </w:pPr>
          </w:p>
        </w:tc>
        <w:tc>
          <w:tcPr>
            <w:tcW w:w="1377" w:type="dxa"/>
          </w:tcPr>
          <w:p w:rsidR="00CA652E" w:rsidRPr="001D1DCA" w:rsidRDefault="00CA652E" w:rsidP="00B3156F">
            <w:pPr>
              <w:cnfStyle w:val="000000000000"/>
              <w:rPr>
                <w:rFonts w:ascii="Times New Roman" w:hAnsi="Times New Roman" w:cs="Times New Roman"/>
                <w:sz w:val="16"/>
                <w:szCs w:val="16"/>
                <w:lang w:val="en-US"/>
              </w:rPr>
            </w:pPr>
          </w:p>
        </w:tc>
      </w:tr>
      <w:tr w:rsidR="00CA652E" w:rsidRPr="00643A2E" w:rsidTr="00B3156F">
        <w:trPr>
          <w:cnfStyle w:val="000000100000"/>
          <w:trHeight w:val="967"/>
        </w:trPr>
        <w:tc>
          <w:tcPr>
            <w:cnfStyle w:val="001000000000"/>
            <w:tcW w:w="1343" w:type="dxa"/>
          </w:tcPr>
          <w:p w:rsidR="00CA652E" w:rsidRPr="00B8544C" w:rsidRDefault="00CA652E" w:rsidP="009A2FA4">
            <w:pPr>
              <w:rPr>
                <w:rFonts w:ascii="Times New Roman" w:hAnsi="Times New Roman" w:cs="Times New Roman"/>
                <w:b w:val="0"/>
                <w:sz w:val="16"/>
                <w:szCs w:val="16"/>
                <w:lang w:val="en-US"/>
              </w:rPr>
            </w:pPr>
            <w:proofErr w:type="spellStart"/>
            <w:r w:rsidRPr="00B8544C">
              <w:rPr>
                <w:rFonts w:ascii="Times New Roman" w:hAnsi="Times New Roman" w:cs="Times New Roman"/>
                <w:b w:val="0"/>
                <w:sz w:val="16"/>
                <w:szCs w:val="16"/>
                <w:lang w:val="en-US"/>
              </w:rPr>
              <w:t>Bolland</w:t>
            </w:r>
            <w:proofErr w:type="spellEnd"/>
            <w:r w:rsidRPr="00B8544C">
              <w:rPr>
                <w:rFonts w:ascii="Times New Roman" w:hAnsi="Times New Roman" w:cs="Times New Roman"/>
                <w:b w:val="0"/>
                <w:sz w:val="16"/>
                <w:szCs w:val="16"/>
                <w:lang w:val="en-US"/>
              </w:rPr>
              <w:t xml:space="preserve"> 2015 </w:t>
            </w:r>
            <w:r w:rsidR="00734DBD" w:rsidRPr="00B8544C">
              <w:rPr>
                <w:rFonts w:ascii="Times New Roman" w:hAnsi="Times New Roman" w:cs="Times New Roman"/>
                <w:sz w:val="16"/>
                <w:szCs w:val="16"/>
                <w:lang w:val="en-US"/>
              </w:rPr>
              <w:fldChar w:fldCharType="begin"/>
            </w:r>
            <w:r w:rsidRPr="00B8544C">
              <w:rPr>
                <w:rFonts w:ascii="Times New Roman" w:hAnsi="Times New Roman" w:cs="Times New Roman"/>
                <w:b w:val="0"/>
                <w:sz w:val="16"/>
                <w:szCs w:val="16"/>
                <w:lang w:val="en-US"/>
              </w:rPr>
              <w:instrText>ADDIN RW.CITE{{71 Bolland,M.J. 2015}}</w:instrText>
            </w:r>
            <w:r w:rsidR="00734DBD" w:rsidRPr="00B8544C">
              <w:rPr>
                <w:rFonts w:ascii="Times New Roman" w:hAnsi="Times New Roman" w:cs="Times New Roman"/>
                <w:sz w:val="16"/>
                <w:szCs w:val="16"/>
                <w:lang w:val="en-US"/>
              </w:rPr>
              <w:fldChar w:fldCharType="separate"/>
            </w:r>
            <w:r w:rsidR="009A2FA4">
              <w:rPr>
                <w:rFonts w:ascii="Calibri" w:eastAsia="Times New Roman" w:hAnsi="Calibri" w:cs="Calibri"/>
                <w:sz w:val="16"/>
                <w:szCs w:val="16"/>
                <w:vertAlign w:val="superscript"/>
              </w:rPr>
              <w:t>133</w:t>
            </w:r>
            <w:r w:rsidR="00734DBD" w:rsidRPr="00B8544C">
              <w:rPr>
                <w:rFonts w:ascii="Times New Roman" w:hAnsi="Times New Roman" w:cs="Times New Roman"/>
                <w:sz w:val="16"/>
                <w:szCs w:val="16"/>
                <w:lang w:val="en-US"/>
              </w:rPr>
              <w:fldChar w:fldCharType="end"/>
            </w:r>
          </w:p>
        </w:tc>
        <w:tc>
          <w:tcPr>
            <w:tcW w:w="1381"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On stable ART: Age &gt;65-70 years or strong risk factors for fracture.</w:t>
            </w:r>
          </w:p>
        </w:tc>
        <w:tc>
          <w:tcPr>
            <w:tcW w:w="1340"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Periodically reassess fracture risk decided by baseline risk.</w:t>
            </w:r>
          </w:p>
        </w:tc>
        <w:tc>
          <w:tcPr>
            <w:tcW w:w="1693" w:type="dxa"/>
          </w:tcPr>
          <w:p w:rsidR="00CA652E" w:rsidRPr="00C12352" w:rsidRDefault="00CA652E" w:rsidP="00B3156F">
            <w:pPr>
              <w:cnfStyle w:val="000000100000"/>
              <w:rPr>
                <w:rFonts w:ascii="Times New Roman" w:hAnsi="Times New Roman" w:cs="Times New Roman"/>
                <w:sz w:val="16"/>
                <w:szCs w:val="16"/>
                <w:lang w:val="en-US"/>
              </w:rPr>
            </w:pPr>
          </w:p>
        </w:tc>
        <w:tc>
          <w:tcPr>
            <w:tcW w:w="1410" w:type="dxa"/>
          </w:tcPr>
          <w:p w:rsidR="00CA652E" w:rsidRPr="00C12352" w:rsidRDefault="00CA652E" w:rsidP="00B3156F">
            <w:pPr>
              <w:cnfStyle w:val="000000100000"/>
              <w:rPr>
                <w:rFonts w:ascii="Times New Roman" w:hAnsi="Times New Roman" w:cs="Times New Roman"/>
                <w:sz w:val="16"/>
                <w:szCs w:val="16"/>
                <w:lang w:val="en-US"/>
              </w:rPr>
            </w:pPr>
          </w:p>
        </w:tc>
        <w:tc>
          <w:tcPr>
            <w:tcW w:w="1073" w:type="dxa"/>
          </w:tcPr>
          <w:p w:rsidR="00CA652E" w:rsidRPr="00C12352" w:rsidRDefault="00CA652E" w:rsidP="00B3156F">
            <w:pPr>
              <w:cnfStyle w:val="000000100000"/>
              <w:rPr>
                <w:rFonts w:ascii="Times New Roman" w:hAnsi="Times New Roman" w:cs="Times New Roman"/>
                <w:sz w:val="16"/>
                <w:szCs w:val="16"/>
                <w:lang w:val="en-US"/>
              </w:rPr>
            </w:pPr>
          </w:p>
        </w:tc>
        <w:tc>
          <w:tcPr>
            <w:tcW w:w="1377" w:type="dxa"/>
          </w:tcPr>
          <w:p w:rsidR="00CA652E" w:rsidRPr="001D1DCA" w:rsidRDefault="00CA652E" w:rsidP="00B3156F">
            <w:pPr>
              <w:cnfStyle w:val="000000100000"/>
              <w:rPr>
                <w:rFonts w:ascii="Times New Roman" w:hAnsi="Times New Roman" w:cs="Times New Roman"/>
                <w:sz w:val="16"/>
                <w:szCs w:val="16"/>
                <w:lang w:val="en-US"/>
              </w:rPr>
            </w:pPr>
          </w:p>
        </w:tc>
      </w:tr>
      <w:tr w:rsidR="00CA652E" w:rsidRPr="00643A2E" w:rsidTr="00B3156F">
        <w:trPr>
          <w:trHeight w:val="1341"/>
        </w:trPr>
        <w:tc>
          <w:tcPr>
            <w:cnfStyle w:val="001000000000"/>
            <w:tcW w:w="1343" w:type="dxa"/>
          </w:tcPr>
          <w:p w:rsidR="00CA652E" w:rsidRPr="00B8544C" w:rsidRDefault="00CA652E" w:rsidP="009A2FA4">
            <w:pPr>
              <w:rPr>
                <w:rFonts w:ascii="Times New Roman" w:hAnsi="Times New Roman" w:cs="Times New Roman"/>
                <w:b w:val="0"/>
                <w:sz w:val="16"/>
                <w:szCs w:val="16"/>
                <w:lang w:val="en-US"/>
              </w:rPr>
            </w:pPr>
            <w:r w:rsidRPr="00B8544C">
              <w:rPr>
                <w:rFonts w:ascii="Times New Roman" w:hAnsi="Times New Roman" w:cs="Times New Roman"/>
                <w:b w:val="0"/>
                <w:sz w:val="16"/>
                <w:szCs w:val="16"/>
              </w:rPr>
              <w:t xml:space="preserve">BHIVA 2016 </w:t>
            </w:r>
            <w:r w:rsidR="00734DBD" w:rsidRPr="00B8544C">
              <w:rPr>
                <w:rFonts w:ascii="Times New Roman" w:hAnsi="Times New Roman" w:cs="Times New Roman"/>
                <w:sz w:val="16"/>
                <w:szCs w:val="16"/>
              </w:rPr>
              <w:fldChar w:fldCharType="begin"/>
            </w:r>
            <w:r w:rsidRPr="00B8544C">
              <w:rPr>
                <w:rFonts w:ascii="Times New Roman" w:hAnsi="Times New Roman" w:cs="Times New Roman"/>
                <w:b w:val="0"/>
                <w:sz w:val="16"/>
                <w:szCs w:val="16"/>
              </w:rPr>
              <w:instrText>ADDIN RW.CITE{{534 BHIVA 2016}}</w:instrText>
            </w:r>
            <w:r w:rsidR="00734DBD" w:rsidRPr="00B8544C">
              <w:rPr>
                <w:rFonts w:ascii="Times New Roman" w:hAnsi="Times New Roman" w:cs="Times New Roman"/>
                <w:sz w:val="16"/>
                <w:szCs w:val="16"/>
              </w:rPr>
              <w:fldChar w:fldCharType="separate"/>
            </w:r>
            <w:r w:rsidR="009A2FA4">
              <w:rPr>
                <w:rFonts w:ascii="Calibri" w:eastAsia="Times New Roman" w:hAnsi="Calibri" w:cs="Calibri"/>
                <w:sz w:val="16"/>
                <w:szCs w:val="16"/>
                <w:vertAlign w:val="superscript"/>
              </w:rPr>
              <w:t>134</w:t>
            </w:r>
            <w:r w:rsidR="00734DBD" w:rsidRPr="00B8544C">
              <w:rPr>
                <w:rFonts w:ascii="Times New Roman" w:hAnsi="Times New Roman" w:cs="Times New Roman"/>
                <w:sz w:val="16"/>
                <w:szCs w:val="16"/>
              </w:rPr>
              <w:fldChar w:fldCharType="end"/>
            </w:r>
          </w:p>
        </w:tc>
        <w:tc>
          <w:tcPr>
            <w:tcW w:w="1381"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Screening by FRAX in ≥ 50 years males and postmenopausal women or in the presence of other risk factors.</w:t>
            </w:r>
          </w:p>
        </w:tc>
        <w:tc>
          <w:tcPr>
            <w:tcW w:w="1340" w:type="dxa"/>
          </w:tcPr>
          <w:p w:rsidR="00CA652E" w:rsidRPr="00C12352" w:rsidRDefault="00CA652E" w:rsidP="00B3156F">
            <w:pPr>
              <w:cnfStyle w:val="000000000000"/>
              <w:rPr>
                <w:rFonts w:ascii="Times New Roman" w:hAnsi="Times New Roman" w:cs="Times New Roman"/>
                <w:sz w:val="16"/>
                <w:szCs w:val="16"/>
                <w:lang w:val="en-US"/>
              </w:rPr>
            </w:pPr>
          </w:p>
        </w:tc>
        <w:tc>
          <w:tcPr>
            <w:tcW w:w="1693" w:type="dxa"/>
          </w:tcPr>
          <w:p w:rsidR="00CA652E" w:rsidRPr="00C12352" w:rsidRDefault="00CA652E" w:rsidP="00B3156F">
            <w:pPr>
              <w:cnfStyle w:val="000000000000"/>
              <w:rPr>
                <w:rFonts w:ascii="Times New Roman" w:hAnsi="Times New Roman" w:cs="Times New Roman"/>
                <w:sz w:val="16"/>
                <w:szCs w:val="16"/>
                <w:lang w:val="en-US"/>
              </w:rPr>
            </w:pPr>
          </w:p>
        </w:tc>
        <w:tc>
          <w:tcPr>
            <w:tcW w:w="1410" w:type="dxa"/>
          </w:tcPr>
          <w:p w:rsidR="00CA652E" w:rsidRPr="00C12352" w:rsidRDefault="00CA652E" w:rsidP="00B3156F">
            <w:pPr>
              <w:cnfStyle w:val="000000000000"/>
              <w:rPr>
                <w:rFonts w:ascii="Times New Roman" w:hAnsi="Times New Roman" w:cs="Times New Roman"/>
                <w:sz w:val="16"/>
                <w:szCs w:val="16"/>
                <w:lang w:val="en-US"/>
              </w:rPr>
            </w:pPr>
          </w:p>
        </w:tc>
        <w:tc>
          <w:tcPr>
            <w:tcW w:w="1073" w:type="dxa"/>
          </w:tcPr>
          <w:p w:rsidR="00CA652E" w:rsidRPr="00C12352" w:rsidRDefault="00CA652E" w:rsidP="00B3156F">
            <w:pPr>
              <w:cnfStyle w:val="000000000000"/>
              <w:rPr>
                <w:rFonts w:ascii="Times New Roman" w:hAnsi="Times New Roman" w:cs="Times New Roman"/>
                <w:sz w:val="16"/>
                <w:szCs w:val="16"/>
                <w:lang w:val="en-US"/>
              </w:rPr>
            </w:pPr>
          </w:p>
        </w:tc>
        <w:tc>
          <w:tcPr>
            <w:tcW w:w="1377" w:type="dxa"/>
          </w:tcPr>
          <w:p w:rsidR="00CA652E" w:rsidRPr="001D1DCA" w:rsidRDefault="00CA652E" w:rsidP="00B3156F">
            <w:pPr>
              <w:cnfStyle w:val="000000000000"/>
              <w:rPr>
                <w:rFonts w:ascii="Times New Roman" w:hAnsi="Times New Roman" w:cs="Times New Roman"/>
                <w:sz w:val="16"/>
                <w:szCs w:val="16"/>
                <w:lang w:val="en-US"/>
              </w:rPr>
            </w:pPr>
          </w:p>
        </w:tc>
      </w:tr>
      <w:tr w:rsidR="00CA652E" w:rsidRPr="00643A2E" w:rsidTr="00B3156F">
        <w:trPr>
          <w:cnfStyle w:val="000000100000"/>
          <w:trHeight w:val="3285"/>
        </w:trPr>
        <w:tc>
          <w:tcPr>
            <w:cnfStyle w:val="001000000000"/>
            <w:tcW w:w="1343" w:type="dxa"/>
          </w:tcPr>
          <w:p w:rsidR="00CA652E" w:rsidRPr="00B8544C" w:rsidRDefault="00CA652E" w:rsidP="009A2FA4">
            <w:pPr>
              <w:rPr>
                <w:rFonts w:ascii="Times New Roman" w:hAnsi="Times New Roman" w:cs="Times New Roman"/>
                <w:b w:val="0"/>
                <w:sz w:val="16"/>
                <w:szCs w:val="16"/>
                <w:lang w:val="en-US"/>
              </w:rPr>
            </w:pPr>
            <w:r w:rsidRPr="00B8544C">
              <w:rPr>
                <w:rFonts w:ascii="Times New Roman" w:hAnsi="Times New Roman" w:cs="Times New Roman"/>
                <w:b w:val="0"/>
                <w:sz w:val="16"/>
                <w:szCs w:val="16"/>
                <w:lang w:val="en-US"/>
              </w:rPr>
              <w:t xml:space="preserve">European AIDS Clinical Society guidelines 9.0 2017 </w:t>
            </w:r>
            <w:r w:rsidR="00734DBD" w:rsidRPr="00B8544C">
              <w:rPr>
                <w:rFonts w:ascii="Times New Roman" w:hAnsi="Times New Roman" w:cs="Times New Roman"/>
                <w:sz w:val="16"/>
                <w:szCs w:val="16"/>
                <w:lang w:val="en-US"/>
              </w:rPr>
              <w:fldChar w:fldCharType="begin"/>
            </w:r>
            <w:r w:rsidRPr="00B8544C">
              <w:rPr>
                <w:rFonts w:ascii="Times New Roman" w:hAnsi="Times New Roman" w:cs="Times New Roman"/>
                <w:b w:val="0"/>
                <w:sz w:val="16"/>
                <w:szCs w:val="16"/>
                <w:lang w:val="en-US"/>
              </w:rPr>
              <w:instrText>ADDIN RW.CITE{{533 EACS 2017}}</w:instrText>
            </w:r>
            <w:r w:rsidR="00734DBD" w:rsidRPr="00B8544C">
              <w:rPr>
                <w:rFonts w:ascii="Times New Roman" w:hAnsi="Times New Roman" w:cs="Times New Roman"/>
                <w:sz w:val="16"/>
                <w:szCs w:val="16"/>
                <w:lang w:val="en-US"/>
              </w:rPr>
              <w:fldChar w:fldCharType="separate"/>
            </w:r>
            <w:r w:rsidR="009A2FA4" w:rsidRPr="009A2FA4">
              <w:rPr>
                <w:rFonts w:ascii="Calibri" w:eastAsia="Times New Roman" w:hAnsi="Calibri" w:cs="Calibri"/>
                <w:sz w:val="16"/>
                <w:szCs w:val="16"/>
                <w:vertAlign w:val="superscript"/>
                <w:lang w:val="en-US"/>
              </w:rPr>
              <w:t>135</w:t>
            </w:r>
            <w:r w:rsidR="00734DBD" w:rsidRPr="00B8544C">
              <w:rPr>
                <w:rFonts w:ascii="Times New Roman" w:hAnsi="Times New Roman" w:cs="Times New Roman"/>
                <w:sz w:val="16"/>
                <w:szCs w:val="16"/>
                <w:lang w:val="en-US"/>
              </w:rPr>
              <w:fldChar w:fldCharType="end"/>
            </w:r>
          </w:p>
        </w:tc>
        <w:tc>
          <w:tcPr>
            <w:tcW w:w="1381"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 50 </w:t>
            </w:r>
            <w:proofErr w:type="gramStart"/>
            <w:r w:rsidRPr="00C12352">
              <w:rPr>
                <w:rFonts w:ascii="Times New Roman" w:hAnsi="Times New Roman" w:cs="Times New Roman"/>
                <w:sz w:val="16"/>
                <w:szCs w:val="16"/>
                <w:lang w:val="en-US"/>
              </w:rPr>
              <w:t>years</w:t>
            </w:r>
            <w:proofErr w:type="gramEnd"/>
            <w:r w:rsidRPr="00C12352">
              <w:rPr>
                <w:rFonts w:ascii="Times New Roman" w:hAnsi="Times New Roman" w:cs="Times New Roman"/>
                <w:sz w:val="16"/>
                <w:szCs w:val="16"/>
                <w:lang w:val="en-US"/>
              </w:rPr>
              <w:t xml:space="preserve"> males and postmenopausal women and/or history of fracture. Clinical </w:t>
            </w:r>
            <w:proofErr w:type="spellStart"/>
            <w:r w:rsidRPr="00C12352">
              <w:rPr>
                <w:rFonts w:ascii="Times New Roman" w:hAnsi="Times New Roman" w:cs="Times New Roman"/>
                <w:sz w:val="16"/>
                <w:szCs w:val="16"/>
                <w:lang w:val="en-US"/>
              </w:rPr>
              <w:t>hypogonadism</w:t>
            </w:r>
            <w:proofErr w:type="spellEnd"/>
            <w:r w:rsidRPr="00C12352">
              <w:rPr>
                <w:rFonts w:ascii="Times New Roman" w:hAnsi="Times New Roman" w:cs="Times New Roman"/>
                <w:sz w:val="16"/>
                <w:szCs w:val="16"/>
                <w:lang w:val="en-US"/>
              </w:rPr>
              <w:t>, high risk of falls, oral corticosteroid use. Also consider classic risk factors. Lateral spine X-rays if low BMD in the spine (osteoporosis) or height loss/</w:t>
            </w:r>
            <w:proofErr w:type="spellStart"/>
            <w:r w:rsidRPr="00C12352">
              <w:rPr>
                <w:rFonts w:ascii="Times New Roman" w:hAnsi="Times New Roman" w:cs="Times New Roman"/>
                <w:sz w:val="16"/>
                <w:szCs w:val="16"/>
                <w:lang w:val="en-US"/>
              </w:rPr>
              <w:t>kyphosis</w:t>
            </w:r>
            <w:proofErr w:type="spellEnd"/>
            <w:r w:rsidRPr="00C12352">
              <w:rPr>
                <w:rFonts w:ascii="Times New Roman" w:hAnsi="Times New Roman" w:cs="Times New Roman"/>
                <w:sz w:val="16"/>
                <w:szCs w:val="16"/>
                <w:lang w:val="en-US"/>
              </w:rPr>
              <w:t>.</w:t>
            </w:r>
          </w:p>
        </w:tc>
        <w:tc>
          <w:tcPr>
            <w:tcW w:w="1340" w:type="dxa"/>
          </w:tcPr>
          <w:p w:rsidR="00CA652E" w:rsidRPr="00C12352" w:rsidRDefault="00CA652E" w:rsidP="00B3156F">
            <w:pPr>
              <w:cnfStyle w:val="000000100000"/>
              <w:rPr>
                <w:rFonts w:ascii="Times New Roman" w:hAnsi="Times New Roman" w:cs="Times New Roman"/>
                <w:sz w:val="16"/>
                <w:szCs w:val="16"/>
                <w:lang w:val="en-US"/>
              </w:rPr>
            </w:pPr>
          </w:p>
        </w:tc>
        <w:tc>
          <w:tcPr>
            <w:tcW w:w="1693"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By national/geographical guidelines. Consider </w:t>
            </w:r>
            <w:proofErr w:type="spellStart"/>
            <w:r w:rsidRPr="00C12352">
              <w:rPr>
                <w:rFonts w:ascii="Times New Roman" w:hAnsi="Times New Roman" w:cs="Times New Roman"/>
                <w:sz w:val="16"/>
                <w:szCs w:val="16"/>
                <w:lang w:val="en-US"/>
              </w:rPr>
              <w:t>bisphosphonate</w:t>
            </w:r>
            <w:proofErr w:type="spellEnd"/>
            <w:r w:rsidRPr="00C12352">
              <w:rPr>
                <w:rFonts w:ascii="Times New Roman" w:hAnsi="Times New Roman" w:cs="Times New Roman"/>
                <w:sz w:val="16"/>
                <w:szCs w:val="16"/>
                <w:lang w:val="en-US"/>
              </w:rPr>
              <w:t xml:space="preserve"> in postmenopausal women and men &gt;50 years with T-score ≤-2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5 and history of fragility fracture.</w:t>
            </w:r>
          </w:p>
        </w:tc>
        <w:tc>
          <w:tcPr>
            <w:tcW w:w="1410" w:type="dxa"/>
          </w:tcPr>
          <w:p w:rsidR="00CA652E" w:rsidRPr="00C12352" w:rsidRDefault="00CA652E" w:rsidP="00B3156F">
            <w:pPr>
              <w:cnfStyle w:val="0000001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TAF should be considered as first choice over TDF in case of osteoporosis / progressive </w:t>
            </w:r>
            <w:proofErr w:type="spellStart"/>
            <w:r w:rsidRPr="00C12352">
              <w:rPr>
                <w:rFonts w:ascii="Times New Roman" w:hAnsi="Times New Roman" w:cs="Times New Roman"/>
                <w:sz w:val="16"/>
                <w:szCs w:val="16"/>
                <w:lang w:val="en-US"/>
              </w:rPr>
              <w:t>osteopenia</w:t>
            </w:r>
            <w:proofErr w:type="spellEnd"/>
            <w:r w:rsidRPr="00C12352">
              <w:rPr>
                <w:rFonts w:ascii="Times New Roman" w:hAnsi="Times New Roman" w:cs="Times New Roman"/>
                <w:sz w:val="16"/>
                <w:szCs w:val="16"/>
                <w:lang w:val="en-US"/>
              </w:rPr>
              <w:t xml:space="preserve"> or risk factor</w:t>
            </w:r>
          </w:p>
        </w:tc>
        <w:tc>
          <w:tcPr>
            <w:tcW w:w="1073" w:type="dxa"/>
          </w:tcPr>
          <w:p w:rsidR="00CA652E" w:rsidRPr="00C12352" w:rsidRDefault="00CA652E" w:rsidP="00B3156F">
            <w:pPr>
              <w:cnfStyle w:val="000000100000"/>
              <w:rPr>
                <w:rFonts w:ascii="Times New Roman" w:hAnsi="Times New Roman" w:cs="Times New Roman"/>
                <w:sz w:val="16"/>
                <w:szCs w:val="16"/>
                <w:lang w:val="en-US"/>
              </w:rPr>
            </w:pPr>
          </w:p>
        </w:tc>
        <w:tc>
          <w:tcPr>
            <w:tcW w:w="1377" w:type="dxa"/>
          </w:tcPr>
          <w:p w:rsidR="00CA652E" w:rsidRPr="001D1DCA" w:rsidRDefault="00CA652E" w:rsidP="00B3156F">
            <w:pPr>
              <w:cnfStyle w:val="000000100000"/>
              <w:rPr>
                <w:rFonts w:ascii="Times New Roman" w:hAnsi="Times New Roman" w:cs="Times New Roman"/>
                <w:sz w:val="16"/>
                <w:szCs w:val="16"/>
                <w:lang w:val="en-US"/>
              </w:rPr>
            </w:pPr>
            <w:r w:rsidRPr="001D1DCA">
              <w:rPr>
                <w:rFonts w:ascii="Times New Roman" w:hAnsi="Times New Roman" w:cs="Times New Roman"/>
                <w:sz w:val="16"/>
                <w:szCs w:val="16"/>
                <w:lang w:val="en-US"/>
              </w:rPr>
              <w:t xml:space="preserve">Reassess indication for </w:t>
            </w:r>
            <w:proofErr w:type="spellStart"/>
            <w:r w:rsidRPr="001D1DCA">
              <w:rPr>
                <w:rFonts w:ascii="Times New Roman" w:hAnsi="Times New Roman" w:cs="Times New Roman"/>
                <w:sz w:val="16"/>
                <w:szCs w:val="16"/>
                <w:lang w:val="en-US"/>
              </w:rPr>
              <w:t>bisphosphonates</w:t>
            </w:r>
            <w:proofErr w:type="spellEnd"/>
            <w:r w:rsidRPr="001D1DCA">
              <w:rPr>
                <w:rFonts w:ascii="Times New Roman" w:hAnsi="Times New Roman" w:cs="Times New Roman"/>
                <w:sz w:val="16"/>
                <w:szCs w:val="16"/>
                <w:lang w:val="en-US"/>
              </w:rPr>
              <w:t xml:space="preserve"> in 3-5 years.</w:t>
            </w:r>
          </w:p>
        </w:tc>
      </w:tr>
      <w:tr w:rsidR="00CA652E" w:rsidRPr="00643A2E" w:rsidTr="00B3156F">
        <w:trPr>
          <w:trHeight w:val="1932"/>
        </w:trPr>
        <w:tc>
          <w:tcPr>
            <w:cnfStyle w:val="001000000000"/>
            <w:tcW w:w="1343" w:type="dxa"/>
          </w:tcPr>
          <w:p w:rsidR="00CA652E" w:rsidRPr="00B8544C" w:rsidRDefault="00CA652E" w:rsidP="009A2FA4">
            <w:pPr>
              <w:rPr>
                <w:rFonts w:ascii="Times New Roman" w:hAnsi="Times New Roman" w:cs="Times New Roman"/>
                <w:b w:val="0"/>
                <w:sz w:val="16"/>
                <w:szCs w:val="16"/>
                <w:lang w:val="en-US"/>
              </w:rPr>
            </w:pPr>
            <w:proofErr w:type="spellStart"/>
            <w:r w:rsidRPr="00B8544C">
              <w:rPr>
                <w:rFonts w:ascii="Times New Roman" w:hAnsi="Times New Roman" w:cs="Times New Roman"/>
                <w:b w:val="0"/>
                <w:sz w:val="16"/>
                <w:szCs w:val="16"/>
                <w:lang w:val="en-US"/>
              </w:rPr>
              <w:lastRenderedPageBreak/>
              <w:t>Negredo</w:t>
            </w:r>
            <w:proofErr w:type="spellEnd"/>
            <w:r w:rsidRPr="00B8544C">
              <w:rPr>
                <w:rFonts w:ascii="Times New Roman" w:hAnsi="Times New Roman" w:cs="Times New Roman"/>
                <w:b w:val="0"/>
                <w:sz w:val="16"/>
                <w:szCs w:val="16"/>
                <w:lang w:val="en-US"/>
              </w:rPr>
              <w:t xml:space="preserve"> 2016 </w:t>
            </w:r>
            <w:r w:rsidR="00734DBD" w:rsidRPr="00B8544C">
              <w:rPr>
                <w:rFonts w:ascii="Times New Roman" w:hAnsi="Times New Roman" w:cs="Times New Roman"/>
                <w:sz w:val="16"/>
                <w:szCs w:val="16"/>
                <w:lang w:val="en-US"/>
              </w:rPr>
              <w:fldChar w:fldCharType="begin"/>
            </w:r>
            <w:r w:rsidRPr="00B8544C">
              <w:rPr>
                <w:rFonts w:ascii="Times New Roman" w:hAnsi="Times New Roman" w:cs="Times New Roman"/>
                <w:b w:val="0"/>
                <w:sz w:val="16"/>
                <w:szCs w:val="16"/>
                <w:lang w:val="en-US"/>
              </w:rPr>
              <w:instrText>ADDIN RW.CITE{{335 Negredo,E. 2016}}</w:instrText>
            </w:r>
            <w:r w:rsidR="00734DBD" w:rsidRPr="00B8544C">
              <w:rPr>
                <w:rFonts w:ascii="Times New Roman" w:hAnsi="Times New Roman" w:cs="Times New Roman"/>
                <w:sz w:val="16"/>
                <w:szCs w:val="16"/>
                <w:lang w:val="en-US"/>
              </w:rPr>
              <w:fldChar w:fldCharType="separate"/>
            </w:r>
            <w:r w:rsidR="009A2FA4">
              <w:rPr>
                <w:rFonts w:ascii="Calibri" w:eastAsia="Times New Roman" w:hAnsi="Calibri" w:cs="Calibri"/>
                <w:sz w:val="16"/>
                <w:szCs w:val="16"/>
                <w:vertAlign w:val="superscript"/>
              </w:rPr>
              <w:t>136</w:t>
            </w:r>
            <w:r w:rsidR="00734DBD" w:rsidRPr="00B8544C">
              <w:rPr>
                <w:rFonts w:ascii="Times New Roman" w:hAnsi="Times New Roman" w:cs="Times New Roman"/>
                <w:sz w:val="16"/>
                <w:szCs w:val="16"/>
                <w:lang w:val="en-US"/>
              </w:rPr>
              <w:fldChar w:fldCharType="end"/>
            </w:r>
          </w:p>
        </w:tc>
        <w:tc>
          <w:tcPr>
            <w:tcW w:w="1381"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 50 </w:t>
            </w:r>
            <w:proofErr w:type="gramStart"/>
            <w:r w:rsidRPr="00C12352">
              <w:rPr>
                <w:rFonts w:ascii="Times New Roman" w:hAnsi="Times New Roman" w:cs="Times New Roman"/>
                <w:sz w:val="16"/>
                <w:szCs w:val="16"/>
                <w:lang w:val="en-US"/>
              </w:rPr>
              <w:t>years</w:t>
            </w:r>
            <w:proofErr w:type="gramEnd"/>
            <w:r w:rsidRPr="00C12352">
              <w:rPr>
                <w:rFonts w:ascii="Times New Roman" w:hAnsi="Times New Roman" w:cs="Times New Roman"/>
                <w:sz w:val="16"/>
                <w:szCs w:val="16"/>
                <w:lang w:val="en-US"/>
              </w:rPr>
              <w:t xml:space="preserve"> males and postmenopausal women and/or history of fracture. Clinical </w:t>
            </w:r>
            <w:proofErr w:type="spellStart"/>
            <w:r w:rsidRPr="00C12352">
              <w:rPr>
                <w:rFonts w:ascii="Times New Roman" w:hAnsi="Times New Roman" w:cs="Times New Roman"/>
                <w:sz w:val="16"/>
                <w:szCs w:val="16"/>
                <w:lang w:val="en-US"/>
              </w:rPr>
              <w:t>hypogonadism</w:t>
            </w:r>
            <w:proofErr w:type="spellEnd"/>
            <w:r w:rsidRPr="00C12352">
              <w:rPr>
                <w:rFonts w:ascii="Times New Roman" w:hAnsi="Times New Roman" w:cs="Times New Roman"/>
                <w:sz w:val="16"/>
                <w:szCs w:val="16"/>
                <w:lang w:val="en-US"/>
              </w:rPr>
              <w:t>, high risk of falls, oral corticosteroid use. Persons aged 40-50 years and FRAX &gt;10 %.</w:t>
            </w:r>
          </w:p>
        </w:tc>
        <w:tc>
          <w:tcPr>
            <w:tcW w:w="1340"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Osteoporosis: Every 2 years. </w:t>
            </w:r>
            <w:proofErr w:type="spellStart"/>
            <w:r w:rsidRPr="00C12352">
              <w:rPr>
                <w:rFonts w:ascii="Times New Roman" w:hAnsi="Times New Roman" w:cs="Times New Roman"/>
                <w:sz w:val="16"/>
                <w:szCs w:val="16"/>
                <w:lang w:val="en-US"/>
              </w:rPr>
              <w:t>Osteopenia</w:t>
            </w:r>
            <w:proofErr w:type="spellEnd"/>
            <w:r w:rsidRPr="00C12352">
              <w:rPr>
                <w:rFonts w:ascii="Times New Roman" w:hAnsi="Times New Roman" w:cs="Times New Roman"/>
                <w:sz w:val="16"/>
                <w:szCs w:val="16"/>
                <w:lang w:val="en-US"/>
              </w:rPr>
              <w:t xml:space="preserve"> every 5 years.</w:t>
            </w:r>
          </w:p>
        </w:tc>
        <w:tc>
          <w:tcPr>
            <w:tcW w:w="1693"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1) T-score between -1</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0 and -2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5 and FRAX score ≥ 20 % or 3 ≥ at the hip 2) T-score≤-2</w:t>
            </w:r>
            <w:r w:rsidRPr="00C12352">
              <w:rPr>
                <w:rFonts w:ascii="Times New Roman" w:eastAsia="Times New Roman" w:hAnsi="Times New Roman" w:cs="Times New Roman"/>
                <w:color w:val="000000"/>
                <w:sz w:val="16"/>
                <w:szCs w:val="16"/>
                <w:lang w:val="en-US"/>
              </w:rPr>
              <w:t>·</w:t>
            </w:r>
            <w:r w:rsidRPr="00C12352">
              <w:rPr>
                <w:rFonts w:ascii="Times New Roman" w:hAnsi="Times New Roman" w:cs="Times New Roman"/>
                <w:sz w:val="16"/>
                <w:szCs w:val="16"/>
                <w:lang w:val="en-US"/>
              </w:rPr>
              <w:t>5 at FN, TH or LS</w:t>
            </w:r>
          </w:p>
        </w:tc>
        <w:tc>
          <w:tcPr>
            <w:tcW w:w="1410" w:type="dxa"/>
          </w:tcPr>
          <w:p w:rsidR="00CA652E" w:rsidRPr="00C12352" w:rsidRDefault="00CA652E" w:rsidP="00B3156F">
            <w:pPr>
              <w:cnfStyle w:val="000000000000"/>
              <w:rPr>
                <w:rFonts w:ascii="Times New Roman" w:hAnsi="Times New Roman" w:cs="Times New Roman"/>
                <w:sz w:val="16"/>
                <w:szCs w:val="16"/>
                <w:lang w:val="en-US"/>
              </w:rPr>
            </w:pPr>
            <w:proofErr w:type="spellStart"/>
            <w:r w:rsidRPr="00C12352">
              <w:rPr>
                <w:rFonts w:ascii="Times New Roman" w:hAnsi="Times New Roman" w:cs="Times New Roman"/>
                <w:sz w:val="16"/>
                <w:szCs w:val="16"/>
                <w:lang w:val="en-US"/>
              </w:rPr>
              <w:t>Alendronate</w:t>
            </w:r>
            <w:proofErr w:type="spellEnd"/>
            <w:r w:rsidRPr="00C12352">
              <w:rPr>
                <w:rFonts w:ascii="Times New Roman" w:hAnsi="Times New Roman" w:cs="Times New Roman"/>
                <w:sz w:val="16"/>
                <w:szCs w:val="16"/>
                <w:lang w:val="en-US"/>
              </w:rPr>
              <w:t xml:space="preserve"> or </w:t>
            </w:r>
            <w:proofErr w:type="spellStart"/>
            <w:r w:rsidR="00643A2E">
              <w:rPr>
                <w:rFonts w:ascii="Times New Roman" w:hAnsi="Times New Roman" w:cs="Times New Roman"/>
                <w:sz w:val="16"/>
                <w:szCs w:val="16"/>
                <w:lang w:val="en-US"/>
              </w:rPr>
              <w:t>zole</w:t>
            </w:r>
            <w:r w:rsidR="00C12352" w:rsidRPr="00C12352">
              <w:rPr>
                <w:rFonts w:ascii="Times New Roman" w:hAnsi="Times New Roman" w:cs="Times New Roman"/>
                <w:sz w:val="16"/>
                <w:szCs w:val="16"/>
                <w:lang w:val="en-US"/>
              </w:rPr>
              <w:t>dronate</w:t>
            </w:r>
            <w:proofErr w:type="spellEnd"/>
            <w:r w:rsidRPr="00C12352">
              <w:rPr>
                <w:rFonts w:ascii="Times New Roman" w:hAnsi="Times New Roman" w:cs="Times New Roman"/>
                <w:sz w:val="16"/>
                <w:szCs w:val="16"/>
                <w:lang w:val="en-US"/>
              </w:rPr>
              <w:t xml:space="preserve">. Avoiding or switching from TDF or protease inhibitors to others such as </w:t>
            </w:r>
            <w:proofErr w:type="spellStart"/>
            <w:r w:rsidRPr="00C12352">
              <w:rPr>
                <w:rFonts w:ascii="Times New Roman" w:hAnsi="Times New Roman" w:cs="Times New Roman"/>
                <w:sz w:val="16"/>
                <w:szCs w:val="16"/>
                <w:lang w:val="en-US"/>
              </w:rPr>
              <w:t>abacavir</w:t>
            </w:r>
            <w:proofErr w:type="spellEnd"/>
            <w:r w:rsidRPr="00C12352">
              <w:rPr>
                <w:rFonts w:ascii="Times New Roman" w:hAnsi="Times New Roman" w:cs="Times New Roman"/>
                <w:sz w:val="16"/>
                <w:szCs w:val="16"/>
                <w:lang w:val="en-US"/>
              </w:rPr>
              <w:t xml:space="preserve"> or </w:t>
            </w:r>
            <w:proofErr w:type="spellStart"/>
            <w:r w:rsidRPr="00C12352">
              <w:rPr>
                <w:rFonts w:ascii="Times New Roman" w:hAnsi="Times New Roman" w:cs="Times New Roman"/>
                <w:sz w:val="16"/>
                <w:szCs w:val="16"/>
                <w:lang w:val="en-US"/>
              </w:rPr>
              <w:t>integrase</w:t>
            </w:r>
            <w:proofErr w:type="spellEnd"/>
            <w:r w:rsidRPr="00C12352">
              <w:rPr>
                <w:rFonts w:ascii="Times New Roman" w:hAnsi="Times New Roman" w:cs="Times New Roman"/>
                <w:sz w:val="16"/>
                <w:szCs w:val="16"/>
                <w:lang w:val="en-US"/>
              </w:rPr>
              <w:t xml:space="preserve"> inhibitors.</w:t>
            </w:r>
          </w:p>
        </w:tc>
        <w:tc>
          <w:tcPr>
            <w:tcW w:w="1073" w:type="dxa"/>
          </w:tcPr>
          <w:p w:rsidR="00CA652E" w:rsidRPr="00C12352" w:rsidRDefault="00CA652E" w:rsidP="00B3156F">
            <w:pPr>
              <w:cnfStyle w:val="000000000000"/>
              <w:rPr>
                <w:rFonts w:ascii="Times New Roman" w:hAnsi="Times New Roman" w:cs="Times New Roman"/>
                <w:sz w:val="16"/>
                <w:szCs w:val="16"/>
                <w:lang w:val="en-US"/>
              </w:rPr>
            </w:pPr>
            <w:r w:rsidRPr="00C12352">
              <w:rPr>
                <w:rFonts w:ascii="Times New Roman" w:hAnsi="Times New Roman" w:cs="Times New Roman"/>
                <w:sz w:val="16"/>
                <w:szCs w:val="16"/>
                <w:lang w:val="en-US"/>
              </w:rPr>
              <w:t xml:space="preserve">70 mg </w:t>
            </w:r>
            <w:proofErr w:type="spellStart"/>
            <w:r w:rsidRPr="00C12352">
              <w:rPr>
                <w:rFonts w:ascii="Times New Roman" w:hAnsi="Times New Roman" w:cs="Times New Roman"/>
                <w:sz w:val="16"/>
                <w:szCs w:val="16"/>
                <w:lang w:val="en-US"/>
              </w:rPr>
              <w:t>alendronate</w:t>
            </w:r>
            <w:proofErr w:type="spellEnd"/>
            <w:r w:rsidRPr="00C12352">
              <w:rPr>
                <w:rFonts w:ascii="Times New Roman" w:hAnsi="Times New Roman" w:cs="Times New Roman"/>
                <w:sz w:val="16"/>
                <w:szCs w:val="16"/>
                <w:lang w:val="en-US"/>
              </w:rPr>
              <w:t xml:space="preserve"> once weekly or 5 mg </w:t>
            </w:r>
            <w:proofErr w:type="spellStart"/>
            <w:r w:rsidR="00643A2E">
              <w:rPr>
                <w:rFonts w:ascii="Times New Roman" w:hAnsi="Times New Roman" w:cs="Times New Roman"/>
                <w:sz w:val="16"/>
                <w:szCs w:val="16"/>
                <w:lang w:val="en-US"/>
              </w:rPr>
              <w:t>zole</w:t>
            </w:r>
            <w:r w:rsidR="00C12352" w:rsidRPr="00C12352">
              <w:rPr>
                <w:rFonts w:ascii="Times New Roman" w:hAnsi="Times New Roman" w:cs="Times New Roman"/>
                <w:sz w:val="16"/>
                <w:szCs w:val="16"/>
                <w:lang w:val="en-US"/>
              </w:rPr>
              <w:t>dronate</w:t>
            </w:r>
            <w:proofErr w:type="spellEnd"/>
            <w:r w:rsidR="00C12352" w:rsidRPr="00C12352">
              <w:rPr>
                <w:rFonts w:ascii="Times New Roman" w:hAnsi="Times New Roman" w:cs="Times New Roman"/>
                <w:sz w:val="16"/>
                <w:szCs w:val="16"/>
                <w:lang w:val="en-US"/>
              </w:rPr>
              <w:t xml:space="preserve"> </w:t>
            </w:r>
            <w:r w:rsidRPr="00C12352">
              <w:rPr>
                <w:rFonts w:ascii="Times New Roman" w:hAnsi="Times New Roman" w:cs="Times New Roman"/>
                <w:sz w:val="16"/>
                <w:szCs w:val="16"/>
                <w:lang w:val="en-US"/>
              </w:rPr>
              <w:t>yearly.</w:t>
            </w:r>
          </w:p>
        </w:tc>
        <w:tc>
          <w:tcPr>
            <w:tcW w:w="1377" w:type="dxa"/>
          </w:tcPr>
          <w:p w:rsidR="00CA652E" w:rsidRPr="001D1DCA" w:rsidRDefault="00CA652E" w:rsidP="00B3156F">
            <w:pPr>
              <w:cnfStyle w:val="000000000000"/>
              <w:rPr>
                <w:rFonts w:ascii="Times New Roman" w:hAnsi="Times New Roman" w:cs="Times New Roman"/>
                <w:sz w:val="16"/>
                <w:szCs w:val="16"/>
                <w:lang w:val="en-US"/>
              </w:rPr>
            </w:pPr>
          </w:p>
        </w:tc>
      </w:tr>
      <w:tr w:rsidR="00CA652E" w:rsidRPr="00643A2E" w:rsidTr="00B3156F">
        <w:trPr>
          <w:cnfStyle w:val="000000100000"/>
          <w:trHeight w:val="1184"/>
        </w:trPr>
        <w:tc>
          <w:tcPr>
            <w:cnfStyle w:val="001000000000"/>
            <w:tcW w:w="1343" w:type="dxa"/>
          </w:tcPr>
          <w:p w:rsidR="00CA652E" w:rsidRPr="00B8544C" w:rsidRDefault="00CA652E" w:rsidP="00B3156F">
            <w:pPr>
              <w:autoSpaceDE w:val="0"/>
              <w:autoSpaceDN w:val="0"/>
              <w:adjustRightInd w:val="0"/>
              <w:rPr>
                <w:rFonts w:ascii="Times New Roman" w:hAnsi="Times New Roman" w:cs="Times New Roman"/>
                <w:b w:val="0"/>
                <w:sz w:val="16"/>
                <w:szCs w:val="16"/>
                <w:lang w:val="en-US"/>
              </w:rPr>
            </w:pPr>
            <w:r w:rsidRPr="00B8544C">
              <w:rPr>
                <w:rFonts w:ascii="Times New Roman" w:hAnsi="Times New Roman" w:cs="Times New Roman"/>
                <w:b w:val="0"/>
                <w:sz w:val="16"/>
                <w:szCs w:val="16"/>
                <w:lang w:val="en-US"/>
              </w:rPr>
              <w:t>HIV Medicine Association/</w:t>
            </w:r>
          </w:p>
          <w:p w:rsidR="00CA652E" w:rsidRPr="00B8544C" w:rsidRDefault="00CA652E" w:rsidP="00B3156F">
            <w:pPr>
              <w:autoSpaceDE w:val="0"/>
              <w:autoSpaceDN w:val="0"/>
              <w:adjustRightInd w:val="0"/>
              <w:rPr>
                <w:rFonts w:ascii="Times New Roman" w:hAnsi="Times New Roman" w:cs="Times New Roman"/>
                <w:b w:val="0"/>
                <w:sz w:val="16"/>
                <w:szCs w:val="16"/>
                <w:lang w:val="en-US"/>
              </w:rPr>
            </w:pPr>
            <w:r w:rsidRPr="00B8544C">
              <w:rPr>
                <w:rFonts w:ascii="Times New Roman" w:hAnsi="Times New Roman" w:cs="Times New Roman"/>
                <w:b w:val="0"/>
                <w:sz w:val="16"/>
                <w:szCs w:val="16"/>
                <w:lang w:val="en-US"/>
              </w:rPr>
              <w:t>Infectious Diseases Society</w:t>
            </w:r>
          </w:p>
          <w:p w:rsidR="00CA652E" w:rsidRPr="00B8544C" w:rsidRDefault="00CA652E" w:rsidP="009A2FA4">
            <w:pPr>
              <w:rPr>
                <w:rFonts w:ascii="Times New Roman" w:hAnsi="Times New Roman" w:cs="Times New Roman"/>
                <w:b w:val="0"/>
                <w:sz w:val="16"/>
                <w:szCs w:val="16"/>
                <w:lang w:val="en-US"/>
              </w:rPr>
            </w:pPr>
            <w:r w:rsidRPr="00B8544C">
              <w:rPr>
                <w:rFonts w:ascii="Times New Roman" w:hAnsi="Times New Roman" w:cs="Times New Roman"/>
                <w:b w:val="0"/>
                <w:sz w:val="16"/>
                <w:szCs w:val="16"/>
                <w:lang w:val="en-US"/>
              </w:rPr>
              <w:t xml:space="preserve">of America 2013 </w:t>
            </w:r>
            <w:r w:rsidR="00734DBD" w:rsidRPr="00B8544C">
              <w:rPr>
                <w:rFonts w:ascii="Times New Roman" w:hAnsi="Times New Roman" w:cs="Times New Roman"/>
                <w:sz w:val="16"/>
                <w:szCs w:val="16"/>
              </w:rPr>
              <w:fldChar w:fldCharType="begin"/>
            </w:r>
            <w:r w:rsidRPr="00B8544C">
              <w:rPr>
                <w:rFonts w:ascii="Times New Roman" w:hAnsi="Times New Roman" w:cs="Times New Roman"/>
                <w:b w:val="0"/>
                <w:sz w:val="16"/>
                <w:szCs w:val="16"/>
                <w:lang w:val="en-US"/>
              </w:rPr>
              <w:instrText>ADDIN RW.CITE{{535 Aberg,J.A. 2014}}</w:instrText>
            </w:r>
            <w:r w:rsidR="00734DBD" w:rsidRPr="00B8544C">
              <w:rPr>
                <w:rFonts w:ascii="Times New Roman" w:hAnsi="Times New Roman" w:cs="Times New Roman"/>
                <w:sz w:val="16"/>
                <w:szCs w:val="16"/>
              </w:rPr>
              <w:fldChar w:fldCharType="separate"/>
            </w:r>
            <w:r w:rsidR="009A2FA4">
              <w:rPr>
                <w:rFonts w:ascii="Calibri" w:eastAsia="Times New Roman" w:hAnsi="Calibri" w:cs="Calibri"/>
                <w:sz w:val="16"/>
                <w:szCs w:val="16"/>
                <w:vertAlign w:val="superscript"/>
              </w:rPr>
              <w:t>137</w:t>
            </w:r>
            <w:r w:rsidR="00734DBD" w:rsidRPr="00B8544C">
              <w:rPr>
                <w:rFonts w:ascii="Times New Roman" w:hAnsi="Times New Roman" w:cs="Times New Roman"/>
                <w:sz w:val="16"/>
                <w:szCs w:val="16"/>
              </w:rPr>
              <w:fldChar w:fldCharType="end"/>
            </w:r>
            <w:r w:rsidRPr="00B8544C">
              <w:rPr>
                <w:rFonts w:ascii="Times New Roman" w:hAnsi="Times New Roman" w:cs="Times New Roman"/>
                <w:b w:val="0"/>
                <w:sz w:val="16"/>
                <w:szCs w:val="16"/>
                <w:lang w:val="en-US"/>
              </w:rPr>
              <w:t xml:space="preserve"> </w:t>
            </w:r>
          </w:p>
        </w:tc>
        <w:tc>
          <w:tcPr>
            <w:tcW w:w="1381" w:type="dxa"/>
          </w:tcPr>
          <w:p w:rsidR="00CA652E" w:rsidRPr="001D1DCA" w:rsidRDefault="00CA652E" w:rsidP="00B3156F">
            <w:pPr>
              <w:cnfStyle w:val="000000100000"/>
              <w:rPr>
                <w:rFonts w:ascii="Times New Roman" w:hAnsi="Times New Roman" w:cs="Times New Roman"/>
                <w:sz w:val="16"/>
                <w:szCs w:val="16"/>
                <w:lang w:val="en-US"/>
              </w:rPr>
            </w:pPr>
            <w:r w:rsidRPr="001D1DCA">
              <w:rPr>
                <w:rFonts w:ascii="Times New Roman" w:hAnsi="Times New Roman" w:cs="Times New Roman"/>
                <w:sz w:val="16"/>
                <w:szCs w:val="16"/>
                <w:lang w:val="en-US"/>
              </w:rPr>
              <w:t xml:space="preserve">≥ 50 </w:t>
            </w:r>
            <w:proofErr w:type="gramStart"/>
            <w:r w:rsidRPr="001D1DCA">
              <w:rPr>
                <w:rFonts w:ascii="Times New Roman" w:hAnsi="Times New Roman" w:cs="Times New Roman"/>
                <w:sz w:val="16"/>
                <w:szCs w:val="16"/>
                <w:lang w:val="en-US"/>
              </w:rPr>
              <w:t>years</w:t>
            </w:r>
            <w:proofErr w:type="gramEnd"/>
            <w:r w:rsidRPr="001D1DCA">
              <w:rPr>
                <w:rFonts w:ascii="Times New Roman" w:hAnsi="Times New Roman" w:cs="Times New Roman"/>
                <w:sz w:val="16"/>
                <w:szCs w:val="16"/>
                <w:lang w:val="en-US"/>
              </w:rPr>
              <w:t xml:space="preserve"> males and </w:t>
            </w:r>
            <w:r>
              <w:rPr>
                <w:rFonts w:ascii="Times New Roman" w:hAnsi="Times New Roman" w:cs="Times New Roman"/>
                <w:sz w:val="16"/>
                <w:szCs w:val="16"/>
                <w:lang w:val="en-US"/>
              </w:rPr>
              <w:t>post</w:t>
            </w:r>
            <w:r w:rsidRPr="001D1DCA">
              <w:rPr>
                <w:rFonts w:ascii="Times New Roman" w:hAnsi="Times New Roman" w:cs="Times New Roman"/>
                <w:sz w:val="16"/>
                <w:szCs w:val="16"/>
                <w:lang w:val="en-US"/>
              </w:rPr>
              <w:t>menopausal women.</w:t>
            </w:r>
          </w:p>
        </w:tc>
        <w:tc>
          <w:tcPr>
            <w:tcW w:w="1340" w:type="dxa"/>
          </w:tcPr>
          <w:p w:rsidR="00CA652E" w:rsidRPr="001D1DCA" w:rsidRDefault="00CA652E" w:rsidP="00B3156F">
            <w:pPr>
              <w:cnfStyle w:val="000000100000"/>
              <w:rPr>
                <w:rFonts w:ascii="Times New Roman" w:hAnsi="Times New Roman" w:cs="Times New Roman"/>
                <w:sz w:val="16"/>
                <w:szCs w:val="16"/>
                <w:lang w:val="en-US"/>
              </w:rPr>
            </w:pPr>
          </w:p>
        </w:tc>
        <w:tc>
          <w:tcPr>
            <w:tcW w:w="1693" w:type="dxa"/>
          </w:tcPr>
          <w:p w:rsidR="00CA652E" w:rsidRPr="001D1DCA" w:rsidRDefault="00CA652E" w:rsidP="00B3156F">
            <w:pPr>
              <w:cnfStyle w:val="000000100000"/>
              <w:rPr>
                <w:rFonts w:ascii="Times New Roman" w:hAnsi="Times New Roman" w:cs="Times New Roman"/>
                <w:sz w:val="16"/>
                <w:szCs w:val="16"/>
                <w:lang w:val="en-US"/>
              </w:rPr>
            </w:pPr>
          </w:p>
        </w:tc>
        <w:tc>
          <w:tcPr>
            <w:tcW w:w="1410" w:type="dxa"/>
          </w:tcPr>
          <w:p w:rsidR="00CA652E" w:rsidRPr="001D1DCA" w:rsidRDefault="00CA652E" w:rsidP="00B3156F">
            <w:pPr>
              <w:cnfStyle w:val="000000100000"/>
              <w:rPr>
                <w:rFonts w:ascii="Times New Roman" w:hAnsi="Times New Roman" w:cs="Times New Roman"/>
                <w:sz w:val="16"/>
                <w:szCs w:val="16"/>
                <w:lang w:val="en-US"/>
              </w:rPr>
            </w:pPr>
          </w:p>
        </w:tc>
        <w:tc>
          <w:tcPr>
            <w:tcW w:w="1073" w:type="dxa"/>
          </w:tcPr>
          <w:p w:rsidR="00CA652E" w:rsidRPr="001D1DCA" w:rsidRDefault="00CA652E" w:rsidP="00B3156F">
            <w:pPr>
              <w:cnfStyle w:val="000000100000"/>
              <w:rPr>
                <w:rFonts w:ascii="Times New Roman" w:hAnsi="Times New Roman" w:cs="Times New Roman"/>
                <w:sz w:val="16"/>
                <w:szCs w:val="16"/>
                <w:lang w:val="en-US"/>
              </w:rPr>
            </w:pPr>
          </w:p>
        </w:tc>
        <w:tc>
          <w:tcPr>
            <w:tcW w:w="1377" w:type="dxa"/>
          </w:tcPr>
          <w:p w:rsidR="00CA652E" w:rsidRPr="001D1DCA" w:rsidRDefault="00CA652E" w:rsidP="00B3156F">
            <w:pPr>
              <w:cnfStyle w:val="000000100000"/>
              <w:rPr>
                <w:rFonts w:ascii="Times New Roman" w:hAnsi="Times New Roman" w:cs="Times New Roman"/>
                <w:sz w:val="16"/>
                <w:szCs w:val="16"/>
                <w:lang w:val="en-US"/>
              </w:rPr>
            </w:pPr>
          </w:p>
        </w:tc>
      </w:tr>
    </w:tbl>
    <w:p w:rsidR="00CA652E" w:rsidRPr="00AE7237" w:rsidRDefault="00CA652E" w:rsidP="00CA652E">
      <w:pPr>
        <w:spacing w:after="0" w:line="24" w:lineRule="atLeast"/>
        <w:rPr>
          <w:rFonts w:ascii="Times New Roman" w:hAnsi="Times New Roman" w:cs="Times New Roman"/>
          <w:sz w:val="18"/>
          <w:szCs w:val="18"/>
          <w:lang w:val="en-US"/>
        </w:rPr>
      </w:pPr>
      <w:r>
        <w:rPr>
          <w:rFonts w:ascii="Times New Roman" w:hAnsi="Times New Roman" w:cs="Times New Roman"/>
          <w:sz w:val="18"/>
          <w:szCs w:val="18"/>
          <w:lang w:val="en-US"/>
        </w:rPr>
        <w:t xml:space="preserve">Antiretroviral treatment (ART), bone mineral density (BMD), femoral neck (FN), lumbar spine (LS), </w:t>
      </w:r>
      <w:proofErr w:type="spellStart"/>
      <w:r w:rsidRPr="00AE7237">
        <w:rPr>
          <w:rFonts w:ascii="Times New Roman" w:hAnsi="Times New Roman" w:cs="Times New Roman"/>
          <w:bCs/>
          <w:sz w:val="18"/>
          <w:szCs w:val="18"/>
          <w:lang w:val="en-GB"/>
        </w:rPr>
        <w:t>tenofovir</w:t>
      </w:r>
      <w:proofErr w:type="spellEnd"/>
      <w:r w:rsidRPr="00AE7237">
        <w:rPr>
          <w:rFonts w:ascii="Times New Roman" w:hAnsi="Times New Roman" w:cs="Times New Roman"/>
          <w:bCs/>
          <w:sz w:val="18"/>
          <w:szCs w:val="18"/>
          <w:lang w:val="en-GB"/>
        </w:rPr>
        <w:t xml:space="preserve"> </w:t>
      </w:r>
      <w:proofErr w:type="spellStart"/>
      <w:r w:rsidRPr="00AE7237">
        <w:rPr>
          <w:rFonts w:ascii="Times New Roman" w:hAnsi="Times New Roman" w:cs="Times New Roman"/>
          <w:bCs/>
          <w:sz w:val="18"/>
          <w:szCs w:val="18"/>
          <w:lang w:val="en-GB"/>
        </w:rPr>
        <w:t>alafenamide</w:t>
      </w:r>
      <w:proofErr w:type="spellEnd"/>
      <w:r w:rsidRPr="00AE7237">
        <w:rPr>
          <w:rFonts w:ascii="Times New Roman" w:hAnsi="Times New Roman" w:cs="Times New Roman"/>
          <w:bCs/>
          <w:sz w:val="18"/>
          <w:szCs w:val="18"/>
          <w:lang w:val="en-GB"/>
        </w:rPr>
        <w:t xml:space="preserve"> (TAF), </w:t>
      </w:r>
      <w:proofErr w:type="spellStart"/>
      <w:r w:rsidRPr="00AE7237">
        <w:rPr>
          <w:rFonts w:ascii="Times New Roman" w:hAnsi="Times New Roman" w:cs="Times New Roman"/>
          <w:bCs/>
          <w:sz w:val="18"/>
          <w:szCs w:val="18"/>
          <w:lang w:val="en-GB"/>
        </w:rPr>
        <w:t>tenofovir</w:t>
      </w:r>
      <w:proofErr w:type="spellEnd"/>
      <w:r w:rsidRPr="00AE7237">
        <w:rPr>
          <w:rFonts w:ascii="Times New Roman" w:hAnsi="Times New Roman" w:cs="Times New Roman"/>
          <w:bCs/>
          <w:sz w:val="18"/>
          <w:szCs w:val="18"/>
          <w:lang w:val="en-GB"/>
        </w:rPr>
        <w:t xml:space="preserve"> </w:t>
      </w:r>
      <w:proofErr w:type="spellStart"/>
      <w:r w:rsidRPr="00AE7237">
        <w:rPr>
          <w:rFonts w:ascii="Times New Roman" w:hAnsi="Times New Roman" w:cs="Times New Roman"/>
          <w:bCs/>
          <w:sz w:val="18"/>
          <w:szCs w:val="18"/>
          <w:lang w:val="en-GB"/>
        </w:rPr>
        <w:t>disoproxil</w:t>
      </w:r>
      <w:proofErr w:type="spellEnd"/>
      <w:r w:rsidRPr="00AE7237">
        <w:rPr>
          <w:rFonts w:ascii="Times New Roman" w:hAnsi="Times New Roman" w:cs="Times New Roman"/>
          <w:bCs/>
          <w:sz w:val="18"/>
          <w:szCs w:val="18"/>
          <w:lang w:val="en-GB"/>
        </w:rPr>
        <w:t xml:space="preserve"> </w:t>
      </w:r>
      <w:proofErr w:type="spellStart"/>
      <w:r w:rsidRPr="00AE7237">
        <w:rPr>
          <w:rFonts w:ascii="Times New Roman" w:hAnsi="Times New Roman" w:cs="Times New Roman"/>
          <w:bCs/>
          <w:sz w:val="18"/>
          <w:szCs w:val="18"/>
          <w:lang w:val="en-GB"/>
        </w:rPr>
        <w:t>fumarate</w:t>
      </w:r>
      <w:proofErr w:type="spellEnd"/>
      <w:r w:rsidRPr="00AE7237">
        <w:rPr>
          <w:rFonts w:ascii="Times New Roman" w:hAnsi="Times New Roman" w:cs="Times New Roman"/>
          <w:bCs/>
          <w:sz w:val="18"/>
          <w:szCs w:val="18"/>
          <w:lang w:val="en-GB"/>
        </w:rPr>
        <w:t xml:space="preserve"> (TDF)</w:t>
      </w:r>
      <w:r>
        <w:rPr>
          <w:rFonts w:ascii="Times New Roman" w:hAnsi="Times New Roman" w:cs="Times New Roman"/>
          <w:bCs/>
          <w:sz w:val="18"/>
          <w:szCs w:val="18"/>
          <w:lang w:val="en-GB"/>
        </w:rPr>
        <w:t>, the fracture risk assessment tool (FRAX), total hip (TH)</w:t>
      </w:r>
    </w:p>
    <w:p w:rsidR="00CA652E" w:rsidRDefault="00CA652E">
      <w:pPr>
        <w:rPr>
          <w:lang w:val="en-US"/>
        </w:rPr>
      </w:pPr>
      <w:r>
        <w:rPr>
          <w:lang w:val="en-US"/>
        </w:rPr>
        <w:br w:type="page"/>
      </w:r>
    </w:p>
    <w:p w:rsidR="00CA652E" w:rsidRDefault="004B77E9" w:rsidP="00CA652E">
      <w:pPr>
        <w:spacing w:after="0" w:line="360" w:lineRule="auto"/>
        <w:contextualSpacing/>
        <w:outlineLvl w:val="0"/>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Figure</w:t>
      </w:r>
      <w:r w:rsidR="002F0713">
        <w:rPr>
          <w:rFonts w:ascii="Times New Roman" w:hAnsi="Times New Roman" w:cs="Times New Roman"/>
          <w:iCs/>
          <w:sz w:val="24"/>
          <w:szCs w:val="24"/>
          <w:lang w:val="en-GB"/>
        </w:rPr>
        <w:t xml:space="preserve"> 1</w:t>
      </w:r>
      <w:r w:rsidR="00CA652E">
        <w:rPr>
          <w:rFonts w:ascii="Times New Roman" w:hAnsi="Times New Roman" w:cs="Times New Roman"/>
          <w:iCs/>
          <w:sz w:val="24"/>
          <w:szCs w:val="24"/>
          <w:lang w:val="en-GB"/>
        </w:rPr>
        <w:t>.</w:t>
      </w:r>
      <w:proofErr w:type="gramEnd"/>
      <w:r w:rsidR="00CA652E">
        <w:rPr>
          <w:rFonts w:ascii="Times New Roman" w:hAnsi="Times New Roman" w:cs="Times New Roman"/>
          <w:iCs/>
          <w:sz w:val="24"/>
          <w:szCs w:val="24"/>
          <w:lang w:val="en-GB"/>
        </w:rPr>
        <w:t xml:space="preserve"> </w:t>
      </w:r>
      <w:proofErr w:type="gramStart"/>
      <w:r w:rsidR="00CA652E">
        <w:rPr>
          <w:rFonts w:ascii="Times New Roman" w:hAnsi="Times New Roman" w:cs="Times New Roman"/>
          <w:iCs/>
          <w:sz w:val="24"/>
          <w:szCs w:val="24"/>
          <w:lang w:val="en-GB"/>
        </w:rPr>
        <w:t>Prevalence of vertebral fracture, by the mean age of patients living with HIV.</w:t>
      </w:r>
      <w:proofErr w:type="gramEnd"/>
    </w:p>
    <w:p w:rsidR="00CA652E" w:rsidRDefault="00CA652E" w:rsidP="00CA652E">
      <w:pPr>
        <w:spacing w:after="0" w:line="360" w:lineRule="auto"/>
        <w:contextualSpacing/>
        <w:outlineLvl w:val="0"/>
        <w:rPr>
          <w:rFonts w:ascii="Times New Roman" w:hAnsi="Times New Roman" w:cs="Times New Roman"/>
          <w:iCs/>
          <w:sz w:val="24"/>
          <w:szCs w:val="24"/>
          <w:lang w:val="en-GB"/>
        </w:rPr>
      </w:pPr>
      <w:r w:rsidRPr="002D0B3F">
        <w:rPr>
          <w:rFonts w:ascii="Times New Roman" w:hAnsi="Times New Roman" w:cs="Times New Roman"/>
          <w:iCs/>
          <w:noProof/>
          <w:sz w:val="24"/>
          <w:szCs w:val="24"/>
        </w:rPr>
        <w:drawing>
          <wp:inline distT="0" distB="0" distL="0" distR="0">
            <wp:extent cx="6120130" cy="2488681"/>
            <wp:effectExtent l="19050" t="0" r="13970" b="6869"/>
            <wp:docPr id="11"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652E" w:rsidRPr="00E82AD3" w:rsidRDefault="00CA652E" w:rsidP="00CA652E">
      <w:pPr>
        <w:autoSpaceDE w:val="0"/>
        <w:autoSpaceDN w:val="0"/>
        <w:adjustRightInd w:val="0"/>
        <w:spacing w:after="0" w:line="360" w:lineRule="auto"/>
        <w:contextualSpacing/>
        <w:rPr>
          <w:rFonts w:ascii="Times New Roman" w:eastAsia="Times New Roman" w:hAnsi="Times New Roman" w:cs="Times New Roman"/>
          <w:i/>
          <w:sz w:val="24"/>
          <w:szCs w:val="24"/>
          <w:lang w:val="en-US"/>
        </w:rPr>
      </w:pPr>
    </w:p>
    <w:p w:rsidR="002F0713" w:rsidRDefault="002F0713">
      <w:pPr>
        <w:rPr>
          <w:lang w:val="en-US"/>
        </w:rPr>
      </w:pPr>
      <w:r>
        <w:rPr>
          <w:lang w:val="en-US"/>
        </w:rPr>
        <w:br w:type="page"/>
      </w:r>
    </w:p>
    <w:p w:rsidR="002F0713" w:rsidRDefault="004B77E9" w:rsidP="002F0713">
      <w:pPr>
        <w:spacing w:after="0" w:line="360" w:lineRule="auto"/>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Figure</w:t>
      </w:r>
      <w:r w:rsidR="002F0713">
        <w:rPr>
          <w:rFonts w:ascii="Times New Roman" w:hAnsi="Times New Roman" w:cs="Times New Roman"/>
          <w:iCs/>
          <w:sz w:val="24"/>
          <w:szCs w:val="24"/>
          <w:lang w:val="en-GB"/>
        </w:rPr>
        <w:t xml:space="preserve"> 2.</w:t>
      </w:r>
      <w:proofErr w:type="gramEnd"/>
      <w:r w:rsidR="002F0713">
        <w:rPr>
          <w:rFonts w:ascii="Times New Roman" w:hAnsi="Times New Roman" w:cs="Times New Roman"/>
          <w:iCs/>
          <w:sz w:val="24"/>
          <w:szCs w:val="24"/>
          <w:lang w:val="en-GB"/>
        </w:rPr>
        <w:t xml:space="preserve"> Bone mineral density (g/cm</w:t>
      </w:r>
      <w:r w:rsidR="002F0713" w:rsidRPr="003C6A2C">
        <w:rPr>
          <w:rFonts w:ascii="Times New Roman" w:hAnsi="Times New Roman" w:cs="Times New Roman"/>
          <w:iCs/>
          <w:sz w:val="24"/>
          <w:szCs w:val="24"/>
          <w:vertAlign w:val="superscript"/>
          <w:lang w:val="en-GB"/>
        </w:rPr>
        <w:t>2</w:t>
      </w:r>
      <w:r w:rsidR="002F0713">
        <w:rPr>
          <w:rFonts w:ascii="Times New Roman" w:hAnsi="Times New Roman" w:cs="Times New Roman"/>
          <w:iCs/>
          <w:sz w:val="24"/>
          <w:szCs w:val="24"/>
          <w:lang w:val="en-GB"/>
        </w:rPr>
        <w:t>) at the lumbar spine compared between patients living with HIV and controls.</w:t>
      </w:r>
      <w:r w:rsidR="002F0713">
        <w:rPr>
          <w:rFonts w:ascii="Times New Roman" w:hAnsi="Times New Roman" w:cs="Times New Roman"/>
          <w:iCs/>
          <w:noProof/>
          <w:sz w:val="24"/>
          <w:szCs w:val="24"/>
        </w:rPr>
        <w:drawing>
          <wp:inline distT="0" distB="0" distL="0" distR="0">
            <wp:extent cx="6120130" cy="5766435"/>
            <wp:effectExtent l="19050" t="0" r="0" b="0"/>
            <wp:docPr id="13" name="Billede 11" descr="LS_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control.png"/>
                    <pic:cNvPicPr/>
                  </pic:nvPicPr>
                  <pic:blipFill>
                    <a:blip r:embed="rId7" cstate="print"/>
                    <a:stretch>
                      <a:fillRect/>
                    </a:stretch>
                  </pic:blipFill>
                  <pic:spPr>
                    <a:xfrm>
                      <a:off x="0" y="0"/>
                      <a:ext cx="6120130" cy="5766435"/>
                    </a:xfrm>
                    <a:prstGeom prst="rect">
                      <a:avLst/>
                    </a:prstGeom>
                  </pic:spPr>
                </pic:pic>
              </a:graphicData>
            </a:graphic>
          </wp:inline>
        </w:drawing>
      </w:r>
    </w:p>
    <w:p w:rsidR="002F0713" w:rsidRDefault="002F0713" w:rsidP="002F0713">
      <w:pPr>
        <w:rPr>
          <w:rFonts w:ascii="Times New Roman" w:hAnsi="Times New Roman" w:cs="Times New Roman"/>
          <w:iCs/>
          <w:sz w:val="24"/>
          <w:szCs w:val="24"/>
          <w:lang w:val="en-GB"/>
        </w:rPr>
      </w:pPr>
      <w:r>
        <w:rPr>
          <w:rFonts w:ascii="Times New Roman" w:hAnsi="Times New Roman" w:cs="Times New Roman"/>
          <w:iCs/>
          <w:sz w:val="24"/>
          <w:szCs w:val="24"/>
          <w:lang w:val="en-GB"/>
        </w:rPr>
        <w:br w:type="page"/>
      </w:r>
    </w:p>
    <w:p w:rsidR="002F0713" w:rsidRDefault="004B77E9" w:rsidP="002F0713">
      <w:pPr>
        <w:spacing w:after="0" w:line="360" w:lineRule="auto"/>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Figure</w:t>
      </w:r>
      <w:r w:rsidR="002F0713">
        <w:rPr>
          <w:rFonts w:ascii="Times New Roman" w:hAnsi="Times New Roman" w:cs="Times New Roman"/>
          <w:iCs/>
          <w:sz w:val="24"/>
          <w:szCs w:val="24"/>
          <w:lang w:val="en-GB"/>
        </w:rPr>
        <w:t xml:space="preserve"> 3.</w:t>
      </w:r>
      <w:proofErr w:type="gramEnd"/>
      <w:r w:rsidR="002F0713">
        <w:rPr>
          <w:rFonts w:ascii="Times New Roman" w:hAnsi="Times New Roman" w:cs="Times New Roman"/>
          <w:iCs/>
          <w:sz w:val="24"/>
          <w:szCs w:val="24"/>
          <w:lang w:val="en-GB"/>
        </w:rPr>
        <w:t xml:space="preserve"> Bone mineral density (g/cm</w:t>
      </w:r>
      <w:r w:rsidR="002F0713" w:rsidRPr="003C6A2C">
        <w:rPr>
          <w:rFonts w:ascii="Times New Roman" w:hAnsi="Times New Roman" w:cs="Times New Roman"/>
          <w:iCs/>
          <w:sz w:val="24"/>
          <w:szCs w:val="24"/>
          <w:vertAlign w:val="superscript"/>
          <w:lang w:val="en-GB"/>
        </w:rPr>
        <w:t>2</w:t>
      </w:r>
      <w:r w:rsidR="002F0713">
        <w:rPr>
          <w:rFonts w:ascii="Times New Roman" w:hAnsi="Times New Roman" w:cs="Times New Roman"/>
          <w:iCs/>
          <w:sz w:val="24"/>
          <w:szCs w:val="24"/>
          <w:lang w:val="en-GB"/>
        </w:rPr>
        <w:t>) at the hip compared between patients living with HIV and controls.</w:t>
      </w:r>
    </w:p>
    <w:p w:rsidR="002F0713" w:rsidRDefault="002F0713" w:rsidP="002F0713">
      <w:pPr>
        <w:rPr>
          <w:rFonts w:ascii="Times New Roman" w:hAnsi="Times New Roman" w:cs="Times New Roman"/>
          <w:iCs/>
          <w:sz w:val="24"/>
          <w:szCs w:val="24"/>
          <w:lang w:val="en-GB"/>
        </w:rPr>
      </w:pPr>
      <w:r>
        <w:rPr>
          <w:rFonts w:ascii="Times New Roman" w:hAnsi="Times New Roman" w:cs="Times New Roman"/>
          <w:iCs/>
          <w:noProof/>
          <w:sz w:val="24"/>
          <w:szCs w:val="24"/>
        </w:rPr>
        <w:drawing>
          <wp:inline distT="0" distB="0" distL="0" distR="0">
            <wp:extent cx="6120130" cy="4271645"/>
            <wp:effectExtent l="19050" t="0" r="0" b="0"/>
            <wp:docPr id="17" name="Billede 16" descr="hip_contro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_controlt.png"/>
                    <pic:cNvPicPr/>
                  </pic:nvPicPr>
                  <pic:blipFill>
                    <a:blip r:embed="rId8" cstate="print"/>
                    <a:stretch>
                      <a:fillRect/>
                    </a:stretch>
                  </pic:blipFill>
                  <pic:spPr>
                    <a:xfrm>
                      <a:off x="0" y="0"/>
                      <a:ext cx="6120130" cy="4271645"/>
                    </a:xfrm>
                    <a:prstGeom prst="rect">
                      <a:avLst/>
                    </a:prstGeom>
                  </pic:spPr>
                </pic:pic>
              </a:graphicData>
            </a:graphic>
          </wp:inline>
        </w:drawing>
      </w:r>
      <w:r>
        <w:rPr>
          <w:rFonts w:ascii="Times New Roman" w:hAnsi="Times New Roman" w:cs="Times New Roman"/>
          <w:iCs/>
          <w:sz w:val="24"/>
          <w:szCs w:val="24"/>
          <w:lang w:val="en-GB"/>
        </w:rPr>
        <w:br w:type="page"/>
      </w:r>
    </w:p>
    <w:p w:rsidR="002F0713" w:rsidRDefault="004B77E9" w:rsidP="002F0713">
      <w:pPr>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Figure</w:t>
      </w:r>
      <w:r w:rsidR="002F0713">
        <w:rPr>
          <w:rFonts w:ascii="Times New Roman" w:hAnsi="Times New Roman" w:cs="Times New Roman"/>
          <w:iCs/>
          <w:sz w:val="24"/>
          <w:szCs w:val="24"/>
          <w:lang w:val="en-GB"/>
        </w:rPr>
        <w:t xml:space="preserve"> 4.</w:t>
      </w:r>
      <w:proofErr w:type="gramEnd"/>
      <w:r w:rsidR="002F0713">
        <w:rPr>
          <w:rFonts w:ascii="Times New Roman" w:hAnsi="Times New Roman" w:cs="Times New Roman"/>
          <w:iCs/>
          <w:sz w:val="24"/>
          <w:szCs w:val="24"/>
          <w:lang w:val="en-GB"/>
        </w:rPr>
        <w:t xml:space="preserve"> Longitudinal changes in BMD (% change) within one year compared to baseline in patients living with HIV naive to ART treatment and initiating treatment. Lumbar spine (A), total hip (B).</w:t>
      </w:r>
    </w:p>
    <w:p w:rsidR="002F0713" w:rsidRDefault="002F0713" w:rsidP="002F0713">
      <w:pPr>
        <w:rPr>
          <w:rFonts w:ascii="Times New Roman" w:hAnsi="Times New Roman" w:cs="Times New Roman"/>
          <w:iCs/>
          <w:sz w:val="24"/>
          <w:szCs w:val="24"/>
          <w:lang w:val="en-GB"/>
        </w:rPr>
      </w:pPr>
      <w:r>
        <w:rPr>
          <w:rFonts w:ascii="Times New Roman" w:hAnsi="Times New Roman" w:cs="Times New Roman"/>
          <w:iCs/>
          <w:sz w:val="24"/>
          <w:szCs w:val="24"/>
          <w:lang w:val="en-GB"/>
        </w:rPr>
        <w:t>A</w:t>
      </w:r>
      <w:r>
        <w:rPr>
          <w:rFonts w:ascii="Times New Roman" w:hAnsi="Times New Roman" w:cs="Times New Roman"/>
          <w:iCs/>
          <w:noProof/>
          <w:sz w:val="24"/>
          <w:szCs w:val="24"/>
        </w:rPr>
        <w:drawing>
          <wp:inline distT="0" distB="0" distL="0" distR="0">
            <wp:extent cx="6120130" cy="3306445"/>
            <wp:effectExtent l="19050" t="0" r="0" b="0"/>
            <wp:docPr id="14" name="Billede 13" descr="LSnaive_number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aive_number48.png"/>
                    <pic:cNvPicPr/>
                  </pic:nvPicPr>
                  <pic:blipFill>
                    <a:blip r:embed="rId9" cstate="print"/>
                    <a:stretch>
                      <a:fillRect/>
                    </a:stretch>
                  </pic:blipFill>
                  <pic:spPr>
                    <a:xfrm>
                      <a:off x="0" y="0"/>
                      <a:ext cx="6120130" cy="3306445"/>
                    </a:xfrm>
                    <a:prstGeom prst="rect">
                      <a:avLst/>
                    </a:prstGeom>
                  </pic:spPr>
                </pic:pic>
              </a:graphicData>
            </a:graphic>
          </wp:inline>
        </w:drawing>
      </w:r>
      <w:r w:rsidRPr="00F85963">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B</w:t>
      </w:r>
      <w:r>
        <w:rPr>
          <w:rFonts w:ascii="Times New Roman" w:hAnsi="Times New Roman" w:cs="Times New Roman"/>
          <w:iCs/>
          <w:noProof/>
          <w:sz w:val="24"/>
          <w:szCs w:val="24"/>
        </w:rPr>
        <w:drawing>
          <wp:inline distT="0" distB="0" distL="0" distR="0">
            <wp:extent cx="6120130" cy="3306445"/>
            <wp:effectExtent l="19050" t="0" r="0" b="0"/>
            <wp:docPr id="15" name="Billede 14" descr="hipnaive_number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naive_number48.png"/>
                    <pic:cNvPicPr/>
                  </pic:nvPicPr>
                  <pic:blipFill>
                    <a:blip r:embed="rId10" cstate="print"/>
                    <a:stretch>
                      <a:fillRect/>
                    </a:stretch>
                  </pic:blipFill>
                  <pic:spPr>
                    <a:xfrm>
                      <a:off x="0" y="0"/>
                      <a:ext cx="6120130" cy="3306445"/>
                    </a:xfrm>
                    <a:prstGeom prst="rect">
                      <a:avLst/>
                    </a:prstGeom>
                  </pic:spPr>
                </pic:pic>
              </a:graphicData>
            </a:graphic>
          </wp:inline>
        </w:drawing>
      </w:r>
      <w:r>
        <w:rPr>
          <w:rFonts w:ascii="Times New Roman" w:hAnsi="Times New Roman" w:cs="Times New Roman"/>
          <w:iCs/>
          <w:sz w:val="24"/>
          <w:szCs w:val="24"/>
          <w:lang w:val="en-GB"/>
        </w:rPr>
        <w:br w:type="page"/>
      </w:r>
    </w:p>
    <w:p w:rsidR="002F0713" w:rsidRDefault="004B77E9" w:rsidP="002F0713">
      <w:pPr>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Figure</w:t>
      </w:r>
      <w:r w:rsidR="002F0713">
        <w:rPr>
          <w:rFonts w:ascii="Times New Roman" w:hAnsi="Times New Roman" w:cs="Times New Roman"/>
          <w:iCs/>
          <w:sz w:val="24"/>
          <w:szCs w:val="24"/>
          <w:lang w:val="en-GB"/>
        </w:rPr>
        <w:t xml:space="preserve"> 5.</w:t>
      </w:r>
      <w:proofErr w:type="gramEnd"/>
      <w:r w:rsidR="002F0713">
        <w:rPr>
          <w:rFonts w:ascii="Times New Roman" w:hAnsi="Times New Roman" w:cs="Times New Roman"/>
          <w:iCs/>
          <w:sz w:val="24"/>
          <w:szCs w:val="24"/>
          <w:lang w:val="en-GB"/>
        </w:rPr>
        <w:t xml:space="preserve"> Longitudinal changes in BMD (% change) within one year compared to baseline in patients living with HIV on stable ART treatment. Lumbar spine (A), total hip (B).</w:t>
      </w:r>
    </w:p>
    <w:p w:rsidR="002F0713" w:rsidRDefault="002F0713" w:rsidP="002F0713">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A</w:t>
      </w:r>
    </w:p>
    <w:p w:rsidR="002F0713" w:rsidRDefault="002F0713" w:rsidP="002F0713">
      <w:pPr>
        <w:spacing w:after="0" w:line="360" w:lineRule="auto"/>
        <w:rPr>
          <w:rFonts w:ascii="Times New Roman" w:hAnsi="Times New Roman" w:cs="Times New Roman"/>
          <w:iCs/>
          <w:sz w:val="24"/>
          <w:szCs w:val="24"/>
          <w:lang w:val="en-GB"/>
        </w:rPr>
      </w:pPr>
      <w:r>
        <w:rPr>
          <w:rFonts w:ascii="Times New Roman" w:hAnsi="Times New Roman" w:cs="Times New Roman"/>
          <w:iCs/>
          <w:noProof/>
          <w:sz w:val="24"/>
          <w:szCs w:val="24"/>
        </w:rPr>
        <w:drawing>
          <wp:inline distT="0" distB="0" distL="0" distR="0">
            <wp:extent cx="6120130" cy="2675255"/>
            <wp:effectExtent l="19050" t="0" r="0" b="0"/>
            <wp:docPr id="16" name="Billede 15" descr="ls_number 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_number 48.png"/>
                    <pic:cNvPicPr/>
                  </pic:nvPicPr>
                  <pic:blipFill>
                    <a:blip r:embed="rId11" cstate="print"/>
                    <a:stretch>
                      <a:fillRect/>
                    </a:stretch>
                  </pic:blipFill>
                  <pic:spPr>
                    <a:xfrm>
                      <a:off x="0" y="0"/>
                      <a:ext cx="6120130" cy="2675255"/>
                    </a:xfrm>
                    <a:prstGeom prst="rect">
                      <a:avLst/>
                    </a:prstGeom>
                  </pic:spPr>
                </pic:pic>
              </a:graphicData>
            </a:graphic>
          </wp:inline>
        </w:drawing>
      </w:r>
    </w:p>
    <w:p w:rsidR="002F0713" w:rsidRDefault="002F0713" w:rsidP="002F0713">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B</w:t>
      </w:r>
    </w:p>
    <w:p w:rsidR="002F0713" w:rsidRDefault="002F0713" w:rsidP="002F0713">
      <w:pPr>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extent cx="6120130" cy="2675255"/>
            <wp:effectExtent l="19050" t="0" r="0" b="0"/>
            <wp:docPr id="19" name="Billede 18" descr="hip_number48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_number48ART.png"/>
                    <pic:cNvPicPr/>
                  </pic:nvPicPr>
                  <pic:blipFill>
                    <a:blip r:embed="rId12" cstate="print"/>
                    <a:stretch>
                      <a:fillRect/>
                    </a:stretch>
                  </pic:blipFill>
                  <pic:spPr>
                    <a:xfrm>
                      <a:off x="0" y="0"/>
                      <a:ext cx="6120130" cy="2675255"/>
                    </a:xfrm>
                    <a:prstGeom prst="rect">
                      <a:avLst/>
                    </a:prstGeom>
                  </pic:spPr>
                </pic:pic>
              </a:graphicData>
            </a:graphic>
          </wp:inline>
        </w:drawing>
      </w:r>
      <w:r>
        <w:rPr>
          <w:rFonts w:ascii="Times New Roman" w:hAnsi="Times New Roman" w:cs="Times New Roman"/>
          <w:b/>
          <w:sz w:val="24"/>
          <w:szCs w:val="24"/>
          <w:lang w:val="en-US"/>
        </w:rPr>
        <w:br w:type="page"/>
      </w:r>
    </w:p>
    <w:p w:rsidR="002F0713" w:rsidRDefault="004B77E9" w:rsidP="002F0713">
      <w:pPr>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Figure</w:t>
      </w:r>
      <w:r w:rsidR="002F0713">
        <w:rPr>
          <w:rFonts w:ascii="Times New Roman" w:hAnsi="Times New Roman" w:cs="Times New Roman"/>
          <w:iCs/>
          <w:sz w:val="24"/>
          <w:szCs w:val="24"/>
          <w:lang w:val="en-GB"/>
        </w:rPr>
        <w:t xml:space="preserve"> 6.</w:t>
      </w:r>
      <w:proofErr w:type="gramEnd"/>
      <w:r w:rsidR="002F0713">
        <w:rPr>
          <w:rFonts w:ascii="Times New Roman" w:hAnsi="Times New Roman" w:cs="Times New Roman"/>
          <w:iCs/>
          <w:sz w:val="24"/>
          <w:szCs w:val="24"/>
          <w:lang w:val="en-GB"/>
        </w:rPr>
        <w:t xml:space="preserve"> </w:t>
      </w:r>
      <w:proofErr w:type="gramStart"/>
      <w:r w:rsidR="002F0713">
        <w:rPr>
          <w:rFonts w:ascii="Times New Roman" w:hAnsi="Times New Roman" w:cs="Times New Roman"/>
          <w:iCs/>
          <w:sz w:val="24"/>
          <w:szCs w:val="24"/>
          <w:lang w:val="en-GB"/>
        </w:rPr>
        <w:t xml:space="preserve">RCTs assessing the different impact of </w:t>
      </w:r>
      <w:proofErr w:type="spellStart"/>
      <w:r w:rsidR="002F0713">
        <w:rPr>
          <w:rFonts w:ascii="Times New Roman" w:hAnsi="Times New Roman" w:cs="Times New Roman"/>
          <w:iCs/>
          <w:sz w:val="24"/>
          <w:szCs w:val="24"/>
          <w:lang w:val="en-GB"/>
        </w:rPr>
        <w:t>abacavir</w:t>
      </w:r>
      <w:proofErr w:type="spellEnd"/>
      <w:r w:rsidR="002F0713">
        <w:rPr>
          <w:rFonts w:ascii="Times New Roman" w:hAnsi="Times New Roman" w:cs="Times New Roman"/>
          <w:iCs/>
          <w:sz w:val="24"/>
          <w:szCs w:val="24"/>
          <w:lang w:val="en-GB"/>
        </w:rPr>
        <w:t xml:space="preserve"> and TDF on BMD (% change) after 48 weeks in persons living with HIV.</w:t>
      </w:r>
      <w:proofErr w:type="gramEnd"/>
      <w:r w:rsidR="002F0713">
        <w:rPr>
          <w:rFonts w:ascii="Times New Roman" w:hAnsi="Times New Roman" w:cs="Times New Roman"/>
          <w:iCs/>
          <w:sz w:val="24"/>
          <w:szCs w:val="24"/>
          <w:lang w:val="en-GB"/>
        </w:rPr>
        <w:t xml:space="preserve"> Lumbar spine (A), total hip (B).</w:t>
      </w:r>
    </w:p>
    <w:p w:rsidR="002F0713" w:rsidRDefault="002F0713" w:rsidP="002F0713">
      <w:pPr>
        <w:rPr>
          <w:rFonts w:ascii="Times New Roman" w:hAnsi="Times New Roman" w:cs="Times New Roman"/>
          <w:sz w:val="24"/>
          <w:szCs w:val="24"/>
          <w:lang w:val="en-US"/>
        </w:rPr>
      </w:pPr>
      <w:r w:rsidRPr="000E662B">
        <w:rPr>
          <w:rFonts w:ascii="Times New Roman" w:hAnsi="Times New Roman" w:cs="Times New Roman"/>
          <w:sz w:val="24"/>
          <w:szCs w:val="24"/>
          <w:lang w:val="en-US"/>
        </w:rPr>
        <w:t>A</w:t>
      </w:r>
    </w:p>
    <w:p w:rsidR="002F0713" w:rsidRDefault="002F0713" w:rsidP="002F0713">
      <w:pPr>
        <w:rPr>
          <w:rFonts w:ascii="Times New Roman" w:hAnsi="Times New Roman" w:cs="Times New Roman"/>
          <w:sz w:val="24"/>
          <w:szCs w:val="24"/>
          <w:lang w:val="en-US"/>
        </w:rPr>
      </w:pPr>
      <w:r w:rsidRPr="000E662B">
        <w:rPr>
          <w:rFonts w:ascii="Times New Roman" w:hAnsi="Times New Roman" w:cs="Times New Roman"/>
          <w:noProof/>
          <w:sz w:val="24"/>
          <w:szCs w:val="24"/>
        </w:rPr>
        <w:drawing>
          <wp:inline distT="0" distB="0" distL="0" distR="0">
            <wp:extent cx="6120130" cy="2139950"/>
            <wp:effectExtent l="19050" t="0" r="0" b="0"/>
            <wp:docPr id="32" name="Billede 30" descr="LS 48 ABC T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48 ABC TDF.png"/>
                    <pic:cNvPicPr/>
                  </pic:nvPicPr>
                  <pic:blipFill>
                    <a:blip r:embed="rId13" cstate="print"/>
                    <a:stretch>
                      <a:fillRect/>
                    </a:stretch>
                  </pic:blipFill>
                  <pic:spPr>
                    <a:xfrm>
                      <a:off x="0" y="0"/>
                      <a:ext cx="6120130" cy="2139950"/>
                    </a:xfrm>
                    <a:prstGeom prst="rect">
                      <a:avLst/>
                    </a:prstGeom>
                  </pic:spPr>
                </pic:pic>
              </a:graphicData>
            </a:graphic>
          </wp:inline>
        </w:drawing>
      </w:r>
    </w:p>
    <w:p w:rsidR="002F0713" w:rsidRDefault="002F0713" w:rsidP="002F0713">
      <w:pPr>
        <w:rPr>
          <w:rFonts w:ascii="Times New Roman" w:hAnsi="Times New Roman" w:cs="Times New Roman"/>
          <w:sz w:val="24"/>
          <w:szCs w:val="24"/>
          <w:lang w:val="en-US"/>
        </w:rPr>
      </w:pPr>
      <w:r>
        <w:rPr>
          <w:rFonts w:ascii="Times New Roman" w:hAnsi="Times New Roman" w:cs="Times New Roman"/>
          <w:sz w:val="24"/>
          <w:szCs w:val="24"/>
          <w:lang w:val="en-US"/>
        </w:rPr>
        <w:t>B</w:t>
      </w:r>
    </w:p>
    <w:p w:rsidR="002F0713" w:rsidRPr="000E662B" w:rsidRDefault="002F0713" w:rsidP="002F0713">
      <w:pP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6120130" cy="2145030"/>
            <wp:effectExtent l="19050" t="0" r="0" b="0"/>
            <wp:docPr id="30" name="Billede 29" descr="hip 48 ABC T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48 ABC TDF.png"/>
                    <pic:cNvPicPr/>
                  </pic:nvPicPr>
                  <pic:blipFill>
                    <a:blip r:embed="rId14" cstate="print"/>
                    <a:stretch>
                      <a:fillRect/>
                    </a:stretch>
                  </pic:blipFill>
                  <pic:spPr>
                    <a:xfrm>
                      <a:off x="0" y="0"/>
                      <a:ext cx="6120130" cy="2145030"/>
                    </a:xfrm>
                    <a:prstGeom prst="rect">
                      <a:avLst/>
                    </a:prstGeom>
                  </pic:spPr>
                </pic:pic>
              </a:graphicData>
            </a:graphic>
          </wp:inline>
        </w:drawing>
      </w:r>
    </w:p>
    <w:p w:rsidR="002F0713" w:rsidRPr="000E662B" w:rsidRDefault="002F0713" w:rsidP="002F0713">
      <w:pPr>
        <w:rPr>
          <w:rFonts w:ascii="Times New Roman" w:hAnsi="Times New Roman" w:cs="Times New Roman"/>
          <w:sz w:val="24"/>
          <w:szCs w:val="24"/>
          <w:lang w:val="en-US"/>
        </w:rPr>
      </w:pPr>
      <w:r w:rsidRPr="000E662B">
        <w:rPr>
          <w:rFonts w:ascii="Times New Roman" w:hAnsi="Times New Roman" w:cs="Times New Roman"/>
          <w:sz w:val="24"/>
          <w:szCs w:val="24"/>
          <w:lang w:val="en-US"/>
        </w:rPr>
        <w:br w:type="page"/>
      </w:r>
    </w:p>
    <w:p w:rsidR="002F0713" w:rsidRDefault="002F0713" w:rsidP="002F0713">
      <w:pPr>
        <w:rPr>
          <w:rFonts w:ascii="Times New Roman" w:hAnsi="Times New Roman" w:cs="Times New Roman"/>
          <w:b/>
          <w:sz w:val="24"/>
          <w:szCs w:val="24"/>
          <w:lang w:val="en-US"/>
        </w:rPr>
      </w:pPr>
    </w:p>
    <w:p w:rsidR="002F0713" w:rsidRDefault="004B77E9" w:rsidP="002F0713">
      <w:pPr>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t>Supplementary</w:t>
      </w:r>
      <w:r>
        <w:rPr>
          <w:rFonts w:ascii="Times New Roman" w:hAnsi="Times New Roman" w:cs="Times New Roman"/>
          <w:iCs/>
          <w:sz w:val="24"/>
          <w:szCs w:val="24"/>
          <w:lang w:val="en-GB"/>
        </w:rPr>
        <w:t xml:space="preserve"> Figure</w:t>
      </w:r>
      <w:r w:rsidR="002F0713">
        <w:rPr>
          <w:rFonts w:ascii="Times New Roman" w:hAnsi="Times New Roman" w:cs="Times New Roman"/>
          <w:iCs/>
          <w:sz w:val="24"/>
          <w:szCs w:val="24"/>
          <w:lang w:val="en-GB"/>
        </w:rPr>
        <w:t xml:space="preserve"> 7.</w:t>
      </w:r>
      <w:proofErr w:type="gramEnd"/>
      <w:r w:rsidR="002F0713">
        <w:rPr>
          <w:rFonts w:ascii="Times New Roman" w:hAnsi="Times New Roman" w:cs="Times New Roman"/>
          <w:iCs/>
          <w:sz w:val="24"/>
          <w:szCs w:val="24"/>
          <w:lang w:val="en-GB"/>
        </w:rPr>
        <w:t xml:space="preserve"> </w:t>
      </w:r>
      <w:proofErr w:type="gramStart"/>
      <w:r w:rsidR="002F0713">
        <w:rPr>
          <w:rFonts w:ascii="Times New Roman" w:hAnsi="Times New Roman" w:cs="Times New Roman"/>
          <w:iCs/>
          <w:sz w:val="24"/>
          <w:szCs w:val="24"/>
          <w:lang w:val="en-GB"/>
        </w:rPr>
        <w:t>RCTs assessing the different impact of TAF and TDF on BMD (% change) after 48 weeks in persons living with HIV.</w:t>
      </w:r>
      <w:proofErr w:type="gramEnd"/>
      <w:r w:rsidR="002F0713">
        <w:rPr>
          <w:rFonts w:ascii="Times New Roman" w:hAnsi="Times New Roman" w:cs="Times New Roman"/>
          <w:iCs/>
          <w:sz w:val="24"/>
          <w:szCs w:val="24"/>
          <w:lang w:val="en-GB"/>
        </w:rPr>
        <w:t xml:space="preserve"> Lumbar spine (A), total hip (B).</w:t>
      </w:r>
    </w:p>
    <w:p w:rsidR="002F0713" w:rsidRDefault="002F0713" w:rsidP="002F0713">
      <w:pPr>
        <w:rPr>
          <w:rFonts w:ascii="Times New Roman" w:hAnsi="Times New Roman" w:cs="Times New Roman"/>
          <w:sz w:val="24"/>
          <w:szCs w:val="24"/>
          <w:lang w:val="en-US"/>
        </w:rPr>
      </w:pPr>
      <w:r w:rsidRPr="00AF4134">
        <w:rPr>
          <w:rFonts w:ascii="Times New Roman" w:hAnsi="Times New Roman" w:cs="Times New Roman"/>
          <w:sz w:val="24"/>
          <w:szCs w:val="24"/>
          <w:lang w:val="en-US"/>
        </w:rPr>
        <w:t>A</w:t>
      </w:r>
    </w:p>
    <w:p w:rsidR="002F0713" w:rsidRPr="00AF4134" w:rsidRDefault="002F0713" w:rsidP="002F0713">
      <w:pP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6120130" cy="1429385"/>
            <wp:effectExtent l="19050" t="0" r="0" b="0"/>
            <wp:docPr id="28" name="Billede 27" descr="LS 48 TAF T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48 TAF TDF.png"/>
                    <pic:cNvPicPr/>
                  </pic:nvPicPr>
                  <pic:blipFill>
                    <a:blip r:embed="rId15" cstate="print"/>
                    <a:stretch>
                      <a:fillRect/>
                    </a:stretch>
                  </pic:blipFill>
                  <pic:spPr>
                    <a:xfrm>
                      <a:off x="0" y="0"/>
                      <a:ext cx="6120130" cy="1429385"/>
                    </a:xfrm>
                    <a:prstGeom prst="rect">
                      <a:avLst/>
                    </a:prstGeom>
                  </pic:spPr>
                </pic:pic>
              </a:graphicData>
            </a:graphic>
          </wp:inline>
        </w:drawing>
      </w:r>
    </w:p>
    <w:p w:rsidR="002F0713" w:rsidRDefault="002F0713" w:rsidP="002F0713">
      <w:pPr>
        <w:rPr>
          <w:rFonts w:ascii="Times New Roman" w:hAnsi="Times New Roman" w:cs="Times New Roman"/>
          <w:sz w:val="24"/>
          <w:szCs w:val="24"/>
          <w:lang w:val="en-US"/>
        </w:rPr>
      </w:pPr>
      <w:r w:rsidRPr="00AF4134">
        <w:rPr>
          <w:rFonts w:ascii="Times New Roman" w:hAnsi="Times New Roman" w:cs="Times New Roman"/>
          <w:sz w:val="24"/>
          <w:szCs w:val="24"/>
          <w:lang w:val="en-US"/>
        </w:rPr>
        <w:t>B</w:t>
      </w:r>
    </w:p>
    <w:p w:rsidR="002F0713" w:rsidRDefault="002F0713" w:rsidP="002F0713">
      <w:pP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6120130" cy="1372870"/>
            <wp:effectExtent l="19050" t="0" r="0" b="0"/>
            <wp:docPr id="29" name="Billede 28" descr="hip 48 TAF T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48 TAF TDF.png"/>
                    <pic:cNvPicPr/>
                  </pic:nvPicPr>
                  <pic:blipFill>
                    <a:blip r:embed="rId16" cstate="print"/>
                    <a:stretch>
                      <a:fillRect/>
                    </a:stretch>
                  </pic:blipFill>
                  <pic:spPr>
                    <a:xfrm>
                      <a:off x="0" y="0"/>
                      <a:ext cx="6120130" cy="1372870"/>
                    </a:xfrm>
                    <a:prstGeom prst="rect">
                      <a:avLst/>
                    </a:prstGeom>
                  </pic:spPr>
                </pic:pic>
              </a:graphicData>
            </a:graphic>
          </wp:inline>
        </w:drawing>
      </w:r>
    </w:p>
    <w:p w:rsidR="002F0713" w:rsidRDefault="002F0713" w:rsidP="002F071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F0713" w:rsidRDefault="004B77E9" w:rsidP="002F0713">
      <w:pPr>
        <w:rPr>
          <w:rFonts w:ascii="Times New Roman" w:hAnsi="Times New Roman" w:cs="Times New Roman"/>
          <w:iCs/>
          <w:sz w:val="24"/>
          <w:szCs w:val="24"/>
          <w:lang w:val="en-GB"/>
        </w:rPr>
      </w:pPr>
      <w:proofErr w:type="gramStart"/>
      <w:r w:rsidRPr="004B77E9">
        <w:rPr>
          <w:rFonts w:ascii="Times New Roman" w:hAnsi="Times New Roman" w:cs="Times New Roman"/>
          <w:iCs/>
          <w:sz w:val="24"/>
          <w:szCs w:val="24"/>
          <w:highlight w:val="green"/>
          <w:lang w:val="en-GB"/>
        </w:rPr>
        <w:lastRenderedPageBreak/>
        <w:t>Supplementary</w:t>
      </w:r>
      <w:r>
        <w:rPr>
          <w:rFonts w:ascii="Times New Roman" w:hAnsi="Times New Roman" w:cs="Times New Roman"/>
          <w:iCs/>
          <w:sz w:val="24"/>
          <w:szCs w:val="24"/>
          <w:lang w:val="en-GB"/>
        </w:rPr>
        <w:t xml:space="preserve"> Figure</w:t>
      </w:r>
      <w:r w:rsidR="002F0713">
        <w:rPr>
          <w:rFonts w:ascii="Times New Roman" w:hAnsi="Times New Roman" w:cs="Times New Roman"/>
          <w:iCs/>
          <w:sz w:val="24"/>
          <w:szCs w:val="24"/>
          <w:lang w:val="en-GB"/>
        </w:rPr>
        <w:t xml:space="preserve"> 8.</w:t>
      </w:r>
      <w:proofErr w:type="gramEnd"/>
      <w:r w:rsidR="002F0713">
        <w:rPr>
          <w:rFonts w:ascii="Times New Roman" w:hAnsi="Times New Roman" w:cs="Times New Roman"/>
          <w:iCs/>
          <w:sz w:val="24"/>
          <w:szCs w:val="24"/>
          <w:lang w:val="en-GB"/>
        </w:rPr>
        <w:t xml:space="preserve"> </w:t>
      </w:r>
      <w:proofErr w:type="gramStart"/>
      <w:r w:rsidR="002F0713">
        <w:rPr>
          <w:rFonts w:ascii="Times New Roman" w:hAnsi="Times New Roman" w:cs="Times New Roman"/>
          <w:iCs/>
          <w:sz w:val="24"/>
          <w:szCs w:val="24"/>
          <w:lang w:val="en-GB"/>
        </w:rPr>
        <w:t xml:space="preserve">RCTs assessing the effect of </w:t>
      </w:r>
      <w:proofErr w:type="spellStart"/>
      <w:r w:rsidR="002F0713">
        <w:rPr>
          <w:rFonts w:ascii="Times New Roman" w:hAnsi="Times New Roman" w:cs="Times New Roman"/>
          <w:iCs/>
          <w:sz w:val="24"/>
          <w:szCs w:val="24"/>
          <w:lang w:val="en-GB"/>
        </w:rPr>
        <w:t>alendronate</w:t>
      </w:r>
      <w:proofErr w:type="spellEnd"/>
      <w:r w:rsidR="002F0713">
        <w:rPr>
          <w:rFonts w:ascii="Times New Roman" w:hAnsi="Times New Roman" w:cs="Times New Roman"/>
          <w:iCs/>
          <w:sz w:val="24"/>
          <w:szCs w:val="24"/>
          <w:lang w:val="en-GB"/>
        </w:rPr>
        <w:t xml:space="preserve"> on BMD (% change) after 48 weeks at lumbar spine in persons living with HIV.</w:t>
      </w:r>
      <w:proofErr w:type="gramEnd"/>
      <w:r w:rsidR="002F0713">
        <w:rPr>
          <w:rFonts w:ascii="Times New Roman" w:hAnsi="Times New Roman" w:cs="Times New Roman"/>
          <w:iCs/>
          <w:sz w:val="24"/>
          <w:szCs w:val="24"/>
          <w:lang w:val="en-GB"/>
        </w:rPr>
        <w:t xml:space="preserve"> </w:t>
      </w:r>
    </w:p>
    <w:p w:rsidR="002F0713" w:rsidRPr="00CA5064" w:rsidRDefault="002F0713" w:rsidP="002F0713">
      <w:pPr>
        <w:rPr>
          <w:rFonts w:ascii="Times New Roman" w:hAnsi="Times New Roman" w:cs="Times New Roman"/>
          <w:iCs/>
          <w:sz w:val="24"/>
          <w:szCs w:val="24"/>
          <w:lang w:val="en-GB"/>
        </w:rPr>
      </w:pPr>
      <w:r>
        <w:rPr>
          <w:rFonts w:ascii="Times New Roman" w:hAnsi="Times New Roman" w:cs="Times New Roman"/>
          <w:iCs/>
          <w:noProof/>
          <w:sz w:val="24"/>
          <w:szCs w:val="24"/>
        </w:rPr>
        <w:drawing>
          <wp:inline distT="0" distB="0" distL="0" distR="0">
            <wp:extent cx="6120130" cy="1128395"/>
            <wp:effectExtent l="19050" t="0" r="0" b="0"/>
            <wp:docPr id="12" name="Billede 11" descr="alendro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ndronate.png"/>
                    <pic:cNvPicPr/>
                  </pic:nvPicPr>
                  <pic:blipFill>
                    <a:blip r:embed="rId17" cstate="print"/>
                    <a:stretch>
                      <a:fillRect/>
                    </a:stretch>
                  </pic:blipFill>
                  <pic:spPr>
                    <a:xfrm>
                      <a:off x="0" y="0"/>
                      <a:ext cx="6120130" cy="1128395"/>
                    </a:xfrm>
                    <a:prstGeom prst="rect">
                      <a:avLst/>
                    </a:prstGeom>
                  </pic:spPr>
                </pic:pic>
              </a:graphicData>
            </a:graphic>
          </wp:inline>
        </w:drawing>
      </w:r>
    </w:p>
    <w:p w:rsidR="009A2FA4" w:rsidRDefault="009A2FA4">
      <w:pPr>
        <w:rPr>
          <w:rFonts w:ascii="Times New Roman" w:hAnsi="Times New Roman" w:cs="Times New Roman"/>
          <w:sz w:val="24"/>
          <w:szCs w:val="24"/>
          <w:lang w:val="en-US"/>
        </w:rPr>
      </w:pPr>
    </w:p>
    <w:p w:rsidR="004B77E9" w:rsidRDefault="004B77E9">
      <w:pPr>
        <w:pStyle w:val="NormalWeb"/>
        <w:jc w:val="center"/>
        <w:divId w:val="1282222769"/>
        <w:rPr>
          <w:lang w:val="en-US"/>
        </w:rPr>
      </w:pPr>
    </w:p>
    <w:p w:rsidR="004B77E9" w:rsidRDefault="004B77E9">
      <w:pPr>
        <w:rPr>
          <w:rFonts w:ascii="Times New Roman" w:hAnsi="Times New Roman" w:cs="Times New Roman"/>
          <w:sz w:val="24"/>
          <w:szCs w:val="24"/>
          <w:lang w:val="en-US"/>
        </w:rPr>
      </w:pPr>
      <w:r>
        <w:rPr>
          <w:lang w:val="en-US"/>
        </w:rPr>
        <w:br w:type="page"/>
      </w:r>
    </w:p>
    <w:p w:rsidR="009A2FA4" w:rsidRPr="009A2FA4" w:rsidRDefault="004B77E9">
      <w:pPr>
        <w:pStyle w:val="NormalWeb"/>
        <w:jc w:val="center"/>
        <w:divId w:val="1282222769"/>
        <w:rPr>
          <w:lang w:val="en-US"/>
        </w:rPr>
      </w:pPr>
      <w:r>
        <w:rPr>
          <w:iCs/>
          <w:lang w:val="en-GB"/>
        </w:rPr>
        <w:lastRenderedPageBreak/>
        <w:t xml:space="preserve">  </w:t>
      </w:r>
      <w:r w:rsidR="00734DBD">
        <w:rPr>
          <w:lang w:val="en-US"/>
        </w:rPr>
        <w:fldChar w:fldCharType="begin"/>
      </w:r>
      <w:r w:rsidR="009A2FA4">
        <w:rPr>
          <w:lang w:val="en-US"/>
        </w:rPr>
        <w:instrText>ADDIN RW.BIB</w:instrText>
      </w:r>
      <w:r w:rsidR="00734DBD">
        <w:rPr>
          <w:lang w:val="en-US"/>
        </w:rPr>
        <w:fldChar w:fldCharType="separate"/>
      </w:r>
      <w:r w:rsidR="009A2FA4" w:rsidRPr="009A2FA4">
        <w:rPr>
          <w:lang w:val="en-US"/>
        </w:rPr>
        <w:t xml:space="preserve">References </w:t>
      </w:r>
      <w:r w:rsidRPr="004B77E9">
        <w:rPr>
          <w:highlight w:val="green"/>
          <w:lang w:val="en-US"/>
        </w:rPr>
        <w:t xml:space="preserve">to </w:t>
      </w:r>
      <w:r w:rsidRPr="004B77E9">
        <w:rPr>
          <w:iCs/>
          <w:highlight w:val="green"/>
          <w:lang w:val="en-GB"/>
        </w:rPr>
        <w:t>Supplementary</w:t>
      </w:r>
      <w:r w:rsidRPr="004B77E9">
        <w:rPr>
          <w:highlight w:val="green"/>
          <w:lang w:val="en-US"/>
        </w:rPr>
        <w:t xml:space="preserve"> Tables 1-6</w:t>
      </w:r>
    </w:p>
    <w:p w:rsidR="009A2FA4" w:rsidRDefault="009A2FA4">
      <w:pPr>
        <w:pStyle w:val="NormalWeb"/>
        <w:spacing w:line="480" w:lineRule="auto"/>
        <w:divId w:val="1282222769"/>
      </w:pPr>
      <w:r w:rsidRPr="009A2FA4">
        <w:rPr>
          <w:lang w:val="en-US"/>
        </w:rPr>
        <w:t xml:space="preserve">1. Atteritano M, Mirarchi L, Venanzi-Rullo E, et al. Vitamin D Status and the Relationship with Bone Fragility Fractures in HIV-Infected Patients: A Case Control Study. </w:t>
      </w:r>
      <w:r>
        <w:rPr>
          <w:i/>
          <w:iCs/>
        </w:rPr>
        <w:t>Int J Mol Sci</w:t>
      </w:r>
      <w:r>
        <w:t xml:space="preserve"> 2018;19:10.3390/ijms19010119.</w:t>
      </w:r>
    </w:p>
    <w:p w:rsidR="009A2FA4" w:rsidRPr="009A2FA4" w:rsidRDefault="009A2FA4">
      <w:pPr>
        <w:pStyle w:val="NormalWeb"/>
        <w:spacing w:line="480" w:lineRule="auto"/>
        <w:divId w:val="1282222769"/>
        <w:rPr>
          <w:lang w:val="en-US"/>
        </w:rPr>
      </w:pPr>
      <w:r>
        <w:t xml:space="preserve">2. Borderi M, Calza L, Colangeli V, et al. </w:t>
      </w:r>
      <w:r w:rsidRPr="009A2FA4">
        <w:rPr>
          <w:lang w:val="en-US"/>
        </w:rPr>
        <w:t xml:space="preserve">Prevalence of sub-clinical vertebral fractures in HIV-infected patients. </w:t>
      </w:r>
      <w:r w:rsidRPr="009A2FA4">
        <w:rPr>
          <w:i/>
          <w:iCs/>
          <w:lang w:val="en-US"/>
        </w:rPr>
        <w:t>New Microbiol</w:t>
      </w:r>
      <w:r w:rsidRPr="009A2FA4">
        <w:rPr>
          <w:lang w:val="en-US"/>
        </w:rPr>
        <w:t xml:space="preserve"> 2014;37:25-32.</w:t>
      </w:r>
    </w:p>
    <w:p w:rsidR="009A2FA4" w:rsidRDefault="009A2FA4">
      <w:pPr>
        <w:pStyle w:val="NormalWeb"/>
        <w:spacing w:line="480" w:lineRule="auto"/>
        <w:divId w:val="1282222769"/>
      </w:pPr>
      <w:r w:rsidRPr="009A2FA4">
        <w:rPr>
          <w:lang w:val="en-US"/>
        </w:rPr>
        <w:t xml:space="preserve">3. Ciullini L, Pennica A, Argento G, et al. </w:t>
      </w:r>
      <w:r w:rsidRPr="00B3156F">
        <w:rPr>
          <w:lang w:val="en-US"/>
        </w:rPr>
        <w:t xml:space="preserve">Trabecular bone score (TBS) is associated with sub-clinical vertebral fractures in HIV-infected patients. </w:t>
      </w:r>
      <w:r>
        <w:rPr>
          <w:i/>
          <w:iCs/>
        </w:rPr>
        <w:t>J Bone Miner Metab</w:t>
      </w:r>
      <w:r>
        <w:t xml:space="preserve"> 2017.</w:t>
      </w:r>
    </w:p>
    <w:p w:rsidR="009A2FA4" w:rsidRDefault="009A2FA4">
      <w:pPr>
        <w:pStyle w:val="NormalWeb"/>
        <w:spacing w:line="480" w:lineRule="auto"/>
        <w:divId w:val="1282222769"/>
      </w:pPr>
      <w:r>
        <w:t xml:space="preserve">4. Gazzola L, Savoldi A, Bai F, et al. </w:t>
      </w:r>
      <w:r w:rsidRPr="009A2FA4">
        <w:rPr>
          <w:lang w:val="en-US"/>
        </w:rPr>
        <w:t xml:space="preserve">Assessment of radiological vertebral fractures in HIV-infected patients: clinical implications and predictive factors. </w:t>
      </w:r>
      <w:r>
        <w:rPr>
          <w:i/>
          <w:iCs/>
        </w:rPr>
        <w:t>HIV Med</w:t>
      </w:r>
      <w:r>
        <w:t xml:space="preserve"> 2015;16:563-71.</w:t>
      </w:r>
    </w:p>
    <w:p w:rsidR="009A2FA4" w:rsidRPr="009A2FA4" w:rsidRDefault="009A2FA4">
      <w:pPr>
        <w:pStyle w:val="NormalWeb"/>
        <w:spacing w:line="480" w:lineRule="auto"/>
        <w:divId w:val="1282222769"/>
        <w:rPr>
          <w:lang w:val="en-US"/>
        </w:rPr>
      </w:pPr>
      <w:r>
        <w:t xml:space="preserve">5. Llop M, Sifuentes WA, Banon S, et al. </w:t>
      </w:r>
      <w:r w:rsidRPr="009A2FA4">
        <w:rPr>
          <w:lang w:val="en-US"/>
        </w:rPr>
        <w:t xml:space="preserve">Increased prevalence of asymptomatic vertebral fractures in HIV-infected patients over 50 years of age. </w:t>
      </w:r>
      <w:r w:rsidRPr="009A2FA4">
        <w:rPr>
          <w:i/>
          <w:iCs/>
          <w:lang w:val="en-US"/>
        </w:rPr>
        <w:t>Arch Osteoporos</w:t>
      </w:r>
      <w:r w:rsidRPr="009A2FA4">
        <w:rPr>
          <w:lang w:val="en-US"/>
        </w:rPr>
        <w:t xml:space="preserve"> 2018;13:56,018-0464-2.</w:t>
      </w:r>
    </w:p>
    <w:p w:rsidR="009A2FA4" w:rsidRPr="009A2FA4" w:rsidRDefault="009A2FA4">
      <w:pPr>
        <w:pStyle w:val="NormalWeb"/>
        <w:spacing w:line="480" w:lineRule="auto"/>
        <w:divId w:val="1282222769"/>
        <w:rPr>
          <w:lang w:val="en-US"/>
        </w:rPr>
      </w:pPr>
      <w:r w:rsidRPr="009A2FA4">
        <w:rPr>
          <w:lang w:val="en-US"/>
        </w:rPr>
        <w:t xml:space="preserve">6. Mata-Marin JA, Arroyo-Anduiza CI, Berrospe-Silva MLA, et al. Mexican patients with HIV have a high prevalence of vertebral fractures. </w:t>
      </w:r>
      <w:r w:rsidRPr="009A2FA4">
        <w:rPr>
          <w:i/>
          <w:iCs/>
          <w:lang w:val="en-US"/>
        </w:rPr>
        <w:t>Infect Dis Rep</w:t>
      </w:r>
      <w:r w:rsidRPr="009A2FA4">
        <w:rPr>
          <w:lang w:val="en-US"/>
        </w:rPr>
        <w:t xml:space="preserve"> 2018;10:7409.</w:t>
      </w:r>
    </w:p>
    <w:p w:rsidR="009A2FA4" w:rsidRPr="009A2FA4" w:rsidRDefault="009A2FA4">
      <w:pPr>
        <w:pStyle w:val="NormalWeb"/>
        <w:spacing w:line="480" w:lineRule="auto"/>
        <w:divId w:val="1282222769"/>
        <w:rPr>
          <w:lang w:val="en-US"/>
        </w:rPr>
      </w:pPr>
      <w:r w:rsidRPr="009A2FA4">
        <w:rPr>
          <w:lang w:val="en-US"/>
        </w:rPr>
        <w:t xml:space="preserve">7. Pietrogrande L, Dziubak M, Raimondo E, et al. </w:t>
      </w:r>
      <w:r w:rsidRPr="00B3156F">
        <w:rPr>
          <w:lang w:val="en-US"/>
        </w:rPr>
        <w:t xml:space="preserve">Vertebral morphometric evaluation of a population of HIV positive patients. </w:t>
      </w:r>
      <w:r w:rsidRPr="009A2FA4">
        <w:rPr>
          <w:i/>
          <w:iCs/>
          <w:lang w:val="en-US"/>
        </w:rPr>
        <w:t>Bone</w:t>
      </w:r>
      <w:r w:rsidRPr="009A2FA4">
        <w:rPr>
          <w:lang w:val="en-US"/>
        </w:rPr>
        <w:t xml:space="preserve"> 2012;50:S140.</w:t>
      </w:r>
    </w:p>
    <w:p w:rsidR="009A2FA4" w:rsidRDefault="009A2FA4">
      <w:pPr>
        <w:pStyle w:val="NormalWeb"/>
        <w:spacing w:line="480" w:lineRule="auto"/>
        <w:divId w:val="1282222769"/>
      </w:pPr>
      <w:r w:rsidRPr="009A2FA4">
        <w:rPr>
          <w:lang w:val="en-US"/>
        </w:rPr>
        <w:t xml:space="preserve">8. Porcelli T, Gotti D, Cristiano A, et al. </w:t>
      </w:r>
      <w:r w:rsidRPr="00B3156F">
        <w:rPr>
          <w:lang w:val="en-US"/>
        </w:rPr>
        <w:t xml:space="preserve">Role of bone mineral density in predicting morphometric vertebral fractures in patients with HIV infection. </w:t>
      </w:r>
      <w:r>
        <w:rPr>
          <w:i/>
          <w:iCs/>
        </w:rPr>
        <w:t>Osteoporos Int</w:t>
      </w:r>
      <w:r>
        <w:t xml:space="preserve"> 2014;25:2263-9.</w:t>
      </w:r>
    </w:p>
    <w:p w:rsidR="009A2FA4" w:rsidRPr="009A2FA4" w:rsidRDefault="009A2FA4">
      <w:pPr>
        <w:pStyle w:val="NormalWeb"/>
        <w:spacing w:line="480" w:lineRule="auto"/>
        <w:divId w:val="1282222769"/>
        <w:rPr>
          <w:lang w:val="en-US"/>
        </w:rPr>
      </w:pPr>
      <w:r>
        <w:t xml:space="preserve">9. Stephens KI, Rubinsztain L, Payan J, et al. </w:t>
      </w:r>
      <w:r w:rsidRPr="009A2FA4">
        <w:rPr>
          <w:lang w:val="en-US"/>
        </w:rPr>
        <w:t xml:space="preserve">DUAL-ENERGY X-RAY ABSORPTIOMETRY AND CALCULATED FRAX RISK SCORES MAY UNDERESTIMATE OSTEOPOROTIC </w:t>
      </w:r>
      <w:r w:rsidRPr="009A2FA4">
        <w:rPr>
          <w:lang w:val="en-US"/>
        </w:rPr>
        <w:lastRenderedPageBreak/>
        <w:t xml:space="preserve">FRACTURE RISK IN VITAMIN D-DEFICIENT VETERANS WITH HIV INFECTION. </w:t>
      </w:r>
      <w:r w:rsidRPr="009A2FA4">
        <w:rPr>
          <w:i/>
          <w:iCs/>
          <w:lang w:val="en-US"/>
        </w:rPr>
        <w:t>Endocr Pract</w:t>
      </w:r>
      <w:r w:rsidRPr="009A2FA4">
        <w:rPr>
          <w:lang w:val="en-US"/>
        </w:rPr>
        <w:t xml:space="preserve"> 2016;22:440-6.</w:t>
      </w:r>
    </w:p>
    <w:p w:rsidR="009A2FA4" w:rsidRDefault="009A2FA4">
      <w:pPr>
        <w:pStyle w:val="NormalWeb"/>
        <w:spacing w:line="480" w:lineRule="auto"/>
        <w:divId w:val="1282222769"/>
      </w:pPr>
      <w:r w:rsidRPr="009A2FA4">
        <w:rPr>
          <w:lang w:val="en-US"/>
        </w:rPr>
        <w:t xml:space="preserve">10. Thouvenin Y, Makinson A, Cournil A, et al. </w:t>
      </w:r>
      <w:r w:rsidRPr="00B3156F">
        <w:rPr>
          <w:lang w:val="en-US"/>
        </w:rPr>
        <w:t xml:space="preserve">Chest Low-Dose Computed Tomography for Early Lung Cancer Diagnosis as an Opportunity to Diagnose Vertebral Fractures in HIV-Infected Smokers, an ANRS EP48 HIV CHEST Substudy. </w:t>
      </w:r>
      <w:r>
        <w:rPr>
          <w:i/>
          <w:iCs/>
        </w:rPr>
        <w:t>J Acquir Immune Defic Syndr</w:t>
      </w:r>
      <w:r>
        <w:t xml:space="preserve"> 2015;69:299-305.</w:t>
      </w:r>
    </w:p>
    <w:p w:rsidR="009A2FA4" w:rsidRPr="009A2FA4" w:rsidRDefault="009A2FA4">
      <w:pPr>
        <w:pStyle w:val="NormalWeb"/>
        <w:spacing w:line="480" w:lineRule="auto"/>
        <w:divId w:val="1282222769"/>
        <w:rPr>
          <w:lang w:val="en-US"/>
        </w:rPr>
      </w:pPr>
      <w:r>
        <w:t xml:space="preserve">11. Torti C, Mazziotti G, Soldini PA, et al. </w:t>
      </w:r>
      <w:r w:rsidRPr="009A2FA4">
        <w:rPr>
          <w:lang w:val="en-US"/>
        </w:rPr>
        <w:t xml:space="preserve">High prevalence of radiological vertebral fractures in HIV-infected males. </w:t>
      </w:r>
      <w:r w:rsidRPr="009A2FA4">
        <w:rPr>
          <w:i/>
          <w:iCs/>
          <w:lang w:val="en-US"/>
        </w:rPr>
        <w:t>Endocrine</w:t>
      </w:r>
      <w:r w:rsidRPr="009A2FA4">
        <w:rPr>
          <w:lang w:val="en-US"/>
        </w:rPr>
        <w:t xml:space="preserve"> 2012;41:512-7.</w:t>
      </w:r>
    </w:p>
    <w:p w:rsidR="009A2FA4" w:rsidRPr="009A2FA4" w:rsidRDefault="009A2FA4">
      <w:pPr>
        <w:pStyle w:val="NormalWeb"/>
        <w:spacing w:line="480" w:lineRule="auto"/>
        <w:divId w:val="1282222769"/>
        <w:rPr>
          <w:lang w:val="en-US"/>
        </w:rPr>
      </w:pPr>
      <w:r w:rsidRPr="009A2FA4">
        <w:rPr>
          <w:lang w:val="en-US"/>
        </w:rPr>
        <w:t xml:space="preserve">12. Yin MT, McMahon DJ, Ferris DC, et al. Low bone mass and high bone turnover in postmenopausal human immunodeficiency virus-infected women. </w:t>
      </w:r>
      <w:r w:rsidRPr="009A2FA4">
        <w:rPr>
          <w:i/>
          <w:iCs/>
          <w:lang w:val="en-US"/>
        </w:rPr>
        <w:t>J Clin Endocrinol Metab</w:t>
      </w:r>
      <w:r w:rsidRPr="009A2FA4">
        <w:rPr>
          <w:lang w:val="en-US"/>
        </w:rPr>
        <w:t xml:space="preserve"> 2010;95:620-9.</w:t>
      </w:r>
    </w:p>
    <w:p w:rsidR="009A2FA4" w:rsidRPr="009A2FA4" w:rsidRDefault="009A2FA4">
      <w:pPr>
        <w:pStyle w:val="NormalWeb"/>
        <w:spacing w:line="480" w:lineRule="auto"/>
        <w:divId w:val="1282222769"/>
        <w:rPr>
          <w:lang w:val="en-US"/>
        </w:rPr>
      </w:pPr>
      <w:r w:rsidRPr="009A2FA4">
        <w:rPr>
          <w:lang w:val="en-US"/>
        </w:rPr>
        <w:t xml:space="preserve">13. Arnsten JH, Freeman R, Howard AA, et al. Decreased bone mineral density and increased fracture risk in aging men with or at risk for HIV infection. </w:t>
      </w:r>
      <w:r w:rsidRPr="009A2FA4">
        <w:rPr>
          <w:i/>
          <w:iCs/>
          <w:lang w:val="en-US"/>
        </w:rPr>
        <w:t>AIDS</w:t>
      </w:r>
      <w:r w:rsidRPr="009A2FA4">
        <w:rPr>
          <w:lang w:val="en-US"/>
        </w:rPr>
        <w:t xml:space="preserve"> 2007;21:617-23.</w:t>
      </w:r>
    </w:p>
    <w:p w:rsidR="009A2FA4" w:rsidRDefault="009A2FA4">
      <w:pPr>
        <w:pStyle w:val="NormalWeb"/>
        <w:spacing w:line="480" w:lineRule="auto"/>
        <w:divId w:val="1282222769"/>
      </w:pPr>
      <w:r w:rsidRPr="009A2FA4">
        <w:rPr>
          <w:lang w:val="en-US"/>
        </w:rPr>
        <w:t xml:space="preserve">14. Battalora L, Armon C, Buchacz K, et al. Frax-tool fracture-risk comparison: Have a little backbone! </w:t>
      </w:r>
      <w:r>
        <w:rPr>
          <w:i/>
          <w:iCs/>
        </w:rPr>
        <w:t>Top Antiviral Med</w:t>
      </w:r>
      <w:r>
        <w:t xml:space="preserve"> 2017;25:289s.</w:t>
      </w:r>
    </w:p>
    <w:p w:rsidR="009A2FA4" w:rsidRPr="009A2FA4" w:rsidRDefault="009A2FA4">
      <w:pPr>
        <w:pStyle w:val="NormalWeb"/>
        <w:spacing w:line="480" w:lineRule="auto"/>
        <w:divId w:val="1282222769"/>
        <w:rPr>
          <w:lang w:val="en-US"/>
        </w:rPr>
      </w:pPr>
      <w:r>
        <w:t xml:space="preserve">15. Bedimo R, Maalouf NM, Zhang S, et al. </w:t>
      </w:r>
      <w:r w:rsidRPr="009A2FA4">
        <w:rPr>
          <w:lang w:val="en-US"/>
        </w:rPr>
        <w:t xml:space="preserve">Osteoporotic fracture risk associated with cumulative exposure to tenofovir and other antiretroviral agents. </w:t>
      </w:r>
      <w:r w:rsidRPr="009A2FA4">
        <w:rPr>
          <w:i/>
          <w:iCs/>
          <w:lang w:val="en-US"/>
        </w:rPr>
        <w:t>AIDS</w:t>
      </w:r>
      <w:r w:rsidRPr="009A2FA4">
        <w:rPr>
          <w:lang w:val="en-US"/>
        </w:rPr>
        <w:t xml:space="preserve"> 2012;26:825-31.</w:t>
      </w:r>
    </w:p>
    <w:p w:rsidR="009A2FA4" w:rsidRPr="009A2FA4" w:rsidRDefault="009A2FA4">
      <w:pPr>
        <w:pStyle w:val="NormalWeb"/>
        <w:spacing w:line="480" w:lineRule="auto"/>
        <w:divId w:val="1282222769"/>
        <w:rPr>
          <w:lang w:val="en-US"/>
        </w:rPr>
      </w:pPr>
      <w:r w:rsidRPr="009A2FA4">
        <w:rPr>
          <w:lang w:val="en-US"/>
        </w:rPr>
        <w:t xml:space="preserve">16. Byrne DD, Newcomb CW, Carbonari DM, et al. Increased risk of hip fracture associated with dually treated HIV/hepatitis B virus coinfection. </w:t>
      </w:r>
      <w:r w:rsidRPr="009A2FA4">
        <w:rPr>
          <w:i/>
          <w:iCs/>
          <w:lang w:val="en-US"/>
        </w:rPr>
        <w:t>J Viral Hepat</w:t>
      </w:r>
      <w:r w:rsidRPr="009A2FA4">
        <w:rPr>
          <w:lang w:val="en-US"/>
        </w:rPr>
        <w:t xml:space="preserve"> 2015;22:936-47.</w:t>
      </w:r>
    </w:p>
    <w:p w:rsidR="009A2FA4" w:rsidRPr="009A2FA4" w:rsidRDefault="009A2FA4">
      <w:pPr>
        <w:pStyle w:val="NormalWeb"/>
        <w:spacing w:line="480" w:lineRule="auto"/>
        <w:divId w:val="1282222769"/>
        <w:rPr>
          <w:lang w:val="en-US"/>
        </w:rPr>
      </w:pPr>
      <w:r w:rsidRPr="009A2FA4">
        <w:rPr>
          <w:lang w:val="en-US"/>
        </w:rPr>
        <w:t xml:space="preserve">17. Collin F, Duval X, Le Moing V, et al. Ten-year incidence and risk factors of bone fractures in a cohort of treated HIV1-infected adults. </w:t>
      </w:r>
      <w:r w:rsidRPr="009A2FA4">
        <w:rPr>
          <w:i/>
          <w:iCs/>
          <w:lang w:val="en-US"/>
        </w:rPr>
        <w:t>AIDS</w:t>
      </w:r>
      <w:r w:rsidRPr="009A2FA4">
        <w:rPr>
          <w:lang w:val="en-US"/>
        </w:rPr>
        <w:t xml:space="preserve"> 2009;23:1021-4.</w:t>
      </w:r>
    </w:p>
    <w:p w:rsidR="009A2FA4" w:rsidRPr="009A2FA4" w:rsidRDefault="009A2FA4">
      <w:pPr>
        <w:pStyle w:val="NormalWeb"/>
        <w:spacing w:line="480" w:lineRule="auto"/>
        <w:divId w:val="1282222769"/>
        <w:rPr>
          <w:lang w:val="en-US"/>
        </w:rPr>
      </w:pPr>
      <w:r w:rsidRPr="009A2FA4">
        <w:rPr>
          <w:lang w:val="en-US"/>
        </w:rPr>
        <w:lastRenderedPageBreak/>
        <w:t xml:space="preserve">18. Gedmintas L, Wright EA, Losina E, et al. Comparative risk of fracture in men and women with HIV. </w:t>
      </w:r>
      <w:r w:rsidRPr="009A2FA4">
        <w:rPr>
          <w:i/>
          <w:iCs/>
          <w:lang w:val="en-US"/>
        </w:rPr>
        <w:t>J Clin Endocrinol Metab</w:t>
      </w:r>
      <w:r w:rsidRPr="009A2FA4">
        <w:rPr>
          <w:lang w:val="en-US"/>
        </w:rPr>
        <w:t xml:space="preserve"> 2014;99:486-90.</w:t>
      </w:r>
    </w:p>
    <w:p w:rsidR="009A2FA4" w:rsidRPr="009A2FA4" w:rsidRDefault="009A2FA4">
      <w:pPr>
        <w:pStyle w:val="NormalWeb"/>
        <w:spacing w:line="480" w:lineRule="auto"/>
        <w:divId w:val="1282222769"/>
        <w:rPr>
          <w:lang w:val="en-US"/>
        </w:rPr>
      </w:pPr>
      <w:r w:rsidRPr="009A2FA4">
        <w:rPr>
          <w:lang w:val="en-US"/>
        </w:rPr>
        <w:t xml:space="preserve">19. Gedmintas L, Wright EA, Dong Y, et al. </w:t>
      </w:r>
      <w:r w:rsidRPr="00B3156F">
        <w:rPr>
          <w:lang w:val="en-US"/>
        </w:rPr>
        <w:t xml:space="preserve">Factors associated with fractures in HIV-infected persons: which factors matter? </w:t>
      </w:r>
      <w:r w:rsidRPr="009A2FA4">
        <w:rPr>
          <w:i/>
          <w:iCs/>
          <w:lang w:val="en-US"/>
        </w:rPr>
        <w:t>Osteoporos Int</w:t>
      </w:r>
      <w:r w:rsidRPr="009A2FA4">
        <w:rPr>
          <w:lang w:val="en-US"/>
        </w:rPr>
        <w:t xml:space="preserve"> 2017;28:239-44.</w:t>
      </w:r>
    </w:p>
    <w:p w:rsidR="009A2FA4" w:rsidRDefault="009A2FA4">
      <w:pPr>
        <w:pStyle w:val="NormalWeb"/>
        <w:spacing w:line="480" w:lineRule="auto"/>
        <w:divId w:val="1282222769"/>
      </w:pPr>
      <w:r w:rsidRPr="009A2FA4">
        <w:rPr>
          <w:lang w:val="en-US"/>
        </w:rPr>
        <w:t xml:space="preserve">20. Gonciulea A, Wang R, Althoff KN, et al. An increased rate of fracture occurs a decade earlier in HIV+ compared with HIV-men. </w:t>
      </w:r>
      <w:r>
        <w:rPr>
          <w:i/>
          <w:iCs/>
        </w:rPr>
        <w:t>AIDS</w:t>
      </w:r>
      <w:r>
        <w:t xml:space="preserve"> 2017;31:1435-43.</w:t>
      </w:r>
    </w:p>
    <w:p w:rsidR="009A2FA4" w:rsidRDefault="009A2FA4">
      <w:pPr>
        <w:pStyle w:val="NormalWeb"/>
        <w:spacing w:line="480" w:lineRule="auto"/>
        <w:divId w:val="1282222769"/>
      </w:pPr>
      <w:r>
        <w:t xml:space="preserve">21. Guerri-Fernandez R, Vestergaard P, Carbonell C, et al. </w:t>
      </w:r>
      <w:r w:rsidRPr="009A2FA4">
        <w:rPr>
          <w:lang w:val="en-US"/>
        </w:rPr>
        <w:t xml:space="preserve">HIV infection is strongly associated with hip fracture risk, independently of age, gender, and comorbidities: a population-based cohort study. </w:t>
      </w:r>
      <w:r>
        <w:rPr>
          <w:i/>
          <w:iCs/>
        </w:rPr>
        <w:t>J Bone Miner Res</w:t>
      </w:r>
      <w:r>
        <w:t xml:space="preserve"> 2013;28:1259-63.</w:t>
      </w:r>
    </w:p>
    <w:p w:rsidR="009A2FA4" w:rsidRPr="009A2FA4" w:rsidRDefault="009A2FA4">
      <w:pPr>
        <w:pStyle w:val="NormalWeb"/>
        <w:spacing w:line="480" w:lineRule="auto"/>
        <w:divId w:val="1282222769"/>
        <w:rPr>
          <w:lang w:val="en-US"/>
        </w:rPr>
      </w:pPr>
      <w:r>
        <w:t xml:space="preserve">22. Hansen AB, Gerstoft J, Kronborg G, et al. </w:t>
      </w:r>
      <w:r w:rsidRPr="009A2FA4">
        <w:rPr>
          <w:lang w:val="en-US"/>
        </w:rPr>
        <w:t xml:space="preserve">Incidence of low and high-energy fractures in persons with and without HIV infection: a Danish population-based cohort study. </w:t>
      </w:r>
      <w:r w:rsidRPr="009A2FA4">
        <w:rPr>
          <w:i/>
          <w:iCs/>
          <w:lang w:val="en-US"/>
        </w:rPr>
        <w:t>AIDS</w:t>
      </w:r>
      <w:r w:rsidRPr="009A2FA4">
        <w:rPr>
          <w:lang w:val="en-US"/>
        </w:rPr>
        <w:t xml:space="preserve"> 2012;26:285-93.</w:t>
      </w:r>
    </w:p>
    <w:p w:rsidR="009A2FA4" w:rsidRDefault="009A2FA4">
      <w:pPr>
        <w:pStyle w:val="NormalWeb"/>
        <w:spacing w:line="480" w:lineRule="auto"/>
        <w:divId w:val="1282222769"/>
      </w:pPr>
      <w:r w:rsidRPr="009A2FA4">
        <w:rPr>
          <w:lang w:val="en-US"/>
        </w:rPr>
        <w:t xml:space="preserve">23. Komatsu A, Ikeda A, Kikuchi A, et al. Osteoporosis-Related Fractures in HIV-Infected Patients Receiving Long-Term Tenofovir Disoproxil Fumarate: An Observational Cohort Study. </w:t>
      </w:r>
      <w:r>
        <w:rPr>
          <w:i/>
          <w:iCs/>
        </w:rPr>
        <w:t>Drug Saf</w:t>
      </w:r>
      <w:r>
        <w:t xml:space="preserve"> 2018.</w:t>
      </w:r>
    </w:p>
    <w:p w:rsidR="009A2FA4" w:rsidRPr="009A2FA4" w:rsidRDefault="009A2FA4">
      <w:pPr>
        <w:pStyle w:val="NormalWeb"/>
        <w:spacing w:line="480" w:lineRule="auto"/>
        <w:divId w:val="1282222769"/>
        <w:rPr>
          <w:lang w:val="en-US"/>
        </w:rPr>
      </w:pPr>
      <w:r>
        <w:t xml:space="preserve">24. LaFleur J, Bress AP, Myers J, et al. </w:t>
      </w:r>
      <w:r w:rsidRPr="009A2FA4">
        <w:rPr>
          <w:lang w:val="en-US"/>
        </w:rPr>
        <w:t xml:space="preserve">Tenofovir-Associated Bone Adverse Outcomes among a US National Historical Cohort of HIV-Infected Veterans: Risk Modification by Concomitant Antiretrovirals. </w:t>
      </w:r>
      <w:r w:rsidRPr="009A2FA4">
        <w:rPr>
          <w:i/>
          <w:iCs/>
          <w:lang w:val="en-US"/>
        </w:rPr>
        <w:t>Infect Dis Ther</w:t>
      </w:r>
      <w:r w:rsidRPr="009A2FA4">
        <w:rPr>
          <w:lang w:val="en-US"/>
        </w:rPr>
        <w:t xml:space="preserve"> 2018;7:293-308.</w:t>
      </w:r>
    </w:p>
    <w:p w:rsidR="009A2FA4" w:rsidRPr="009A2FA4" w:rsidRDefault="009A2FA4">
      <w:pPr>
        <w:pStyle w:val="NormalWeb"/>
        <w:spacing w:line="480" w:lineRule="auto"/>
        <w:divId w:val="1282222769"/>
        <w:rPr>
          <w:lang w:val="en-US"/>
        </w:rPr>
      </w:pPr>
      <w:r w:rsidRPr="009A2FA4">
        <w:rPr>
          <w:lang w:val="en-US"/>
        </w:rPr>
        <w:t xml:space="preserve">25. Mundy LM, Youk AO, McComsey GA, et al. </w:t>
      </w:r>
      <w:r w:rsidRPr="00B3156F">
        <w:rPr>
          <w:lang w:val="en-US"/>
        </w:rPr>
        <w:t xml:space="preserve">Overall benefit of antiretroviral treatment on the risk of fracture in HIV: nested case-control analysis in a health-insured population. </w:t>
      </w:r>
      <w:r w:rsidRPr="009A2FA4">
        <w:rPr>
          <w:i/>
          <w:iCs/>
          <w:lang w:val="en-US"/>
        </w:rPr>
        <w:t>AIDS</w:t>
      </w:r>
      <w:r w:rsidRPr="009A2FA4">
        <w:rPr>
          <w:lang w:val="en-US"/>
        </w:rPr>
        <w:t xml:space="preserve"> 2012;26:1073-82.</w:t>
      </w:r>
    </w:p>
    <w:p w:rsidR="009A2FA4" w:rsidRPr="009A2FA4" w:rsidRDefault="009A2FA4">
      <w:pPr>
        <w:pStyle w:val="NormalWeb"/>
        <w:spacing w:line="480" w:lineRule="auto"/>
        <w:divId w:val="1282222769"/>
        <w:rPr>
          <w:lang w:val="en-US"/>
        </w:rPr>
      </w:pPr>
      <w:r w:rsidRPr="009A2FA4">
        <w:rPr>
          <w:lang w:val="en-US"/>
        </w:rPr>
        <w:lastRenderedPageBreak/>
        <w:t xml:space="preserve">26. Nkhoma ET, Rosenblatt L, Myers J, et al. Real-World Assessment of Renal and Bone Safety among Patients with HIV Infection Exposed to Tenofovir Disoproxil Fumarate-Containing Single-Tablet Regimens. </w:t>
      </w:r>
      <w:r w:rsidRPr="009A2FA4">
        <w:rPr>
          <w:i/>
          <w:iCs/>
          <w:lang w:val="en-US"/>
        </w:rPr>
        <w:t>PLoS One</w:t>
      </w:r>
      <w:r w:rsidRPr="009A2FA4">
        <w:rPr>
          <w:lang w:val="en-US"/>
        </w:rPr>
        <w:t xml:space="preserve"> 2016;11:e0166982.</w:t>
      </w:r>
    </w:p>
    <w:p w:rsidR="009A2FA4" w:rsidRDefault="009A2FA4">
      <w:pPr>
        <w:pStyle w:val="NormalWeb"/>
        <w:spacing w:line="480" w:lineRule="auto"/>
        <w:divId w:val="1282222769"/>
      </w:pPr>
      <w:r w:rsidRPr="009A2FA4">
        <w:rPr>
          <w:lang w:val="en-US"/>
        </w:rPr>
        <w:t xml:space="preserve">27. Peters BS, Perry M, Wierzbicki AS, et al. A cross-sectional randomised study of fracture risk in people with HIV infection in the probono 1 study. </w:t>
      </w:r>
      <w:r>
        <w:rPr>
          <w:i/>
          <w:iCs/>
        </w:rPr>
        <w:t>PLoS One</w:t>
      </w:r>
      <w:r>
        <w:t xml:space="preserve"> 2013;8:e78048.</w:t>
      </w:r>
    </w:p>
    <w:p w:rsidR="009A2FA4" w:rsidRDefault="009A2FA4">
      <w:pPr>
        <w:pStyle w:val="NormalWeb"/>
        <w:spacing w:line="480" w:lineRule="auto"/>
        <w:divId w:val="1282222769"/>
      </w:pPr>
      <w:r>
        <w:t xml:space="preserve">28. Prieto-Alhambra D, Guerri-Fernandez R, De Vries F, et al. </w:t>
      </w:r>
      <w:r w:rsidRPr="009A2FA4">
        <w:rPr>
          <w:lang w:val="en-US"/>
        </w:rPr>
        <w:t xml:space="preserve">HIV infection and its association with an excess risk of clinical fractures: a nationwide case-control study. </w:t>
      </w:r>
      <w:r>
        <w:rPr>
          <w:i/>
          <w:iCs/>
        </w:rPr>
        <w:t>J Acquir Immune Defic Syndr</w:t>
      </w:r>
      <w:r>
        <w:t xml:space="preserve"> 2014;66:90-5.</w:t>
      </w:r>
    </w:p>
    <w:p w:rsidR="009A2FA4" w:rsidRPr="009A2FA4" w:rsidRDefault="009A2FA4">
      <w:pPr>
        <w:pStyle w:val="NormalWeb"/>
        <w:spacing w:line="480" w:lineRule="auto"/>
        <w:divId w:val="1282222769"/>
        <w:rPr>
          <w:lang w:val="en-US"/>
        </w:rPr>
      </w:pPr>
      <w:r>
        <w:t xml:space="preserve">29. Prior J, Burdge D, Maan E, et al. </w:t>
      </w:r>
      <w:r w:rsidRPr="009A2FA4">
        <w:rPr>
          <w:lang w:val="en-US"/>
        </w:rPr>
        <w:t xml:space="preserve">Fragility fractures and bone mineral density in HIV positive women: a case-control population-based study. </w:t>
      </w:r>
      <w:r w:rsidRPr="009A2FA4">
        <w:rPr>
          <w:i/>
          <w:iCs/>
          <w:lang w:val="en-US"/>
        </w:rPr>
        <w:t>Osteoporos Int</w:t>
      </w:r>
      <w:r w:rsidRPr="009A2FA4">
        <w:rPr>
          <w:lang w:val="en-US"/>
        </w:rPr>
        <w:t xml:space="preserve"> 2007;18:1345-53.</w:t>
      </w:r>
    </w:p>
    <w:p w:rsidR="009A2FA4" w:rsidRPr="009A2FA4" w:rsidRDefault="009A2FA4">
      <w:pPr>
        <w:pStyle w:val="NormalWeb"/>
        <w:spacing w:line="480" w:lineRule="auto"/>
        <w:divId w:val="1282222769"/>
        <w:rPr>
          <w:lang w:val="en-US"/>
        </w:rPr>
      </w:pPr>
      <w:r w:rsidRPr="009A2FA4">
        <w:rPr>
          <w:lang w:val="en-US"/>
        </w:rPr>
        <w:t xml:space="preserve">30. Reyes C, Estrada P, Nogues X, et al. The impact of common co-morbidities (as measured using the Charlson index) on hip fracture risk in elderly men: a population-based cohort study. </w:t>
      </w:r>
      <w:r w:rsidRPr="009A2FA4">
        <w:rPr>
          <w:i/>
          <w:iCs/>
          <w:lang w:val="en-US"/>
        </w:rPr>
        <w:t>Osteoporos Int</w:t>
      </w:r>
      <w:r w:rsidRPr="009A2FA4">
        <w:rPr>
          <w:lang w:val="en-US"/>
        </w:rPr>
        <w:t xml:space="preserve"> 2014;25:1751-8.</w:t>
      </w:r>
    </w:p>
    <w:p w:rsidR="009A2FA4" w:rsidRPr="009A2FA4" w:rsidRDefault="009A2FA4">
      <w:pPr>
        <w:pStyle w:val="NormalWeb"/>
        <w:spacing w:line="480" w:lineRule="auto"/>
        <w:divId w:val="1282222769"/>
        <w:rPr>
          <w:lang w:val="en-US"/>
        </w:rPr>
      </w:pPr>
      <w:r w:rsidRPr="009A2FA4">
        <w:rPr>
          <w:lang w:val="en-US"/>
        </w:rPr>
        <w:t xml:space="preserve">31. Sharma A, Shi Q, Hoover DR, et al. Increased fracture incidence in middle-aged HIV-infected and HIV-uninfected women: Updated results from the women's interagency HIV study. </w:t>
      </w:r>
      <w:r w:rsidRPr="009A2FA4">
        <w:rPr>
          <w:i/>
          <w:iCs/>
          <w:lang w:val="en-US"/>
        </w:rPr>
        <w:t>J Acquired Immune Defic Syndr</w:t>
      </w:r>
      <w:r w:rsidRPr="009A2FA4">
        <w:rPr>
          <w:lang w:val="en-US"/>
        </w:rPr>
        <w:t xml:space="preserve"> 2015;70:54-61.</w:t>
      </w:r>
    </w:p>
    <w:p w:rsidR="009A2FA4" w:rsidRPr="009A2FA4" w:rsidRDefault="009A2FA4">
      <w:pPr>
        <w:pStyle w:val="NormalWeb"/>
        <w:spacing w:line="480" w:lineRule="auto"/>
        <w:divId w:val="1282222769"/>
        <w:rPr>
          <w:lang w:val="en-US"/>
        </w:rPr>
      </w:pPr>
      <w:r w:rsidRPr="009A2FA4">
        <w:rPr>
          <w:lang w:val="en-US"/>
        </w:rPr>
        <w:t xml:space="preserve">32. Short CE, Shaw SG, Fisher MJ, et al. </w:t>
      </w:r>
      <w:r w:rsidRPr="00B3156F">
        <w:rPr>
          <w:lang w:val="en-US"/>
        </w:rPr>
        <w:t xml:space="preserve">Prevalence of and risk factors for osteoporosis and fracture among a male HIV-infected population in the UK. </w:t>
      </w:r>
      <w:r w:rsidRPr="009A2FA4">
        <w:rPr>
          <w:i/>
          <w:iCs/>
          <w:lang w:val="en-US"/>
        </w:rPr>
        <w:t>Int J STD AIDS</w:t>
      </w:r>
      <w:r w:rsidRPr="009A2FA4">
        <w:rPr>
          <w:lang w:val="en-US"/>
        </w:rPr>
        <w:t xml:space="preserve"> 2014;25:113-21.</w:t>
      </w:r>
    </w:p>
    <w:p w:rsidR="009A2FA4" w:rsidRPr="009A2FA4" w:rsidRDefault="009A2FA4">
      <w:pPr>
        <w:pStyle w:val="NormalWeb"/>
        <w:spacing w:line="480" w:lineRule="auto"/>
        <w:divId w:val="1282222769"/>
        <w:rPr>
          <w:lang w:val="en-US"/>
        </w:rPr>
      </w:pPr>
      <w:r w:rsidRPr="009A2FA4">
        <w:rPr>
          <w:lang w:val="en-US"/>
        </w:rPr>
        <w:t xml:space="preserve">33. Triant VA, Brown TT, Lee H, et al. </w:t>
      </w:r>
      <w:r w:rsidRPr="00B3156F">
        <w:rPr>
          <w:lang w:val="en-US"/>
        </w:rPr>
        <w:t xml:space="preserve">Fracture prevalence among human immunodeficiency virus (HIV)-infected versus non-HIV-infected patients in a large U.S. healthcare system. </w:t>
      </w:r>
      <w:r w:rsidRPr="009A2FA4">
        <w:rPr>
          <w:i/>
          <w:iCs/>
          <w:lang w:val="en-US"/>
        </w:rPr>
        <w:t>J Clin Endocrinol Metab</w:t>
      </w:r>
      <w:r w:rsidRPr="009A2FA4">
        <w:rPr>
          <w:lang w:val="en-US"/>
        </w:rPr>
        <w:t xml:space="preserve"> 2008;93:3499-504.</w:t>
      </w:r>
    </w:p>
    <w:p w:rsidR="009A2FA4" w:rsidRDefault="009A2FA4">
      <w:pPr>
        <w:pStyle w:val="NormalWeb"/>
        <w:spacing w:line="480" w:lineRule="auto"/>
        <w:divId w:val="1282222769"/>
      </w:pPr>
      <w:r w:rsidRPr="009A2FA4">
        <w:rPr>
          <w:lang w:val="en-US"/>
        </w:rPr>
        <w:lastRenderedPageBreak/>
        <w:t xml:space="preserve">34. Warriner AH, Smith W, Curtis JR, et al. Fracture among older and younger HIV+ medicare beneficiaries. </w:t>
      </w:r>
      <w:r>
        <w:rPr>
          <w:i/>
          <w:iCs/>
        </w:rPr>
        <w:t>Endocr Rev</w:t>
      </w:r>
      <w:r>
        <w:t xml:space="preserve"> 2013;34. Available at: </w:t>
      </w:r>
      <w:hyperlink r:id="rId18" w:tgtFrame="_blank" w:history="1">
        <w:r>
          <w:rPr>
            <w:rStyle w:val="Hyperlink"/>
          </w:rPr>
          <w:t>http://press.endocrine.org.ez.statsbiblioteket.dk:2048/doi/abs/10.1210/endo-meetings.2013.BCHVD.8.OR10-2</w:t>
        </w:r>
      </w:hyperlink>
      <w:r>
        <w:t>.</w:t>
      </w:r>
    </w:p>
    <w:p w:rsidR="009A2FA4" w:rsidRDefault="009A2FA4">
      <w:pPr>
        <w:pStyle w:val="NormalWeb"/>
        <w:spacing w:line="480" w:lineRule="auto"/>
        <w:divId w:val="1282222769"/>
      </w:pPr>
      <w:r>
        <w:t xml:space="preserve">35. Womack JA, Goulet JL, Gibert C, et al. </w:t>
      </w:r>
      <w:r w:rsidRPr="009A2FA4">
        <w:rPr>
          <w:lang w:val="en-US"/>
        </w:rPr>
        <w:t xml:space="preserve">Increased risk of fragility fractures among HIV infected compared to uninfected male veterans. </w:t>
      </w:r>
      <w:r>
        <w:rPr>
          <w:i/>
          <w:iCs/>
        </w:rPr>
        <w:t>PLoS One</w:t>
      </w:r>
      <w:r>
        <w:t xml:space="preserve"> 2011;6:e17217.</w:t>
      </w:r>
    </w:p>
    <w:p w:rsidR="009A2FA4" w:rsidRPr="009A2FA4" w:rsidRDefault="009A2FA4">
      <w:pPr>
        <w:pStyle w:val="NormalWeb"/>
        <w:spacing w:line="480" w:lineRule="auto"/>
        <w:divId w:val="1282222769"/>
        <w:rPr>
          <w:lang w:val="en-US"/>
        </w:rPr>
      </w:pPr>
      <w:r>
        <w:t xml:space="preserve">36. Womack JA, Goulet JL, Gibert C, et al. </w:t>
      </w:r>
      <w:r w:rsidRPr="009A2FA4">
        <w:rPr>
          <w:lang w:val="en-US"/>
        </w:rPr>
        <w:t xml:space="preserve">Physiologic frailty and fragility fracture in HIV-infected male veterans. </w:t>
      </w:r>
      <w:r w:rsidRPr="009A2FA4">
        <w:rPr>
          <w:i/>
          <w:iCs/>
          <w:lang w:val="en-US"/>
        </w:rPr>
        <w:t>Clin Infect Dis</w:t>
      </w:r>
      <w:r w:rsidRPr="009A2FA4">
        <w:rPr>
          <w:lang w:val="en-US"/>
        </w:rPr>
        <w:t xml:space="preserve"> 2013;56:1498-504.</w:t>
      </w:r>
    </w:p>
    <w:p w:rsidR="009A2FA4" w:rsidRPr="009A2FA4" w:rsidRDefault="009A2FA4">
      <w:pPr>
        <w:pStyle w:val="NormalWeb"/>
        <w:spacing w:line="480" w:lineRule="auto"/>
        <w:divId w:val="1282222769"/>
        <w:rPr>
          <w:lang w:val="en-US"/>
        </w:rPr>
      </w:pPr>
      <w:r w:rsidRPr="009A2FA4">
        <w:rPr>
          <w:lang w:val="en-US"/>
        </w:rPr>
        <w:t xml:space="preserve">37. Yin MT, Shi Q, Hoover DR, et al. Fracture incidence in HIV-infected women: results from the Women's Interagency HIV Study. </w:t>
      </w:r>
      <w:r w:rsidRPr="009A2FA4">
        <w:rPr>
          <w:i/>
          <w:iCs/>
          <w:lang w:val="en-US"/>
        </w:rPr>
        <w:t>AIDS</w:t>
      </w:r>
      <w:r w:rsidRPr="009A2FA4">
        <w:rPr>
          <w:lang w:val="en-US"/>
        </w:rPr>
        <w:t xml:space="preserve"> 2010;24:2679-86.</w:t>
      </w:r>
    </w:p>
    <w:p w:rsidR="009A2FA4" w:rsidRPr="009A2FA4" w:rsidRDefault="009A2FA4">
      <w:pPr>
        <w:pStyle w:val="NormalWeb"/>
        <w:spacing w:line="480" w:lineRule="auto"/>
        <w:divId w:val="1282222769"/>
        <w:rPr>
          <w:lang w:val="en-US"/>
        </w:rPr>
      </w:pPr>
      <w:r w:rsidRPr="009A2FA4">
        <w:rPr>
          <w:lang w:val="en-US"/>
        </w:rPr>
        <w:t xml:space="preserve">38. Yin MT, Kendall MA, Wu X, et al. Fractures after antiretroviral initiation. </w:t>
      </w:r>
      <w:r w:rsidRPr="009A2FA4">
        <w:rPr>
          <w:i/>
          <w:iCs/>
          <w:lang w:val="en-US"/>
        </w:rPr>
        <w:t>AIDS</w:t>
      </w:r>
      <w:r w:rsidRPr="009A2FA4">
        <w:rPr>
          <w:lang w:val="en-US"/>
        </w:rPr>
        <w:t xml:space="preserve"> 2012;26:2175-84.</w:t>
      </w:r>
    </w:p>
    <w:p w:rsidR="009A2FA4" w:rsidRPr="009A2FA4" w:rsidRDefault="009A2FA4">
      <w:pPr>
        <w:pStyle w:val="NormalWeb"/>
        <w:spacing w:line="480" w:lineRule="auto"/>
        <w:divId w:val="1282222769"/>
        <w:rPr>
          <w:lang w:val="en-US"/>
        </w:rPr>
      </w:pPr>
      <w:r>
        <w:t xml:space="preserve">39. Yin MT, Shiau S, Rimland D, et al. </w:t>
      </w:r>
      <w:r w:rsidRPr="009A2FA4">
        <w:rPr>
          <w:lang w:val="en-US"/>
        </w:rPr>
        <w:t xml:space="preserve">Fracture Prediction With Modified-FRAX in Older HIV-Infected and Uninfected Men. </w:t>
      </w:r>
      <w:r w:rsidRPr="009A2FA4">
        <w:rPr>
          <w:i/>
          <w:iCs/>
          <w:lang w:val="en-US"/>
        </w:rPr>
        <w:t>J Acquir Immune Defic Syndr</w:t>
      </w:r>
      <w:r w:rsidRPr="009A2FA4">
        <w:rPr>
          <w:lang w:val="en-US"/>
        </w:rPr>
        <w:t xml:space="preserve"> 2016;72:513-20.</w:t>
      </w:r>
    </w:p>
    <w:p w:rsidR="009A2FA4" w:rsidRPr="009A2FA4" w:rsidRDefault="009A2FA4">
      <w:pPr>
        <w:pStyle w:val="NormalWeb"/>
        <w:spacing w:line="480" w:lineRule="auto"/>
        <w:divId w:val="1282222769"/>
        <w:rPr>
          <w:lang w:val="en-US"/>
        </w:rPr>
      </w:pPr>
      <w:r w:rsidRPr="009A2FA4">
        <w:rPr>
          <w:lang w:val="en-US"/>
        </w:rPr>
        <w:t xml:space="preserve">40. Yong MK, Elliott JH, Woolley IJ, et al. Low CD4 count is associated with an increased risk of fragility fracture in HIV-infected patients. </w:t>
      </w:r>
      <w:r w:rsidRPr="009A2FA4">
        <w:rPr>
          <w:i/>
          <w:iCs/>
          <w:lang w:val="en-US"/>
        </w:rPr>
        <w:t>J Acquir Immune Defic Syndr</w:t>
      </w:r>
      <w:r w:rsidRPr="009A2FA4">
        <w:rPr>
          <w:lang w:val="en-US"/>
        </w:rPr>
        <w:t xml:space="preserve"> 2011;57:205-10.</w:t>
      </w:r>
    </w:p>
    <w:p w:rsidR="009A2FA4" w:rsidRPr="009A2FA4" w:rsidRDefault="009A2FA4">
      <w:pPr>
        <w:pStyle w:val="NormalWeb"/>
        <w:spacing w:line="480" w:lineRule="auto"/>
        <w:divId w:val="1282222769"/>
        <w:rPr>
          <w:lang w:val="en-US"/>
        </w:rPr>
      </w:pPr>
      <w:r w:rsidRPr="009A2FA4">
        <w:rPr>
          <w:lang w:val="en-US"/>
        </w:rPr>
        <w:t xml:space="preserve">41. Young B, Dao CN, Buchacz K, et al. Increased rates of bone fracture among HIV-infected persons in the HIV Outpatient Study (HOPS) compared with the US general population, 2000-2006. </w:t>
      </w:r>
      <w:r w:rsidRPr="009A2FA4">
        <w:rPr>
          <w:i/>
          <w:iCs/>
          <w:lang w:val="en-US"/>
        </w:rPr>
        <w:t>Clin Infect Dis</w:t>
      </w:r>
      <w:r w:rsidRPr="009A2FA4">
        <w:rPr>
          <w:lang w:val="en-US"/>
        </w:rPr>
        <w:t xml:space="preserve"> 2011;52:1061-8.</w:t>
      </w:r>
    </w:p>
    <w:p w:rsidR="009A2FA4" w:rsidRDefault="009A2FA4">
      <w:pPr>
        <w:pStyle w:val="NormalWeb"/>
        <w:spacing w:line="480" w:lineRule="auto"/>
        <w:divId w:val="1282222769"/>
      </w:pPr>
      <w:r w:rsidRPr="009A2FA4">
        <w:rPr>
          <w:lang w:val="en-US"/>
        </w:rPr>
        <w:lastRenderedPageBreak/>
        <w:t xml:space="preserve">42. Amiel C, Ostertag A, Slama L, et al. BMD is reduced in HIV-infected men irrespective of treatment. </w:t>
      </w:r>
      <w:r>
        <w:rPr>
          <w:i/>
          <w:iCs/>
        </w:rPr>
        <w:t>J Bone Miner Res</w:t>
      </w:r>
      <w:r>
        <w:t xml:space="preserve"> 2004;19:402-9.</w:t>
      </w:r>
    </w:p>
    <w:p w:rsidR="009A2FA4" w:rsidRPr="009A2FA4" w:rsidRDefault="009A2FA4">
      <w:pPr>
        <w:pStyle w:val="NormalWeb"/>
        <w:spacing w:line="480" w:lineRule="auto"/>
        <w:divId w:val="1282222769"/>
        <w:rPr>
          <w:lang w:val="en-US"/>
        </w:rPr>
      </w:pPr>
      <w:r>
        <w:t xml:space="preserve">43. Anastos K, Lu D, Shi O, et al. </w:t>
      </w:r>
      <w:r w:rsidRPr="009A2FA4">
        <w:rPr>
          <w:lang w:val="en-US"/>
        </w:rPr>
        <w:t xml:space="preserve">The association of bone mineral density with HIV infection and antiretroviral treatment in women. </w:t>
      </w:r>
      <w:r w:rsidRPr="009A2FA4">
        <w:rPr>
          <w:i/>
          <w:iCs/>
          <w:lang w:val="en-US"/>
        </w:rPr>
        <w:t>Antivir Ther</w:t>
      </w:r>
      <w:r w:rsidRPr="009A2FA4">
        <w:rPr>
          <w:lang w:val="en-US"/>
        </w:rPr>
        <w:t xml:space="preserve"> 2007;12:1049-58.</w:t>
      </w:r>
    </w:p>
    <w:p w:rsidR="009A2FA4" w:rsidRPr="009A2FA4" w:rsidRDefault="009A2FA4">
      <w:pPr>
        <w:pStyle w:val="NormalWeb"/>
        <w:spacing w:line="480" w:lineRule="auto"/>
        <w:divId w:val="1282222769"/>
        <w:rPr>
          <w:lang w:val="en-US"/>
        </w:rPr>
      </w:pPr>
      <w:r w:rsidRPr="009A2FA4">
        <w:rPr>
          <w:lang w:val="en-US"/>
        </w:rPr>
        <w:t xml:space="preserve">44. Arnsten JH, Freeman R, Howard AA, et al. HIV infection and bone mineral density in middle-aged women. </w:t>
      </w:r>
      <w:r w:rsidRPr="009A2FA4">
        <w:rPr>
          <w:i/>
          <w:iCs/>
          <w:lang w:val="en-US"/>
        </w:rPr>
        <w:t>Clin Infect Dis</w:t>
      </w:r>
      <w:r w:rsidRPr="009A2FA4">
        <w:rPr>
          <w:lang w:val="en-US"/>
        </w:rPr>
        <w:t xml:space="preserve"> 2006;42:1014-20.</w:t>
      </w:r>
    </w:p>
    <w:p w:rsidR="009A2FA4" w:rsidRDefault="009A2FA4">
      <w:pPr>
        <w:pStyle w:val="NormalWeb"/>
        <w:spacing w:line="480" w:lineRule="auto"/>
        <w:divId w:val="1282222769"/>
      </w:pPr>
      <w:r w:rsidRPr="009A2FA4">
        <w:rPr>
          <w:lang w:val="en-US"/>
        </w:rPr>
        <w:t xml:space="preserve">45. Badie BM, Soori T, Kheirandish P, et al. </w:t>
      </w:r>
      <w:r w:rsidRPr="00B3156F">
        <w:rPr>
          <w:lang w:val="en-US"/>
        </w:rPr>
        <w:t xml:space="preserve">Evaluation of bone mineral density in Iranian HIV/AIDS patients. </w:t>
      </w:r>
      <w:r>
        <w:rPr>
          <w:i/>
          <w:iCs/>
        </w:rPr>
        <w:t>Acta Med Iran</w:t>
      </w:r>
      <w:r>
        <w:t xml:space="preserve"> 2011;49:460-7.</w:t>
      </w:r>
    </w:p>
    <w:p w:rsidR="009A2FA4" w:rsidRPr="009A2FA4" w:rsidRDefault="009A2FA4">
      <w:pPr>
        <w:pStyle w:val="NormalWeb"/>
        <w:spacing w:line="480" w:lineRule="auto"/>
        <w:divId w:val="1282222769"/>
        <w:rPr>
          <w:lang w:val="en-US"/>
        </w:rPr>
      </w:pPr>
      <w:r>
        <w:t xml:space="preserve">46. Bedimo R, Cutrell J, Zhang S, et al. </w:t>
      </w:r>
      <w:r w:rsidRPr="009A2FA4">
        <w:rPr>
          <w:lang w:val="en-US"/>
        </w:rPr>
        <w:t xml:space="preserve">Mechanisms of bone disease in HIV and hepatitis C virus: impact of bone turnover, tenofovir exposure, sex steroids and severity of liver disease. </w:t>
      </w:r>
      <w:r w:rsidRPr="009A2FA4">
        <w:rPr>
          <w:i/>
          <w:iCs/>
          <w:lang w:val="en-US"/>
        </w:rPr>
        <w:t>AIDS</w:t>
      </w:r>
      <w:r w:rsidRPr="009A2FA4">
        <w:rPr>
          <w:lang w:val="en-US"/>
        </w:rPr>
        <w:t xml:space="preserve"> 2016;30:601-8.</w:t>
      </w:r>
    </w:p>
    <w:p w:rsidR="009A2FA4" w:rsidRPr="009A2FA4" w:rsidRDefault="009A2FA4">
      <w:pPr>
        <w:pStyle w:val="NormalWeb"/>
        <w:spacing w:line="480" w:lineRule="auto"/>
        <w:divId w:val="1282222769"/>
        <w:rPr>
          <w:lang w:val="en-US"/>
        </w:rPr>
      </w:pPr>
      <w:r w:rsidRPr="009A2FA4">
        <w:rPr>
          <w:lang w:val="en-US"/>
        </w:rPr>
        <w:t xml:space="preserve">47. Biver E, Calmy A, Delhumeau C, et al. Microstructural alterations of trabecular and cortical bone in long-term HIV-infected elderly men on successful antiretroviral therapy. </w:t>
      </w:r>
      <w:r w:rsidRPr="009A2FA4">
        <w:rPr>
          <w:i/>
          <w:iCs/>
          <w:lang w:val="en-US"/>
        </w:rPr>
        <w:t>AIDS</w:t>
      </w:r>
      <w:r w:rsidRPr="009A2FA4">
        <w:rPr>
          <w:lang w:val="en-US"/>
        </w:rPr>
        <w:t xml:space="preserve"> 2014;28:2417-27.</w:t>
      </w:r>
    </w:p>
    <w:p w:rsidR="009A2FA4" w:rsidRPr="009A2FA4" w:rsidRDefault="009A2FA4">
      <w:pPr>
        <w:pStyle w:val="NormalWeb"/>
        <w:spacing w:line="480" w:lineRule="auto"/>
        <w:divId w:val="1282222769"/>
        <w:rPr>
          <w:lang w:val="en-US"/>
        </w:rPr>
      </w:pPr>
      <w:r w:rsidRPr="009A2FA4">
        <w:rPr>
          <w:lang w:val="en-US"/>
        </w:rPr>
        <w:t xml:space="preserve">48. Bolland MJ, Grey AB, Horne AM, et al. Bone mineral density remains stable in HAART-treated HIV-infected men over 2 years. </w:t>
      </w:r>
      <w:r w:rsidRPr="009A2FA4">
        <w:rPr>
          <w:i/>
          <w:iCs/>
          <w:lang w:val="en-US"/>
        </w:rPr>
        <w:t>Clin Endocrinol (Oxf)</w:t>
      </w:r>
      <w:r w:rsidRPr="009A2FA4">
        <w:rPr>
          <w:lang w:val="en-US"/>
        </w:rPr>
        <w:t xml:space="preserve"> 2007;67:270-5.</w:t>
      </w:r>
    </w:p>
    <w:p w:rsidR="009A2FA4" w:rsidRDefault="009A2FA4">
      <w:pPr>
        <w:pStyle w:val="NormalWeb"/>
        <w:spacing w:line="480" w:lineRule="auto"/>
        <w:divId w:val="1282222769"/>
      </w:pPr>
      <w:r w:rsidRPr="009A2FA4">
        <w:rPr>
          <w:lang w:val="en-US"/>
        </w:rPr>
        <w:t xml:space="preserve">49. Bolland MJ, Grey A, Horne AM, et al. Stable bone mineral density over 6 years in HIV-infected men treated with highly active antiretroviral therapy (HAART). </w:t>
      </w:r>
      <w:r>
        <w:rPr>
          <w:i/>
          <w:iCs/>
        </w:rPr>
        <w:t>Clin Endocrinol (Oxf)</w:t>
      </w:r>
      <w:r>
        <w:t xml:space="preserve"> 2012;76:643-8.</w:t>
      </w:r>
    </w:p>
    <w:p w:rsidR="009A2FA4" w:rsidRPr="009A2FA4" w:rsidRDefault="009A2FA4">
      <w:pPr>
        <w:pStyle w:val="NormalWeb"/>
        <w:spacing w:line="480" w:lineRule="auto"/>
        <w:divId w:val="1282222769"/>
        <w:rPr>
          <w:lang w:val="en-US"/>
        </w:rPr>
      </w:pPr>
      <w:r>
        <w:lastRenderedPageBreak/>
        <w:t xml:space="preserve">50. Brown TT, Ruppe MD, Kassner R, et al. </w:t>
      </w:r>
      <w:r w:rsidRPr="009A2FA4">
        <w:rPr>
          <w:lang w:val="en-US"/>
        </w:rPr>
        <w:t xml:space="preserve">Reduced bone mineral density in human immunodeficiency virus-infected patients and its association with increased central adiposity and postload hyperglycemia. </w:t>
      </w:r>
      <w:r w:rsidRPr="009A2FA4">
        <w:rPr>
          <w:i/>
          <w:iCs/>
          <w:lang w:val="en-US"/>
        </w:rPr>
        <w:t>J Clin Endocrinol Metab</w:t>
      </w:r>
      <w:r w:rsidRPr="009A2FA4">
        <w:rPr>
          <w:lang w:val="en-US"/>
        </w:rPr>
        <w:t xml:space="preserve"> 2004;89:1200-6.</w:t>
      </w:r>
    </w:p>
    <w:p w:rsidR="009A2FA4" w:rsidRPr="009A2FA4" w:rsidRDefault="009A2FA4">
      <w:pPr>
        <w:pStyle w:val="NormalWeb"/>
        <w:spacing w:line="480" w:lineRule="auto"/>
        <w:divId w:val="1282222769"/>
        <w:rPr>
          <w:lang w:val="en-US"/>
        </w:rPr>
      </w:pPr>
      <w:r w:rsidRPr="009A2FA4">
        <w:rPr>
          <w:lang w:val="en-US"/>
        </w:rPr>
        <w:t xml:space="preserve">51. Bruera D, Luna N, David DO, et al. Decreased bone mineral density in HIV-infected patients is independent of antiretroviral therapy. </w:t>
      </w:r>
      <w:r w:rsidRPr="009A2FA4">
        <w:rPr>
          <w:i/>
          <w:iCs/>
          <w:lang w:val="en-US"/>
        </w:rPr>
        <w:t>AIDS</w:t>
      </w:r>
      <w:r w:rsidRPr="009A2FA4">
        <w:rPr>
          <w:lang w:val="en-US"/>
        </w:rPr>
        <w:t xml:space="preserve"> 2003;17:1917-23.</w:t>
      </w:r>
    </w:p>
    <w:p w:rsidR="009A2FA4" w:rsidRPr="009A2FA4" w:rsidRDefault="009A2FA4">
      <w:pPr>
        <w:pStyle w:val="NormalWeb"/>
        <w:spacing w:line="480" w:lineRule="auto"/>
        <w:divId w:val="1282222769"/>
        <w:rPr>
          <w:lang w:val="en-US"/>
        </w:rPr>
      </w:pPr>
      <w:r w:rsidRPr="009A2FA4">
        <w:rPr>
          <w:lang w:val="en-US"/>
        </w:rPr>
        <w:t xml:space="preserve">52. Calmy A, Chevalley T, Delhumeau C, et al. Long-term HIV infection and antiretroviral therapy are associated with bone microstructure alterations in premenopausal women. </w:t>
      </w:r>
      <w:r w:rsidRPr="009A2FA4">
        <w:rPr>
          <w:i/>
          <w:iCs/>
          <w:lang w:val="en-US"/>
        </w:rPr>
        <w:t>Osteoporosis Int</w:t>
      </w:r>
      <w:r w:rsidRPr="009A2FA4">
        <w:rPr>
          <w:lang w:val="en-US"/>
        </w:rPr>
        <w:t xml:space="preserve"> 2013;24:1843-52.</w:t>
      </w:r>
    </w:p>
    <w:p w:rsidR="009A2FA4" w:rsidRPr="009A2FA4" w:rsidRDefault="009A2FA4">
      <w:pPr>
        <w:pStyle w:val="NormalWeb"/>
        <w:spacing w:line="480" w:lineRule="auto"/>
        <w:divId w:val="1282222769"/>
        <w:rPr>
          <w:lang w:val="en-US"/>
        </w:rPr>
      </w:pPr>
      <w:r w:rsidRPr="009A2FA4">
        <w:rPr>
          <w:lang w:val="en-US"/>
        </w:rPr>
        <w:t xml:space="preserve">53. Dolan SE, Carpenter S, Grinspoon S. Effects of weight, body composition, and testosterone on bone mineral density in HIV-infected women. </w:t>
      </w:r>
      <w:r w:rsidRPr="009A2FA4">
        <w:rPr>
          <w:i/>
          <w:iCs/>
          <w:lang w:val="en-US"/>
        </w:rPr>
        <w:t>J Acquir Immune Defic Syndr</w:t>
      </w:r>
      <w:r w:rsidRPr="009A2FA4">
        <w:rPr>
          <w:lang w:val="en-US"/>
        </w:rPr>
        <w:t xml:space="preserve"> 2007;45:161-7.</w:t>
      </w:r>
    </w:p>
    <w:p w:rsidR="009A2FA4" w:rsidRPr="009A2FA4" w:rsidRDefault="009A2FA4">
      <w:pPr>
        <w:pStyle w:val="NormalWeb"/>
        <w:spacing w:line="480" w:lineRule="auto"/>
        <w:divId w:val="1282222769"/>
        <w:rPr>
          <w:lang w:val="en-US"/>
        </w:rPr>
      </w:pPr>
      <w:r w:rsidRPr="009A2FA4">
        <w:rPr>
          <w:lang w:val="en-US"/>
        </w:rPr>
        <w:t>54. GÃ¼erri-FernÃ¡ndez R, Molina D, Villar-GarcÃ</w:t>
      </w:r>
      <w:r w:rsidRPr="009A2FA4">
        <w:rPr>
          <w:lang w:val="en-US"/>
        </w:rPr>
        <w:softHyphen/>
        <w:t xml:space="preserve">a J, et al. Brief Report: HIV Infection Is Associated with Worse Bone Material Properties, Independently of Bone Mineral Density. </w:t>
      </w:r>
      <w:r w:rsidRPr="009A2FA4">
        <w:rPr>
          <w:i/>
          <w:iCs/>
          <w:lang w:val="en-US"/>
        </w:rPr>
        <w:t>J Acquired Immune Defic Syndr</w:t>
      </w:r>
      <w:r w:rsidRPr="009A2FA4">
        <w:rPr>
          <w:lang w:val="en-US"/>
        </w:rPr>
        <w:t xml:space="preserve"> 2016;72:314-8.</w:t>
      </w:r>
    </w:p>
    <w:p w:rsidR="009A2FA4" w:rsidRDefault="009A2FA4">
      <w:pPr>
        <w:pStyle w:val="NormalWeb"/>
        <w:spacing w:line="480" w:lineRule="auto"/>
        <w:divId w:val="1282222769"/>
      </w:pPr>
      <w:r w:rsidRPr="009A2FA4">
        <w:rPr>
          <w:lang w:val="en-US"/>
        </w:rPr>
        <w:t xml:space="preserve">55. Hamill MM, Ward KA, Pettifor JM, et al. Bone mass, body composition and vitamin D status of ARV-naive, urban, black South African women with HIV infection, stratified by CD(4) count. </w:t>
      </w:r>
      <w:r>
        <w:rPr>
          <w:i/>
          <w:iCs/>
        </w:rPr>
        <w:t>Osteoporos Int</w:t>
      </w:r>
      <w:r>
        <w:t xml:space="preserve"> 2013;24:2855-61.</w:t>
      </w:r>
    </w:p>
    <w:p w:rsidR="009A2FA4" w:rsidRDefault="009A2FA4">
      <w:pPr>
        <w:pStyle w:val="NormalWeb"/>
        <w:spacing w:line="480" w:lineRule="auto"/>
        <w:divId w:val="1282222769"/>
      </w:pPr>
      <w:r>
        <w:t xml:space="preserve">56. Hamill MM, Pettifor JM, Ward KA, et al. </w:t>
      </w:r>
      <w:r w:rsidRPr="009A2FA4">
        <w:rPr>
          <w:lang w:val="en-US"/>
        </w:rPr>
        <w:t xml:space="preserve">Changes in Bone Mineral Density, Body Composition, Vitamin D Status, and Mineral Metabolism in Urban HIV-Positive South African Women Over 12 Months. </w:t>
      </w:r>
      <w:r>
        <w:rPr>
          <w:i/>
          <w:iCs/>
        </w:rPr>
        <w:t>J Bone Miner Res</w:t>
      </w:r>
      <w:r>
        <w:t xml:space="preserve"> 2017.</w:t>
      </w:r>
    </w:p>
    <w:p w:rsidR="009A2FA4" w:rsidRPr="009A2FA4" w:rsidRDefault="009A2FA4">
      <w:pPr>
        <w:pStyle w:val="NormalWeb"/>
        <w:spacing w:line="480" w:lineRule="auto"/>
        <w:divId w:val="1282222769"/>
        <w:rPr>
          <w:lang w:val="en-US"/>
        </w:rPr>
      </w:pPr>
      <w:r>
        <w:t xml:space="preserve">57. Hileman CO, Labbato DE, Storer NJ, et al. </w:t>
      </w:r>
      <w:r w:rsidRPr="009A2FA4">
        <w:rPr>
          <w:lang w:val="en-US"/>
        </w:rPr>
        <w:t xml:space="preserve">Is bone loss linked to chronic inflammation in antiretroviral-naive HIV-infected adults? A 48-week matched cohort study. </w:t>
      </w:r>
      <w:r w:rsidRPr="009A2FA4">
        <w:rPr>
          <w:i/>
          <w:iCs/>
          <w:lang w:val="en-US"/>
        </w:rPr>
        <w:t>AIDS</w:t>
      </w:r>
      <w:r w:rsidRPr="009A2FA4">
        <w:rPr>
          <w:lang w:val="en-US"/>
        </w:rPr>
        <w:t xml:space="preserve"> 2014;28:1759-67.</w:t>
      </w:r>
    </w:p>
    <w:p w:rsidR="009A2FA4" w:rsidRPr="009A2FA4" w:rsidRDefault="009A2FA4">
      <w:pPr>
        <w:pStyle w:val="NormalWeb"/>
        <w:spacing w:line="480" w:lineRule="auto"/>
        <w:divId w:val="1282222769"/>
        <w:rPr>
          <w:lang w:val="en-US"/>
        </w:rPr>
      </w:pPr>
      <w:r w:rsidRPr="009A2FA4">
        <w:rPr>
          <w:lang w:val="en-US"/>
        </w:rPr>
        <w:lastRenderedPageBreak/>
        <w:t xml:space="preserve">58. Jones S, Restrepo D, Kasowitz A, et al. </w:t>
      </w:r>
      <w:r w:rsidRPr="00B3156F">
        <w:rPr>
          <w:lang w:val="en-US"/>
        </w:rPr>
        <w:t xml:space="preserve">Risk factors for decreased bone density and effects of HIV on bone in the elderly. </w:t>
      </w:r>
      <w:r w:rsidRPr="009A2FA4">
        <w:rPr>
          <w:i/>
          <w:iCs/>
          <w:lang w:val="en-US"/>
        </w:rPr>
        <w:t>Osteoporos Int</w:t>
      </w:r>
      <w:r w:rsidRPr="009A2FA4">
        <w:rPr>
          <w:lang w:val="en-US"/>
        </w:rPr>
        <w:t xml:space="preserve"> 2008;19:913-8.</w:t>
      </w:r>
    </w:p>
    <w:p w:rsidR="009A2FA4" w:rsidRPr="009A2FA4" w:rsidRDefault="009A2FA4">
      <w:pPr>
        <w:pStyle w:val="NormalWeb"/>
        <w:spacing w:line="480" w:lineRule="auto"/>
        <w:divId w:val="1282222769"/>
        <w:rPr>
          <w:lang w:val="en-US"/>
        </w:rPr>
      </w:pPr>
      <w:r w:rsidRPr="009A2FA4">
        <w:rPr>
          <w:lang w:val="en-US"/>
        </w:rPr>
        <w:t xml:space="preserve">59. Kalyan S, Pick N, Mai A, et al. Premature Spinal Bone Loss in Women Living with HIV is Associated with Shorter Leukocyte Telomere Length. </w:t>
      </w:r>
      <w:r w:rsidRPr="009A2FA4">
        <w:rPr>
          <w:i/>
          <w:iCs/>
          <w:lang w:val="en-US"/>
        </w:rPr>
        <w:t>Int J Environ Res Public Health</w:t>
      </w:r>
      <w:r w:rsidRPr="009A2FA4">
        <w:rPr>
          <w:lang w:val="en-US"/>
        </w:rPr>
        <w:t xml:space="preserve"> 2018;15:10.3390/ijerph15051018.</w:t>
      </w:r>
    </w:p>
    <w:p w:rsidR="009A2FA4" w:rsidRPr="009A2FA4" w:rsidRDefault="009A2FA4">
      <w:pPr>
        <w:pStyle w:val="NormalWeb"/>
        <w:spacing w:line="480" w:lineRule="auto"/>
        <w:divId w:val="1282222769"/>
        <w:rPr>
          <w:lang w:val="en-US"/>
        </w:rPr>
      </w:pPr>
      <w:r w:rsidRPr="009A2FA4">
        <w:rPr>
          <w:lang w:val="en-US"/>
        </w:rPr>
        <w:t xml:space="preserve">60. Loiseau-Peres S, Delaunay C, Poupon S, et al. </w:t>
      </w:r>
      <w:r w:rsidRPr="00B3156F">
        <w:rPr>
          <w:lang w:val="en-US"/>
        </w:rPr>
        <w:t xml:space="preserve">Osteopenia in patients infected by the human immunodeficiency virus. </w:t>
      </w:r>
      <w:r w:rsidRPr="009A2FA4">
        <w:rPr>
          <w:lang w:val="en-US"/>
        </w:rPr>
        <w:t xml:space="preserve">A case control study. </w:t>
      </w:r>
      <w:r w:rsidRPr="009A2FA4">
        <w:rPr>
          <w:i/>
          <w:iCs/>
          <w:lang w:val="en-US"/>
        </w:rPr>
        <w:t>Joint Bone Spine</w:t>
      </w:r>
      <w:r w:rsidRPr="009A2FA4">
        <w:rPr>
          <w:lang w:val="en-US"/>
        </w:rPr>
        <w:t xml:space="preserve"> 2002;69:482-5.</w:t>
      </w:r>
    </w:p>
    <w:p w:rsidR="009A2FA4" w:rsidRPr="009A2FA4" w:rsidRDefault="009A2FA4">
      <w:pPr>
        <w:pStyle w:val="NormalWeb"/>
        <w:spacing w:line="480" w:lineRule="auto"/>
        <w:divId w:val="1282222769"/>
        <w:rPr>
          <w:lang w:val="en-US"/>
        </w:rPr>
      </w:pPr>
      <w:r w:rsidRPr="009A2FA4">
        <w:rPr>
          <w:lang w:val="en-US"/>
        </w:rPr>
        <w:t xml:space="preserve">61. Madeddu G, Spanu A, Solinas P, et al. </w:t>
      </w:r>
      <w:r w:rsidRPr="00B3156F">
        <w:rPr>
          <w:lang w:val="en-US"/>
        </w:rPr>
        <w:t xml:space="preserve">Bone mass loss and vitamin D metabolism impairment in HIV patients receiving highly active antiretroviral therapy. </w:t>
      </w:r>
      <w:r w:rsidRPr="009A2FA4">
        <w:rPr>
          <w:i/>
          <w:iCs/>
          <w:lang w:val="en-US"/>
        </w:rPr>
        <w:t>Q J Nucl Med Mol Imaging</w:t>
      </w:r>
      <w:r w:rsidRPr="009A2FA4">
        <w:rPr>
          <w:lang w:val="en-US"/>
        </w:rPr>
        <w:t xml:space="preserve"> 2004;48:39-48.</w:t>
      </w:r>
    </w:p>
    <w:p w:rsidR="009A2FA4" w:rsidRPr="009A2FA4" w:rsidRDefault="009A2FA4">
      <w:pPr>
        <w:pStyle w:val="NormalWeb"/>
        <w:spacing w:line="480" w:lineRule="auto"/>
        <w:divId w:val="1282222769"/>
        <w:rPr>
          <w:lang w:val="en-US"/>
        </w:rPr>
      </w:pPr>
      <w:r w:rsidRPr="009A2FA4">
        <w:rPr>
          <w:lang w:val="en-US"/>
        </w:rPr>
        <w:t xml:space="preserve">62. Mulligan K, Harris DR, Emmanuel P, et al. Low bone mass in behaviorally HIV-infected young men on antiretroviral therapy: Adolescent Trials Network Study 021B. </w:t>
      </w:r>
      <w:r w:rsidRPr="009A2FA4">
        <w:rPr>
          <w:i/>
          <w:iCs/>
          <w:lang w:val="en-US"/>
        </w:rPr>
        <w:t>Clin Infect Dis</w:t>
      </w:r>
      <w:r w:rsidRPr="009A2FA4">
        <w:rPr>
          <w:lang w:val="en-US"/>
        </w:rPr>
        <w:t xml:space="preserve"> 2012;55:461-8.</w:t>
      </w:r>
    </w:p>
    <w:p w:rsidR="009A2FA4" w:rsidRPr="009A2FA4" w:rsidRDefault="009A2FA4">
      <w:pPr>
        <w:pStyle w:val="NormalWeb"/>
        <w:spacing w:line="480" w:lineRule="auto"/>
        <w:divId w:val="1282222769"/>
        <w:rPr>
          <w:lang w:val="en-US"/>
        </w:rPr>
      </w:pPr>
      <w:r w:rsidRPr="009A2FA4">
        <w:rPr>
          <w:lang w:val="en-US"/>
        </w:rPr>
        <w:t xml:space="preserve">63. Negredo E, Domingo P, Ferrer E, et al. Peak bone mass in young HIV-infected patients compared with healthy controls. </w:t>
      </w:r>
      <w:r w:rsidRPr="009A2FA4">
        <w:rPr>
          <w:i/>
          <w:iCs/>
          <w:lang w:val="en-US"/>
        </w:rPr>
        <w:t>J Acquir Immune Defic Syndr</w:t>
      </w:r>
      <w:r w:rsidRPr="009A2FA4">
        <w:rPr>
          <w:lang w:val="en-US"/>
        </w:rPr>
        <w:t xml:space="preserve"> 2014;65:207-12.</w:t>
      </w:r>
    </w:p>
    <w:p w:rsidR="009A2FA4" w:rsidRPr="009A2FA4" w:rsidRDefault="009A2FA4">
      <w:pPr>
        <w:pStyle w:val="NormalWeb"/>
        <w:spacing w:line="480" w:lineRule="auto"/>
        <w:divId w:val="1282222769"/>
        <w:rPr>
          <w:lang w:val="en-US"/>
        </w:rPr>
      </w:pPr>
      <w:r w:rsidRPr="009A2FA4">
        <w:rPr>
          <w:lang w:val="en-US"/>
        </w:rPr>
        <w:t xml:space="preserve">64. Paul TV, Asha HS, Thomas N, et al. Hypovitaminosis D and bone mineral density in human immunodeficiency virus-infected men from India, with or without antiretroviral therapy. </w:t>
      </w:r>
      <w:r w:rsidRPr="009A2FA4">
        <w:rPr>
          <w:i/>
          <w:iCs/>
          <w:lang w:val="en-US"/>
        </w:rPr>
        <w:t>Endocr Pract</w:t>
      </w:r>
      <w:r w:rsidRPr="009A2FA4">
        <w:rPr>
          <w:lang w:val="en-US"/>
        </w:rPr>
        <w:t xml:space="preserve"> 2010;16:547-53.</w:t>
      </w:r>
    </w:p>
    <w:p w:rsidR="009A2FA4" w:rsidRPr="009A2FA4" w:rsidRDefault="009A2FA4">
      <w:pPr>
        <w:pStyle w:val="NormalWeb"/>
        <w:spacing w:line="480" w:lineRule="auto"/>
        <w:divId w:val="1282222769"/>
        <w:rPr>
          <w:lang w:val="en-US"/>
        </w:rPr>
      </w:pPr>
      <w:r w:rsidRPr="009A2FA4">
        <w:rPr>
          <w:lang w:val="en-US"/>
        </w:rPr>
        <w:t xml:space="preserve">65. Sharma A, Flom PL, Rosen CJ, et al. </w:t>
      </w:r>
      <w:r w:rsidRPr="00B3156F">
        <w:rPr>
          <w:lang w:val="en-US"/>
        </w:rPr>
        <w:t xml:space="preserve">Racial differences in bone loss and relation to menopause among HIV-infected and uninfected women. </w:t>
      </w:r>
      <w:r w:rsidRPr="009A2FA4">
        <w:rPr>
          <w:i/>
          <w:iCs/>
          <w:lang w:val="en-US"/>
        </w:rPr>
        <w:t>Bone</w:t>
      </w:r>
      <w:r w:rsidRPr="009A2FA4">
        <w:rPr>
          <w:lang w:val="en-US"/>
        </w:rPr>
        <w:t xml:space="preserve"> 2015;77:24-30.</w:t>
      </w:r>
    </w:p>
    <w:p w:rsidR="009A2FA4" w:rsidRPr="009A2FA4" w:rsidRDefault="009A2FA4">
      <w:pPr>
        <w:pStyle w:val="NormalWeb"/>
        <w:spacing w:line="480" w:lineRule="auto"/>
        <w:divId w:val="1282222769"/>
        <w:rPr>
          <w:lang w:val="en-US"/>
        </w:rPr>
      </w:pPr>
      <w:r w:rsidRPr="009A2FA4">
        <w:rPr>
          <w:lang w:val="en-US"/>
        </w:rPr>
        <w:lastRenderedPageBreak/>
        <w:t xml:space="preserve">66. Teichmann J, Lange U, Discher T, et al. Bone mineral density in human immunodeficiency virus-1 infected men with hypogonadism prior to highly-active-antiretroviral-therapy (HAART). </w:t>
      </w:r>
      <w:r w:rsidRPr="009A2FA4">
        <w:rPr>
          <w:i/>
          <w:iCs/>
          <w:lang w:val="en-US"/>
        </w:rPr>
        <w:t>Eur J Med Res</w:t>
      </w:r>
      <w:r w:rsidRPr="009A2FA4">
        <w:rPr>
          <w:lang w:val="en-US"/>
        </w:rPr>
        <w:t xml:space="preserve"> 2009;14:59-64.</w:t>
      </w:r>
    </w:p>
    <w:p w:rsidR="009A2FA4" w:rsidRPr="009A2FA4" w:rsidRDefault="009A2FA4">
      <w:pPr>
        <w:pStyle w:val="NormalWeb"/>
        <w:spacing w:line="480" w:lineRule="auto"/>
        <w:divId w:val="1282222769"/>
        <w:rPr>
          <w:lang w:val="en-US"/>
        </w:rPr>
      </w:pPr>
      <w:r w:rsidRPr="009A2FA4">
        <w:rPr>
          <w:lang w:val="en-US"/>
        </w:rPr>
        <w:t xml:space="preserve">67. Unsal AB, Mattingly AS, Jones SE, et al. Effect of Antiretroviral Therapy on Bone and Renal Health in Young Adults Infected with HIV in Early Life. </w:t>
      </w:r>
      <w:r w:rsidRPr="009A2FA4">
        <w:rPr>
          <w:i/>
          <w:iCs/>
          <w:lang w:val="en-US"/>
        </w:rPr>
        <w:t>J Clin Endocrinol Metab</w:t>
      </w:r>
      <w:r w:rsidRPr="009A2FA4">
        <w:rPr>
          <w:lang w:val="en-US"/>
        </w:rPr>
        <w:t xml:space="preserve"> 2017.</w:t>
      </w:r>
    </w:p>
    <w:p w:rsidR="009A2FA4" w:rsidRPr="009A2FA4" w:rsidRDefault="009A2FA4">
      <w:pPr>
        <w:pStyle w:val="NormalWeb"/>
        <w:spacing w:line="480" w:lineRule="auto"/>
        <w:divId w:val="1282222769"/>
        <w:rPr>
          <w:lang w:val="en-US"/>
        </w:rPr>
      </w:pPr>
      <w:r w:rsidRPr="009A2FA4">
        <w:rPr>
          <w:lang w:val="en-US"/>
        </w:rPr>
        <w:t xml:space="preserve">68. Yin MT, Lu D, Cremers S, et al. Short-term bone loss in HIV-infected premenopausal women. </w:t>
      </w:r>
      <w:r w:rsidRPr="009A2FA4">
        <w:rPr>
          <w:i/>
          <w:iCs/>
          <w:lang w:val="en-US"/>
        </w:rPr>
        <w:t>J Acquir Immune Defic Syndr</w:t>
      </w:r>
      <w:r w:rsidRPr="009A2FA4">
        <w:rPr>
          <w:lang w:val="en-US"/>
        </w:rPr>
        <w:t xml:space="preserve"> 2010;53:202-8.</w:t>
      </w:r>
    </w:p>
    <w:p w:rsidR="009A2FA4" w:rsidRPr="009A2FA4" w:rsidRDefault="009A2FA4">
      <w:pPr>
        <w:pStyle w:val="NormalWeb"/>
        <w:spacing w:line="480" w:lineRule="auto"/>
        <w:divId w:val="1282222769"/>
        <w:rPr>
          <w:lang w:val="en-US"/>
        </w:rPr>
      </w:pPr>
      <w:r w:rsidRPr="009A2FA4">
        <w:rPr>
          <w:lang w:val="en-US"/>
        </w:rPr>
        <w:t xml:space="preserve">69. Yin MT, Lund E, Shah J, et al. Lower peak bone mass and abnormal trabecular and cortical microarchitecture in young men infected with HIV early in life. </w:t>
      </w:r>
      <w:r w:rsidRPr="009A2FA4">
        <w:rPr>
          <w:i/>
          <w:iCs/>
          <w:lang w:val="en-US"/>
        </w:rPr>
        <w:t>AIDS</w:t>
      </w:r>
      <w:r w:rsidRPr="009A2FA4">
        <w:rPr>
          <w:lang w:val="en-US"/>
        </w:rPr>
        <w:t xml:space="preserve"> 2014;28:345-53.</w:t>
      </w:r>
    </w:p>
    <w:p w:rsidR="009A2FA4" w:rsidRDefault="009A2FA4">
      <w:pPr>
        <w:pStyle w:val="NormalWeb"/>
        <w:spacing w:line="480" w:lineRule="auto"/>
        <w:divId w:val="1282222769"/>
      </w:pPr>
      <w:r w:rsidRPr="009A2FA4">
        <w:rPr>
          <w:lang w:val="en-US"/>
        </w:rPr>
        <w:t xml:space="preserve">70. Yin M, Dobkin J, Brudney K, et al. Bone mass and mineral metabolism in HIV+ postmenopausal women. </w:t>
      </w:r>
      <w:r>
        <w:rPr>
          <w:i/>
          <w:iCs/>
        </w:rPr>
        <w:t>Osteoporos Int</w:t>
      </w:r>
      <w:r>
        <w:t xml:space="preserve"> 2005;16:1345-52.</w:t>
      </w:r>
    </w:p>
    <w:p w:rsidR="009A2FA4" w:rsidRDefault="009A2FA4">
      <w:pPr>
        <w:pStyle w:val="NormalWeb"/>
        <w:spacing w:line="480" w:lineRule="auto"/>
        <w:divId w:val="1282222769"/>
      </w:pPr>
      <w:r>
        <w:t xml:space="preserve">71. Zhang L, Su Y, Hsieh E, et al. </w:t>
      </w:r>
      <w:r w:rsidRPr="009A2FA4">
        <w:rPr>
          <w:lang w:val="en-US"/>
        </w:rPr>
        <w:t xml:space="preserve">Bone turnover and bone mineral density in HIV-1 infected Chinese taking highly active antiretroviral therapy -a prospective observational study. </w:t>
      </w:r>
      <w:r>
        <w:rPr>
          <w:i/>
          <w:iCs/>
        </w:rPr>
        <w:t>BMC Musculoskelet Disord</w:t>
      </w:r>
      <w:r>
        <w:t xml:space="preserve"> 2013;14:224,2474-14-224.</w:t>
      </w:r>
    </w:p>
    <w:p w:rsidR="009A2FA4" w:rsidRPr="009A2FA4" w:rsidRDefault="009A2FA4">
      <w:pPr>
        <w:pStyle w:val="NormalWeb"/>
        <w:spacing w:line="480" w:lineRule="auto"/>
        <w:divId w:val="1282222769"/>
        <w:rPr>
          <w:lang w:val="en-US"/>
        </w:rPr>
      </w:pPr>
      <w:r>
        <w:t xml:space="preserve">72. Arribas JR, Thompson M, Sax PE, et al. </w:t>
      </w:r>
      <w:r w:rsidRPr="009A2FA4">
        <w:rPr>
          <w:lang w:val="en-US"/>
        </w:rPr>
        <w:t xml:space="preserve">Brief Report: Randomized, Double-Blind Comparison of Tenofovir Alafenamide (TAF) vs Tenofovir Disoproxil Fumarate (TDF), Each Coformulated with Elvitegravir, Cobicistat, and Emtricitabine (E/C/F) for Initial HIV-1 Treatment: Week 144 Results. </w:t>
      </w:r>
      <w:r w:rsidRPr="009A2FA4">
        <w:rPr>
          <w:i/>
          <w:iCs/>
          <w:lang w:val="en-US"/>
        </w:rPr>
        <w:t>J Acquired Immune Defic Syndr</w:t>
      </w:r>
      <w:r w:rsidRPr="009A2FA4">
        <w:rPr>
          <w:lang w:val="en-US"/>
        </w:rPr>
        <w:t xml:space="preserve"> 2017;75:211-8.</w:t>
      </w:r>
    </w:p>
    <w:p w:rsidR="009A2FA4" w:rsidRPr="009A2FA4" w:rsidRDefault="009A2FA4">
      <w:pPr>
        <w:pStyle w:val="NormalWeb"/>
        <w:spacing w:line="480" w:lineRule="auto"/>
        <w:divId w:val="1282222769"/>
        <w:rPr>
          <w:lang w:val="en-US"/>
        </w:rPr>
      </w:pPr>
      <w:r w:rsidRPr="009A2FA4">
        <w:rPr>
          <w:lang w:val="en-US"/>
        </w:rPr>
        <w:t xml:space="preserve">73. Eron JJ, Orkin C, Gallant J, et al. A week 48 randomized phase 3 trial of darunavir/cobicistat/emtricitabine/tenofovir alafenamide in treatment-naive HIV-1 patients. </w:t>
      </w:r>
      <w:r w:rsidRPr="009A2FA4">
        <w:rPr>
          <w:i/>
          <w:iCs/>
          <w:lang w:val="en-US"/>
        </w:rPr>
        <w:t>AIDS</w:t>
      </w:r>
      <w:r w:rsidRPr="009A2FA4">
        <w:rPr>
          <w:lang w:val="en-US"/>
        </w:rPr>
        <w:t xml:space="preserve"> 2018.</w:t>
      </w:r>
    </w:p>
    <w:p w:rsidR="009A2FA4" w:rsidRPr="009A2FA4" w:rsidRDefault="009A2FA4">
      <w:pPr>
        <w:pStyle w:val="NormalWeb"/>
        <w:spacing w:line="480" w:lineRule="auto"/>
        <w:divId w:val="1282222769"/>
        <w:rPr>
          <w:lang w:val="en-US"/>
        </w:rPr>
      </w:pPr>
      <w:r w:rsidRPr="009A2FA4">
        <w:rPr>
          <w:lang w:val="en-US"/>
        </w:rPr>
        <w:lastRenderedPageBreak/>
        <w:t xml:space="preserve">74. Mills A, Crofoot G,Jr, McDonald C, et al. Tenofovir Alafenamide Versus Tenofovir Disoproxil Fumarate in the First Protease Inhibitor-Based Single-Tablet Regimen for Initial HIV-1 Therapy: A Randomized Phase 2 Study. </w:t>
      </w:r>
      <w:r w:rsidRPr="009A2FA4">
        <w:rPr>
          <w:i/>
          <w:iCs/>
          <w:lang w:val="en-US"/>
        </w:rPr>
        <w:t>J Acquir Immune Defic Syndr</w:t>
      </w:r>
      <w:r w:rsidRPr="009A2FA4">
        <w:rPr>
          <w:lang w:val="en-US"/>
        </w:rPr>
        <w:t xml:space="preserve"> 2015;69:439-45.</w:t>
      </w:r>
    </w:p>
    <w:p w:rsidR="009A2FA4" w:rsidRPr="009A2FA4" w:rsidRDefault="009A2FA4">
      <w:pPr>
        <w:pStyle w:val="NormalWeb"/>
        <w:spacing w:line="480" w:lineRule="auto"/>
        <w:divId w:val="1282222769"/>
        <w:rPr>
          <w:lang w:val="en-US"/>
        </w:rPr>
      </w:pPr>
      <w:r w:rsidRPr="009A2FA4">
        <w:rPr>
          <w:lang w:val="en-US"/>
        </w:rPr>
        <w:t xml:space="preserve">75. Mills A, Arribas JR, Andrade-Villanueva J, et al. Switching from tenofovir disoproxil fumarate to tenofovir alafenamide in antiretroviral regimens for virologically suppressed adults with HIV-1 infection: a randomised, active-controlled, multicentre, open-label, phase 3, non-inferiority study. </w:t>
      </w:r>
      <w:r w:rsidRPr="009A2FA4">
        <w:rPr>
          <w:i/>
          <w:iCs/>
          <w:lang w:val="en-US"/>
        </w:rPr>
        <w:t>Lancet Infect Dis</w:t>
      </w:r>
      <w:r w:rsidRPr="009A2FA4">
        <w:rPr>
          <w:lang w:val="en-US"/>
        </w:rPr>
        <w:t xml:space="preserve"> 2016;16:43-52.</w:t>
      </w:r>
    </w:p>
    <w:p w:rsidR="009A2FA4" w:rsidRPr="009A2FA4" w:rsidRDefault="009A2FA4">
      <w:pPr>
        <w:pStyle w:val="NormalWeb"/>
        <w:spacing w:line="480" w:lineRule="auto"/>
        <w:divId w:val="1282222769"/>
        <w:rPr>
          <w:lang w:val="en-US"/>
        </w:rPr>
      </w:pPr>
      <w:r w:rsidRPr="009A2FA4">
        <w:rPr>
          <w:lang w:val="en-US"/>
        </w:rPr>
        <w:t xml:space="preserve">76. Post FA, Yazdanpanah Y, Schembri G, et al. Efficacy and safety of emtricitabine/tenofovir alafenamide (FTC/TAF) vs. emtricitabine/tenofovir disoproxil fumarate (FTC/TDF) as a backbone for treatment of HIV-1 infection in virologically suppressed adults: subgroup analysis by third agent of a randomized, double-blind, active-controlled phase 3 trial. </w:t>
      </w:r>
      <w:r w:rsidRPr="009A2FA4">
        <w:rPr>
          <w:i/>
          <w:iCs/>
          <w:lang w:val="en-US"/>
        </w:rPr>
        <w:t>HIV Clin Trials</w:t>
      </w:r>
      <w:r w:rsidRPr="009A2FA4">
        <w:rPr>
          <w:lang w:val="en-US"/>
        </w:rPr>
        <w:t xml:space="preserve"> 2017;18:135-40.</w:t>
      </w:r>
    </w:p>
    <w:p w:rsidR="009A2FA4" w:rsidRPr="009A2FA4" w:rsidRDefault="009A2FA4">
      <w:pPr>
        <w:pStyle w:val="NormalWeb"/>
        <w:spacing w:line="480" w:lineRule="auto"/>
        <w:divId w:val="1282222769"/>
        <w:rPr>
          <w:lang w:val="en-US"/>
        </w:rPr>
      </w:pPr>
      <w:r w:rsidRPr="009A2FA4">
        <w:rPr>
          <w:lang w:val="en-US"/>
        </w:rPr>
        <w:t xml:space="preserve">77. Raffi F, Orkin C, Clarke A, et al. </w:t>
      </w:r>
      <w:r w:rsidRPr="00B3156F">
        <w:rPr>
          <w:lang w:val="en-US"/>
        </w:rPr>
        <w:t xml:space="preserve">Brief Report: Long-Term (96-Week) Efficacy and Safety After Switching From Tenofovir Disoproxil Fumarate to Tenofovir Alafenamide in HIV-Infected, Virologically Suppressed Adults. </w:t>
      </w:r>
      <w:r w:rsidRPr="009A2FA4">
        <w:rPr>
          <w:i/>
          <w:iCs/>
          <w:lang w:val="en-US"/>
        </w:rPr>
        <w:t>J Acquir Immune Defic Syndr</w:t>
      </w:r>
      <w:r w:rsidRPr="009A2FA4">
        <w:rPr>
          <w:lang w:val="en-US"/>
        </w:rPr>
        <w:t xml:space="preserve"> 2017;75:226-31.</w:t>
      </w:r>
    </w:p>
    <w:p w:rsidR="009A2FA4" w:rsidRPr="009A2FA4" w:rsidRDefault="009A2FA4">
      <w:pPr>
        <w:pStyle w:val="NormalWeb"/>
        <w:spacing w:line="480" w:lineRule="auto"/>
        <w:divId w:val="1282222769"/>
        <w:rPr>
          <w:lang w:val="en-US"/>
        </w:rPr>
      </w:pPr>
      <w:r w:rsidRPr="009A2FA4">
        <w:rPr>
          <w:lang w:val="en-US"/>
        </w:rPr>
        <w:t xml:space="preserve">78. Sax PE, Zolopa A, Brar I, et al. Tenofovir alafenamide vs. tenofovir disoproxil fumarate in single tablet regimens for initial HIV-1 therapy: a randomized phase 2 study. </w:t>
      </w:r>
      <w:r w:rsidRPr="009A2FA4">
        <w:rPr>
          <w:i/>
          <w:iCs/>
          <w:lang w:val="en-US"/>
        </w:rPr>
        <w:t>J Acquir Immune Defic Syndr</w:t>
      </w:r>
      <w:r w:rsidRPr="009A2FA4">
        <w:rPr>
          <w:lang w:val="en-US"/>
        </w:rPr>
        <w:t xml:space="preserve"> 2014;67:52-8.</w:t>
      </w:r>
    </w:p>
    <w:p w:rsidR="009A2FA4" w:rsidRPr="009A2FA4" w:rsidRDefault="009A2FA4">
      <w:pPr>
        <w:pStyle w:val="NormalWeb"/>
        <w:spacing w:line="480" w:lineRule="auto"/>
        <w:divId w:val="1282222769"/>
        <w:rPr>
          <w:lang w:val="en-US"/>
        </w:rPr>
      </w:pPr>
      <w:r w:rsidRPr="009A2FA4">
        <w:rPr>
          <w:lang w:val="en-US"/>
        </w:rPr>
        <w:t xml:space="preserve">79. Wohl D, Oka S, Clumeck N, et al. A randomized, double-blind comparison of tenofovir alafenamide versus tenofovir disoproxil fumarate, each coformulated with elvitegravir, cobicistat, and emtricitabine for initial HIV-1 treatment: Week 96 results. </w:t>
      </w:r>
      <w:r w:rsidRPr="009A2FA4">
        <w:rPr>
          <w:i/>
          <w:iCs/>
          <w:lang w:val="en-US"/>
        </w:rPr>
        <w:t>J Acquired Immune Defic Syndr</w:t>
      </w:r>
      <w:r w:rsidRPr="009A2FA4">
        <w:rPr>
          <w:lang w:val="en-US"/>
        </w:rPr>
        <w:t xml:space="preserve"> 2016;72:58-64.</w:t>
      </w:r>
    </w:p>
    <w:p w:rsidR="009A2FA4" w:rsidRPr="009A2FA4" w:rsidRDefault="009A2FA4">
      <w:pPr>
        <w:pStyle w:val="NormalWeb"/>
        <w:spacing w:line="480" w:lineRule="auto"/>
        <w:divId w:val="1282222769"/>
        <w:rPr>
          <w:lang w:val="en-US"/>
        </w:rPr>
      </w:pPr>
      <w:r w:rsidRPr="009A2FA4">
        <w:rPr>
          <w:lang w:val="en-US"/>
        </w:rPr>
        <w:lastRenderedPageBreak/>
        <w:t xml:space="preserve">80. Erlandson KM, Kitch D, Tierney C, et al. Weight and lean body mass change with antiretroviral initiation and impact on bone mineral density. </w:t>
      </w:r>
      <w:r w:rsidRPr="009A2FA4">
        <w:rPr>
          <w:i/>
          <w:iCs/>
          <w:lang w:val="en-US"/>
        </w:rPr>
        <w:t>AIDS</w:t>
      </w:r>
      <w:r w:rsidRPr="009A2FA4">
        <w:rPr>
          <w:lang w:val="en-US"/>
        </w:rPr>
        <w:t xml:space="preserve"> 2013;27:2069-79.</w:t>
      </w:r>
    </w:p>
    <w:p w:rsidR="009A2FA4" w:rsidRPr="009A2FA4" w:rsidRDefault="009A2FA4">
      <w:pPr>
        <w:pStyle w:val="NormalWeb"/>
        <w:spacing w:line="480" w:lineRule="auto"/>
        <w:divId w:val="1282222769"/>
        <w:rPr>
          <w:lang w:val="en-US"/>
        </w:rPr>
      </w:pPr>
      <w:r w:rsidRPr="009A2FA4">
        <w:rPr>
          <w:lang w:val="en-US"/>
        </w:rPr>
        <w:t xml:space="preserve">81. Grant PM, Kitch D, McComsey GA, et al. Differential skeletal impact of tenofovir disoproxil fumarate in young versus old hiv-infected adults. </w:t>
      </w:r>
      <w:r w:rsidRPr="009A2FA4">
        <w:rPr>
          <w:i/>
          <w:iCs/>
          <w:lang w:val="en-US"/>
        </w:rPr>
        <w:t>HIV Clin Trials</w:t>
      </w:r>
      <w:r w:rsidRPr="009A2FA4">
        <w:rPr>
          <w:lang w:val="en-US"/>
        </w:rPr>
        <w:t xml:space="preserve"> 2015;16:66-71.</w:t>
      </w:r>
    </w:p>
    <w:p w:rsidR="009A2FA4" w:rsidRPr="009A2FA4" w:rsidRDefault="009A2FA4">
      <w:pPr>
        <w:pStyle w:val="NormalWeb"/>
        <w:spacing w:line="480" w:lineRule="auto"/>
        <w:divId w:val="1282222769"/>
        <w:rPr>
          <w:lang w:val="en-US"/>
        </w:rPr>
      </w:pPr>
      <w:r w:rsidRPr="009A2FA4">
        <w:rPr>
          <w:lang w:val="en-US"/>
        </w:rPr>
        <w:t xml:space="preserve">82. Gupta SK, Yeh E, Kitch DW, et al. </w:t>
      </w:r>
      <w:r w:rsidRPr="00B3156F">
        <w:rPr>
          <w:lang w:val="en-US"/>
        </w:rPr>
        <w:t xml:space="preserve">Bone mineral density reductions after tenofovir disoproxil fumarate initiation and changes in phosphaturia: a secondary analysis of ACTG A5224s. </w:t>
      </w:r>
      <w:r w:rsidRPr="009A2FA4">
        <w:rPr>
          <w:i/>
          <w:iCs/>
          <w:lang w:val="en-US"/>
        </w:rPr>
        <w:t>J Antimicrob Chemother</w:t>
      </w:r>
      <w:r w:rsidRPr="009A2FA4">
        <w:rPr>
          <w:lang w:val="en-US"/>
        </w:rPr>
        <w:t xml:space="preserve"> 2017.</w:t>
      </w:r>
    </w:p>
    <w:p w:rsidR="009A2FA4" w:rsidRPr="009A2FA4" w:rsidRDefault="009A2FA4">
      <w:pPr>
        <w:pStyle w:val="NormalWeb"/>
        <w:spacing w:line="480" w:lineRule="auto"/>
        <w:divId w:val="1282222769"/>
        <w:rPr>
          <w:lang w:val="en-US"/>
        </w:rPr>
      </w:pPr>
      <w:r w:rsidRPr="009A2FA4">
        <w:rPr>
          <w:lang w:val="en-US"/>
        </w:rPr>
        <w:t xml:space="preserve">83. McComsey GA, Kitch D, Daar ES, et al. </w:t>
      </w:r>
      <w:r w:rsidRPr="00B3156F">
        <w:rPr>
          <w:lang w:val="en-US"/>
        </w:rPr>
        <w:t xml:space="preserve">Bone mineral density and fractures in antiretroviral-naive persons randomized to receive abacavir-lamivudine or tenofovir disoproxil fumarate-emtricitabine along with efavirenz or atazanavir-ritonavir: Aids Clinical Trials Group A5224s, a substudy of ACTG A5202. </w:t>
      </w:r>
      <w:r w:rsidRPr="009A2FA4">
        <w:rPr>
          <w:i/>
          <w:iCs/>
          <w:lang w:val="en-US"/>
        </w:rPr>
        <w:t>J Infect Dis</w:t>
      </w:r>
      <w:r w:rsidRPr="009A2FA4">
        <w:rPr>
          <w:lang w:val="en-US"/>
        </w:rPr>
        <w:t xml:space="preserve"> 2011;203:1791-801.</w:t>
      </w:r>
    </w:p>
    <w:p w:rsidR="009A2FA4" w:rsidRDefault="009A2FA4">
      <w:pPr>
        <w:pStyle w:val="NormalWeb"/>
        <w:spacing w:line="480" w:lineRule="auto"/>
        <w:divId w:val="1282222769"/>
      </w:pPr>
      <w:r w:rsidRPr="009A2FA4">
        <w:rPr>
          <w:lang w:val="en-US"/>
        </w:rPr>
        <w:t xml:space="preserve">84. Moyle GJ, Stellbrink HJ, Compston J, et al. 96-Week results of abacavir/lamivudine versus tenofovir/emtricitabine, plus efavirenz, in antiretroviral-naive, HIV-1-infected adults: ASSERT study. </w:t>
      </w:r>
      <w:r>
        <w:rPr>
          <w:i/>
          <w:iCs/>
        </w:rPr>
        <w:t>Antivir Ther</w:t>
      </w:r>
      <w:r>
        <w:t xml:space="preserve"> 2013;18:905-13.</w:t>
      </w:r>
    </w:p>
    <w:p w:rsidR="009A2FA4" w:rsidRDefault="009A2FA4">
      <w:pPr>
        <w:pStyle w:val="NormalWeb"/>
        <w:spacing w:line="480" w:lineRule="auto"/>
        <w:divId w:val="1282222769"/>
      </w:pPr>
      <w:r>
        <w:t xml:space="preserve">85. Negredo E, Domingo P, Perez-Alvarez N, et al. </w:t>
      </w:r>
      <w:r w:rsidRPr="009A2FA4">
        <w:rPr>
          <w:lang w:val="en-US"/>
        </w:rPr>
        <w:t xml:space="preserve">Improvement in bone mineral density after switching from tenofovir to abacavir in HIV-1-infected patients with low bone mineral density: two-centre randomized pilot study (OsteoTDF study). </w:t>
      </w:r>
      <w:r>
        <w:rPr>
          <w:i/>
          <w:iCs/>
        </w:rPr>
        <w:t>J Antimicrob Chemother</w:t>
      </w:r>
      <w:r>
        <w:t xml:space="preserve"> 2014;69:3368-71.</w:t>
      </w:r>
    </w:p>
    <w:p w:rsidR="009A2FA4" w:rsidRPr="009A2FA4" w:rsidRDefault="009A2FA4">
      <w:pPr>
        <w:pStyle w:val="NormalWeb"/>
        <w:spacing w:line="480" w:lineRule="auto"/>
        <w:divId w:val="1282222769"/>
        <w:rPr>
          <w:lang w:val="en-US"/>
        </w:rPr>
      </w:pPr>
      <w:r>
        <w:t xml:space="preserve">86. Rasmussen TA, Jensen D, Tolstrup M, et al. </w:t>
      </w:r>
      <w:r w:rsidRPr="009A2FA4">
        <w:rPr>
          <w:lang w:val="en-US"/>
        </w:rPr>
        <w:t xml:space="preserve">Comparison of bone and renal effects in HIV-infected adults switching to abacavir or tenofovir based therapy in a randomized trial. </w:t>
      </w:r>
      <w:r w:rsidRPr="009A2FA4">
        <w:rPr>
          <w:i/>
          <w:iCs/>
          <w:lang w:val="en-US"/>
        </w:rPr>
        <w:t>PLoS One</w:t>
      </w:r>
      <w:r w:rsidRPr="009A2FA4">
        <w:rPr>
          <w:lang w:val="en-US"/>
        </w:rPr>
        <w:t xml:space="preserve"> 2012;7:e32445.</w:t>
      </w:r>
    </w:p>
    <w:p w:rsidR="009A2FA4" w:rsidRPr="009A2FA4" w:rsidRDefault="009A2FA4">
      <w:pPr>
        <w:pStyle w:val="NormalWeb"/>
        <w:spacing w:line="480" w:lineRule="auto"/>
        <w:divId w:val="1282222769"/>
        <w:rPr>
          <w:lang w:val="en-US"/>
        </w:rPr>
      </w:pPr>
      <w:r w:rsidRPr="009A2FA4">
        <w:rPr>
          <w:lang w:val="en-US"/>
        </w:rPr>
        <w:lastRenderedPageBreak/>
        <w:t xml:space="preserve">87. Stellbrink HJ, Orkin C, Arribas JR, et al. Comparison of changes in bone density and turnover with abacavir-lamivudine versus tenofovir-emtricitabine in HIV-infected adults: 48-week results from the ASSERT study. </w:t>
      </w:r>
      <w:r w:rsidRPr="009A2FA4">
        <w:rPr>
          <w:i/>
          <w:iCs/>
          <w:lang w:val="en-US"/>
        </w:rPr>
        <w:t>Clin Infect Dis</w:t>
      </w:r>
      <w:r w:rsidRPr="009A2FA4">
        <w:rPr>
          <w:lang w:val="en-US"/>
        </w:rPr>
        <w:t xml:space="preserve"> 2010;51:963-72.</w:t>
      </w:r>
    </w:p>
    <w:p w:rsidR="009A2FA4" w:rsidRPr="009A2FA4" w:rsidRDefault="009A2FA4">
      <w:pPr>
        <w:pStyle w:val="NormalWeb"/>
        <w:spacing w:line="480" w:lineRule="auto"/>
        <w:divId w:val="1282222769"/>
        <w:rPr>
          <w:lang w:val="en-US"/>
        </w:rPr>
      </w:pPr>
      <w:r w:rsidRPr="009A2FA4">
        <w:rPr>
          <w:lang w:val="en-US"/>
        </w:rPr>
        <w:t xml:space="preserve">88. Assoumou L, Katlama C, Viard JP, et al. Changes in bone mineral density over a 2-year period in HIV-1-infected men under combined antiretroviral therapy with osteopenia. </w:t>
      </w:r>
      <w:r w:rsidRPr="009A2FA4">
        <w:rPr>
          <w:i/>
          <w:iCs/>
          <w:lang w:val="en-US"/>
        </w:rPr>
        <w:t>AIDS</w:t>
      </w:r>
      <w:r w:rsidRPr="009A2FA4">
        <w:rPr>
          <w:lang w:val="en-US"/>
        </w:rPr>
        <w:t xml:space="preserve"> 2013;27:2425-30.</w:t>
      </w:r>
    </w:p>
    <w:p w:rsidR="009A2FA4" w:rsidRPr="009A2FA4" w:rsidRDefault="009A2FA4">
      <w:pPr>
        <w:pStyle w:val="NormalWeb"/>
        <w:spacing w:line="480" w:lineRule="auto"/>
        <w:divId w:val="1282222769"/>
        <w:rPr>
          <w:lang w:val="en-US"/>
        </w:rPr>
      </w:pPr>
      <w:r w:rsidRPr="009A2FA4">
        <w:rPr>
          <w:lang w:val="en-US"/>
        </w:rPr>
        <w:t xml:space="preserve">89. Bernardino JI, Mocroft A, Richert L, et al. Bone turnover on DRV/R+ either RAL or TDF/FTC as first-line ART: Neat 001/anrs 143. </w:t>
      </w:r>
      <w:r w:rsidRPr="009A2FA4">
        <w:rPr>
          <w:i/>
          <w:iCs/>
          <w:lang w:val="en-US"/>
        </w:rPr>
        <w:t>Top Antiviral Med</w:t>
      </w:r>
      <w:r w:rsidRPr="009A2FA4">
        <w:rPr>
          <w:lang w:val="en-US"/>
        </w:rPr>
        <w:t xml:space="preserve"> 2015;23:344. Available at</w:t>
      </w:r>
      <w:proofErr w:type="gramStart"/>
      <w:r w:rsidRPr="009A2FA4">
        <w:rPr>
          <w:lang w:val="en-US"/>
        </w:rPr>
        <w:t xml:space="preserve">: </w:t>
      </w:r>
      <w:proofErr w:type="gramEnd"/>
      <w:r w:rsidR="00734DBD">
        <w:fldChar w:fldCharType="begin"/>
      </w:r>
      <w:r w:rsidRPr="009A2FA4">
        <w:rPr>
          <w:lang w:val="en-US"/>
        </w:rPr>
        <w:instrText xml:space="preserve"> HYPERLINK "http://www.iasusa.org.ez.statsbiblioteket.dk:2048/sites/default/files/tam/23-e1-5.pdf" \t "_blank" </w:instrText>
      </w:r>
      <w:r w:rsidR="00734DBD">
        <w:fldChar w:fldCharType="separate"/>
      </w:r>
      <w:r w:rsidRPr="009A2FA4">
        <w:rPr>
          <w:rStyle w:val="Hyperlink"/>
          <w:lang w:val="en-US"/>
        </w:rPr>
        <w:t>http://www.iasusa.org.ez.statsbiblioteket.dk:2048/sites/default/files/tam/23-e1-5.pdf</w:t>
      </w:r>
      <w:r w:rsidR="00734DBD">
        <w:fldChar w:fldCharType="end"/>
      </w:r>
      <w:r w:rsidRPr="009A2FA4">
        <w:rPr>
          <w:lang w:val="en-US"/>
        </w:rPr>
        <w:t>.</w:t>
      </w:r>
    </w:p>
    <w:p w:rsidR="009A2FA4" w:rsidRPr="009A2FA4" w:rsidRDefault="009A2FA4">
      <w:pPr>
        <w:pStyle w:val="NormalWeb"/>
        <w:spacing w:line="480" w:lineRule="auto"/>
        <w:divId w:val="1282222769"/>
        <w:rPr>
          <w:lang w:val="en-US"/>
        </w:rPr>
      </w:pPr>
      <w:r w:rsidRPr="009A2FA4">
        <w:rPr>
          <w:lang w:val="en-US"/>
        </w:rPr>
        <w:t xml:space="preserve">90. Bloch M, Tong W, Hoy J, et al. Switch from tenofovir to raltegravir increases low bone mineral density and decreases markers of bone turnover over 48 weeks. </w:t>
      </w:r>
      <w:r w:rsidRPr="009A2FA4">
        <w:rPr>
          <w:i/>
          <w:iCs/>
          <w:lang w:val="en-US"/>
        </w:rPr>
        <w:t>HIV Med</w:t>
      </w:r>
      <w:r w:rsidRPr="009A2FA4">
        <w:rPr>
          <w:lang w:val="en-US"/>
        </w:rPr>
        <w:t xml:space="preserve"> 2014;15:373-80.</w:t>
      </w:r>
    </w:p>
    <w:p w:rsidR="009A2FA4" w:rsidRPr="009A2FA4" w:rsidRDefault="009A2FA4">
      <w:pPr>
        <w:pStyle w:val="NormalWeb"/>
        <w:spacing w:line="480" w:lineRule="auto"/>
        <w:divId w:val="1282222769"/>
        <w:rPr>
          <w:lang w:val="en-US"/>
        </w:rPr>
      </w:pPr>
      <w:r w:rsidRPr="009A2FA4">
        <w:rPr>
          <w:lang w:val="en-US"/>
        </w:rPr>
        <w:t xml:space="preserve">91. Bonjoch A, Figueras M, Estany C, et al. High prevalence of and progression to low bone mineral density in HIV-infected patients: a longitudinal cohort study. </w:t>
      </w:r>
      <w:r w:rsidRPr="009A2FA4">
        <w:rPr>
          <w:i/>
          <w:iCs/>
          <w:lang w:val="en-US"/>
        </w:rPr>
        <w:t>AIDS</w:t>
      </w:r>
      <w:r w:rsidRPr="009A2FA4">
        <w:rPr>
          <w:lang w:val="en-US"/>
        </w:rPr>
        <w:t xml:space="preserve"> 2010;24:2827-33.</w:t>
      </w:r>
    </w:p>
    <w:p w:rsidR="009A2FA4" w:rsidRPr="009A2FA4" w:rsidRDefault="009A2FA4">
      <w:pPr>
        <w:pStyle w:val="NormalWeb"/>
        <w:spacing w:line="480" w:lineRule="auto"/>
        <w:divId w:val="1282222769"/>
        <w:rPr>
          <w:lang w:val="en-US"/>
        </w:rPr>
      </w:pPr>
      <w:r w:rsidRPr="009A2FA4">
        <w:rPr>
          <w:lang w:val="en-US"/>
        </w:rPr>
        <w:t xml:space="preserve">92. Briot K, Kolta S, Flandre P, et al. Prospective one-year bone loss in treatment-naive HIV+ men and women on single or multiple drug HIV therapies. </w:t>
      </w:r>
      <w:r w:rsidRPr="009A2FA4">
        <w:rPr>
          <w:i/>
          <w:iCs/>
          <w:lang w:val="en-US"/>
        </w:rPr>
        <w:t>Bone</w:t>
      </w:r>
      <w:r w:rsidRPr="009A2FA4">
        <w:rPr>
          <w:lang w:val="en-US"/>
        </w:rPr>
        <w:t xml:space="preserve"> 2011;48:1133-9.</w:t>
      </w:r>
    </w:p>
    <w:p w:rsidR="009A2FA4" w:rsidRDefault="009A2FA4">
      <w:pPr>
        <w:pStyle w:val="NormalWeb"/>
        <w:spacing w:line="480" w:lineRule="auto"/>
        <w:divId w:val="1282222769"/>
      </w:pPr>
      <w:r w:rsidRPr="009A2FA4">
        <w:rPr>
          <w:lang w:val="en-US"/>
        </w:rPr>
        <w:t xml:space="preserve">93. Brown TT, Moser C, Currier JS, et al. Changes in Bone Mineral Density After Initiation of Antiretroviral Treatment With Tenofovir Disoproxil Fumarate/Emtricitabine Plus Atazanavir/Ritonavir, Darunavir/Ritonavir, or Raltegravir. </w:t>
      </w:r>
      <w:r>
        <w:rPr>
          <w:i/>
          <w:iCs/>
        </w:rPr>
        <w:t>J Infect Dis</w:t>
      </w:r>
      <w:r>
        <w:t xml:space="preserve"> 2015;212:1241-9.</w:t>
      </w:r>
    </w:p>
    <w:p w:rsidR="009A2FA4" w:rsidRPr="009A2FA4" w:rsidRDefault="009A2FA4">
      <w:pPr>
        <w:pStyle w:val="NormalWeb"/>
        <w:spacing w:line="480" w:lineRule="auto"/>
        <w:divId w:val="1282222769"/>
        <w:rPr>
          <w:lang w:val="en-US"/>
        </w:rPr>
      </w:pPr>
      <w:r>
        <w:t xml:space="preserve">94. Calza L, Magistrelli E, Colangeli V, et al. </w:t>
      </w:r>
      <w:r w:rsidRPr="009A2FA4">
        <w:rPr>
          <w:lang w:val="en-US"/>
        </w:rPr>
        <w:t xml:space="preserve">Dual Raltegravir-Etravirine Combination as Maintenance Regimen in Virologically Suppressed HIV-1-Infected Patients. </w:t>
      </w:r>
      <w:r w:rsidRPr="009A2FA4">
        <w:rPr>
          <w:i/>
          <w:iCs/>
          <w:lang w:val="en-US"/>
        </w:rPr>
        <w:t>AIDS Res Hum Retroviruses</w:t>
      </w:r>
      <w:r w:rsidRPr="009A2FA4">
        <w:rPr>
          <w:lang w:val="en-US"/>
        </w:rPr>
        <w:t xml:space="preserve"> 2017.</w:t>
      </w:r>
    </w:p>
    <w:p w:rsidR="009A2FA4" w:rsidRPr="009A2FA4" w:rsidRDefault="009A2FA4">
      <w:pPr>
        <w:pStyle w:val="NormalWeb"/>
        <w:spacing w:line="480" w:lineRule="auto"/>
        <w:divId w:val="1282222769"/>
        <w:rPr>
          <w:lang w:val="en-US"/>
        </w:rPr>
      </w:pPr>
      <w:r w:rsidRPr="009A2FA4">
        <w:rPr>
          <w:lang w:val="en-US"/>
        </w:rPr>
        <w:lastRenderedPageBreak/>
        <w:t xml:space="preserve">95. Casado JL, Santiuste C, Vazquez M, et al. Bone mineral density decline according to renal tubular dysfunction and phosphaturia in tenofovir-exposed HIV-infected patients. </w:t>
      </w:r>
      <w:r w:rsidRPr="009A2FA4">
        <w:rPr>
          <w:i/>
          <w:iCs/>
          <w:lang w:val="en-US"/>
        </w:rPr>
        <w:t>AIDS</w:t>
      </w:r>
      <w:r w:rsidRPr="009A2FA4">
        <w:rPr>
          <w:lang w:val="en-US"/>
        </w:rPr>
        <w:t xml:space="preserve"> 2016;30:1423-31.</w:t>
      </w:r>
    </w:p>
    <w:p w:rsidR="009A2FA4" w:rsidRDefault="009A2FA4">
      <w:pPr>
        <w:pStyle w:val="NormalWeb"/>
        <w:spacing w:line="480" w:lineRule="auto"/>
        <w:divId w:val="1282222769"/>
      </w:pPr>
      <w:r w:rsidRPr="009A2FA4">
        <w:rPr>
          <w:lang w:val="en-US"/>
        </w:rPr>
        <w:t xml:space="preserve">96. Cook PP, Stang AT, Walker LR, et al. Bone Mineral Density and Vitamin D Levels in HIV Treatment-Naive African American Individuals Randomized to Receive HIV Drug Regimens. </w:t>
      </w:r>
      <w:r>
        <w:rPr>
          <w:i/>
          <w:iCs/>
        </w:rPr>
        <w:t>South Med J</w:t>
      </w:r>
      <w:r>
        <w:t xml:space="preserve"> 2016;109:712-7.</w:t>
      </w:r>
    </w:p>
    <w:p w:rsidR="009A2FA4" w:rsidRPr="009A2FA4" w:rsidRDefault="009A2FA4">
      <w:pPr>
        <w:pStyle w:val="NormalWeb"/>
        <w:spacing w:line="480" w:lineRule="auto"/>
        <w:divId w:val="1282222769"/>
        <w:rPr>
          <w:lang w:val="en-US"/>
        </w:rPr>
      </w:pPr>
      <w:r>
        <w:t xml:space="preserve">97. Cotter AG, Vrouenraets SME, Brady JJ, et al. </w:t>
      </w:r>
      <w:r w:rsidRPr="009A2FA4">
        <w:rPr>
          <w:lang w:val="en-US"/>
        </w:rPr>
        <w:t xml:space="preserve">Impact of switching from zidovudine to tenofovir disoproxil fumarate on bone mineral density and markers of bone metabolism in virologically suppressed HIV-1 infected patients; A substudy of the PREPARE study. </w:t>
      </w:r>
      <w:r w:rsidRPr="009A2FA4">
        <w:rPr>
          <w:i/>
          <w:iCs/>
          <w:lang w:val="en-US"/>
        </w:rPr>
        <w:t>J Clin Endocrinol Metab</w:t>
      </w:r>
      <w:r w:rsidRPr="009A2FA4">
        <w:rPr>
          <w:lang w:val="en-US"/>
        </w:rPr>
        <w:t xml:space="preserve"> 2013;98:1659-66. Available at</w:t>
      </w:r>
      <w:proofErr w:type="gramStart"/>
      <w:r w:rsidRPr="009A2FA4">
        <w:rPr>
          <w:lang w:val="en-US"/>
        </w:rPr>
        <w:t xml:space="preserve">: </w:t>
      </w:r>
      <w:proofErr w:type="gramEnd"/>
      <w:r w:rsidR="00734DBD">
        <w:fldChar w:fldCharType="begin"/>
      </w:r>
      <w:r w:rsidRPr="009A2FA4">
        <w:rPr>
          <w:lang w:val="en-US"/>
        </w:rPr>
        <w:instrText xml:space="preserve"> HYPERLINK "http://jcem.endojournals.org.ez.statsbiblioteket.dk:2048/content/98/4/1659.full.pdf+html" \t "_blank" </w:instrText>
      </w:r>
      <w:r w:rsidR="00734DBD">
        <w:fldChar w:fldCharType="separate"/>
      </w:r>
      <w:r w:rsidRPr="009A2FA4">
        <w:rPr>
          <w:rStyle w:val="Hyperlink"/>
          <w:lang w:val="en-US"/>
        </w:rPr>
        <w:t>http://jcem.endojournals.org.ez.statsbiblioteket.dk:2048/content/98/4/1659.full.pdf+html</w:t>
      </w:r>
      <w:r w:rsidR="00734DBD">
        <w:fldChar w:fldCharType="end"/>
      </w:r>
      <w:r w:rsidRPr="009A2FA4">
        <w:rPr>
          <w:lang w:val="en-US"/>
        </w:rPr>
        <w:t>.</w:t>
      </w:r>
    </w:p>
    <w:p w:rsidR="009A2FA4" w:rsidRPr="009A2FA4" w:rsidRDefault="009A2FA4">
      <w:pPr>
        <w:pStyle w:val="NormalWeb"/>
        <w:spacing w:line="480" w:lineRule="auto"/>
        <w:divId w:val="1282222769"/>
        <w:rPr>
          <w:lang w:val="en-US"/>
        </w:rPr>
      </w:pPr>
      <w:r w:rsidRPr="009A2FA4">
        <w:rPr>
          <w:lang w:val="en-US"/>
        </w:rPr>
        <w:t xml:space="preserve">98. Duvivier C, Kolta S, Assoumou L, et al. Greater decrease in bone mineral density with protease inhibitor regimens compared with nonnucleoside reverse transcriptase inhibitor regimens in HIV-1 infected naive patients. </w:t>
      </w:r>
      <w:r w:rsidRPr="009A2FA4">
        <w:rPr>
          <w:i/>
          <w:iCs/>
          <w:lang w:val="en-US"/>
        </w:rPr>
        <w:t>AIDS</w:t>
      </w:r>
      <w:r w:rsidRPr="009A2FA4">
        <w:rPr>
          <w:lang w:val="en-US"/>
        </w:rPr>
        <w:t xml:space="preserve"> 2009;23:817-24.</w:t>
      </w:r>
    </w:p>
    <w:p w:rsidR="009A2FA4" w:rsidRPr="009A2FA4" w:rsidRDefault="009A2FA4">
      <w:pPr>
        <w:pStyle w:val="NormalWeb"/>
        <w:spacing w:line="480" w:lineRule="auto"/>
        <w:divId w:val="1282222769"/>
        <w:rPr>
          <w:lang w:val="en-US"/>
        </w:rPr>
      </w:pPr>
      <w:r w:rsidRPr="009A2FA4">
        <w:rPr>
          <w:lang w:val="en-US"/>
        </w:rPr>
        <w:t xml:space="preserve">99. Gallant JE, Staszewski S, Pozniak AL, et al. Efficacy and safety of tenofovir DF vs stavudine in combination therapy in antiretroviral-naive patients: A 3-year randomized trial. </w:t>
      </w:r>
      <w:r w:rsidRPr="009A2FA4">
        <w:rPr>
          <w:i/>
          <w:iCs/>
          <w:lang w:val="en-US"/>
        </w:rPr>
        <w:t>J Am Med Assoc</w:t>
      </w:r>
      <w:r w:rsidRPr="009A2FA4">
        <w:rPr>
          <w:lang w:val="en-US"/>
        </w:rPr>
        <w:t xml:space="preserve"> 2004;292:191-201.</w:t>
      </w:r>
    </w:p>
    <w:p w:rsidR="009A2FA4" w:rsidRDefault="009A2FA4">
      <w:pPr>
        <w:pStyle w:val="NormalWeb"/>
        <w:spacing w:line="480" w:lineRule="auto"/>
        <w:divId w:val="1282222769"/>
      </w:pPr>
      <w:r w:rsidRPr="009A2FA4">
        <w:rPr>
          <w:lang w:val="en-US"/>
        </w:rPr>
        <w:t xml:space="preserve">100. Galli L, Spagnuolo V, Bigoloni A, et al. Atazanavir/ritonavir monotherapy: 96 week efficacy, safety and bone mineral density from the MODAt randomized trial. </w:t>
      </w:r>
      <w:r>
        <w:rPr>
          <w:i/>
          <w:iCs/>
        </w:rPr>
        <w:t>J Antimicrob Chemother</w:t>
      </w:r>
      <w:r>
        <w:t xml:space="preserve"> 2016;71:1637-42.</w:t>
      </w:r>
    </w:p>
    <w:p w:rsidR="009A2FA4" w:rsidRPr="009A2FA4" w:rsidRDefault="009A2FA4">
      <w:pPr>
        <w:pStyle w:val="NormalWeb"/>
        <w:spacing w:line="480" w:lineRule="auto"/>
        <w:divId w:val="1282222769"/>
        <w:rPr>
          <w:lang w:val="en-US"/>
        </w:rPr>
      </w:pPr>
      <w:r>
        <w:lastRenderedPageBreak/>
        <w:t xml:space="preserve">101. Grund B, Peng G, Gibert CL, et al. </w:t>
      </w:r>
      <w:r w:rsidRPr="009A2FA4">
        <w:rPr>
          <w:lang w:val="en-US"/>
        </w:rPr>
        <w:t xml:space="preserve">Continuous antiretroviral therapy decreases bone mineral density. </w:t>
      </w:r>
      <w:r w:rsidRPr="009A2FA4">
        <w:rPr>
          <w:i/>
          <w:iCs/>
          <w:lang w:val="en-US"/>
        </w:rPr>
        <w:t>AIDS</w:t>
      </w:r>
      <w:r w:rsidRPr="009A2FA4">
        <w:rPr>
          <w:lang w:val="en-US"/>
        </w:rPr>
        <w:t xml:space="preserve"> 2009;23:1519-29.</w:t>
      </w:r>
    </w:p>
    <w:p w:rsidR="009A2FA4" w:rsidRPr="009A2FA4" w:rsidRDefault="009A2FA4">
      <w:pPr>
        <w:pStyle w:val="NormalWeb"/>
        <w:spacing w:line="480" w:lineRule="auto"/>
        <w:divId w:val="1282222769"/>
        <w:rPr>
          <w:lang w:val="en-US"/>
        </w:rPr>
      </w:pPr>
      <w:r w:rsidRPr="009A2FA4">
        <w:rPr>
          <w:lang w:val="en-US"/>
        </w:rPr>
        <w:t xml:space="preserve">102. Guerri-Fernandez R, Lerma-Chippirraz E, Fernandez Marron A, et al. Bone density, microarchitecture, and tissue quality after 1 year of treatment with tenofovir disoproxil fumarate. </w:t>
      </w:r>
      <w:r w:rsidRPr="009A2FA4">
        <w:rPr>
          <w:i/>
          <w:iCs/>
          <w:lang w:val="en-US"/>
        </w:rPr>
        <w:t>AIDS</w:t>
      </w:r>
      <w:r w:rsidRPr="009A2FA4">
        <w:rPr>
          <w:lang w:val="en-US"/>
        </w:rPr>
        <w:t xml:space="preserve"> 2018;32:913-20.</w:t>
      </w:r>
    </w:p>
    <w:p w:rsidR="009A2FA4" w:rsidRDefault="009A2FA4">
      <w:pPr>
        <w:pStyle w:val="NormalWeb"/>
        <w:spacing w:line="480" w:lineRule="auto"/>
        <w:divId w:val="1282222769"/>
      </w:pPr>
      <w:r w:rsidRPr="009A2FA4">
        <w:rPr>
          <w:lang w:val="en-US"/>
        </w:rPr>
        <w:t xml:space="preserve">103. Hansen AB, Obel N, Nielsen H, et al. Bone mineral density changes in protease inhibitor-sparing vs. nucleoside reverse transcriptase inhibitor-sparing highly active antiretroviral therapy: data from a randomized trial. </w:t>
      </w:r>
      <w:r>
        <w:rPr>
          <w:i/>
          <w:iCs/>
        </w:rPr>
        <w:t>HIV Med</w:t>
      </w:r>
      <w:r>
        <w:t xml:space="preserve"> 2011;12:157-65.</w:t>
      </w:r>
    </w:p>
    <w:p w:rsidR="009A2FA4" w:rsidRDefault="009A2FA4">
      <w:pPr>
        <w:pStyle w:val="NormalWeb"/>
        <w:spacing w:line="480" w:lineRule="auto"/>
        <w:divId w:val="1282222769"/>
      </w:pPr>
      <w:r>
        <w:t xml:space="preserve">104. Haskelberg H, Mallon PWG, Hoy J, et al. </w:t>
      </w:r>
      <w:r w:rsidRPr="009A2FA4">
        <w:rPr>
          <w:lang w:val="en-US"/>
        </w:rPr>
        <w:t xml:space="preserve">Bone mineral density over 96 weeks in adults failing first-line therapy randomised to raltegravir/lopinavir/ritonavir compared to standard second-line therapy. </w:t>
      </w:r>
      <w:r>
        <w:rPr>
          <w:i/>
          <w:iCs/>
        </w:rPr>
        <w:t>J Acquired Immune Defic Syndr</w:t>
      </w:r>
      <w:r>
        <w:t xml:space="preserve"> 2014.</w:t>
      </w:r>
    </w:p>
    <w:p w:rsidR="009A2FA4" w:rsidRDefault="009A2FA4">
      <w:pPr>
        <w:pStyle w:val="NormalWeb"/>
        <w:spacing w:line="480" w:lineRule="auto"/>
        <w:divId w:val="1282222769"/>
      </w:pPr>
      <w:r>
        <w:t xml:space="preserve">105. Hoy JF, Grund B, Roediger M, et al. </w:t>
      </w:r>
      <w:r w:rsidRPr="009A2FA4">
        <w:rPr>
          <w:lang w:val="en-US"/>
        </w:rPr>
        <w:t xml:space="preserve">Immediate Initiation of Antiretroviral Therapy for HIV Infection Accelerates Bone Loss Relative to Deferring Therapy: Findings from the START Bone Mineral Density Substudy, a Randomized Trial. </w:t>
      </w:r>
      <w:r>
        <w:rPr>
          <w:i/>
          <w:iCs/>
        </w:rPr>
        <w:t>J Bone Miner Res</w:t>
      </w:r>
      <w:r>
        <w:t xml:space="preserve"> 2017.</w:t>
      </w:r>
    </w:p>
    <w:p w:rsidR="009A2FA4" w:rsidRPr="009A2FA4" w:rsidRDefault="009A2FA4">
      <w:pPr>
        <w:pStyle w:val="NormalWeb"/>
        <w:spacing w:line="480" w:lineRule="auto"/>
        <w:divId w:val="1282222769"/>
        <w:rPr>
          <w:lang w:val="en-US"/>
        </w:rPr>
      </w:pPr>
      <w:r>
        <w:t xml:space="preserve">106. Koga I, Seo K, Yoshino Y, et al. </w:t>
      </w:r>
      <w:r w:rsidRPr="009A2FA4">
        <w:rPr>
          <w:lang w:val="en-US"/>
        </w:rPr>
        <w:t xml:space="preserve">Decreased serum bone specific alkaline phosphatase and increased urinary N-terminal telopeptide of type I collagen as prognostic markers for bone mineral density loss in HIV patients on cART. </w:t>
      </w:r>
      <w:r w:rsidRPr="009A2FA4">
        <w:rPr>
          <w:i/>
          <w:iCs/>
          <w:lang w:val="en-US"/>
        </w:rPr>
        <w:t>J Infect Chemother</w:t>
      </w:r>
      <w:r w:rsidRPr="009A2FA4">
        <w:rPr>
          <w:lang w:val="en-US"/>
        </w:rPr>
        <w:t xml:space="preserve"> 2016;22:543-7.</w:t>
      </w:r>
    </w:p>
    <w:p w:rsidR="009A2FA4" w:rsidRPr="009A2FA4" w:rsidRDefault="009A2FA4">
      <w:pPr>
        <w:pStyle w:val="NormalWeb"/>
        <w:spacing w:line="480" w:lineRule="auto"/>
        <w:divId w:val="1282222769"/>
        <w:rPr>
          <w:lang w:val="en-US"/>
        </w:rPr>
      </w:pPr>
      <w:r w:rsidRPr="009A2FA4">
        <w:rPr>
          <w:lang w:val="en-US"/>
        </w:rPr>
        <w:t xml:space="preserve">107. Madeddu G, Spanu A, Babudieri S, et al. A longitudinal study on body composition changes in HIV-infected patients receiving HAART. </w:t>
      </w:r>
      <w:r w:rsidRPr="009A2FA4">
        <w:rPr>
          <w:i/>
          <w:iCs/>
          <w:lang w:val="en-US"/>
        </w:rPr>
        <w:t>Eur J Nucl Med Mol Imaging</w:t>
      </w:r>
      <w:r w:rsidRPr="009A2FA4">
        <w:rPr>
          <w:lang w:val="en-US"/>
        </w:rPr>
        <w:t xml:space="preserve"> 2014;41:S557.</w:t>
      </w:r>
    </w:p>
    <w:p w:rsidR="009A2FA4" w:rsidRPr="009A2FA4" w:rsidRDefault="009A2FA4">
      <w:pPr>
        <w:pStyle w:val="NormalWeb"/>
        <w:spacing w:line="480" w:lineRule="auto"/>
        <w:divId w:val="1282222769"/>
        <w:rPr>
          <w:lang w:val="en-US"/>
        </w:rPr>
      </w:pPr>
      <w:r w:rsidRPr="009A2FA4">
        <w:rPr>
          <w:lang w:val="en-US"/>
        </w:rPr>
        <w:lastRenderedPageBreak/>
        <w:t xml:space="preserve">108. Martin A, Moore C, Mallon PW, et al. </w:t>
      </w:r>
      <w:r w:rsidRPr="00B3156F">
        <w:rPr>
          <w:lang w:val="en-US"/>
        </w:rPr>
        <w:t xml:space="preserve">Bone mineral density in HIV participants randomized to raltegravir and lopinavir/ritonavir compared with standard second line therapy. </w:t>
      </w:r>
      <w:r w:rsidRPr="009A2FA4">
        <w:rPr>
          <w:i/>
          <w:iCs/>
          <w:lang w:val="en-US"/>
        </w:rPr>
        <w:t>AIDS</w:t>
      </w:r>
      <w:r w:rsidRPr="009A2FA4">
        <w:rPr>
          <w:lang w:val="en-US"/>
        </w:rPr>
        <w:t xml:space="preserve"> 2013;27:2403-11.</w:t>
      </w:r>
    </w:p>
    <w:p w:rsidR="009A2FA4" w:rsidRPr="009A2FA4" w:rsidRDefault="009A2FA4">
      <w:pPr>
        <w:pStyle w:val="NormalWeb"/>
        <w:spacing w:line="480" w:lineRule="auto"/>
        <w:divId w:val="1282222769"/>
        <w:rPr>
          <w:lang w:val="en-US"/>
        </w:rPr>
      </w:pPr>
      <w:r w:rsidRPr="009A2FA4">
        <w:rPr>
          <w:lang w:val="en-US"/>
        </w:rPr>
        <w:t xml:space="preserve">109. Mondi A, Fabbiani M, Ciccarelli N, et al. Efficacy and safety of treatment simplification to atazanavir/ritonavir + lamivudine in HIV-infected patients with virological suppression: 144 week follow-up of the AtLaS pilot study. </w:t>
      </w:r>
      <w:r w:rsidRPr="009A2FA4">
        <w:rPr>
          <w:i/>
          <w:iCs/>
          <w:lang w:val="en-US"/>
        </w:rPr>
        <w:t>J Antimicrob Chemother</w:t>
      </w:r>
      <w:r w:rsidRPr="009A2FA4">
        <w:rPr>
          <w:lang w:val="en-US"/>
        </w:rPr>
        <w:t xml:space="preserve"> 2015;70:1843-9.</w:t>
      </w:r>
    </w:p>
    <w:p w:rsidR="009A2FA4" w:rsidRPr="009A2FA4" w:rsidRDefault="009A2FA4">
      <w:pPr>
        <w:pStyle w:val="NormalWeb"/>
        <w:spacing w:line="480" w:lineRule="auto"/>
        <w:divId w:val="1282222769"/>
        <w:rPr>
          <w:lang w:val="en-US"/>
        </w:rPr>
      </w:pPr>
      <w:r w:rsidRPr="009A2FA4">
        <w:rPr>
          <w:lang w:val="en-US"/>
        </w:rPr>
        <w:t xml:space="preserve">110. Post FA, Tebas P, Clarke A, et al. Switching to tenofovir alafenamide, coformulated with elvitegravir, cobicistat, and emtricitabine, in HIV-infected adults with renal impairment: 96-week results from a single-arm, multicenter, open-label phase 3 study. </w:t>
      </w:r>
      <w:r w:rsidRPr="009A2FA4">
        <w:rPr>
          <w:i/>
          <w:iCs/>
          <w:lang w:val="en-US"/>
        </w:rPr>
        <w:t>J Acquired Immune Defic Syndr</w:t>
      </w:r>
      <w:r w:rsidRPr="009A2FA4">
        <w:rPr>
          <w:lang w:val="en-US"/>
        </w:rPr>
        <w:t xml:space="preserve"> 2017;74:180-4.</w:t>
      </w:r>
    </w:p>
    <w:p w:rsidR="009A2FA4" w:rsidRDefault="009A2FA4">
      <w:pPr>
        <w:pStyle w:val="NormalWeb"/>
        <w:spacing w:line="480" w:lineRule="auto"/>
        <w:divId w:val="1282222769"/>
      </w:pPr>
      <w:r w:rsidRPr="009A2FA4">
        <w:rPr>
          <w:lang w:val="en-US"/>
        </w:rPr>
        <w:t xml:space="preserve">111. Pozniak A, Arribas JR, Gathe J, et al. </w:t>
      </w:r>
      <w:r w:rsidRPr="00B3156F">
        <w:rPr>
          <w:lang w:val="en-US"/>
        </w:rPr>
        <w:t xml:space="preserve">Switching to Tenofovir Alafenamide, Coformulated With Elvitegravir, Cobicistat, and Emtricitabine, in HIV-Infected Patients With Renal Impairment: 48-Week Results From a Single-Arm, Multicenter, Open-Label Phase 3 Study. </w:t>
      </w:r>
      <w:r>
        <w:rPr>
          <w:i/>
          <w:iCs/>
        </w:rPr>
        <w:t>J Acquir Immune Defic Syndr</w:t>
      </w:r>
      <w:r>
        <w:t xml:space="preserve"> 2016;71:530-7.</w:t>
      </w:r>
    </w:p>
    <w:p w:rsidR="009A2FA4" w:rsidRPr="009A2FA4" w:rsidRDefault="009A2FA4">
      <w:pPr>
        <w:pStyle w:val="NormalWeb"/>
        <w:spacing w:line="480" w:lineRule="auto"/>
        <w:divId w:val="1282222769"/>
        <w:rPr>
          <w:lang w:val="en-US"/>
        </w:rPr>
      </w:pPr>
      <w:r>
        <w:t xml:space="preserve">112. Rey D, Treger M, Sibilia J, et al. </w:t>
      </w:r>
      <w:r w:rsidRPr="009A2FA4">
        <w:rPr>
          <w:lang w:val="en-US"/>
        </w:rPr>
        <w:t xml:space="preserve">Bone mineral density changes after 2 years of ARV treatment, compared to naive HIV-1-infected patients not on HAART. </w:t>
      </w:r>
      <w:r w:rsidRPr="009A2FA4">
        <w:rPr>
          <w:i/>
          <w:iCs/>
          <w:lang w:val="en-US"/>
        </w:rPr>
        <w:t>Infect Dis</w:t>
      </w:r>
      <w:r w:rsidRPr="009A2FA4">
        <w:rPr>
          <w:lang w:val="en-US"/>
        </w:rPr>
        <w:t xml:space="preserve"> 2015;47:88-95.</w:t>
      </w:r>
    </w:p>
    <w:p w:rsidR="009A2FA4" w:rsidRDefault="009A2FA4">
      <w:pPr>
        <w:pStyle w:val="NormalWeb"/>
        <w:spacing w:line="480" w:lineRule="auto"/>
        <w:divId w:val="1282222769"/>
      </w:pPr>
      <w:r w:rsidRPr="009A2FA4">
        <w:rPr>
          <w:lang w:val="en-US"/>
        </w:rPr>
        <w:t xml:space="preserve">113. Rivas P, Gorgolas M, Garcia-Delgado R, et al. </w:t>
      </w:r>
      <w:r w:rsidRPr="00B3156F">
        <w:rPr>
          <w:lang w:val="en-US"/>
        </w:rPr>
        <w:t xml:space="preserve">Evolution of bone mineral density in AIDS patients on treatment with zidovudine/lamivudine plus abacavir or lopinavir/ritonavir. </w:t>
      </w:r>
      <w:r>
        <w:rPr>
          <w:i/>
          <w:iCs/>
        </w:rPr>
        <w:t>HIV Med</w:t>
      </w:r>
      <w:r>
        <w:t xml:space="preserve"> 2008;9:89-95.</w:t>
      </w:r>
    </w:p>
    <w:p w:rsidR="009A2FA4" w:rsidRPr="009A2FA4" w:rsidRDefault="009A2FA4">
      <w:pPr>
        <w:pStyle w:val="NormalWeb"/>
        <w:spacing w:line="480" w:lineRule="auto"/>
        <w:divId w:val="1282222769"/>
        <w:rPr>
          <w:lang w:val="en-US"/>
        </w:rPr>
      </w:pPr>
      <w:r>
        <w:t xml:space="preserve">114. Rockstroh JK, DeJesus E, Henry K, et al. </w:t>
      </w:r>
      <w:r w:rsidRPr="009A2FA4">
        <w:rPr>
          <w:lang w:val="en-US"/>
        </w:rPr>
        <w:t xml:space="preserve">A randomized, double-blind comparison of coformulated elvitegravir/cobicistat/emtricitabine/tenofovir DF vs ritonavir-boosted atazanavir plus </w:t>
      </w:r>
      <w:r w:rsidRPr="009A2FA4">
        <w:rPr>
          <w:lang w:val="en-US"/>
        </w:rPr>
        <w:lastRenderedPageBreak/>
        <w:t xml:space="preserve">coformulated emtricitabine and tenofovir DF for initial treatment of HIV-1 infection: analysis of week 96 results. </w:t>
      </w:r>
      <w:r w:rsidRPr="009A2FA4">
        <w:rPr>
          <w:i/>
          <w:iCs/>
          <w:lang w:val="en-US"/>
        </w:rPr>
        <w:t>J Acquir Immune Defic Syndr</w:t>
      </w:r>
      <w:r w:rsidRPr="009A2FA4">
        <w:rPr>
          <w:lang w:val="en-US"/>
        </w:rPr>
        <w:t xml:space="preserve"> 2013;62:483-6.</w:t>
      </w:r>
    </w:p>
    <w:p w:rsidR="009A2FA4" w:rsidRPr="009A2FA4" w:rsidRDefault="009A2FA4">
      <w:pPr>
        <w:pStyle w:val="NormalWeb"/>
        <w:spacing w:line="480" w:lineRule="auto"/>
        <w:divId w:val="1282222769"/>
        <w:rPr>
          <w:lang w:val="en-US"/>
        </w:rPr>
      </w:pPr>
      <w:r w:rsidRPr="009A2FA4">
        <w:rPr>
          <w:lang w:val="en-US"/>
        </w:rPr>
        <w:t xml:space="preserve">115. Saitz R, Mesic A, Ventura AS, et al. </w:t>
      </w:r>
      <w:r w:rsidRPr="00B3156F">
        <w:rPr>
          <w:lang w:val="en-US"/>
        </w:rPr>
        <w:t xml:space="preserve">Alcohol consumption and bone mineral density in people with HIV and substance use disorder: A prospective cohort study. </w:t>
      </w:r>
      <w:r w:rsidRPr="009A2FA4">
        <w:rPr>
          <w:i/>
          <w:iCs/>
          <w:lang w:val="en-US"/>
        </w:rPr>
        <w:t>Alcohol Clin Exp Res</w:t>
      </w:r>
      <w:r w:rsidRPr="009A2FA4">
        <w:rPr>
          <w:lang w:val="en-US"/>
        </w:rPr>
        <w:t xml:space="preserve"> 2018.</w:t>
      </w:r>
    </w:p>
    <w:p w:rsidR="009A2FA4" w:rsidRPr="009A2FA4" w:rsidRDefault="009A2FA4">
      <w:pPr>
        <w:pStyle w:val="NormalWeb"/>
        <w:spacing w:line="480" w:lineRule="auto"/>
        <w:divId w:val="1282222769"/>
        <w:rPr>
          <w:lang w:val="en-US"/>
        </w:rPr>
      </w:pPr>
      <w:r w:rsidRPr="009A2FA4">
        <w:rPr>
          <w:lang w:val="en-US"/>
        </w:rPr>
        <w:t xml:space="preserve">116. Sharma A, Tian F, Yin MT, et al. </w:t>
      </w:r>
      <w:r w:rsidRPr="00B3156F">
        <w:rPr>
          <w:lang w:val="en-US"/>
        </w:rPr>
        <w:t xml:space="preserve">Association of regional body composition with bone mineral density in HIV-infected and HIV-uninfected women: women's interagency HIV study. </w:t>
      </w:r>
      <w:r w:rsidRPr="009A2FA4">
        <w:rPr>
          <w:i/>
          <w:iCs/>
          <w:lang w:val="en-US"/>
        </w:rPr>
        <w:t>J Acquir Immune Defic Syndr</w:t>
      </w:r>
      <w:r w:rsidRPr="009A2FA4">
        <w:rPr>
          <w:lang w:val="en-US"/>
        </w:rPr>
        <w:t xml:space="preserve"> 2012;61:469-76.</w:t>
      </w:r>
    </w:p>
    <w:p w:rsidR="009A2FA4" w:rsidRPr="009A2FA4" w:rsidRDefault="009A2FA4">
      <w:pPr>
        <w:pStyle w:val="NormalWeb"/>
        <w:spacing w:line="480" w:lineRule="auto"/>
        <w:divId w:val="1282222769"/>
        <w:rPr>
          <w:lang w:val="en-US"/>
        </w:rPr>
      </w:pPr>
      <w:r w:rsidRPr="009A2FA4">
        <w:rPr>
          <w:lang w:val="en-US"/>
        </w:rPr>
        <w:t xml:space="preserve">117. Sharma A, Flom PL, Weedon J, et al. </w:t>
      </w:r>
      <w:r w:rsidRPr="00B3156F">
        <w:rPr>
          <w:lang w:val="en-US"/>
        </w:rPr>
        <w:t xml:space="preserve">Prospective study of bone mineral density changes in aging men with or at risk for HIV infection. </w:t>
      </w:r>
      <w:r w:rsidRPr="009A2FA4">
        <w:rPr>
          <w:i/>
          <w:iCs/>
          <w:lang w:val="en-US"/>
        </w:rPr>
        <w:t>AIDS</w:t>
      </w:r>
      <w:r w:rsidRPr="009A2FA4">
        <w:rPr>
          <w:lang w:val="en-US"/>
        </w:rPr>
        <w:t xml:space="preserve"> 2010;24:2337-45.</w:t>
      </w:r>
    </w:p>
    <w:p w:rsidR="009A2FA4" w:rsidRDefault="009A2FA4">
      <w:pPr>
        <w:pStyle w:val="NormalWeb"/>
        <w:spacing w:line="480" w:lineRule="auto"/>
        <w:divId w:val="1282222769"/>
      </w:pPr>
      <w:r w:rsidRPr="009A2FA4">
        <w:rPr>
          <w:lang w:val="en-US"/>
        </w:rPr>
        <w:t xml:space="preserve">118. Tinago W, Cotter AG, Sabin CA, et al. Predictors of longitudinal change in bone mineral density in a cohort of HIV-positive and negative patients. </w:t>
      </w:r>
      <w:r>
        <w:rPr>
          <w:i/>
          <w:iCs/>
        </w:rPr>
        <w:t>AIDS</w:t>
      </w:r>
      <w:r>
        <w:t xml:space="preserve"> 2017;31:643-52.</w:t>
      </w:r>
    </w:p>
    <w:p w:rsidR="009A2FA4" w:rsidRPr="009A2FA4" w:rsidRDefault="009A2FA4">
      <w:pPr>
        <w:pStyle w:val="NormalWeb"/>
        <w:spacing w:line="480" w:lineRule="auto"/>
        <w:divId w:val="1282222769"/>
        <w:rPr>
          <w:lang w:val="en-US"/>
        </w:rPr>
      </w:pPr>
      <w:r>
        <w:t xml:space="preserve">119. van Vonderen MG, Lips P, van Agtmael MA, et al. </w:t>
      </w:r>
      <w:r w:rsidRPr="009A2FA4">
        <w:rPr>
          <w:lang w:val="en-US"/>
        </w:rPr>
        <w:t xml:space="preserve">First line zidovudine/lamivudine/lopinavir/ritonavir leads to greater bone loss compared to nevirapine/lopinavir/ritonavir. </w:t>
      </w:r>
      <w:r w:rsidRPr="009A2FA4">
        <w:rPr>
          <w:i/>
          <w:iCs/>
          <w:lang w:val="en-US"/>
        </w:rPr>
        <w:t>AIDS</w:t>
      </w:r>
      <w:r w:rsidRPr="009A2FA4">
        <w:rPr>
          <w:lang w:val="en-US"/>
        </w:rPr>
        <w:t xml:space="preserve"> 2009;23:1367-76.</w:t>
      </w:r>
    </w:p>
    <w:p w:rsidR="009A2FA4" w:rsidRPr="009A2FA4" w:rsidRDefault="009A2FA4">
      <w:pPr>
        <w:pStyle w:val="NormalWeb"/>
        <w:spacing w:line="480" w:lineRule="auto"/>
        <w:divId w:val="1282222769"/>
        <w:rPr>
          <w:lang w:val="en-US"/>
        </w:rPr>
      </w:pPr>
      <w:r w:rsidRPr="009A2FA4">
        <w:rPr>
          <w:lang w:val="en-US"/>
        </w:rPr>
        <w:t xml:space="preserve">120. Yin MT, Zhang CA, McMahon DJ, et al. Higher rates of bone loss in postmenopausal HIV-infected women: a longitudinal study. </w:t>
      </w:r>
      <w:r w:rsidRPr="009A2FA4">
        <w:rPr>
          <w:i/>
          <w:iCs/>
          <w:lang w:val="en-US"/>
        </w:rPr>
        <w:t>J Clin Endocrinol Metab</w:t>
      </w:r>
      <w:r w:rsidRPr="009A2FA4">
        <w:rPr>
          <w:lang w:val="en-US"/>
        </w:rPr>
        <w:t xml:space="preserve"> 2012;97:554-62.</w:t>
      </w:r>
    </w:p>
    <w:p w:rsidR="009A2FA4" w:rsidRPr="009A2FA4" w:rsidRDefault="009A2FA4">
      <w:pPr>
        <w:pStyle w:val="NormalWeb"/>
        <w:spacing w:line="480" w:lineRule="auto"/>
        <w:divId w:val="1282222769"/>
        <w:rPr>
          <w:lang w:val="en-US"/>
        </w:rPr>
      </w:pPr>
      <w:r w:rsidRPr="009A2FA4">
        <w:rPr>
          <w:lang w:val="en-US"/>
        </w:rPr>
        <w:t xml:space="preserve">121. McComsey GA, Kendall MA, Tebas P, et al. Alendronate with calcium and vitamin D supplementation is safe and effective for the treatment of decreased bone mineral density in HIV. </w:t>
      </w:r>
      <w:r w:rsidRPr="009A2FA4">
        <w:rPr>
          <w:i/>
          <w:iCs/>
          <w:lang w:val="en-US"/>
        </w:rPr>
        <w:t>AIDS</w:t>
      </w:r>
      <w:r w:rsidRPr="009A2FA4">
        <w:rPr>
          <w:lang w:val="en-US"/>
        </w:rPr>
        <w:t xml:space="preserve"> 2007;21:2473-82.</w:t>
      </w:r>
    </w:p>
    <w:p w:rsidR="009A2FA4" w:rsidRPr="009A2FA4" w:rsidRDefault="009A2FA4">
      <w:pPr>
        <w:pStyle w:val="NormalWeb"/>
        <w:spacing w:line="480" w:lineRule="auto"/>
        <w:divId w:val="1282222769"/>
        <w:rPr>
          <w:lang w:val="en-US"/>
        </w:rPr>
      </w:pPr>
      <w:r w:rsidRPr="009A2FA4">
        <w:rPr>
          <w:lang w:val="en-US"/>
        </w:rPr>
        <w:lastRenderedPageBreak/>
        <w:t xml:space="preserve">122. Mondy K, Powderly WG, Claxton SA, et al. Alendronate, vitamin D, and calcium for the treatment of osteopenia/osteoporosis associated with HIV infection. </w:t>
      </w:r>
      <w:r w:rsidRPr="009A2FA4">
        <w:rPr>
          <w:i/>
          <w:iCs/>
          <w:lang w:val="en-US"/>
        </w:rPr>
        <w:t>J Acquir Immune Defic Syndr</w:t>
      </w:r>
      <w:r w:rsidRPr="009A2FA4">
        <w:rPr>
          <w:lang w:val="en-US"/>
        </w:rPr>
        <w:t xml:space="preserve"> 2005;38:426-31.</w:t>
      </w:r>
    </w:p>
    <w:p w:rsidR="009A2FA4" w:rsidRDefault="009A2FA4">
      <w:pPr>
        <w:pStyle w:val="NormalWeb"/>
        <w:spacing w:line="480" w:lineRule="auto"/>
        <w:divId w:val="1282222769"/>
      </w:pPr>
      <w:r w:rsidRPr="009A2FA4">
        <w:rPr>
          <w:lang w:val="en-US"/>
        </w:rPr>
        <w:t xml:space="preserve">123. Rozenberg S, Lanoy E, Bentata M, et al. Effect of alendronate on HIV-associated osteoporosis: a randomized, double-blind, placebo-controlled, 96-week trial (ANRS 120). </w:t>
      </w:r>
      <w:r>
        <w:rPr>
          <w:i/>
          <w:iCs/>
        </w:rPr>
        <w:t>AIDS Res Hum Retroviruses</w:t>
      </w:r>
      <w:r>
        <w:t xml:space="preserve"> 2012;28:972-80.</w:t>
      </w:r>
    </w:p>
    <w:p w:rsidR="009A2FA4" w:rsidRDefault="009A2FA4">
      <w:pPr>
        <w:pStyle w:val="NormalWeb"/>
        <w:spacing w:line="480" w:lineRule="auto"/>
        <w:divId w:val="1282222769"/>
      </w:pPr>
      <w:r>
        <w:t xml:space="preserve">124. Bolland MJ, Grey AB, Horne AM, et al. </w:t>
      </w:r>
      <w:r w:rsidRPr="009A2FA4">
        <w:rPr>
          <w:lang w:val="en-US"/>
        </w:rPr>
        <w:t xml:space="preserve">Annual zoledronate increases bone density in highly active antiretroviral therapy-treated human immunodeficiency virus-infected men: a randomized controlled trial. </w:t>
      </w:r>
      <w:r>
        <w:rPr>
          <w:i/>
          <w:iCs/>
        </w:rPr>
        <w:t>J Clin Endocrinol Metab</w:t>
      </w:r>
      <w:r>
        <w:t xml:space="preserve"> 2007;92:1283-8.</w:t>
      </w:r>
    </w:p>
    <w:p w:rsidR="009A2FA4" w:rsidRDefault="009A2FA4">
      <w:pPr>
        <w:pStyle w:val="NormalWeb"/>
        <w:spacing w:line="480" w:lineRule="auto"/>
        <w:divId w:val="1282222769"/>
      </w:pPr>
      <w:r>
        <w:t xml:space="preserve">125. Bolland MJ, Grey AB, Horne AM, et al. </w:t>
      </w:r>
      <w:r w:rsidRPr="009A2FA4">
        <w:rPr>
          <w:lang w:val="en-US"/>
        </w:rPr>
        <w:t xml:space="preserve">Effects of intravenous zoledronate on bone turnover and BMD persist for at least 24 months. </w:t>
      </w:r>
      <w:r>
        <w:rPr>
          <w:i/>
          <w:iCs/>
        </w:rPr>
        <w:t>J Bone Miner Res</w:t>
      </w:r>
      <w:r>
        <w:t xml:space="preserve"> 2008;23:1304-8.</w:t>
      </w:r>
    </w:p>
    <w:p w:rsidR="009A2FA4" w:rsidRPr="009A2FA4" w:rsidRDefault="009A2FA4">
      <w:pPr>
        <w:pStyle w:val="NormalWeb"/>
        <w:spacing w:line="480" w:lineRule="auto"/>
        <w:divId w:val="1282222769"/>
        <w:rPr>
          <w:lang w:val="en-US"/>
        </w:rPr>
      </w:pPr>
      <w:r>
        <w:t xml:space="preserve">126. Bolland MJ, Grey A, Horne AM, et al. </w:t>
      </w:r>
      <w:r w:rsidRPr="009A2FA4">
        <w:rPr>
          <w:lang w:val="en-US"/>
        </w:rPr>
        <w:t xml:space="preserve">Effects of intravenous zoledronate on bone turnover and bone density persist for at least five years in HIV-infected men. </w:t>
      </w:r>
      <w:r w:rsidRPr="009A2FA4">
        <w:rPr>
          <w:i/>
          <w:iCs/>
          <w:lang w:val="en-US"/>
        </w:rPr>
        <w:t>J Clin Endocrinol Metab</w:t>
      </w:r>
      <w:r w:rsidRPr="009A2FA4">
        <w:rPr>
          <w:lang w:val="en-US"/>
        </w:rPr>
        <w:t xml:space="preserve"> 2012;97:1922-8.</w:t>
      </w:r>
    </w:p>
    <w:p w:rsidR="009A2FA4" w:rsidRPr="009A2FA4" w:rsidRDefault="009A2FA4">
      <w:pPr>
        <w:pStyle w:val="NormalWeb"/>
        <w:spacing w:line="480" w:lineRule="auto"/>
        <w:divId w:val="1282222769"/>
        <w:rPr>
          <w:lang w:val="en-US"/>
        </w:rPr>
      </w:pPr>
      <w:r w:rsidRPr="009A2FA4">
        <w:rPr>
          <w:lang w:val="en-US"/>
        </w:rPr>
        <w:t xml:space="preserve">127. Hoy JF, Richardson R, Ebeling PR, et al. Zoledronic acid is superior to tenofovir DF-switching for low bone mineral density in adults with HIV: a randomised trial. </w:t>
      </w:r>
      <w:r w:rsidRPr="009A2FA4">
        <w:rPr>
          <w:i/>
          <w:iCs/>
          <w:lang w:val="en-US"/>
        </w:rPr>
        <w:t>AIDS</w:t>
      </w:r>
      <w:r w:rsidRPr="009A2FA4">
        <w:rPr>
          <w:lang w:val="en-US"/>
        </w:rPr>
        <w:t xml:space="preserve"> 2018.</w:t>
      </w:r>
    </w:p>
    <w:p w:rsidR="009A2FA4" w:rsidRDefault="009A2FA4">
      <w:pPr>
        <w:pStyle w:val="NormalWeb"/>
        <w:spacing w:line="480" w:lineRule="auto"/>
        <w:divId w:val="1282222769"/>
      </w:pPr>
      <w:r w:rsidRPr="009A2FA4">
        <w:rPr>
          <w:lang w:val="en-US"/>
        </w:rPr>
        <w:t>128. Negredo E, Bonjoch A, PÃ©rez-Ã</w:t>
      </w:r>
      <w:r>
        <w:t></w:t>
      </w:r>
      <w:r w:rsidRPr="009A2FA4">
        <w:rPr>
          <w:lang w:val="en-US"/>
        </w:rPr>
        <w:t xml:space="preserve">lvarez N, et al. A randomized open label study for comparing two doses of zoledronic acid in HIV infected patients. </w:t>
      </w:r>
      <w:r>
        <w:rPr>
          <w:i/>
          <w:iCs/>
        </w:rPr>
        <w:t>Top Antiviral Med</w:t>
      </w:r>
      <w:r>
        <w:t xml:space="preserve"> 2014;22:402. Available at: </w:t>
      </w:r>
      <w:hyperlink r:id="rId19" w:tgtFrame="_blank" w:history="1">
        <w:r>
          <w:rPr>
            <w:rStyle w:val="Hyperlink"/>
          </w:rPr>
          <w:t>https://www-iasusa-org.ez.statsbiblioteket.dk:12048/sites/default/files/tam/22-e1-4.pdf</w:t>
        </w:r>
      </w:hyperlink>
      <w:r>
        <w:t>.</w:t>
      </w:r>
    </w:p>
    <w:p w:rsidR="009A2FA4" w:rsidRPr="009A2FA4" w:rsidRDefault="009A2FA4">
      <w:pPr>
        <w:pStyle w:val="NormalWeb"/>
        <w:spacing w:line="480" w:lineRule="auto"/>
        <w:divId w:val="1282222769"/>
        <w:rPr>
          <w:lang w:val="en-US"/>
        </w:rPr>
      </w:pPr>
      <w:r>
        <w:lastRenderedPageBreak/>
        <w:t xml:space="preserve">129. Ofotokun I, Titanji K, Lahiri CD, et al. </w:t>
      </w:r>
      <w:r w:rsidRPr="009A2FA4">
        <w:rPr>
          <w:lang w:val="en-US"/>
        </w:rPr>
        <w:t xml:space="preserve">A Single-dose Zoledronic Acid Infusion Prevents Antiretroviral Therapy-induced Bone Loss in Treatment-naive HIV-infected Patients: A Phase IIb Trial. </w:t>
      </w:r>
      <w:r w:rsidRPr="009A2FA4">
        <w:rPr>
          <w:i/>
          <w:iCs/>
          <w:lang w:val="en-US"/>
        </w:rPr>
        <w:t>Clin Infect Dis</w:t>
      </w:r>
      <w:r w:rsidRPr="009A2FA4">
        <w:rPr>
          <w:lang w:val="en-US"/>
        </w:rPr>
        <w:t xml:space="preserve"> 2016;63:663-71.</w:t>
      </w:r>
    </w:p>
    <w:p w:rsidR="009A2FA4" w:rsidRPr="009A2FA4" w:rsidRDefault="009A2FA4">
      <w:pPr>
        <w:pStyle w:val="NormalWeb"/>
        <w:spacing w:line="480" w:lineRule="auto"/>
        <w:divId w:val="1282222769"/>
        <w:rPr>
          <w:lang w:val="en-US"/>
        </w:rPr>
      </w:pPr>
      <w:r w:rsidRPr="009A2FA4">
        <w:rPr>
          <w:lang w:val="en-US"/>
        </w:rPr>
        <w:t xml:space="preserve">130. Pepe J, Isidori AM, Falciano M, et al. </w:t>
      </w:r>
      <w:r w:rsidRPr="00B3156F">
        <w:rPr>
          <w:lang w:val="en-US"/>
        </w:rPr>
        <w:t xml:space="preserve">Effect of risedronate in osteoporotic HIV males, according to gonadal status: a pilot study. </w:t>
      </w:r>
      <w:r w:rsidRPr="009A2FA4">
        <w:rPr>
          <w:i/>
          <w:iCs/>
          <w:lang w:val="en-US"/>
        </w:rPr>
        <w:t>Endocrine</w:t>
      </w:r>
      <w:r w:rsidRPr="009A2FA4">
        <w:rPr>
          <w:lang w:val="en-US"/>
        </w:rPr>
        <w:t xml:space="preserve"> 2014;47:456-62.</w:t>
      </w:r>
    </w:p>
    <w:p w:rsidR="009A2FA4" w:rsidRPr="009A2FA4" w:rsidRDefault="009A2FA4">
      <w:pPr>
        <w:pStyle w:val="NormalWeb"/>
        <w:spacing w:line="480" w:lineRule="auto"/>
        <w:divId w:val="1282222769"/>
        <w:rPr>
          <w:lang w:val="en-US"/>
        </w:rPr>
      </w:pPr>
      <w:r w:rsidRPr="009A2FA4">
        <w:rPr>
          <w:lang w:val="en-US"/>
        </w:rPr>
        <w:t xml:space="preserve">131. Brown TT, Hoy J, Borderi M, et al. Recommendations for evaluation and management of bone disease in HIV. </w:t>
      </w:r>
      <w:r w:rsidRPr="009A2FA4">
        <w:rPr>
          <w:i/>
          <w:iCs/>
          <w:lang w:val="en-US"/>
        </w:rPr>
        <w:t>Clin Infect Dis</w:t>
      </w:r>
      <w:r w:rsidRPr="009A2FA4">
        <w:rPr>
          <w:lang w:val="en-US"/>
        </w:rPr>
        <w:t xml:space="preserve"> 2015;60:1242-51.</w:t>
      </w:r>
    </w:p>
    <w:p w:rsidR="009A2FA4" w:rsidRPr="009A2FA4" w:rsidRDefault="009A2FA4">
      <w:pPr>
        <w:pStyle w:val="NormalWeb"/>
        <w:spacing w:line="480" w:lineRule="auto"/>
        <w:divId w:val="1282222769"/>
        <w:rPr>
          <w:lang w:val="en-US"/>
        </w:rPr>
      </w:pPr>
      <w:r w:rsidRPr="009A2FA4">
        <w:rPr>
          <w:lang w:val="en-US"/>
        </w:rPr>
        <w:t xml:space="preserve">132. McComsey GA, Tebas P, Shane E, et al. </w:t>
      </w:r>
      <w:r w:rsidRPr="00B3156F">
        <w:rPr>
          <w:lang w:val="en-US"/>
        </w:rPr>
        <w:t xml:space="preserve">Bone disease in HIV infection: a practical review and recommendations for HIV care providers. </w:t>
      </w:r>
      <w:r w:rsidRPr="009A2FA4">
        <w:rPr>
          <w:i/>
          <w:iCs/>
          <w:lang w:val="en-US"/>
        </w:rPr>
        <w:t>Clin Infect Dis</w:t>
      </w:r>
      <w:r w:rsidRPr="009A2FA4">
        <w:rPr>
          <w:lang w:val="en-US"/>
        </w:rPr>
        <w:t xml:space="preserve"> 2010;51:937-46.</w:t>
      </w:r>
    </w:p>
    <w:p w:rsidR="009A2FA4" w:rsidRPr="009A2FA4" w:rsidRDefault="009A2FA4">
      <w:pPr>
        <w:pStyle w:val="NormalWeb"/>
        <w:spacing w:line="480" w:lineRule="auto"/>
        <w:divId w:val="1282222769"/>
        <w:rPr>
          <w:lang w:val="en-US"/>
        </w:rPr>
      </w:pPr>
      <w:r w:rsidRPr="009A2FA4">
        <w:rPr>
          <w:lang w:val="en-US"/>
        </w:rPr>
        <w:t xml:space="preserve">133. Bolland MJ, Grey A, Reid IR. Skeletal health in adults with HIV infection. </w:t>
      </w:r>
      <w:r w:rsidRPr="009A2FA4">
        <w:rPr>
          <w:i/>
          <w:iCs/>
          <w:lang w:val="en-US"/>
        </w:rPr>
        <w:t>Lancet Diabetes Endocrinol</w:t>
      </w:r>
      <w:r w:rsidRPr="009A2FA4">
        <w:rPr>
          <w:lang w:val="en-US"/>
        </w:rPr>
        <w:t xml:space="preserve"> 2015;3:63-74.</w:t>
      </w:r>
    </w:p>
    <w:p w:rsidR="009A2FA4" w:rsidRPr="009A2FA4" w:rsidRDefault="009A2FA4">
      <w:pPr>
        <w:pStyle w:val="NormalWeb"/>
        <w:spacing w:line="480" w:lineRule="auto"/>
        <w:divId w:val="1282222769"/>
        <w:rPr>
          <w:lang w:val="en-US"/>
        </w:rPr>
      </w:pPr>
      <w:r w:rsidRPr="009A2FA4">
        <w:rPr>
          <w:lang w:val="en-US"/>
        </w:rPr>
        <w:t>134. BHIVA. British HIV Association guidelines for the routine investigation and monitoring of adult HIV-1-positive individuals 2016. , 2016. Available at</w:t>
      </w:r>
      <w:proofErr w:type="gramStart"/>
      <w:r w:rsidRPr="009A2FA4">
        <w:rPr>
          <w:lang w:val="en-US"/>
        </w:rPr>
        <w:t xml:space="preserve">: </w:t>
      </w:r>
      <w:proofErr w:type="gramEnd"/>
      <w:hyperlink r:id="rId20" w:tgtFrame="_blank" w:history="1">
        <w:r w:rsidRPr="009A2FA4">
          <w:rPr>
            <w:rStyle w:val="Hyperlink"/>
            <w:lang w:val="en-US"/>
          </w:rPr>
          <w:t>http://www.bhiva.org/documents/Guidelines/Monitoring/2016-BHIVA-Monitoring-Guidelines.pdf</w:t>
        </w:r>
      </w:hyperlink>
      <w:r w:rsidRPr="009A2FA4">
        <w:rPr>
          <w:lang w:val="en-US"/>
        </w:rPr>
        <w:t>.</w:t>
      </w:r>
    </w:p>
    <w:p w:rsidR="009A2FA4" w:rsidRPr="009A2FA4" w:rsidRDefault="009A2FA4">
      <w:pPr>
        <w:pStyle w:val="NormalWeb"/>
        <w:spacing w:line="480" w:lineRule="auto"/>
        <w:divId w:val="1282222769"/>
        <w:rPr>
          <w:lang w:val="en-US"/>
        </w:rPr>
      </w:pPr>
      <w:r w:rsidRPr="009A2FA4">
        <w:rPr>
          <w:lang w:val="en-US"/>
        </w:rPr>
        <w:t xml:space="preserve">135. EACS. GUIDELINES Version 9.0. , 2017. Available at: </w:t>
      </w:r>
      <w:hyperlink r:id="rId21" w:tgtFrame="_blank" w:history="1">
        <w:r w:rsidRPr="009A2FA4">
          <w:rPr>
            <w:rStyle w:val="Hyperlink"/>
            <w:lang w:val="en-US"/>
          </w:rPr>
          <w:t>http://www.eacsociety.org/files/guidelines_9.0-english.pdf</w:t>
        </w:r>
      </w:hyperlink>
      <w:r w:rsidRPr="009A2FA4">
        <w:rPr>
          <w:lang w:val="en-US"/>
        </w:rPr>
        <w:t>.</w:t>
      </w:r>
    </w:p>
    <w:p w:rsidR="009A2FA4" w:rsidRDefault="009A2FA4">
      <w:pPr>
        <w:pStyle w:val="NormalWeb"/>
        <w:spacing w:line="480" w:lineRule="auto"/>
        <w:divId w:val="1282222769"/>
      </w:pPr>
      <w:r w:rsidRPr="009A2FA4">
        <w:rPr>
          <w:lang w:val="en-US"/>
        </w:rPr>
        <w:t xml:space="preserve">136. Negredo E, Bonjoch A, Clotet B. Management of bone mineral density in HIV-infected patients. </w:t>
      </w:r>
      <w:r>
        <w:rPr>
          <w:i/>
          <w:iCs/>
        </w:rPr>
        <w:t>Expert Opin Pharmacother</w:t>
      </w:r>
      <w:r>
        <w:t xml:space="preserve"> 2016;17:845-52.</w:t>
      </w:r>
    </w:p>
    <w:p w:rsidR="009A2FA4" w:rsidRDefault="009A2FA4">
      <w:pPr>
        <w:pStyle w:val="NormalWeb"/>
        <w:spacing w:line="480" w:lineRule="auto"/>
        <w:divId w:val="1282222769"/>
      </w:pPr>
      <w:r>
        <w:lastRenderedPageBreak/>
        <w:t xml:space="preserve">137. Aberg JA, Gallant JE, Ghanem KG, et al. </w:t>
      </w:r>
      <w:r w:rsidRPr="009A2FA4">
        <w:rPr>
          <w:lang w:val="en-US"/>
        </w:rPr>
        <w:t xml:space="preserve">Primary care guidelines for the management of persons infected with HIV: 2013 update by the HIV medicine association of the Infectious Diseases Society of America. </w:t>
      </w:r>
      <w:r>
        <w:rPr>
          <w:i/>
          <w:iCs/>
        </w:rPr>
        <w:t>Clin Infect Dis</w:t>
      </w:r>
      <w:r>
        <w:t xml:space="preserve"> 2014;58:e1-34.</w:t>
      </w:r>
    </w:p>
    <w:p w:rsidR="00F46460" w:rsidRPr="002F0713" w:rsidRDefault="00734DBD">
      <w:pPr>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F46460" w:rsidRPr="002F0713" w:rsidSect="00F4646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E38"/>
    <w:multiLevelType w:val="hybridMultilevel"/>
    <w:tmpl w:val="CB622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5B66282"/>
    <w:multiLevelType w:val="hybridMultilevel"/>
    <w:tmpl w:val="CE646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CA652E"/>
    <w:rsid w:val="002F0713"/>
    <w:rsid w:val="00422402"/>
    <w:rsid w:val="004B77E9"/>
    <w:rsid w:val="00643A2E"/>
    <w:rsid w:val="00734DBD"/>
    <w:rsid w:val="007E5861"/>
    <w:rsid w:val="009A2FA4"/>
    <w:rsid w:val="00B3156F"/>
    <w:rsid w:val="00B61192"/>
    <w:rsid w:val="00C12352"/>
    <w:rsid w:val="00CA652E"/>
    <w:rsid w:val="00CB697C"/>
    <w:rsid w:val="00D05718"/>
    <w:rsid w:val="00D46F49"/>
    <w:rsid w:val="00F4646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2E"/>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652E"/>
    <w:pPr>
      <w:ind w:left="720"/>
      <w:contextualSpacing/>
    </w:pPr>
  </w:style>
  <w:style w:type="paragraph" w:styleId="NormalWeb">
    <w:name w:val="Normal (Web)"/>
    <w:basedOn w:val="Normal"/>
    <w:uiPriority w:val="99"/>
    <w:unhideWhenUsed/>
    <w:rsid w:val="00CA652E"/>
    <w:pPr>
      <w:spacing w:before="100" w:beforeAutospacing="1" w:after="100" w:afterAutospacing="1" w:line="240" w:lineRule="auto"/>
    </w:pPr>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CA65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652E"/>
    <w:rPr>
      <w:rFonts w:ascii="Tahoma" w:eastAsiaTheme="minorEastAsia" w:hAnsi="Tahoma" w:cs="Tahoma"/>
      <w:sz w:val="16"/>
      <w:szCs w:val="16"/>
      <w:lang w:eastAsia="da-DK"/>
    </w:rPr>
  </w:style>
  <w:style w:type="table" w:styleId="Tabel-Gitter">
    <w:name w:val="Table Grid"/>
    <w:basedOn w:val="Tabel-Normal"/>
    <w:uiPriority w:val="59"/>
    <w:rsid w:val="00CA652E"/>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CA65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652E"/>
    <w:rPr>
      <w:rFonts w:eastAsiaTheme="minorEastAsia"/>
      <w:lang w:eastAsia="da-DK"/>
    </w:rPr>
  </w:style>
  <w:style w:type="paragraph" w:styleId="Sidefod">
    <w:name w:val="footer"/>
    <w:basedOn w:val="Normal"/>
    <w:link w:val="SidefodTegn"/>
    <w:uiPriority w:val="99"/>
    <w:unhideWhenUsed/>
    <w:rsid w:val="00CA65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652E"/>
    <w:rPr>
      <w:rFonts w:eastAsiaTheme="minorEastAsia"/>
      <w:lang w:eastAsia="da-DK"/>
    </w:rPr>
  </w:style>
  <w:style w:type="character" w:styleId="Hyperlink">
    <w:name w:val="Hyperlink"/>
    <w:basedOn w:val="Standardskrifttypeiafsnit"/>
    <w:uiPriority w:val="99"/>
    <w:semiHidden/>
    <w:unhideWhenUsed/>
    <w:rsid w:val="00CA652E"/>
    <w:rPr>
      <w:color w:val="0000FF"/>
      <w:u w:val="single"/>
    </w:rPr>
  </w:style>
  <w:style w:type="table" w:customStyle="1" w:styleId="Lysskygge1">
    <w:name w:val="Lys skygge1"/>
    <w:basedOn w:val="Tabel-Normal"/>
    <w:uiPriority w:val="60"/>
    <w:rsid w:val="00CA652E"/>
    <w:pPr>
      <w:spacing w:after="0" w:line="240" w:lineRule="auto"/>
    </w:pPr>
    <w:rPr>
      <w:rFonts w:eastAsiaTheme="minorEastAsia"/>
      <w:color w:val="000000" w:themeColor="text1" w:themeShade="BF"/>
      <w:lang w:eastAsia="da-DK"/>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A652E"/>
    <w:pPr>
      <w:autoSpaceDE w:val="0"/>
      <w:autoSpaceDN w:val="0"/>
      <w:adjustRightInd w:val="0"/>
      <w:spacing w:after="0" w:line="240" w:lineRule="auto"/>
    </w:pPr>
    <w:rPr>
      <w:rFonts w:ascii="Shaker 2 Lancet Regular" w:eastAsiaTheme="minorEastAsia" w:hAnsi="Shaker 2 Lancet Regular" w:cs="Shaker 2 Lancet Regular"/>
      <w:color w:val="000000"/>
      <w:sz w:val="24"/>
      <w:szCs w:val="24"/>
      <w:lang w:eastAsia="da-DK"/>
    </w:rPr>
  </w:style>
  <w:style w:type="character" w:styleId="Kommentarhenvisning">
    <w:name w:val="annotation reference"/>
    <w:basedOn w:val="Standardskrifttypeiafsnit"/>
    <w:uiPriority w:val="99"/>
    <w:semiHidden/>
    <w:unhideWhenUsed/>
    <w:rsid w:val="00CA652E"/>
    <w:rPr>
      <w:sz w:val="18"/>
      <w:szCs w:val="18"/>
    </w:rPr>
  </w:style>
  <w:style w:type="paragraph" w:styleId="Kommentartekst">
    <w:name w:val="annotation text"/>
    <w:basedOn w:val="Normal"/>
    <w:link w:val="KommentartekstTegn"/>
    <w:uiPriority w:val="99"/>
    <w:semiHidden/>
    <w:unhideWhenUsed/>
    <w:rsid w:val="00CA652E"/>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CA652E"/>
    <w:rPr>
      <w:rFonts w:eastAsiaTheme="minorEastAsia"/>
      <w:sz w:val="24"/>
      <w:szCs w:val="24"/>
      <w:lang w:eastAsia="da-DK"/>
    </w:rPr>
  </w:style>
  <w:style w:type="paragraph" w:styleId="Kommentaremne">
    <w:name w:val="annotation subject"/>
    <w:basedOn w:val="Kommentartekst"/>
    <w:next w:val="Kommentartekst"/>
    <w:link w:val="KommentaremneTegn"/>
    <w:uiPriority w:val="99"/>
    <w:semiHidden/>
    <w:unhideWhenUsed/>
    <w:rsid w:val="00CA652E"/>
    <w:rPr>
      <w:b/>
      <w:bCs/>
      <w:sz w:val="20"/>
      <w:szCs w:val="20"/>
    </w:rPr>
  </w:style>
  <w:style w:type="character" w:customStyle="1" w:styleId="KommentaremneTegn">
    <w:name w:val="Kommentaremne Tegn"/>
    <w:basedOn w:val="KommentartekstTegn"/>
    <w:link w:val="Kommentaremne"/>
    <w:uiPriority w:val="99"/>
    <w:semiHidden/>
    <w:rsid w:val="00CA652E"/>
    <w:rPr>
      <w:b/>
      <w:bCs/>
      <w:sz w:val="20"/>
      <w:szCs w:val="20"/>
    </w:rPr>
  </w:style>
  <w:style w:type="paragraph" w:styleId="Korrektur">
    <w:name w:val="Revision"/>
    <w:hidden/>
    <w:uiPriority w:val="99"/>
    <w:semiHidden/>
    <w:rsid w:val="00CA652E"/>
    <w:pPr>
      <w:spacing w:after="0" w:line="240" w:lineRule="auto"/>
    </w:pPr>
    <w:rPr>
      <w:rFonts w:eastAsiaTheme="minorEastAsia"/>
      <w:lang w:eastAsia="da-DK"/>
    </w:rPr>
  </w:style>
  <w:style w:type="character" w:styleId="BesgtHyperlink">
    <w:name w:val="FollowedHyperlink"/>
    <w:basedOn w:val="Standardskrifttypeiafsnit"/>
    <w:uiPriority w:val="99"/>
    <w:semiHidden/>
    <w:unhideWhenUsed/>
    <w:rsid w:val="00CA65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65766">
      <w:bodyDiv w:val="1"/>
      <w:marLeft w:val="0"/>
      <w:marRight w:val="0"/>
      <w:marTop w:val="0"/>
      <w:marBottom w:val="0"/>
      <w:divBdr>
        <w:top w:val="none" w:sz="0" w:space="0" w:color="auto"/>
        <w:left w:val="none" w:sz="0" w:space="0" w:color="auto"/>
        <w:bottom w:val="none" w:sz="0" w:space="0" w:color="auto"/>
        <w:right w:val="none" w:sz="0" w:space="0" w:color="auto"/>
      </w:divBdr>
    </w:div>
    <w:div w:id="16541768">
      <w:bodyDiv w:val="1"/>
      <w:marLeft w:val="0"/>
      <w:marRight w:val="0"/>
      <w:marTop w:val="0"/>
      <w:marBottom w:val="0"/>
      <w:divBdr>
        <w:top w:val="none" w:sz="0" w:space="0" w:color="auto"/>
        <w:left w:val="none" w:sz="0" w:space="0" w:color="auto"/>
        <w:bottom w:val="none" w:sz="0" w:space="0" w:color="auto"/>
        <w:right w:val="none" w:sz="0" w:space="0" w:color="auto"/>
      </w:divBdr>
    </w:div>
    <w:div w:id="21715479">
      <w:bodyDiv w:val="1"/>
      <w:marLeft w:val="0"/>
      <w:marRight w:val="0"/>
      <w:marTop w:val="0"/>
      <w:marBottom w:val="0"/>
      <w:divBdr>
        <w:top w:val="none" w:sz="0" w:space="0" w:color="auto"/>
        <w:left w:val="none" w:sz="0" w:space="0" w:color="auto"/>
        <w:bottom w:val="none" w:sz="0" w:space="0" w:color="auto"/>
        <w:right w:val="none" w:sz="0" w:space="0" w:color="auto"/>
      </w:divBdr>
    </w:div>
    <w:div w:id="25328208">
      <w:bodyDiv w:val="1"/>
      <w:marLeft w:val="0"/>
      <w:marRight w:val="0"/>
      <w:marTop w:val="0"/>
      <w:marBottom w:val="0"/>
      <w:divBdr>
        <w:top w:val="none" w:sz="0" w:space="0" w:color="auto"/>
        <w:left w:val="none" w:sz="0" w:space="0" w:color="auto"/>
        <w:bottom w:val="none" w:sz="0" w:space="0" w:color="auto"/>
        <w:right w:val="none" w:sz="0" w:space="0" w:color="auto"/>
      </w:divBdr>
    </w:div>
    <w:div w:id="26105354">
      <w:bodyDiv w:val="1"/>
      <w:marLeft w:val="0"/>
      <w:marRight w:val="0"/>
      <w:marTop w:val="0"/>
      <w:marBottom w:val="0"/>
      <w:divBdr>
        <w:top w:val="none" w:sz="0" w:space="0" w:color="auto"/>
        <w:left w:val="none" w:sz="0" w:space="0" w:color="auto"/>
        <w:bottom w:val="none" w:sz="0" w:space="0" w:color="auto"/>
        <w:right w:val="none" w:sz="0" w:space="0" w:color="auto"/>
      </w:divBdr>
    </w:div>
    <w:div w:id="30885383">
      <w:bodyDiv w:val="1"/>
      <w:marLeft w:val="0"/>
      <w:marRight w:val="0"/>
      <w:marTop w:val="0"/>
      <w:marBottom w:val="0"/>
      <w:divBdr>
        <w:top w:val="none" w:sz="0" w:space="0" w:color="auto"/>
        <w:left w:val="none" w:sz="0" w:space="0" w:color="auto"/>
        <w:bottom w:val="none" w:sz="0" w:space="0" w:color="auto"/>
        <w:right w:val="none" w:sz="0" w:space="0" w:color="auto"/>
      </w:divBdr>
    </w:div>
    <w:div w:id="39983343">
      <w:bodyDiv w:val="1"/>
      <w:marLeft w:val="0"/>
      <w:marRight w:val="0"/>
      <w:marTop w:val="0"/>
      <w:marBottom w:val="0"/>
      <w:divBdr>
        <w:top w:val="none" w:sz="0" w:space="0" w:color="auto"/>
        <w:left w:val="none" w:sz="0" w:space="0" w:color="auto"/>
        <w:bottom w:val="none" w:sz="0" w:space="0" w:color="auto"/>
        <w:right w:val="none" w:sz="0" w:space="0" w:color="auto"/>
      </w:divBdr>
    </w:div>
    <w:div w:id="49035652">
      <w:bodyDiv w:val="1"/>
      <w:marLeft w:val="0"/>
      <w:marRight w:val="0"/>
      <w:marTop w:val="0"/>
      <w:marBottom w:val="0"/>
      <w:divBdr>
        <w:top w:val="none" w:sz="0" w:space="0" w:color="auto"/>
        <w:left w:val="none" w:sz="0" w:space="0" w:color="auto"/>
        <w:bottom w:val="none" w:sz="0" w:space="0" w:color="auto"/>
        <w:right w:val="none" w:sz="0" w:space="0" w:color="auto"/>
      </w:divBdr>
    </w:div>
    <w:div w:id="65155968">
      <w:bodyDiv w:val="1"/>
      <w:marLeft w:val="0"/>
      <w:marRight w:val="0"/>
      <w:marTop w:val="0"/>
      <w:marBottom w:val="0"/>
      <w:divBdr>
        <w:top w:val="none" w:sz="0" w:space="0" w:color="auto"/>
        <w:left w:val="none" w:sz="0" w:space="0" w:color="auto"/>
        <w:bottom w:val="none" w:sz="0" w:space="0" w:color="auto"/>
        <w:right w:val="none" w:sz="0" w:space="0" w:color="auto"/>
      </w:divBdr>
    </w:div>
    <w:div w:id="76555845">
      <w:bodyDiv w:val="1"/>
      <w:marLeft w:val="0"/>
      <w:marRight w:val="0"/>
      <w:marTop w:val="0"/>
      <w:marBottom w:val="0"/>
      <w:divBdr>
        <w:top w:val="none" w:sz="0" w:space="0" w:color="auto"/>
        <w:left w:val="none" w:sz="0" w:space="0" w:color="auto"/>
        <w:bottom w:val="none" w:sz="0" w:space="0" w:color="auto"/>
        <w:right w:val="none" w:sz="0" w:space="0" w:color="auto"/>
      </w:divBdr>
    </w:div>
    <w:div w:id="76831055">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6677153">
      <w:bodyDiv w:val="1"/>
      <w:marLeft w:val="0"/>
      <w:marRight w:val="0"/>
      <w:marTop w:val="0"/>
      <w:marBottom w:val="0"/>
      <w:divBdr>
        <w:top w:val="none" w:sz="0" w:space="0" w:color="auto"/>
        <w:left w:val="none" w:sz="0" w:space="0" w:color="auto"/>
        <w:bottom w:val="none" w:sz="0" w:space="0" w:color="auto"/>
        <w:right w:val="none" w:sz="0" w:space="0" w:color="auto"/>
      </w:divBdr>
    </w:div>
    <w:div w:id="148719815">
      <w:bodyDiv w:val="1"/>
      <w:marLeft w:val="0"/>
      <w:marRight w:val="0"/>
      <w:marTop w:val="0"/>
      <w:marBottom w:val="0"/>
      <w:divBdr>
        <w:top w:val="none" w:sz="0" w:space="0" w:color="auto"/>
        <w:left w:val="none" w:sz="0" w:space="0" w:color="auto"/>
        <w:bottom w:val="none" w:sz="0" w:space="0" w:color="auto"/>
        <w:right w:val="none" w:sz="0" w:space="0" w:color="auto"/>
      </w:divBdr>
    </w:div>
    <w:div w:id="160200668">
      <w:bodyDiv w:val="1"/>
      <w:marLeft w:val="0"/>
      <w:marRight w:val="0"/>
      <w:marTop w:val="0"/>
      <w:marBottom w:val="0"/>
      <w:divBdr>
        <w:top w:val="none" w:sz="0" w:space="0" w:color="auto"/>
        <w:left w:val="none" w:sz="0" w:space="0" w:color="auto"/>
        <w:bottom w:val="none" w:sz="0" w:space="0" w:color="auto"/>
        <w:right w:val="none" w:sz="0" w:space="0" w:color="auto"/>
      </w:divBdr>
    </w:div>
    <w:div w:id="190996354">
      <w:bodyDiv w:val="1"/>
      <w:marLeft w:val="0"/>
      <w:marRight w:val="0"/>
      <w:marTop w:val="0"/>
      <w:marBottom w:val="0"/>
      <w:divBdr>
        <w:top w:val="none" w:sz="0" w:space="0" w:color="auto"/>
        <w:left w:val="none" w:sz="0" w:space="0" w:color="auto"/>
        <w:bottom w:val="none" w:sz="0" w:space="0" w:color="auto"/>
        <w:right w:val="none" w:sz="0" w:space="0" w:color="auto"/>
      </w:divBdr>
    </w:div>
    <w:div w:id="193085084">
      <w:bodyDiv w:val="1"/>
      <w:marLeft w:val="0"/>
      <w:marRight w:val="0"/>
      <w:marTop w:val="0"/>
      <w:marBottom w:val="0"/>
      <w:divBdr>
        <w:top w:val="none" w:sz="0" w:space="0" w:color="auto"/>
        <w:left w:val="none" w:sz="0" w:space="0" w:color="auto"/>
        <w:bottom w:val="none" w:sz="0" w:space="0" w:color="auto"/>
        <w:right w:val="none" w:sz="0" w:space="0" w:color="auto"/>
      </w:divBdr>
    </w:div>
    <w:div w:id="254287972">
      <w:bodyDiv w:val="1"/>
      <w:marLeft w:val="0"/>
      <w:marRight w:val="0"/>
      <w:marTop w:val="0"/>
      <w:marBottom w:val="0"/>
      <w:divBdr>
        <w:top w:val="none" w:sz="0" w:space="0" w:color="auto"/>
        <w:left w:val="none" w:sz="0" w:space="0" w:color="auto"/>
        <w:bottom w:val="none" w:sz="0" w:space="0" w:color="auto"/>
        <w:right w:val="none" w:sz="0" w:space="0" w:color="auto"/>
      </w:divBdr>
    </w:div>
    <w:div w:id="263658643">
      <w:bodyDiv w:val="1"/>
      <w:marLeft w:val="0"/>
      <w:marRight w:val="0"/>
      <w:marTop w:val="0"/>
      <w:marBottom w:val="0"/>
      <w:divBdr>
        <w:top w:val="none" w:sz="0" w:space="0" w:color="auto"/>
        <w:left w:val="none" w:sz="0" w:space="0" w:color="auto"/>
        <w:bottom w:val="none" w:sz="0" w:space="0" w:color="auto"/>
        <w:right w:val="none" w:sz="0" w:space="0" w:color="auto"/>
      </w:divBdr>
    </w:div>
    <w:div w:id="280570862">
      <w:bodyDiv w:val="1"/>
      <w:marLeft w:val="0"/>
      <w:marRight w:val="0"/>
      <w:marTop w:val="0"/>
      <w:marBottom w:val="0"/>
      <w:divBdr>
        <w:top w:val="none" w:sz="0" w:space="0" w:color="auto"/>
        <w:left w:val="none" w:sz="0" w:space="0" w:color="auto"/>
        <w:bottom w:val="none" w:sz="0" w:space="0" w:color="auto"/>
        <w:right w:val="none" w:sz="0" w:space="0" w:color="auto"/>
      </w:divBdr>
    </w:div>
    <w:div w:id="281813961">
      <w:bodyDiv w:val="1"/>
      <w:marLeft w:val="0"/>
      <w:marRight w:val="0"/>
      <w:marTop w:val="0"/>
      <w:marBottom w:val="0"/>
      <w:divBdr>
        <w:top w:val="none" w:sz="0" w:space="0" w:color="auto"/>
        <w:left w:val="none" w:sz="0" w:space="0" w:color="auto"/>
        <w:bottom w:val="none" w:sz="0" w:space="0" w:color="auto"/>
        <w:right w:val="none" w:sz="0" w:space="0" w:color="auto"/>
      </w:divBdr>
    </w:div>
    <w:div w:id="288246514">
      <w:bodyDiv w:val="1"/>
      <w:marLeft w:val="0"/>
      <w:marRight w:val="0"/>
      <w:marTop w:val="0"/>
      <w:marBottom w:val="0"/>
      <w:divBdr>
        <w:top w:val="none" w:sz="0" w:space="0" w:color="auto"/>
        <w:left w:val="none" w:sz="0" w:space="0" w:color="auto"/>
        <w:bottom w:val="none" w:sz="0" w:space="0" w:color="auto"/>
        <w:right w:val="none" w:sz="0" w:space="0" w:color="auto"/>
      </w:divBdr>
    </w:div>
    <w:div w:id="295842706">
      <w:bodyDiv w:val="1"/>
      <w:marLeft w:val="0"/>
      <w:marRight w:val="0"/>
      <w:marTop w:val="0"/>
      <w:marBottom w:val="0"/>
      <w:divBdr>
        <w:top w:val="none" w:sz="0" w:space="0" w:color="auto"/>
        <w:left w:val="none" w:sz="0" w:space="0" w:color="auto"/>
        <w:bottom w:val="none" w:sz="0" w:space="0" w:color="auto"/>
        <w:right w:val="none" w:sz="0" w:space="0" w:color="auto"/>
      </w:divBdr>
    </w:div>
    <w:div w:id="304942537">
      <w:bodyDiv w:val="1"/>
      <w:marLeft w:val="0"/>
      <w:marRight w:val="0"/>
      <w:marTop w:val="0"/>
      <w:marBottom w:val="0"/>
      <w:divBdr>
        <w:top w:val="none" w:sz="0" w:space="0" w:color="auto"/>
        <w:left w:val="none" w:sz="0" w:space="0" w:color="auto"/>
        <w:bottom w:val="none" w:sz="0" w:space="0" w:color="auto"/>
        <w:right w:val="none" w:sz="0" w:space="0" w:color="auto"/>
      </w:divBdr>
    </w:div>
    <w:div w:id="308363788">
      <w:bodyDiv w:val="1"/>
      <w:marLeft w:val="0"/>
      <w:marRight w:val="0"/>
      <w:marTop w:val="0"/>
      <w:marBottom w:val="0"/>
      <w:divBdr>
        <w:top w:val="none" w:sz="0" w:space="0" w:color="auto"/>
        <w:left w:val="none" w:sz="0" w:space="0" w:color="auto"/>
        <w:bottom w:val="none" w:sz="0" w:space="0" w:color="auto"/>
        <w:right w:val="none" w:sz="0" w:space="0" w:color="auto"/>
      </w:divBdr>
    </w:div>
    <w:div w:id="311561741">
      <w:bodyDiv w:val="1"/>
      <w:marLeft w:val="0"/>
      <w:marRight w:val="0"/>
      <w:marTop w:val="0"/>
      <w:marBottom w:val="0"/>
      <w:divBdr>
        <w:top w:val="none" w:sz="0" w:space="0" w:color="auto"/>
        <w:left w:val="none" w:sz="0" w:space="0" w:color="auto"/>
        <w:bottom w:val="none" w:sz="0" w:space="0" w:color="auto"/>
        <w:right w:val="none" w:sz="0" w:space="0" w:color="auto"/>
      </w:divBdr>
    </w:div>
    <w:div w:id="322397192">
      <w:bodyDiv w:val="1"/>
      <w:marLeft w:val="0"/>
      <w:marRight w:val="0"/>
      <w:marTop w:val="0"/>
      <w:marBottom w:val="0"/>
      <w:divBdr>
        <w:top w:val="none" w:sz="0" w:space="0" w:color="auto"/>
        <w:left w:val="none" w:sz="0" w:space="0" w:color="auto"/>
        <w:bottom w:val="none" w:sz="0" w:space="0" w:color="auto"/>
        <w:right w:val="none" w:sz="0" w:space="0" w:color="auto"/>
      </w:divBdr>
    </w:div>
    <w:div w:id="342439749">
      <w:bodyDiv w:val="1"/>
      <w:marLeft w:val="0"/>
      <w:marRight w:val="0"/>
      <w:marTop w:val="0"/>
      <w:marBottom w:val="0"/>
      <w:divBdr>
        <w:top w:val="none" w:sz="0" w:space="0" w:color="auto"/>
        <w:left w:val="none" w:sz="0" w:space="0" w:color="auto"/>
        <w:bottom w:val="none" w:sz="0" w:space="0" w:color="auto"/>
        <w:right w:val="none" w:sz="0" w:space="0" w:color="auto"/>
      </w:divBdr>
    </w:div>
    <w:div w:id="344022142">
      <w:bodyDiv w:val="1"/>
      <w:marLeft w:val="0"/>
      <w:marRight w:val="0"/>
      <w:marTop w:val="0"/>
      <w:marBottom w:val="0"/>
      <w:divBdr>
        <w:top w:val="none" w:sz="0" w:space="0" w:color="auto"/>
        <w:left w:val="none" w:sz="0" w:space="0" w:color="auto"/>
        <w:bottom w:val="none" w:sz="0" w:space="0" w:color="auto"/>
        <w:right w:val="none" w:sz="0" w:space="0" w:color="auto"/>
      </w:divBdr>
    </w:div>
    <w:div w:id="349916489">
      <w:bodyDiv w:val="1"/>
      <w:marLeft w:val="0"/>
      <w:marRight w:val="0"/>
      <w:marTop w:val="0"/>
      <w:marBottom w:val="0"/>
      <w:divBdr>
        <w:top w:val="none" w:sz="0" w:space="0" w:color="auto"/>
        <w:left w:val="none" w:sz="0" w:space="0" w:color="auto"/>
        <w:bottom w:val="none" w:sz="0" w:space="0" w:color="auto"/>
        <w:right w:val="none" w:sz="0" w:space="0" w:color="auto"/>
      </w:divBdr>
    </w:div>
    <w:div w:id="351108234">
      <w:bodyDiv w:val="1"/>
      <w:marLeft w:val="0"/>
      <w:marRight w:val="0"/>
      <w:marTop w:val="0"/>
      <w:marBottom w:val="0"/>
      <w:divBdr>
        <w:top w:val="none" w:sz="0" w:space="0" w:color="auto"/>
        <w:left w:val="none" w:sz="0" w:space="0" w:color="auto"/>
        <w:bottom w:val="none" w:sz="0" w:space="0" w:color="auto"/>
        <w:right w:val="none" w:sz="0" w:space="0" w:color="auto"/>
      </w:divBdr>
    </w:div>
    <w:div w:id="354356261">
      <w:bodyDiv w:val="1"/>
      <w:marLeft w:val="0"/>
      <w:marRight w:val="0"/>
      <w:marTop w:val="0"/>
      <w:marBottom w:val="0"/>
      <w:divBdr>
        <w:top w:val="none" w:sz="0" w:space="0" w:color="auto"/>
        <w:left w:val="none" w:sz="0" w:space="0" w:color="auto"/>
        <w:bottom w:val="none" w:sz="0" w:space="0" w:color="auto"/>
        <w:right w:val="none" w:sz="0" w:space="0" w:color="auto"/>
      </w:divBdr>
    </w:div>
    <w:div w:id="354699520">
      <w:bodyDiv w:val="1"/>
      <w:marLeft w:val="0"/>
      <w:marRight w:val="0"/>
      <w:marTop w:val="0"/>
      <w:marBottom w:val="0"/>
      <w:divBdr>
        <w:top w:val="none" w:sz="0" w:space="0" w:color="auto"/>
        <w:left w:val="none" w:sz="0" w:space="0" w:color="auto"/>
        <w:bottom w:val="none" w:sz="0" w:space="0" w:color="auto"/>
        <w:right w:val="none" w:sz="0" w:space="0" w:color="auto"/>
      </w:divBdr>
    </w:div>
    <w:div w:id="360012233">
      <w:bodyDiv w:val="1"/>
      <w:marLeft w:val="0"/>
      <w:marRight w:val="0"/>
      <w:marTop w:val="0"/>
      <w:marBottom w:val="0"/>
      <w:divBdr>
        <w:top w:val="none" w:sz="0" w:space="0" w:color="auto"/>
        <w:left w:val="none" w:sz="0" w:space="0" w:color="auto"/>
        <w:bottom w:val="none" w:sz="0" w:space="0" w:color="auto"/>
        <w:right w:val="none" w:sz="0" w:space="0" w:color="auto"/>
      </w:divBdr>
    </w:div>
    <w:div w:id="453523602">
      <w:bodyDiv w:val="1"/>
      <w:marLeft w:val="0"/>
      <w:marRight w:val="0"/>
      <w:marTop w:val="0"/>
      <w:marBottom w:val="0"/>
      <w:divBdr>
        <w:top w:val="none" w:sz="0" w:space="0" w:color="auto"/>
        <w:left w:val="none" w:sz="0" w:space="0" w:color="auto"/>
        <w:bottom w:val="none" w:sz="0" w:space="0" w:color="auto"/>
        <w:right w:val="none" w:sz="0" w:space="0" w:color="auto"/>
      </w:divBdr>
    </w:div>
    <w:div w:id="458763019">
      <w:bodyDiv w:val="1"/>
      <w:marLeft w:val="0"/>
      <w:marRight w:val="0"/>
      <w:marTop w:val="0"/>
      <w:marBottom w:val="0"/>
      <w:divBdr>
        <w:top w:val="none" w:sz="0" w:space="0" w:color="auto"/>
        <w:left w:val="none" w:sz="0" w:space="0" w:color="auto"/>
        <w:bottom w:val="none" w:sz="0" w:space="0" w:color="auto"/>
        <w:right w:val="none" w:sz="0" w:space="0" w:color="auto"/>
      </w:divBdr>
    </w:div>
    <w:div w:id="473379477">
      <w:bodyDiv w:val="1"/>
      <w:marLeft w:val="0"/>
      <w:marRight w:val="0"/>
      <w:marTop w:val="0"/>
      <w:marBottom w:val="0"/>
      <w:divBdr>
        <w:top w:val="none" w:sz="0" w:space="0" w:color="auto"/>
        <w:left w:val="none" w:sz="0" w:space="0" w:color="auto"/>
        <w:bottom w:val="none" w:sz="0" w:space="0" w:color="auto"/>
        <w:right w:val="none" w:sz="0" w:space="0" w:color="auto"/>
      </w:divBdr>
    </w:div>
    <w:div w:id="483815915">
      <w:bodyDiv w:val="1"/>
      <w:marLeft w:val="0"/>
      <w:marRight w:val="0"/>
      <w:marTop w:val="0"/>
      <w:marBottom w:val="0"/>
      <w:divBdr>
        <w:top w:val="none" w:sz="0" w:space="0" w:color="auto"/>
        <w:left w:val="none" w:sz="0" w:space="0" w:color="auto"/>
        <w:bottom w:val="none" w:sz="0" w:space="0" w:color="auto"/>
        <w:right w:val="none" w:sz="0" w:space="0" w:color="auto"/>
      </w:divBdr>
    </w:div>
    <w:div w:id="492258178">
      <w:bodyDiv w:val="1"/>
      <w:marLeft w:val="0"/>
      <w:marRight w:val="0"/>
      <w:marTop w:val="0"/>
      <w:marBottom w:val="0"/>
      <w:divBdr>
        <w:top w:val="none" w:sz="0" w:space="0" w:color="auto"/>
        <w:left w:val="none" w:sz="0" w:space="0" w:color="auto"/>
        <w:bottom w:val="none" w:sz="0" w:space="0" w:color="auto"/>
        <w:right w:val="none" w:sz="0" w:space="0" w:color="auto"/>
      </w:divBdr>
    </w:div>
    <w:div w:id="513150349">
      <w:bodyDiv w:val="1"/>
      <w:marLeft w:val="0"/>
      <w:marRight w:val="0"/>
      <w:marTop w:val="0"/>
      <w:marBottom w:val="0"/>
      <w:divBdr>
        <w:top w:val="none" w:sz="0" w:space="0" w:color="auto"/>
        <w:left w:val="none" w:sz="0" w:space="0" w:color="auto"/>
        <w:bottom w:val="none" w:sz="0" w:space="0" w:color="auto"/>
        <w:right w:val="none" w:sz="0" w:space="0" w:color="auto"/>
      </w:divBdr>
    </w:div>
    <w:div w:id="525680888">
      <w:bodyDiv w:val="1"/>
      <w:marLeft w:val="0"/>
      <w:marRight w:val="0"/>
      <w:marTop w:val="0"/>
      <w:marBottom w:val="0"/>
      <w:divBdr>
        <w:top w:val="none" w:sz="0" w:space="0" w:color="auto"/>
        <w:left w:val="none" w:sz="0" w:space="0" w:color="auto"/>
        <w:bottom w:val="none" w:sz="0" w:space="0" w:color="auto"/>
        <w:right w:val="none" w:sz="0" w:space="0" w:color="auto"/>
      </w:divBdr>
    </w:div>
    <w:div w:id="527914242">
      <w:bodyDiv w:val="1"/>
      <w:marLeft w:val="0"/>
      <w:marRight w:val="0"/>
      <w:marTop w:val="0"/>
      <w:marBottom w:val="0"/>
      <w:divBdr>
        <w:top w:val="none" w:sz="0" w:space="0" w:color="auto"/>
        <w:left w:val="none" w:sz="0" w:space="0" w:color="auto"/>
        <w:bottom w:val="none" w:sz="0" w:space="0" w:color="auto"/>
        <w:right w:val="none" w:sz="0" w:space="0" w:color="auto"/>
      </w:divBdr>
    </w:div>
    <w:div w:id="581452430">
      <w:bodyDiv w:val="1"/>
      <w:marLeft w:val="0"/>
      <w:marRight w:val="0"/>
      <w:marTop w:val="0"/>
      <w:marBottom w:val="0"/>
      <w:divBdr>
        <w:top w:val="none" w:sz="0" w:space="0" w:color="auto"/>
        <w:left w:val="none" w:sz="0" w:space="0" w:color="auto"/>
        <w:bottom w:val="none" w:sz="0" w:space="0" w:color="auto"/>
        <w:right w:val="none" w:sz="0" w:space="0" w:color="auto"/>
      </w:divBdr>
    </w:div>
    <w:div w:id="585964686">
      <w:bodyDiv w:val="1"/>
      <w:marLeft w:val="0"/>
      <w:marRight w:val="0"/>
      <w:marTop w:val="0"/>
      <w:marBottom w:val="0"/>
      <w:divBdr>
        <w:top w:val="none" w:sz="0" w:space="0" w:color="auto"/>
        <w:left w:val="none" w:sz="0" w:space="0" w:color="auto"/>
        <w:bottom w:val="none" w:sz="0" w:space="0" w:color="auto"/>
        <w:right w:val="none" w:sz="0" w:space="0" w:color="auto"/>
      </w:divBdr>
    </w:div>
    <w:div w:id="606618534">
      <w:bodyDiv w:val="1"/>
      <w:marLeft w:val="0"/>
      <w:marRight w:val="0"/>
      <w:marTop w:val="0"/>
      <w:marBottom w:val="0"/>
      <w:divBdr>
        <w:top w:val="none" w:sz="0" w:space="0" w:color="auto"/>
        <w:left w:val="none" w:sz="0" w:space="0" w:color="auto"/>
        <w:bottom w:val="none" w:sz="0" w:space="0" w:color="auto"/>
        <w:right w:val="none" w:sz="0" w:space="0" w:color="auto"/>
      </w:divBdr>
    </w:div>
    <w:div w:id="608436909">
      <w:bodyDiv w:val="1"/>
      <w:marLeft w:val="0"/>
      <w:marRight w:val="0"/>
      <w:marTop w:val="0"/>
      <w:marBottom w:val="0"/>
      <w:divBdr>
        <w:top w:val="none" w:sz="0" w:space="0" w:color="auto"/>
        <w:left w:val="none" w:sz="0" w:space="0" w:color="auto"/>
        <w:bottom w:val="none" w:sz="0" w:space="0" w:color="auto"/>
        <w:right w:val="none" w:sz="0" w:space="0" w:color="auto"/>
      </w:divBdr>
    </w:div>
    <w:div w:id="613364169">
      <w:bodyDiv w:val="1"/>
      <w:marLeft w:val="0"/>
      <w:marRight w:val="0"/>
      <w:marTop w:val="0"/>
      <w:marBottom w:val="0"/>
      <w:divBdr>
        <w:top w:val="none" w:sz="0" w:space="0" w:color="auto"/>
        <w:left w:val="none" w:sz="0" w:space="0" w:color="auto"/>
        <w:bottom w:val="none" w:sz="0" w:space="0" w:color="auto"/>
        <w:right w:val="none" w:sz="0" w:space="0" w:color="auto"/>
      </w:divBdr>
    </w:div>
    <w:div w:id="615841826">
      <w:bodyDiv w:val="1"/>
      <w:marLeft w:val="0"/>
      <w:marRight w:val="0"/>
      <w:marTop w:val="0"/>
      <w:marBottom w:val="0"/>
      <w:divBdr>
        <w:top w:val="none" w:sz="0" w:space="0" w:color="auto"/>
        <w:left w:val="none" w:sz="0" w:space="0" w:color="auto"/>
        <w:bottom w:val="none" w:sz="0" w:space="0" w:color="auto"/>
        <w:right w:val="none" w:sz="0" w:space="0" w:color="auto"/>
      </w:divBdr>
    </w:div>
    <w:div w:id="621033846">
      <w:bodyDiv w:val="1"/>
      <w:marLeft w:val="0"/>
      <w:marRight w:val="0"/>
      <w:marTop w:val="0"/>
      <w:marBottom w:val="0"/>
      <w:divBdr>
        <w:top w:val="none" w:sz="0" w:space="0" w:color="auto"/>
        <w:left w:val="none" w:sz="0" w:space="0" w:color="auto"/>
        <w:bottom w:val="none" w:sz="0" w:space="0" w:color="auto"/>
        <w:right w:val="none" w:sz="0" w:space="0" w:color="auto"/>
      </w:divBdr>
    </w:div>
    <w:div w:id="639463091">
      <w:bodyDiv w:val="1"/>
      <w:marLeft w:val="0"/>
      <w:marRight w:val="0"/>
      <w:marTop w:val="0"/>
      <w:marBottom w:val="0"/>
      <w:divBdr>
        <w:top w:val="none" w:sz="0" w:space="0" w:color="auto"/>
        <w:left w:val="none" w:sz="0" w:space="0" w:color="auto"/>
        <w:bottom w:val="none" w:sz="0" w:space="0" w:color="auto"/>
        <w:right w:val="none" w:sz="0" w:space="0" w:color="auto"/>
      </w:divBdr>
    </w:div>
    <w:div w:id="639924565">
      <w:bodyDiv w:val="1"/>
      <w:marLeft w:val="0"/>
      <w:marRight w:val="0"/>
      <w:marTop w:val="0"/>
      <w:marBottom w:val="0"/>
      <w:divBdr>
        <w:top w:val="none" w:sz="0" w:space="0" w:color="auto"/>
        <w:left w:val="none" w:sz="0" w:space="0" w:color="auto"/>
        <w:bottom w:val="none" w:sz="0" w:space="0" w:color="auto"/>
        <w:right w:val="none" w:sz="0" w:space="0" w:color="auto"/>
      </w:divBdr>
    </w:div>
    <w:div w:id="643238487">
      <w:bodyDiv w:val="1"/>
      <w:marLeft w:val="0"/>
      <w:marRight w:val="0"/>
      <w:marTop w:val="0"/>
      <w:marBottom w:val="0"/>
      <w:divBdr>
        <w:top w:val="none" w:sz="0" w:space="0" w:color="auto"/>
        <w:left w:val="none" w:sz="0" w:space="0" w:color="auto"/>
        <w:bottom w:val="none" w:sz="0" w:space="0" w:color="auto"/>
        <w:right w:val="none" w:sz="0" w:space="0" w:color="auto"/>
      </w:divBdr>
    </w:div>
    <w:div w:id="649023198">
      <w:bodyDiv w:val="1"/>
      <w:marLeft w:val="0"/>
      <w:marRight w:val="0"/>
      <w:marTop w:val="0"/>
      <w:marBottom w:val="0"/>
      <w:divBdr>
        <w:top w:val="none" w:sz="0" w:space="0" w:color="auto"/>
        <w:left w:val="none" w:sz="0" w:space="0" w:color="auto"/>
        <w:bottom w:val="none" w:sz="0" w:space="0" w:color="auto"/>
        <w:right w:val="none" w:sz="0" w:space="0" w:color="auto"/>
      </w:divBdr>
    </w:div>
    <w:div w:id="662316396">
      <w:bodyDiv w:val="1"/>
      <w:marLeft w:val="0"/>
      <w:marRight w:val="0"/>
      <w:marTop w:val="0"/>
      <w:marBottom w:val="0"/>
      <w:divBdr>
        <w:top w:val="none" w:sz="0" w:space="0" w:color="auto"/>
        <w:left w:val="none" w:sz="0" w:space="0" w:color="auto"/>
        <w:bottom w:val="none" w:sz="0" w:space="0" w:color="auto"/>
        <w:right w:val="none" w:sz="0" w:space="0" w:color="auto"/>
      </w:divBdr>
    </w:div>
    <w:div w:id="677737503">
      <w:bodyDiv w:val="1"/>
      <w:marLeft w:val="0"/>
      <w:marRight w:val="0"/>
      <w:marTop w:val="0"/>
      <w:marBottom w:val="0"/>
      <w:divBdr>
        <w:top w:val="none" w:sz="0" w:space="0" w:color="auto"/>
        <w:left w:val="none" w:sz="0" w:space="0" w:color="auto"/>
        <w:bottom w:val="none" w:sz="0" w:space="0" w:color="auto"/>
        <w:right w:val="none" w:sz="0" w:space="0" w:color="auto"/>
      </w:divBdr>
    </w:div>
    <w:div w:id="695010173">
      <w:bodyDiv w:val="1"/>
      <w:marLeft w:val="0"/>
      <w:marRight w:val="0"/>
      <w:marTop w:val="0"/>
      <w:marBottom w:val="0"/>
      <w:divBdr>
        <w:top w:val="none" w:sz="0" w:space="0" w:color="auto"/>
        <w:left w:val="none" w:sz="0" w:space="0" w:color="auto"/>
        <w:bottom w:val="none" w:sz="0" w:space="0" w:color="auto"/>
        <w:right w:val="none" w:sz="0" w:space="0" w:color="auto"/>
      </w:divBdr>
    </w:div>
    <w:div w:id="696081299">
      <w:bodyDiv w:val="1"/>
      <w:marLeft w:val="0"/>
      <w:marRight w:val="0"/>
      <w:marTop w:val="0"/>
      <w:marBottom w:val="0"/>
      <w:divBdr>
        <w:top w:val="none" w:sz="0" w:space="0" w:color="auto"/>
        <w:left w:val="none" w:sz="0" w:space="0" w:color="auto"/>
        <w:bottom w:val="none" w:sz="0" w:space="0" w:color="auto"/>
        <w:right w:val="none" w:sz="0" w:space="0" w:color="auto"/>
      </w:divBdr>
    </w:div>
    <w:div w:id="698353823">
      <w:bodyDiv w:val="1"/>
      <w:marLeft w:val="0"/>
      <w:marRight w:val="0"/>
      <w:marTop w:val="0"/>
      <w:marBottom w:val="0"/>
      <w:divBdr>
        <w:top w:val="none" w:sz="0" w:space="0" w:color="auto"/>
        <w:left w:val="none" w:sz="0" w:space="0" w:color="auto"/>
        <w:bottom w:val="none" w:sz="0" w:space="0" w:color="auto"/>
        <w:right w:val="none" w:sz="0" w:space="0" w:color="auto"/>
      </w:divBdr>
    </w:div>
    <w:div w:id="707880239">
      <w:bodyDiv w:val="1"/>
      <w:marLeft w:val="0"/>
      <w:marRight w:val="0"/>
      <w:marTop w:val="0"/>
      <w:marBottom w:val="0"/>
      <w:divBdr>
        <w:top w:val="none" w:sz="0" w:space="0" w:color="auto"/>
        <w:left w:val="none" w:sz="0" w:space="0" w:color="auto"/>
        <w:bottom w:val="none" w:sz="0" w:space="0" w:color="auto"/>
        <w:right w:val="none" w:sz="0" w:space="0" w:color="auto"/>
      </w:divBdr>
    </w:div>
    <w:div w:id="708378657">
      <w:bodyDiv w:val="1"/>
      <w:marLeft w:val="0"/>
      <w:marRight w:val="0"/>
      <w:marTop w:val="0"/>
      <w:marBottom w:val="0"/>
      <w:divBdr>
        <w:top w:val="none" w:sz="0" w:space="0" w:color="auto"/>
        <w:left w:val="none" w:sz="0" w:space="0" w:color="auto"/>
        <w:bottom w:val="none" w:sz="0" w:space="0" w:color="auto"/>
        <w:right w:val="none" w:sz="0" w:space="0" w:color="auto"/>
      </w:divBdr>
    </w:div>
    <w:div w:id="717046997">
      <w:bodyDiv w:val="1"/>
      <w:marLeft w:val="0"/>
      <w:marRight w:val="0"/>
      <w:marTop w:val="0"/>
      <w:marBottom w:val="0"/>
      <w:divBdr>
        <w:top w:val="none" w:sz="0" w:space="0" w:color="auto"/>
        <w:left w:val="none" w:sz="0" w:space="0" w:color="auto"/>
        <w:bottom w:val="none" w:sz="0" w:space="0" w:color="auto"/>
        <w:right w:val="none" w:sz="0" w:space="0" w:color="auto"/>
      </w:divBdr>
    </w:div>
    <w:div w:id="731464199">
      <w:bodyDiv w:val="1"/>
      <w:marLeft w:val="0"/>
      <w:marRight w:val="0"/>
      <w:marTop w:val="0"/>
      <w:marBottom w:val="0"/>
      <w:divBdr>
        <w:top w:val="none" w:sz="0" w:space="0" w:color="auto"/>
        <w:left w:val="none" w:sz="0" w:space="0" w:color="auto"/>
        <w:bottom w:val="none" w:sz="0" w:space="0" w:color="auto"/>
        <w:right w:val="none" w:sz="0" w:space="0" w:color="auto"/>
      </w:divBdr>
    </w:div>
    <w:div w:id="742875803">
      <w:bodyDiv w:val="1"/>
      <w:marLeft w:val="0"/>
      <w:marRight w:val="0"/>
      <w:marTop w:val="0"/>
      <w:marBottom w:val="0"/>
      <w:divBdr>
        <w:top w:val="none" w:sz="0" w:space="0" w:color="auto"/>
        <w:left w:val="none" w:sz="0" w:space="0" w:color="auto"/>
        <w:bottom w:val="none" w:sz="0" w:space="0" w:color="auto"/>
        <w:right w:val="none" w:sz="0" w:space="0" w:color="auto"/>
      </w:divBdr>
    </w:div>
    <w:div w:id="752311906">
      <w:bodyDiv w:val="1"/>
      <w:marLeft w:val="0"/>
      <w:marRight w:val="0"/>
      <w:marTop w:val="0"/>
      <w:marBottom w:val="0"/>
      <w:divBdr>
        <w:top w:val="none" w:sz="0" w:space="0" w:color="auto"/>
        <w:left w:val="none" w:sz="0" w:space="0" w:color="auto"/>
        <w:bottom w:val="none" w:sz="0" w:space="0" w:color="auto"/>
        <w:right w:val="none" w:sz="0" w:space="0" w:color="auto"/>
      </w:divBdr>
    </w:div>
    <w:div w:id="764110065">
      <w:bodyDiv w:val="1"/>
      <w:marLeft w:val="0"/>
      <w:marRight w:val="0"/>
      <w:marTop w:val="0"/>
      <w:marBottom w:val="0"/>
      <w:divBdr>
        <w:top w:val="none" w:sz="0" w:space="0" w:color="auto"/>
        <w:left w:val="none" w:sz="0" w:space="0" w:color="auto"/>
        <w:bottom w:val="none" w:sz="0" w:space="0" w:color="auto"/>
        <w:right w:val="none" w:sz="0" w:space="0" w:color="auto"/>
      </w:divBdr>
    </w:div>
    <w:div w:id="768281029">
      <w:bodyDiv w:val="1"/>
      <w:marLeft w:val="0"/>
      <w:marRight w:val="0"/>
      <w:marTop w:val="0"/>
      <w:marBottom w:val="0"/>
      <w:divBdr>
        <w:top w:val="none" w:sz="0" w:space="0" w:color="auto"/>
        <w:left w:val="none" w:sz="0" w:space="0" w:color="auto"/>
        <w:bottom w:val="none" w:sz="0" w:space="0" w:color="auto"/>
        <w:right w:val="none" w:sz="0" w:space="0" w:color="auto"/>
      </w:divBdr>
    </w:div>
    <w:div w:id="787427616">
      <w:bodyDiv w:val="1"/>
      <w:marLeft w:val="0"/>
      <w:marRight w:val="0"/>
      <w:marTop w:val="0"/>
      <w:marBottom w:val="0"/>
      <w:divBdr>
        <w:top w:val="none" w:sz="0" w:space="0" w:color="auto"/>
        <w:left w:val="none" w:sz="0" w:space="0" w:color="auto"/>
        <w:bottom w:val="none" w:sz="0" w:space="0" w:color="auto"/>
        <w:right w:val="none" w:sz="0" w:space="0" w:color="auto"/>
      </w:divBdr>
    </w:div>
    <w:div w:id="799421519">
      <w:bodyDiv w:val="1"/>
      <w:marLeft w:val="0"/>
      <w:marRight w:val="0"/>
      <w:marTop w:val="0"/>
      <w:marBottom w:val="0"/>
      <w:divBdr>
        <w:top w:val="none" w:sz="0" w:space="0" w:color="auto"/>
        <w:left w:val="none" w:sz="0" w:space="0" w:color="auto"/>
        <w:bottom w:val="none" w:sz="0" w:space="0" w:color="auto"/>
        <w:right w:val="none" w:sz="0" w:space="0" w:color="auto"/>
      </w:divBdr>
    </w:div>
    <w:div w:id="800734958">
      <w:bodyDiv w:val="1"/>
      <w:marLeft w:val="0"/>
      <w:marRight w:val="0"/>
      <w:marTop w:val="0"/>
      <w:marBottom w:val="0"/>
      <w:divBdr>
        <w:top w:val="none" w:sz="0" w:space="0" w:color="auto"/>
        <w:left w:val="none" w:sz="0" w:space="0" w:color="auto"/>
        <w:bottom w:val="none" w:sz="0" w:space="0" w:color="auto"/>
        <w:right w:val="none" w:sz="0" w:space="0" w:color="auto"/>
      </w:divBdr>
    </w:div>
    <w:div w:id="833763095">
      <w:bodyDiv w:val="1"/>
      <w:marLeft w:val="0"/>
      <w:marRight w:val="0"/>
      <w:marTop w:val="0"/>
      <w:marBottom w:val="0"/>
      <w:divBdr>
        <w:top w:val="none" w:sz="0" w:space="0" w:color="auto"/>
        <w:left w:val="none" w:sz="0" w:space="0" w:color="auto"/>
        <w:bottom w:val="none" w:sz="0" w:space="0" w:color="auto"/>
        <w:right w:val="none" w:sz="0" w:space="0" w:color="auto"/>
      </w:divBdr>
    </w:div>
    <w:div w:id="903028561">
      <w:bodyDiv w:val="1"/>
      <w:marLeft w:val="0"/>
      <w:marRight w:val="0"/>
      <w:marTop w:val="0"/>
      <w:marBottom w:val="0"/>
      <w:divBdr>
        <w:top w:val="none" w:sz="0" w:space="0" w:color="auto"/>
        <w:left w:val="none" w:sz="0" w:space="0" w:color="auto"/>
        <w:bottom w:val="none" w:sz="0" w:space="0" w:color="auto"/>
        <w:right w:val="none" w:sz="0" w:space="0" w:color="auto"/>
      </w:divBdr>
    </w:div>
    <w:div w:id="936059390">
      <w:bodyDiv w:val="1"/>
      <w:marLeft w:val="0"/>
      <w:marRight w:val="0"/>
      <w:marTop w:val="0"/>
      <w:marBottom w:val="0"/>
      <w:divBdr>
        <w:top w:val="none" w:sz="0" w:space="0" w:color="auto"/>
        <w:left w:val="none" w:sz="0" w:space="0" w:color="auto"/>
        <w:bottom w:val="none" w:sz="0" w:space="0" w:color="auto"/>
        <w:right w:val="none" w:sz="0" w:space="0" w:color="auto"/>
      </w:divBdr>
    </w:div>
    <w:div w:id="938296301">
      <w:bodyDiv w:val="1"/>
      <w:marLeft w:val="0"/>
      <w:marRight w:val="0"/>
      <w:marTop w:val="0"/>
      <w:marBottom w:val="0"/>
      <w:divBdr>
        <w:top w:val="none" w:sz="0" w:space="0" w:color="auto"/>
        <w:left w:val="none" w:sz="0" w:space="0" w:color="auto"/>
        <w:bottom w:val="none" w:sz="0" w:space="0" w:color="auto"/>
        <w:right w:val="none" w:sz="0" w:space="0" w:color="auto"/>
      </w:divBdr>
    </w:div>
    <w:div w:id="1019281675">
      <w:bodyDiv w:val="1"/>
      <w:marLeft w:val="0"/>
      <w:marRight w:val="0"/>
      <w:marTop w:val="0"/>
      <w:marBottom w:val="0"/>
      <w:divBdr>
        <w:top w:val="none" w:sz="0" w:space="0" w:color="auto"/>
        <w:left w:val="none" w:sz="0" w:space="0" w:color="auto"/>
        <w:bottom w:val="none" w:sz="0" w:space="0" w:color="auto"/>
        <w:right w:val="none" w:sz="0" w:space="0" w:color="auto"/>
      </w:divBdr>
    </w:div>
    <w:div w:id="1028796850">
      <w:bodyDiv w:val="1"/>
      <w:marLeft w:val="0"/>
      <w:marRight w:val="0"/>
      <w:marTop w:val="0"/>
      <w:marBottom w:val="0"/>
      <w:divBdr>
        <w:top w:val="none" w:sz="0" w:space="0" w:color="auto"/>
        <w:left w:val="none" w:sz="0" w:space="0" w:color="auto"/>
        <w:bottom w:val="none" w:sz="0" w:space="0" w:color="auto"/>
        <w:right w:val="none" w:sz="0" w:space="0" w:color="auto"/>
      </w:divBdr>
    </w:div>
    <w:div w:id="1034310809">
      <w:bodyDiv w:val="1"/>
      <w:marLeft w:val="0"/>
      <w:marRight w:val="0"/>
      <w:marTop w:val="0"/>
      <w:marBottom w:val="0"/>
      <w:divBdr>
        <w:top w:val="none" w:sz="0" w:space="0" w:color="auto"/>
        <w:left w:val="none" w:sz="0" w:space="0" w:color="auto"/>
        <w:bottom w:val="none" w:sz="0" w:space="0" w:color="auto"/>
        <w:right w:val="none" w:sz="0" w:space="0" w:color="auto"/>
      </w:divBdr>
    </w:div>
    <w:div w:id="1039479304">
      <w:bodyDiv w:val="1"/>
      <w:marLeft w:val="0"/>
      <w:marRight w:val="0"/>
      <w:marTop w:val="0"/>
      <w:marBottom w:val="0"/>
      <w:divBdr>
        <w:top w:val="none" w:sz="0" w:space="0" w:color="auto"/>
        <w:left w:val="none" w:sz="0" w:space="0" w:color="auto"/>
        <w:bottom w:val="none" w:sz="0" w:space="0" w:color="auto"/>
        <w:right w:val="none" w:sz="0" w:space="0" w:color="auto"/>
      </w:divBdr>
    </w:div>
    <w:div w:id="1045255969">
      <w:bodyDiv w:val="1"/>
      <w:marLeft w:val="0"/>
      <w:marRight w:val="0"/>
      <w:marTop w:val="0"/>
      <w:marBottom w:val="0"/>
      <w:divBdr>
        <w:top w:val="none" w:sz="0" w:space="0" w:color="auto"/>
        <w:left w:val="none" w:sz="0" w:space="0" w:color="auto"/>
        <w:bottom w:val="none" w:sz="0" w:space="0" w:color="auto"/>
        <w:right w:val="none" w:sz="0" w:space="0" w:color="auto"/>
      </w:divBdr>
    </w:div>
    <w:div w:id="1057244041">
      <w:bodyDiv w:val="1"/>
      <w:marLeft w:val="0"/>
      <w:marRight w:val="0"/>
      <w:marTop w:val="0"/>
      <w:marBottom w:val="0"/>
      <w:divBdr>
        <w:top w:val="none" w:sz="0" w:space="0" w:color="auto"/>
        <w:left w:val="none" w:sz="0" w:space="0" w:color="auto"/>
        <w:bottom w:val="none" w:sz="0" w:space="0" w:color="auto"/>
        <w:right w:val="none" w:sz="0" w:space="0" w:color="auto"/>
      </w:divBdr>
    </w:div>
    <w:div w:id="1068067682">
      <w:bodyDiv w:val="1"/>
      <w:marLeft w:val="0"/>
      <w:marRight w:val="0"/>
      <w:marTop w:val="0"/>
      <w:marBottom w:val="0"/>
      <w:divBdr>
        <w:top w:val="none" w:sz="0" w:space="0" w:color="auto"/>
        <w:left w:val="none" w:sz="0" w:space="0" w:color="auto"/>
        <w:bottom w:val="none" w:sz="0" w:space="0" w:color="auto"/>
        <w:right w:val="none" w:sz="0" w:space="0" w:color="auto"/>
      </w:divBdr>
    </w:div>
    <w:div w:id="1085028318">
      <w:bodyDiv w:val="1"/>
      <w:marLeft w:val="0"/>
      <w:marRight w:val="0"/>
      <w:marTop w:val="0"/>
      <w:marBottom w:val="0"/>
      <w:divBdr>
        <w:top w:val="none" w:sz="0" w:space="0" w:color="auto"/>
        <w:left w:val="none" w:sz="0" w:space="0" w:color="auto"/>
        <w:bottom w:val="none" w:sz="0" w:space="0" w:color="auto"/>
        <w:right w:val="none" w:sz="0" w:space="0" w:color="auto"/>
      </w:divBdr>
    </w:div>
    <w:div w:id="1088693723">
      <w:bodyDiv w:val="1"/>
      <w:marLeft w:val="0"/>
      <w:marRight w:val="0"/>
      <w:marTop w:val="0"/>
      <w:marBottom w:val="0"/>
      <w:divBdr>
        <w:top w:val="none" w:sz="0" w:space="0" w:color="auto"/>
        <w:left w:val="none" w:sz="0" w:space="0" w:color="auto"/>
        <w:bottom w:val="none" w:sz="0" w:space="0" w:color="auto"/>
        <w:right w:val="none" w:sz="0" w:space="0" w:color="auto"/>
      </w:divBdr>
    </w:div>
    <w:div w:id="1120146934">
      <w:bodyDiv w:val="1"/>
      <w:marLeft w:val="0"/>
      <w:marRight w:val="0"/>
      <w:marTop w:val="0"/>
      <w:marBottom w:val="0"/>
      <w:divBdr>
        <w:top w:val="none" w:sz="0" w:space="0" w:color="auto"/>
        <w:left w:val="none" w:sz="0" w:space="0" w:color="auto"/>
        <w:bottom w:val="none" w:sz="0" w:space="0" w:color="auto"/>
        <w:right w:val="none" w:sz="0" w:space="0" w:color="auto"/>
      </w:divBdr>
    </w:div>
    <w:div w:id="1127697687">
      <w:bodyDiv w:val="1"/>
      <w:marLeft w:val="0"/>
      <w:marRight w:val="0"/>
      <w:marTop w:val="0"/>
      <w:marBottom w:val="0"/>
      <w:divBdr>
        <w:top w:val="none" w:sz="0" w:space="0" w:color="auto"/>
        <w:left w:val="none" w:sz="0" w:space="0" w:color="auto"/>
        <w:bottom w:val="none" w:sz="0" w:space="0" w:color="auto"/>
        <w:right w:val="none" w:sz="0" w:space="0" w:color="auto"/>
      </w:divBdr>
    </w:div>
    <w:div w:id="1156920421">
      <w:bodyDiv w:val="1"/>
      <w:marLeft w:val="0"/>
      <w:marRight w:val="0"/>
      <w:marTop w:val="0"/>
      <w:marBottom w:val="0"/>
      <w:divBdr>
        <w:top w:val="none" w:sz="0" w:space="0" w:color="auto"/>
        <w:left w:val="none" w:sz="0" w:space="0" w:color="auto"/>
        <w:bottom w:val="none" w:sz="0" w:space="0" w:color="auto"/>
        <w:right w:val="none" w:sz="0" w:space="0" w:color="auto"/>
      </w:divBdr>
    </w:div>
    <w:div w:id="1166943073">
      <w:bodyDiv w:val="1"/>
      <w:marLeft w:val="0"/>
      <w:marRight w:val="0"/>
      <w:marTop w:val="0"/>
      <w:marBottom w:val="0"/>
      <w:divBdr>
        <w:top w:val="none" w:sz="0" w:space="0" w:color="auto"/>
        <w:left w:val="none" w:sz="0" w:space="0" w:color="auto"/>
        <w:bottom w:val="none" w:sz="0" w:space="0" w:color="auto"/>
        <w:right w:val="none" w:sz="0" w:space="0" w:color="auto"/>
      </w:divBdr>
    </w:div>
    <w:div w:id="1168445445">
      <w:bodyDiv w:val="1"/>
      <w:marLeft w:val="0"/>
      <w:marRight w:val="0"/>
      <w:marTop w:val="0"/>
      <w:marBottom w:val="0"/>
      <w:divBdr>
        <w:top w:val="none" w:sz="0" w:space="0" w:color="auto"/>
        <w:left w:val="none" w:sz="0" w:space="0" w:color="auto"/>
        <w:bottom w:val="none" w:sz="0" w:space="0" w:color="auto"/>
        <w:right w:val="none" w:sz="0" w:space="0" w:color="auto"/>
      </w:divBdr>
    </w:div>
    <w:div w:id="1176454251">
      <w:bodyDiv w:val="1"/>
      <w:marLeft w:val="0"/>
      <w:marRight w:val="0"/>
      <w:marTop w:val="0"/>
      <w:marBottom w:val="0"/>
      <w:divBdr>
        <w:top w:val="none" w:sz="0" w:space="0" w:color="auto"/>
        <w:left w:val="none" w:sz="0" w:space="0" w:color="auto"/>
        <w:bottom w:val="none" w:sz="0" w:space="0" w:color="auto"/>
        <w:right w:val="none" w:sz="0" w:space="0" w:color="auto"/>
      </w:divBdr>
    </w:div>
    <w:div w:id="1182933251">
      <w:bodyDiv w:val="1"/>
      <w:marLeft w:val="0"/>
      <w:marRight w:val="0"/>
      <w:marTop w:val="0"/>
      <w:marBottom w:val="0"/>
      <w:divBdr>
        <w:top w:val="none" w:sz="0" w:space="0" w:color="auto"/>
        <w:left w:val="none" w:sz="0" w:space="0" w:color="auto"/>
        <w:bottom w:val="none" w:sz="0" w:space="0" w:color="auto"/>
        <w:right w:val="none" w:sz="0" w:space="0" w:color="auto"/>
      </w:divBdr>
    </w:div>
    <w:div w:id="1194339657">
      <w:bodyDiv w:val="1"/>
      <w:marLeft w:val="0"/>
      <w:marRight w:val="0"/>
      <w:marTop w:val="0"/>
      <w:marBottom w:val="0"/>
      <w:divBdr>
        <w:top w:val="none" w:sz="0" w:space="0" w:color="auto"/>
        <w:left w:val="none" w:sz="0" w:space="0" w:color="auto"/>
        <w:bottom w:val="none" w:sz="0" w:space="0" w:color="auto"/>
        <w:right w:val="none" w:sz="0" w:space="0" w:color="auto"/>
      </w:divBdr>
    </w:div>
    <w:div w:id="1212307552">
      <w:bodyDiv w:val="1"/>
      <w:marLeft w:val="0"/>
      <w:marRight w:val="0"/>
      <w:marTop w:val="0"/>
      <w:marBottom w:val="0"/>
      <w:divBdr>
        <w:top w:val="none" w:sz="0" w:space="0" w:color="auto"/>
        <w:left w:val="none" w:sz="0" w:space="0" w:color="auto"/>
        <w:bottom w:val="none" w:sz="0" w:space="0" w:color="auto"/>
        <w:right w:val="none" w:sz="0" w:space="0" w:color="auto"/>
      </w:divBdr>
    </w:div>
    <w:div w:id="1213420257">
      <w:bodyDiv w:val="1"/>
      <w:marLeft w:val="0"/>
      <w:marRight w:val="0"/>
      <w:marTop w:val="0"/>
      <w:marBottom w:val="0"/>
      <w:divBdr>
        <w:top w:val="none" w:sz="0" w:space="0" w:color="auto"/>
        <w:left w:val="none" w:sz="0" w:space="0" w:color="auto"/>
        <w:bottom w:val="none" w:sz="0" w:space="0" w:color="auto"/>
        <w:right w:val="none" w:sz="0" w:space="0" w:color="auto"/>
      </w:divBdr>
    </w:div>
    <w:div w:id="1220945340">
      <w:bodyDiv w:val="1"/>
      <w:marLeft w:val="0"/>
      <w:marRight w:val="0"/>
      <w:marTop w:val="0"/>
      <w:marBottom w:val="0"/>
      <w:divBdr>
        <w:top w:val="none" w:sz="0" w:space="0" w:color="auto"/>
        <w:left w:val="none" w:sz="0" w:space="0" w:color="auto"/>
        <w:bottom w:val="none" w:sz="0" w:space="0" w:color="auto"/>
        <w:right w:val="none" w:sz="0" w:space="0" w:color="auto"/>
      </w:divBdr>
    </w:div>
    <w:div w:id="1232472257">
      <w:bodyDiv w:val="1"/>
      <w:marLeft w:val="0"/>
      <w:marRight w:val="0"/>
      <w:marTop w:val="0"/>
      <w:marBottom w:val="0"/>
      <w:divBdr>
        <w:top w:val="none" w:sz="0" w:space="0" w:color="auto"/>
        <w:left w:val="none" w:sz="0" w:space="0" w:color="auto"/>
        <w:bottom w:val="none" w:sz="0" w:space="0" w:color="auto"/>
        <w:right w:val="none" w:sz="0" w:space="0" w:color="auto"/>
      </w:divBdr>
    </w:div>
    <w:div w:id="1233934158">
      <w:bodyDiv w:val="1"/>
      <w:marLeft w:val="0"/>
      <w:marRight w:val="0"/>
      <w:marTop w:val="0"/>
      <w:marBottom w:val="0"/>
      <w:divBdr>
        <w:top w:val="none" w:sz="0" w:space="0" w:color="auto"/>
        <w:left w:val="none" w:sz="0" w:space="0" w:color="auto"/>
        <w:bottom w:val="none" w:sz="0" w:space="0" w:color="auto"/>
        <w:right w:val="none" w:sz="0" w:space="0" w:color="auto"/>
      </w:divBdr>
    </w:div>
    <w:div w:id="1234394475">
      <w:bodyDiv w:val="1"/>
      <w:marLeft w:val="0"/>
      <w:marRight w:val="0"/>
      <w:marTop w:val="0"/>
      <w:marBottom w:val="0"/>
      <w:divBdr>
        <w:top w:val="none" w:sz="0" w:space="0" w:color="auto"/>
        <w:left w:val="none" w:sz="0" w:space="0" w:color="auto"/>
        <w:bottom w:val="none" w:sz="0" w:space="0" w:color="auto"/>
        <w:right w:val="none" w:sz="0" w:space="0" w:color="auto"/>
      </w:divBdr>
    </w:div>
    <w:div w:id="1274703530">
      <w:bodyDiv w:val="1"/>
      <w:marLeft w:val="0"/>
      <w:marRight w:val="0"/>
      <w:marTop w:val="0"/>
      <w:marBottom w:val="0"/>
      <w:divBdr>
        <w:top w:val="none" w:sz="0" w:space="0" w:color="auto"/>
        <w:left w:val="none" w:sz="0" w:space="0" w:color="auto"/>
        <w:bottom w:val="none" w:sz="0" w:space="0" w:color="auto"/>
        <w:right w:val="none" w:sz="0" w:space="0" w:color="auto"/>
      </w:divBdr>
    </w:div>
    <w:div w:id="1281105048">
      <w:bodyDiv w:val="1"/>
      <w:marLeft w:val="0"/>
      <w:marRight w:val="0"/>
      <w:marTop w:val="0"/>
      <w:marBottom w:val="0"/>
      <w:divBdr>
        <w:top w:val="none" w:sz="0" w:space="0" w:color="auto"/>
        <w:left w:val="none" w:sz="0" w:space="0" w:color="auto"/>
        <w:bottom w:val="none" w:sz="0" w:space="0" w:color="auto"/>
        <w:right w:val="none" w:sz="0" w:space="0" w:color="auto"/>
      </w:divBdr>
    </w:div>
    <w:div w:id="1282222769">
      <w:bodyDiv w:val="1"/>
      <w:marLeft w:val="0"/>
      <w:marRight w:val="0"/>
      <w:marTop w:val="0"/>
      <w:marBottom w:val="0"/>
      <w:divBdr>
        <w:top w:val="none" w:sz="0" w:space="0" w:color="auto"/>
        <w:left w:val="none" w:sz="0" w:space="0" w:color="auto"/>
        <w:bottom w:val="none" w:sz="0" w:space="0" w:color="auto"/>
        <w:right w:val="none" w:sz="0" w:space="0" w:color="auto"/>
      </w:divBdr>
    </w:div>
    <w:div w:id="1292132144">
      <w:bodyDiv w:val="1"/>
      <w:marLeft w:val="0"/>
      <w:marRight w:val="0"/>
      <w:marTop w:val="0"/>
      <w:marBottom w:val="0"/>
      <w:divBdr>
        <w:top w:val="none" w:sz="0" w:space="0" w:color="auto"/>
        <w:left w:val="none" w:sz="0" w:space="0" w:color="auto"/>
        <w:bottom w:val="none" w:sz="0" w:space="0" w:color="auto"/>
        <w:right w:val="none" w:sz="0" w:space="0" w:color="auto"/>
      </w:divBdr>
    </w:div>
    <w:div w:id="1309169604">
      <w:bodyDiv w:val="1"/>
      <w:marLeft w:val="0"/>
      <w:marRight w:val="0"/>
      <w:marTop w:val="0"/>
      <w:marBottom w:val="0"/>
      <w:divBdr>
        <w:top w:val="none" w:sz="0" w:space="0" w:color="auto"/>
        <w:left w:val="none" w:sz="0" w:space="0" w:color="auto"/>
        <w:bottom w:val="none" w:sz="0" w:space="0" w:color="auto"/>
        <w:right w:val="none" w:sz="0" w:space="0" w:color="auto"/>
      </w:divBdr>
    </w:div>
    <w:div w:id="1318800956">
      <w:bodyDiv w:val="1"/>
      <w:marLeft w:val="0"/>
      <w:marRight w:val="0"/>
      <w:marTop w:val="0"/>
      <w:marBottom w:val="0"/>
      <w:divBdr>
        <w:top w:val="none" w:sz="0" w:space="0" w:color="auto"/>
        <w:left w:val="none" w:sz="0" w:space="0" w:color="auto"/>
        <w:bottom w:val="none" w:sz="0" w:space="0" w:color="auto"/>
        <w:right w:val="none" w:sz="0" w:space="0" w:color="auto"/>
      </w:divBdr>
    </w:div>
    <w:div w:id="1340885415">
      <w:bodyDiv w:val="1"/>
      <w:marLeft w:val="0"/>
      <w:marRight w:val="0"/>
      <w:marTop w:val="0"/>
      <w:marBottom w:val="0"/>
      <w:divBdr>
        <w:top w:val="none" w:sz="0" w:space="0" w:color="auto"/>
        <w:left w:val="none" w:sz="0" w:space="0" w:color="auto"/>
        <w:bottom w:val="none" w:sz="0" w:space="0" w:color="auto"/>
        <w:right w:val="none" w:sz="0" w:space="0" w:color="auto"/>
      </w:divBdr>
    </w:div>
    <w:div w:id="1357006738">
      <w:bodyDiv w:val="1"/>
      <w:marLeft w:val="0"/>
      <w:marRight w:val="0"/>
      <w:marTop w:val="0"/>
      <w:marBottom w:val="0"/>
      <w:divBdr>
        <w:top w:val="none" w:sz="0" w:space="0" w:color="auto"/>
        <w:left w:val="none" w:sz="0" w:space="0" w:color="auto"/>
        <w:bottom w:val="none" w:sz="0" w:space="0" w:color="auto"/>
        <w:right w:val="none" w:sz="0" w:space="0" w:color="auto"/>
      </w:divBdr>
    </w:div>
    <w:div w:id="1357392446">
      <w:bodyDiv w:val="1"/>
      <w:marLeft w:val="0"/>
      <w:marRight w:val="0"/>
      <w:marTop w:val="0"/>
      <w:marBottom w:val="0"/>
      <w:divBdr>
        <w:top w:val="none" w:sz="0" w:space="0" w:color="auto"/>
        <w:left w:val="none" w:sz="0" w:space="0" w:color="auto"/>
        <w:bottom w:val="none" w:sz="0" w:space="0" w:color="auto"/>
        <w:right w:val="none" w:sz="0" w:space="0" w:color="auto"/>
      </w:divBdr>
    </w:div>
    <w:div w:id="1358431673">
      <w:bodyDiv w:val="1"/>
      <w:marLeft w:val="0"/>
      <w:marRight w:val="0"/>
      <w:marTop w:val="0"/>
      <w:marBottom w:val="0"/>
      <w:divBdr>
        <w:top w:val="none" w:sz="0" w:space="0" w:color="auto"/>
        <w:left w:val="none" w:sz="0" w:space="0" w:color="auto"/>
        <w:bottom w:val="none" w:sz="0" w:space="0" w:color="auto"/>
        <w:right w:val="none" w:sz="0" w:space="0" w:color="auto"/>
      </w:divBdr>
    </w:div>
    <w:div w:id="1360550954">
      <w:bodyDiv w:val="1"/>
      <w:marLeft w:val="0"/>
      <w:marRight w:val="0"/>
      <w:marTop w:val="0"/>
      <w:marBottom w:val="0"/>
      <w:divBdr>
        <w:top w:val="none" w:sz="0" w:space="0" w:color="auto"/>
        <w:left w:val="none" w:sz="0" w:space="0" w:color="auto"/>
        <w:bottom w:val="none" w:sz="0" w:space="0" w:color="auto"/>
        <w:right w:val="none" w:sz="0" w:space="0" w:color="auto"/>
      </w:divBdr>
    </w:div>
    <w:div w:id="1368989159">
      <w:bodyDiv w:val="1"/>
      <w:marLeft w:val="0"/>
      <w:marRight w:val="0"/>
      <w:marTop w:val="0"/>
      <w:marBottom w:val="0"/>
      <w:divBdr>
        <w:top w:val="none" w:sz="0" w:space="0" w:color="auto"/>
        <w:left w:val="none" w:sz="0" w:space="0" w:color="auto"/>
        <w:bottom w:val="none" w:sz="0" w:space="0" w:color="auto"/>
        <w:right w:val="none" w:sz="0" w:space="0" w:color="auto"/>
      </w:divBdr>
    </w:div>
    <w:div w:id="1374428599">
      <w:bodyDiv w:val="1"/>
      <w:marLeft w:val="0"/>
      <w:marRight w:val="0"/>
      <w:marTop w:val="0"/>
      <w:marBottom w:val="0"/>
      <w:divBdr>
        <w:top w:val="none" w:sz="0" w:space="0" w:color="auto"/>
        <w:left w:val="none" w:sz="0" w:space="0" w:color="auto"/>
        <w:bottom w:val="none" w:sz="0" w:space="0" w:color="auto"/>
        <w:right w:val="none" w:sz="0" w:space="0" w:color="auto"/>
      </w:divBdr>
    </w:div>
    <w:div w:id="1388721888">
      <w:bodyDiv w:val="1"/>
      <w:marLeft w:val="0"/>
      <w:marRight w:val="0"/>
      <w:marTop w:val="0"/>
      <w:marBottom w:val="0"/>
      <w:divBdr>
        <w:top w:val="none" w:sz="0" w:space="0" w:color="auto"/>
        <w:left w:val="none" w:sz="0" w:space="0" w:color="auto"/>
        <w:bottom w:val="none" w:sz="0" w:space="0" w:color="auto"/>
        <w:right w:val="none" w:sz="0" w:space="0" w:color="auto"/>
      </w:divBdr>
    </w:div>
    <w:div w:id="1392389493">
      <w:bodyDiv w:val="1"/>
      <w:marLeft w:val="0"/>
      <w:marRight w:val="0"/>
      <w:marTop w:val="0"/>
      <w:marBottom w:val="0"/>
      <w:divBdr>
        <w:top w:val="none" w:sz="0" w:space="0" w:color="auto"/>
        <w:left w:val="none" w:sz="0" w:space="0" w:color="auto"/>
        <w:bottom w:val="none" w:sz="0" w:space="0" w:color="auto"/>
        <w:right w:val="none" w:sz="0" w:space="0" w:color="auto"/>
      </w:divBdr>
    </w:div>
    <w:div w:id="1400904519">
      <w:bodyDiv w:val="1"/>
      <w:marLeft w:val="0"/>
      <w:marRight w:val="0"/>
      <w:marTop w:val="0"/>
      <w:marBottom w:val="0"/>
      <w:divBdr>
        <w:top w:val="none" w:sz="0" w:space="0" w:color="auto"/>
        <w:left w:val="none" w:sz="0" w:space="0" w:color="auto"/>
        <w:bottom w:val="none" w:sz="0" w:space="0" w:color="auto"/>
        <w:right w:val="none" w:sz="0" w:space="0" w:color="auto"/>
      </w:divBdr>
    </w:div>
    <w:div w:id="1406806830">
      <w:bodyDiv w:val="1"/>
      <w:marLeft w:val="0"/>
      <w:marRight w:val="0"/>
      <w:marTop w:val="0"/>
      <w:marBottom w:val="0"/>
      <w:divBdr>
        <w:top w:val="none" w:sz="0" w:space="0" w:color="auto"/>
        <w:left w:val="none" w:sz="0" w:space="0" w:color="auto"/>
        <w:bottom w:val="none" w:sz="0" w:space="0" w:color="auto"/>
        <w:right w:val="none" w:sz="0" w:space="0" w:color="auto"/>
      </w:divBdr>
    </w:div>
    <w:div w:id="1414858392">
      <w:bodyDiv w:val="1"/>
      <w:marLeft w:val="0"/>
      <w:marRight w:val="0"/>
      <w:marTop w:val="0"/>
      <w:marBottom w:val="0"/>
      <w:divBdr>
        <w:top w:val="none" w:sz="0" w:space="0" w:color="auto"/>
        <w:left w:val="none" w:sz="0" w:space="0" w:color="auto"/>
        <w:bottom w:val="none" w:sz="0" w:space="0" w:color="auto"/>
        <w:right w:val="none" w:sz="0" w:space="0" w:color="auto"/>
      </w:divBdr>
    </w:div>
    <w:div w:id="1445269907">
      <w:bodyDiv w:val="1"/>
      <w:marLeft w:val="0"/>
      <w:marRight w:val="0"/>
      <w:marTop w:val="0"/>
      <w:marBottom w:val="0"/>
      <w:divBdr>
        <w:top w:val="none" w:sz="0" w:space="0" w:color="auto"/>
        <w:left w:val="none" w:sz="0" w:space="0" w:color="auto"/>
        <w:bottom w:val="none" w:sz="0" w:space="0" w:color="auto"/>
        <w:right w:val="none" w:sz="0" w:space="0" w:color="auto"/>
      </w:divBdr>
    </w:div>
    <w:div w:id="1490054202">
      <w:bodyDiv w:val="1"/>
      <w:marLeft w:val="0"/>
      <w:marRight w:val="0"/>
      <w:marTop w:val="0"/>
      <w:marBottom w:val="0"/>
      <w:divBdr>
        <w:top w:val="none" w:sz="0" w:space="0" w:color="auto"/>
        <w:left w:val="none" w:sz="0" w:space="0" w:color="auto"/>
        <w:bottom w:val="none" w:sz="0" w:space="0" w:color="auto"/>
        <w:right w:val="none" w:sz="0" w:space="0" w:color="auto"/>
      </w:divBdr>
    </w:div>
    <w:div w:id="1493259935">
      <w:bodyDiv w:val="1"/>
      <w:marLeft w:val="0"/>
      <w:marRight w:val="0"/>
      <w:marTop w:val="0"/>
      <w:marBottom w:val="0"/>
      <w:divBdr>
        <w:top w:val="none" w:sz="0" w:space="0" w:color="auto"/>
        <w:left w:val="none" w:sz="0" w:space="0" w:color="auto"/>
        <w:bottom w:val="none" w:sz="0" w:space="0" w:color="auto"/>
        <w:right w:val="none" w:sz="0" w:space="0" w:color="auto"/>
      </w:divBdr>
    </w:div>
    <w:div w:id="1543858910">
      <w:bodyDiv w:val="1"/>
      <w:marLeft w:val="0"/>
      <w:marRight w:val="0"/>
      <w:marTop w:val="0"/>
      <w:marBottom w:val="0"/>
      <w:divBdr>
        <w:top w:val="none" w:sz="0" w:space="0" w:color="auto"/>
        <w:left w:val="none" w:sz="0" w:space="0" w:color="auto"/>
        <w:bottom w:val="none" w:sz="0" w:space="0" w:color="auto"/>
        <w:right w:val="none" w:sz="0" w:space="0" w:color="auto"/>
      </w:divBdr>
    </w:div>
    <w:div w:id="1558275258">
      <w:bodyDiv w:val="1"/>
      <w:marLeft w:val="0"/>
      <w:marRight w:val="0"/>
      <w:marTop w:val="0"/>
      <w:marBottom w:val="0"/>
      <w:divBdr>
        <w:top w:val="none" w:sz="0" w:space="0" w:color="auto"/>
        <w:left w:val="none" w:sz="0" w:space="0" w:color="auto"/>
        <w:bottom w:val="none" w:sz="0" w:space="0" w:color="auto"/>
        <w:right w:val="none" w:sz="0" w:space="0" w:color="auto"/>
      </w:divBdr>
    </w:div>
    <w:div w:id="1568303109">
      <w:bodyDiv w:val="1"/>
      <w:marLeft w:val="0"/>
      <w:marRight w:val="0"/>
      <w:marTop w:val="0"/>
      <w:marBottom w:val="0"/>
      <w:divBdr>
        <w:top w:val="none" w:sz="0" w:space="0" w:color="auto"/>
        <w:left w:val="none" w:sz="0" w:space="0" w:color="auto"/>
        <w:bottom w:val="none" w:sz="0" w:space="0" w:color="auto"/>
        <w:right w:val="none" w:sz="0" w:space="0" w:color="auto"/>
      </w:divBdr>
    </w:div>
    <w:div w:id="1615941534">
      <w:bodyDiv w:val="1"/>
      <w:marLeft w:val="0"/>
      <w:marRight w:val="0"/>
      <w:marTop w:val="0"/>
      <w:marBottom w:val="0"/>
      <w:divBdr>
        <w:top w:val="none" w:sz="0" w:space="0" w:color="auto"/>
        <w:left w:val="none" w:sz="0" w:space="0" w:color="auto"/>
        <w:bottom w:val="none" w:sz="0" w:space="0" w:color="auto"/>
        <w:right w:val="none" w:sz="0" w:space="0" w:color="auto"/>
      </w:divBdr>
    </w:div>
    <w:div w:id="1642686971">
      <w:bodyDiv w:val="1"/>
      <w:marLeft w:val="0"/>
      <w:marRight w:val="0"/>
      <w:marTop w:val="0"/>
      <w:marBottom w:val="0"/>
      <w:divBdr>
        <w:top w:val="none" w:sz="0" w:space="0" w:color="auto"/>
        <w:left w:val="none" w:sz="0" w:space="0" w:color="auto"/>
        <w:bottom w:val="none" w:sz="0" w:space="0" w:color="auto"/>
        <w:right w:val="none" w:sz="0" w:space="0" w:color="auto"/>
      </w:divBdr>
    </w:div>
    <w:div w:id="1655523150">
      <w:bodyDiv w:val="1"/>
      <w:marLeft w:val="0"/>
      <w:marRight w:val="0"/>
      <w:marTop w:val="0"/>
      <w:marBottom w:val="0"/>
      <w:divBdr>
        <w:top w:val="none" w:sz="0" w:space="0" w:color="auto"/>
        <w:left w:val="none" w:sz="0" w:space="0" w:color="auto"/>
        <w:bottom w:val="none" w:sz="0" w:space="0" w:color="auto"/>
        <w:right w:val="none" w:sz="0" w:space="0" w:color="auto"/>
      </w:divBdr>
    </w:div>
    <w:div w:id="1687898903">
      <w:bodyDiv w:val="1"/>
      <w:marLeft w:val="0"/>
      <w:marRight w:val="0"/>
      <w:marTop w:val="0"/>
      <w:marBottom w:val="0"/>
      <w:divBdr>
        <w:top w:val="none" w:sz="0" w:space="0" w:color="auto"/>
        <w:left w:val="none" w:sz="0" w:space="0" w:color="auto"/>
        <w:bottom w:val="none" w:sz="0" w:space="0" w:color="auto"/>
        <w:right w:val="none" w:sz="0" w:space="0" w:color="auto"/>
      </w:divBdr>
    </w:div>
    <w:div w:id="1695382261">
      <w:bodyDiv w:val="1"/>
      <w:marLeft w:val="0"/>
      <w:marRight w:val="0"/>
      <w:marTop w:val="0"/>
      <w:marBottom w:val="0"/>
      <w:divBdr>
        <w:top w:val="none" w:sz="0" w:space="0" w:color="auto"/>
        <w:left w:val="none" w:sz="0" w:space="0" w:color="auto"/>
        <w:bottom w:val="none" w:sz="0" w:space="0" w:color="auto"/>
        <w:right w:val="none" w:sz="0" w:space="0" w:color="auto"/>
      </w:divBdr>
    </w:div>
    <w:div w:id="1716658753">
      <w:bodyDiv w:val="1"/>
      <w:marLeft w:val="0"/>
      <w:marRight w:val="0"/>
      <w:marTop w:val="0"/>
      <w:marBottom w:val="0"/>
      <w:divBdr>
        <w:top w:val="none" w:sz="0" w:space="0" w:color="auto"/>
        <w:left w:val="none" w:sz="0" w:space="0" w:color="auto"/>
        <w:bottom w:val="none" w:sz="0" w:space="0" w:color="auto"/>
        <w:right w:val="none" w:sz="0" w:space="0" w:color="auto"/>
      </w:divBdr>
    </w:div>
    <w:div w:id="1724332994">
      <w:bodyDiv w:val="1"/>
      <w:marLeft w:val="0"/>
      <w:marRight w:val="0"/>
      <w:marTop w:val="0"/>
      <w:marBottom w:val="0"/>
      <w:divBdr>
        <w:top w:val="none" w:sz="0" w:space="0" w:color="auto"/>
        <w:left w:val="none" w:sz="0" w:space="0" w:color="auto"/>
        <w:bottom w:val="none" w:sz="0" w:space="0" w:color="auto"/>
        <w:right w:val="none" w:sz="0" w:space="0" w:color="auto"/>
      </w:divBdr>
    </w:div>
    <w:div w:id="1742482749">
      <w:bodyDiv w:val="1"/>
      <w:marLeft w:val="0"/>
      <w:marRight w:val="0"/>
      <w:marTop w:val="0"/>
      <w:marBottom w:val="0"/>
      <w:divBdr>
        <w:top w:val="none" w:sz="0" w:space="0" w:color="auto"/>
        <w:left w:val="none" w:sz="0" w:space="0" w:color="auto"/>
        <w:bottom w:val="none" w:sz="0" w:space="0" w:color="auto"/>
        <w:right w:val="none" w:sz="0" w:space="0" w:color="auto"/>
      </w:divBdr>
    </w:div>
    <w:div w:id="1747535317">
      <w:bodyDiv w:val="1"/>
      <w:marLeft w:val="0"/>
      <w:marRight w:val="0"/>
      <w:marTop w:val="0"/>
      <w:marBottom w:val="0"/>
      <w:divBdr>
        <w:top w:val="none" w:sz="0" w:space="0" w:color="auto"/>
        <w:left w:val="none" w:sz="0" w:space="0" w:color="auto"/>
        <w:bottom w:val="none" w:sz="0" w:space="0" w:color="auto"/>
        <w:right w:val="none" w:sz="0" w:space="0" w:color="auto"/>
      </w:divBdr>
    </w:div>
    <w:div w:id="1751807728">
      <w:bodyDiv w:val="1"/>
      <w:marLeft w:val="0"/>
      <w:marRight w:val="0"/>
      <w:marTop w:val="0"/>
      <w:marBottom w:val="0"/>
      <w:divBdr>
        <w:top w:val="none" w:sz="0" w:space="0" w:color="auto"/>
        <w:left w:val="none" w:sz="0" w:space="0" w:color="auto"/>
        <w:bottom w:val="none" w:sz="0" w:space="0" w:color="auto"/>
        <w:right w:val="none" w:sz="0" w:space="0" w:color="auto"/>
      </w:divBdr>
    </w:div>
    <w:div w:id="1761292922">
      <w:bodyDiv w:val="1"/>
      <w:marLeft w:val="0"/>
      <w:marRight w:val="0"/>
      <w:marTop w:val="0"/>
      <w:marBottom w:val="0"/>
      <w:divBdr>
        <w:top w:val="none" w:sz="0" w:space="0" w:color="auto"/>
        <w:left w:val="none" w:sz="0" w:space="0" w:color="auto"/>
        <w:bottom w:val="none" w:sz="0" w:space="0" w:color="auto"/>
        <w:right w:val="none" w:sz="0" w:space="0" w:color="auto"/>
      </w:divBdr>
    </w:div>
    <w:div w:id="1762142151">
      <w:bodyDiv w:val="1"/>
      <w:marLeft w:val="0"/>
      <w:marRight w:val="0"/>
      <w:marTop w:val="0"/>
      <w:marBottom w:val="0"/>
      <w:divBdr>
        <w:top w:val="none" w:sz="0" w:space="0" w:color="auto"/>
        <w:left w:val="none" w:sz="0" w:space="0" w:color="auto"/>
        <w:bottom w:val="none" w:sz="0" w:space="0" w:color="auto"/>
        <w:right w:val="none" w:sz="0" w:space="0" w:color="auto"/>
      </w:divBdr>
    </w:div>
    <w:div w:id="1762263524">
      <w:bodyDiv w:val="1"/>
      <w:marLeft w:val="0"/>
      <w:marRight w:val="0"/>
      <w:marTop w:val="0"/>
      <w:marBottom w:val="0"/>
      <w:divBdr>
        <w:top w:val="none" w:sz="0" w:space="0" w:color="auto"/>
        <w:left w:val="none" w:sz="0" w:space="0" w:color="auto"/>
        <w:bottom w:val="none" w:sz="0" w:space="0" w:color="auto"/>
        <w:right w:val="none" w:sz="0" w:space="0" w:color="auto"/>
      </w:divBdr>
    </w:div>
    <w:div w:id="1763794593">
      <w:bodyDiv w:val="1"/>
      <w:marLeft w:val="0"/>
      <w:marRight w:val="0"/>
      <w:marTop w:val="0"/>
      <w:marBottom w:val="0"/>
      <w:divBdr>
        <w:top w:val="none" w:sz="0" w:space="0" w:color="auto"/>
        <w:left w:val="none" w:sz="0" w:space="0" w:color="auto"/>
        <w:bottom w:val="none" w:sz="0" w:space="0" w:color="auto"/>
        <w:right w:val="none" w:sz="0" w:space="0" w:color="auto"/>
      </w:divBdr>
    </w:div>
    <w:div w:id="1806313703">
      <w:bodyDiv w:val="1"/>
      <w:marLeft w:val="0"/>
      <w:marRight w:val="0"/>
      <w:marTop w:val="0"/>
      <w:marBottom w:val="0"/>
      <w:divBdr>
        <w:top w:val="none" w:sz="0" w:space="0" w:color="auto"/>
        <w:left w:val="none" w:sz="0" w:space="0" w:color="auto"/>
        <w:bottom w:val="none" w:sz="0" w:space="0" w:color="auto"/>
        <w:right w:val="none" w:sz="0" w:space="0" w:color="auto"/>
      </w:divBdr>
    </w:div>
    <w:div w:id="1809543929">
      <w:bodyDiv w:val="1"/>
      <w:marLeft w:val="0"/>
      <w:marRight w:val="0"/>
      <w:marTop w:val="0"/>
      <w:marBottom w:val="0"/>
      <w:divBdr>
        <w:top w:val="none" w:sz="0" w:space="0" w:color="auto"/>
        <w:left w:val="none" w:sz="0" w:space="0" w:color="auto"/>
        <w:bottom w:val="none" w:sz="0" w:space="0" w:color="auto"/>
        <w:right w:val="none" w:sz="0" w:space="0" w:color="auto"/>
      </w:divBdr>
    </w:div>
    <w:div w:id="1816558720">
      <w:bodyDiv w:val="1"/>
      <w:marLeft w:val="0"/>
      <w:marRight w:val="0"/>
      <w:marTop w:val="0"/>
      <w:marBottom w:val="0"/>
      <w:divBdr>
        <w:top w:val="none" w:sz="0" w:space="0" w:color="auto"/>
        <w:left w:val="none" w:sz="0" w:space="0" w:color="auto"/>
        <w:bottom w:val="none" w:sz="0" w:space="0" w:color="auto"/>
        <w:right w:val="none" w:sz="0" w:space="0" w:color="auto"/>
      </w:divBdr>
    </w:div>
    <w:div w:id="1818037509">
      <w:bodyDiv w:val="1"/>
      <w:marLeft w:val="0"/>
      <w:marRight w:val="0"/>
      <w:marTop w:val="0"/>
      <w:marBottom w:val="0"/>
      <w:divBdr>
        <w:top w:val="none" w:sz="0" w:space="0" w:color="auto"/>
        <w:left w:val="none" w:sz="0" w:space="0" w:color="auto"/>
        <w:bottom w:val="none" w:sz="0" w:space="0" w:color="auto"/>
        <w:right w:val="none" w:sz="0" w:space="0" w:color="auto"/>
      </w:divBdr>
    </w:div>
    <w:div w:id="1859006819">
      <w:bodyDiv w:val="1"/>
      <w:marLeft w:val="0"/>
      <w:marRight w:val="0"/>
      <w:marTop w:val="0"/>
      <w:marBottom w:val="0"/>
      <w:divBdr>
        <w:top w:val="none" w:sz="0" w:space="0" w:color="auto"/>
        <w:left w:val="none" w:sz="0" w:space="0" w:color="auto"/>
        <w:bottom w:val="none" w:sz="0" w:space="0" w:color="auto"/>
        <w:right w:val="none" w:sz="0" w:space="0" w:color="auto"/>
      </w:divBdr>
    </w:div>
    <w:div w:id="1860385505">
      <w:bodyDiv w:val="1"/>
      <w:marLeft w:val="0"/>
      <w:marRight w:val="0"/>
      <w:marTop w:val="0"/>
      <w:marBottom w:val="0"/>
      <w:divBdr>
        <w:top w:val="none" w:sz="0" w:space="0" w:color="auto"/>
        <w:left w:val="none" w:sz="0" w:space="0" w:color="auto"/>
        <w:bottom w:val="none" w:sz="0" w:space="0" w:color="auto"/>
        <w:right w:val="none" w:sz="0" w:space="0" w:color="auto"/>
      </w:divBdr>
    </w:div>
    <w:div w:id="1861358528">
      <w:bodyDiv w:val="1"/>
      <w:marLeft w:val="0"/>
      <w:marRight w:val="0"/>
      <w:marTop w:val="0"/>
      <w:marBottom w:val="0"/>
      <w:divBdr>
        <w:top w:val="none" w:sz="0" w:space="0" w:color="auto"/>
        <w:left w:val="none" w:sz="0" w:space="0" w:color="auto"/>
        <w:bottom w:val="none" w:sz="0" w:space="0" w:color="auto"/>
        <w:right w:val="none" w:sz="0" w:space="0" w:color="auto"/>
      </w:divBdr>
    </w:div>
    <w:div w:id="1861509844">
      <w:bodyDiv w:val="1"/>
      <w:marLeft w:val="0"/>
      <w:marRight w:val="0"/>
      <w:marTop w:val="0"/>
      <w:marBottom w:val="0"/>
      <w:divBdr>
        <w:top w:val="none" w:sz="0" w:space="0" w:color="auto"/>
        <w:left w:val="none" w:sz="0" w:space="0" w:color="auto"/>
        <w:bottom w:val="none" w:sz="0" w:space="0" w:color="auto"/>
        <w:right w:val="none" w:sz="0" w:space="0" w:color="auto"/>
      </w:divBdr>
    </w:div>
    <w:div w:id="1865170605">
      <w:bodyDiv w:val="1"/>
      <w:marLeft w:val="0"/>
      <w:marRight w:val="0"/>
      <w:marTop w:val="0"/>
      <w:marBottom w:val="0"/>
      <w:divBdr>
        <w:top w:val="none" w:sz="0" w:space="0" w:color="auto"/>
        <w:left w:val="none" w:sz="0" w:space="0" w:color="auto"/>
        <w:bottom w:val="none" w:sz="0" w:space="0" w:color="auto"/>
        <w:right w:val="none" w:sz="0" w:space="0" w:color="auto"/>
      </w:divBdr>
    </w:div>
    <w:div w:id="1874922632">
      <w:bodyDiv w:val="1"/>
      <w:marLeft w:val="0"/>
      <w:marRight w:val="0"/>
      <w:marTop w:val="0"/>
      <w:marBottom w:val="0"/>
      <w:divBdr>
        <w:top w:val="none" w:sz="0" w:space="0" w:color="auto"/>
        <w:left w:val="none" w:sz="0" w:space="0" w:color="auto"/>
        <w:bottom w:val="none" w:sz="0" w:space="0" w:color="auto"/>
        <w:right w:val="none" w:sz="0" w:space="0" w:color="auto"/>
      </w:divBdr>
    </w:div>
    <w:div w:id="1891844880">
      <w:bodyDiv w:val="1"/>
      <w:marLeft w:val="0"/>
      <w:marRight w:val="0"/>
      <w:marTop w:val="0"/>
      <w:marBottom w:val="0"/>
      <w:divBdr>
        <w:top w:val="none" w:sz="0" w:space="0" w:color="auto"/>
        <w:left w:val="none" w:sz="0" w:space="0" w:color="auto"/>
        <w:bottom w:val="none" w:sz="0" w:space="0" w:color="auto"/>
        <w:right w:val="none" w:sz="0" w:space="0" w:color="auto"/>
      </w:divBdr>
    </w:div>
    <w:div w:id="1918444386">
      <w:bodyDiv w:val="1"/>
      <w:marLeft w:val="0"/>
      <w:marRight w:val="0"/>
      <w:marTop w:val="0"/>
      <w:marBottom w:val="0"/>
      <w:divBdr>
        <w:top w:val="none" w:sz="0" w:space="0" w:color="auto"/>
        <w:left w:val="none" w:sz="0" w:space="0" w:color="auto"/>
        <w:bottom w:val="none" w:sz="0" w:space="0" w:color="auto"/>
        <w:right w:val="none" w:sz="0" w:space="0" w:color="auto"/>
      </w:divBdr>
    </w:div>
    <w:div w:id="1927569180">
      <w:bodyDiv w:val="1"/>
      <w:marLeft w:val="0"/>
      <w:marRight w:val="0"/>
      <w:marTop w:val="0"/>
      <w:marBottom w:val="0"/>
      <w:divBdr>
        <w:top w:val="none" w:sz="0" w:space="0" w:color="auto"/>
        <w:left w:val="none" w:sz="0" w:space="0" w:color="auto"/>
        <w:bottom w:val="none" w:sz="0" w:space="0" w:color="auto"/>
        <w:right w:val="none" w:sz="0" w:space="0" w:color="auto"/>
      </w:divBdr>
    </w:div>
    <w:div w:id="1928494119">
      <w:bodyDiv w:val="1"/>
      <w:marLeft w:val="0"/>
      <w:marRight w:val="0"/>
      <w:marTop w:val="0"/>
      <w:marBottom w:val="0"/>
      <w:divBdr>
        <w:top w:val="none" w:sz="0" w:space="0" w:color="auto"/>
        <w:left w:val="none" w:sz="0" w:space="0" w:color="auto"/>
        <w:bottom w:val="none" w:sz="0" w:space="0" w:color="auto"/>
        <w:right w:val="none" w:sz="0" w:space="0" w:color="auto"/>
      </w:divBdr>
    </w:div>
    <w:div w:id="1962607130">
      <w:bodyDiv w:val="1"/>
      <w:marLeft w:val="0"/>
      <w:marRight w:val="0"/>
      <w:marTop w:val="0"/>
      <w:marBottom w:val="0"/>
      <w:divBdr>
        <w:top w:val="none" w:sz="0" w:space="0" w:color="auto"/>
        <w:left w:val="none" w:sz="0" w:space="0" w:color="auto"/>
        <w:bottom w:val="none" w:sz="0" w:space="0" w:color="auto"/>
        <w:right w:val="none" w:sz="0" w:space="0" w:color="auto"/>
      </w:divBdr>
    </w:div>
    <w:div w:id="1964729863">
      <w:bodyDiv w:val="1"/>
      <w:marLeft w:val="0"/>
      <w:marRight w:val="0"/>
      <w:marTop w:val="0"/>
      <w:marBottom w:val="0"/>
      <w:divBdr>
        <w:top w:val="none" w:sz="0" w:space="0" w:color="auto"/>
        <w:left w:val="none" w:sz="0" w:space="0" w:color="auto"/>
        <w:bottom w:val="none" w:sz="0" w:space="0" w:color="auto"/>
        <w:right w:val="none" w:sz="0" w:space="0" w:color="auto"/>
      </w:divBdr>
    </w:div>
    <w:div w:id="1971858267">
      <w:bodyDiv w:val="1"/>
      <w:marLeft w:val="0"/>
      <w:marRight w:val="0"/>
      <w:marTop w:val="0"/>
      <w:marBottom w:val="0"/>
      <w:divBdr>
        <w:top w:val="none" w:sz="0" w:space="0" w:color="auto"/>
        <w:left w:val="none" w:sz="0" w:space="0" w:color="auto"/>
        <w:bottom w:val="none" w:sz="0" w:space="0" w:color="auto"/>
        <w:right w:val="none" w:sz="0" w:space="0" w:color="auto"/>
      </w:divBdr>
    </w:div>
    <w:div w:id="2000113792">
      <w:bodyDiv w:val="1"/>
      <w:marLeft w:val="0"/>
      <w:marRight w:val="0"/>
      <w:marTop w:val="0"/>
      <w:marBottom w:val="0"/>
      <w:divBdr>
        <w:top w:val="none" w:sz="0" w:space="0" w:color="auto"/>
        <w:left w:val="none" w:sz="0" w:space="0" w:color="auto"/>
        <w:bottom w:val="none" w:sz="0" w:space="0" w:color="auto"/>
        <w:right w:val="none" w:sz="0" w:space="0" w:color="auto"/>
      </w:divBdr>
    </w:div>
    <w:div w:id="2007589236">
      <w:bodyDiv w:val="1"/>
      <w:marLeft w:val="0"/>
      <w:marRight w:val="0"/>
      <w:marTop w:val="0"/>
      <w:marBottom w:val="0"/>
      <w:divBdr>
        <w:top w:val="none" w:sz="0" w:space="0" w:color="auto"/>
        <w:left w:val="none" w:sz="0" w:space="0" w:color="auto"/>
        <w:bottom w:val="none" w:sz="0" w:space="0" w:color="auto"/>
        <w:right w:val="none" w:sz="0" w:space="0" w:color="auto"/>
      </w:divBdr>
    </w:div>
    <w:div w:id="2007897381">
      <w:bodyDiv w:val="1"/>
      <w:marLeft w:val="0"/>
      <w:marRight w:val="0"/>
      <w:marTop w:val="0"/>
      <w:marBottom w:val="0"/>
      <w:divBdr>
        <w:top w:val="none" w:sz="0" w:space="0" w:color="auto"/>
        <w:left w:val="none" w:sz="0" w:space="0" w:color="auto"/>
        <w:bottom w:val="none" w:sz="0" w:space="0" w:color="auto"/>
        <w:right w:val="none" w:sz="0" w:space="0" w:color="auto"/>
      </w:divBdr>
    </w:div>
    <w:div w:id="2014411810">
      <w:bodyDiv w:val="1"/>
      <w:marLeft w:val="0"/>
      <w:marRight w:val="0"/>
      <w:marTop w:val="0"/>
      <w:marBottom w:val="0"/>
      <w:divBdr>
        <w:top w:val="none" w:sz="0" w:space="0" w:color="auto"/>
        <w:left w:val="none" w:sz="0" w:space="0" w:color="auto"/>
        <w:bottom w:val="none" w:sz="0" w:space="0" w:color="auto"/>
        <w:right w:val="none" w:sz="0" w:space="0" w:color="auto"/>
      </w:divBdr>
    </w:div>
    <w:div w:id="2028944773">
      <w:bodyDiv w:val="1"/>
      <w:marLeft w:val="0"/>
      <w:marRight w:val="0"/>
      <w:marTop w:val="0"/>
      <w:marBottom w:val="0"/>
      <w:divBdr>
        <w:top w:val="none" w:sz="0" w:space="0" w:color="auto"/>
        <w:left w:val="none" w:sz="0" w:space="0" w:color="auto"/>
        <w:bottom w:val="none" w:sz="0" w:space="0" w:color="auto"/>
        <w:right w:val="none" w:sz="0" w:space="0" w:color="auto"/>
      </w:divBdr>
    </w:div>
    <w:div w:id="2032949944">
      <w:bodyDiv w:val="1"/>
      <w:marLeft w:val="0"/>
      <w:marRight w:val="0"/>
      <w:marTop w:val="0"/>
      <w:marBottom w:val="0"/>
      <w:divBdr>
        <w:top w:val="none" w:sz="0" w:space="0" w:color="auto"/>
        <w:left w:val="none" w:sz="0" w:space="0" w:color="auto"/>
        <w:bottom w:val="none" w:sz="0" w:space="0" w:color="auto"/>
        <w:right w:val="none" w:sz="0" w:space="0" w:color="auto"/>
      </w:divBdr>
    </w:div>
    <w:div w:id="2055887216">
      <w:bodyDiv w:val="1"/>
      <w:marLeft w:val="0"/>
      <w:marRight w:val="0"/>
      <w:marTop w:val="0"/>
      <w:marBottom w:val="0"/>
      <w:divBdr>
        <w:top w:val="none" w:sz="0" w:space="0" w:color="auto"/>
        <w:left w:val="none" w:sz="0" w:space="0" w:color="auto"/>
        <w:bottom w:val="none" w:sz="0" w:space="0" w:color="auto"/>
        <w:right w:val="none" w:sz="0" w:space="0" w:color="auto"/>
      </w:divBdr>
    </w:div>
    <w:div w:id="2090806344">
      <w:bodyDiv w:val="1"/>
      <w:marLeft w:val="0"/>
      <w:marRight w:val="0"/>
      <w:marTop w:val="0"/>
      <w:marBottom w:val="0"/>
      <w:divBdr>
        <w:top w:val="none" w:sz="0" w:space="0" w:color="auto"/>
        <w:left w:val="none" w:sz="0" w:space="0" w:color="auto"/>
        <w:bottom w:val="none" w:sz="0" w:space="0" w:color="auto"/>
        <w:right w:val="none" w:sz="0" w:space="0" w:color="auto"/>
      </w:divBdr>
    </w:div>
    <w:div w:id="21192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press.endocrine.org.ez.statsbiblioteket.dk:2048/doi/abs/10.1210/endo-meetings.2013.BCHVD.8.OR10-2" TargetMode="External"/><Relationship Id="rId3" Type="http://schemas.openxmlformats.org/officeDocument/2006/relationships/settings" Target="settings.xml"/><Relationship Id="rId21" Type="http://schemas.openxmlformats.org/officeDocument/2006/relationships/hyperlink" Target="http://www.eacsociety.org/files/guidelines_9.0-english.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bhiva.org/documents/Guidelines/Monitoring/2016-BHIVA-Monitoring-Guidelines.pdf"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6.png"/><Relationship Id="rId5" Type="http://schemas.openxmlformats.org/officeDocument/2006/relationships/image" Target="media/image1.tiff"/><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iasusa-org.ez.statsbiblioteket.dk:12048/sites/default/files/tam/22-e1-4.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a14\Desktop\Postdoc\HIV%20osteoporose%20systematisk%20review\Studietabel_VF05007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plotArea>
      <c:layout>
        <c:manualLayout>
          <c:layoutTarget val="inner"/>
          <c:xMode val="edge"/>
          <c:yMode val="edge"/>
          <c:x val="0.22026487314085688"/>
          <c:y val="7.4548702245552712E-2"/>
          <c:w val="0.74899212598425158"/>
          <c:h val="0.83261956838728501"/>
        </c:manualLayout>
      </c:layout>
      <c:scatterChart>
        <c:scatterStyle val="lineMarker"/>
        <c:ser>
          <c:idx val="0"/>
          <c:order val="0"/>
          <c:spPr>
            <a:ln w="28575">
              <a:noFill/>
            </a:ln>
          </c:spPr>
          <c:xVal>
            <c:numRef>
              <c:f>'Ark1'!$H$2:$H$13</c:f>
              <c:numCache>
                <c:formatCode>General</c:formatCode>
                <c:ptCount val="12"/>
                <c:pt idx="0">
                  <c:v>44</c:v>
                </c:pt>
                <c:pt idx="1">
                  <c:v>51</c:v>
                </c:pt>
                <c:pt idx="2">
                  <c:v>43</c:v>
                </c:pt>
                <c:pt idx="3">
                  <c:v>49</c:v>
                </c:pt>
                <c:pt idx="4">
                  <c:v>57</c:v>
                </c:pt>
                <c:pt idx="5">
                  <c:v>49</c:v>
                </c:pt>
                <c:pt idx="6">
                  <c:v>47</c:v>
                </c:pt>
                <c:pt idx="7">
                  <c:v>51</c:v>
                </c:pt>
                <c:pt idx="8">
                  <c:v>49.1</c:v>
                </c:pt>
                <c:pt idx="9">
                  <c:v>49.5</c:v>
                </c:pt>
                <c:pt idx="10">
                  <c:v>53</c:v>
                </c:pt>
                <c:pt idx="11">
                  <c:v>55.9</c:v>
                </c:pt>
              </c:numCache>
            </c:numRef>
          </c:xVal>
          <c:yVal>
            <c:numRef>
              <c:f>'Ark1'!$I$2:$I$13</c:f>
              <c:numCache>
                <c:formatCode>General</c:formatCode>
                <c:ptCount val="12"/>
                <c:pt idx="0">
                  <c:v>16</c:v>
                </c:pt>
                <c:pt idx="1">
                  <c:v>23.3</c:v>
                </c:pt>
                <c:pt idx="2">
                  <c:v>13.5</c:v>
                </c:pt>
                <c:pt idx="3">
                  <c:v>21.1</c:v>
                </c:pt>
                <c:pt idx="4">
                  <c:v>20</c:v>
                </c:pt>
                <c:pt idx="5">
                  <c:v>25</c:v>
                </c:pt>
                <c:pt idx="6">
                  <c:v>21</c:v>
                </c:pt>
                <c:pt idx="7">
                  <c:v>27</c:v>
                </c:pt>
                <c:pt idx="8">
                  <c:v>47</c:v>
                </c:pt>
                <c:pt idx="9">
                  <c:v>12</c:v>
                </c:pt>
                <c:pt idx="10">
                  <c:v>27</c:v>
                </c:pt>
                <c:pt idx="11">
                  <c:v>4.0999999999999996</c:v>
                </c:pt>
              </c:numCache>
            </c:numRef>
          </c:yVal>
          <c:extLst xmlns:c16r2="http://schemas.microsoft.com/office/drawing/2015/06/chart">
            <c:ext xmlns:c16="http://schemas.microsoft.com/office/drawing/2014/chart" uri="{C3380CC4-5D6E-409C-BE32-E72D297353CC}">
              <c16:uniqueId val="{00000000-6A4B-4140-B8D3-4CBB5E68D9CC}"/>
            </c:ext>
          </c:extLst>
        </c:ser>
        <c:axId val="110990848"/>
        <c:axId val="110992768"/>
      </c:scatterChart>
      <c:valAx>
        <c:axId val="110990848"/>
        <c:scaling>
          <c:orientation val="minMax"/>
          <c:max val="60"/>
          <c:min val="40"/>
        </c:scaling>
        <c:axPos val="b"/>
        <c:title>
          <c:tx>
            <c:rich>
              <a:bodyPr/>
              <a:lstStyle/>
              <a:p>
                <a:pPr>
                  <a:defRPr/>
                </a:pPr>
                <a:r>
                  <a:rPr lang="da-DK"/>
                  <a:t>Age</a:t>
                </a:r>
                <a:r>
                  <a:rPr lang="da-DK" baseline="0"/>
                  <a:t> /years</a:t>
                </a:r>
                <a:endParaRPr lang="da-DK"/>
              </a:p>
            </c:rich>
          </c:tx>
          <c:layout>
            <c:manualLayout>
              <c:xMode val="edge"/>
              <c:yMode val="edge"/>
              <c:x val="0.61729837315921765"/>
              <c:y val="0.927852719477681"/>
            </c:manualLayout>
          </c:layout>
        </c:title>
        <c:numFmt formatCode="General" sourceLinked="1"/>
        <c:tickLblPos val="nextTo"/>
        <c:crossAx val="110992768"/>
        <c:crosses val="autoZero"/>
        <c:crossBetween val="midCat"/>
        <c:minorUnit val="5"/>
      </c:valAx>
      <c:valAx>
        <c:axId val="110992768"/>
        <c:scaling>
          <c:orientation val="minMax"/>
        </c:scaling>
        <c:axPos val="l"/>
        <c:majorGridlines/>
        <c:title>
          <c:tx>
            <c:rich>
              <a:bodyPr rot="0" vert="horz"/>
              <a:lstStyle/>
              <a:p>
                <a:pPr>
                  <a:defRPr/>
                </a:pPr>
                <a:r>
                  <a:rPr lang="da-DK"/>
                  <a:t>Prevalence</a:t>
                </a:r>
                <a:r>
                  <a:rPr lang="da-DK" baseline="0"/>
                  <a:t> of </a:t>
                </a:r>
              </a:p>
              <a:p>
                <a:pPr>
                  <a:defRPr/>
                </a:pPr>
                <a:r>
                  <a:rPr lang="da-DK" baseline="0"/>
                  <a:t>vertebral fractures </a:t>
                </a:r>
                <a:endParaRPr lang="da-DK"/>
              </a:p>
            </c:rich>
          </c:tx>
          <c:layout>
            <c:manualLayout>
              <c:xMode val="edge"/>
              <c:yMode val="edge"/>
              <c:x val="8.5079892093795767E-3"/>
              <c:y val="0.43277583587450758"/>
            </c:manualLayout>
          </c:layout>
        </c:title>
        <c:numFmt formatCode="General" sourceLinked="1"/>
        <c:tickLblPos val="nextTo"/>
        <c:crossAx val="110990848"/>
        <c:crosses val="autoZero"/>
        <c:crossBetween val="midCat"/>
      </c:valAx>
    </c:plotArea>
    <c:plotVisOnly val="1"/>
    <c:dispBlanksAs val="gap"/>
  </c:chart>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8087</Words>
  <Characters>49333</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57306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Jakob</dc:creator>
  <cp:lastModifiedBy>Jakob Linde</cp:lastModifiedBy>
  <cp:revision>2</cp:revision>
  <dcterms:created xsi:type="dcterms:W3CDTF">2019-09-27T12:54:00Z</dcterms:created>
  <dcterms:modified xsi:type="dcterms:W3CDTF">2019-09-27T12:54:00Z</dcterms:modified>
</cp:coreProperties>
</file>