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5B" w:rsidRDefault="00CD005B" w:rsidP="00CD005B">
      <w:pPr>
        <w:rPr>
          <w:rFonts w:ascii="Arial" w:eastAsia="Microsoft JhengHei" w:hAnsi="Arial" w:cs="Arial"/>
          <w:sz w:val="24"/>
        </w:rPr>
      </w:pPr>
      <w:r w:rsidRPr="00B43694">
        <w:rPr>
          <w:rFonts w:ascii="Arial" w:eastAsia="Microsoft JhengHei" w:hAnsi="Arial" w:cs="Arial"/>
          <w:sz w:val="24"/>
        </w:rPr>
        <w:t>Supplement Figure 1</w:t>
      </w:r>
      <w:r w:rsidRPr="00B43694">
        <w:rPr>
          <w:rFonts w:ascii="Arial" w:eastAsia="Microsoft JhengHei" w:hAnsi="Arial" w:cs="Arial"/>
        </w:rPr>
        <w:t xml:space="preserve">. </w:t>
      </w:r>
      <w:r w:rsidRPr="00B43694">
        <w:rPr>
          <w:rFonts w:ascii="Arial" w:eastAsia="Microsoft JhengHei" w:hAnsi="Arial" w:cs="Arial"/>
          <w:sz w:val="24"/>
        </w:rPr>
        <w:t>Comparison of</w:t>
      </w:r>
      <w:r w:rsidRPr="00B43694">
        <w:rPr>
          <w:rFonts w:ascii="Arial" w:eastAsia="Microsoft JhengHei" w:hAnsi="Arial" w:cs="Arial"/>
        </w:rPr>
        <w:t xml:space="preserve"> </w:t>
      </w:r>
      <w:r w:rsidRPr="00B43694">
        <w:rPr>
          <w:rFonts w:ascii="Arial" w:eastAsia="Microsoft JhengHei" w:hAnsi="Arial" w:cs="Arial"/>
          <w:sz w:val="24"/>
        </w:rPr>
        <w:t>baseline CD4 counts in older and younger patients, using subtotal analysis</w:t>
      </w:r>
      <w:r w:rsidRPr="00B43694">
        <w:rPr>
          <w:rFonts w:ascii="Arial" w:eastAsia="Microsoft JhengHei" w:hAnsi="Arial" w:cs="Arial"/>
          <w:sz w:val="24"/>
          <w:szCs w:val="32"/>
        </w:rPr>
        <w:t xml:space="preserve"> which grouped by geographical area of all included articles. </w:t>
      </w:r>
      <w:r w:rsidRPr="00B43694">
        <w:rPr>
          <w:rFonts w:ascii="Arial" w:eastAsia="Microsoft JhengHei" w:hAnsi="Arial" w:cs="Arial"/>
          <w:sz w:val="24"/>
        </w:rPr>
        <w:t xml:space="preserve">CI, confidence interval; WMD, Weighted Mean Difference; </w:t>
      </w:r>
      <w:r w:rsidRPr="00B43694">
        <w:rPr>
          <w:rFonts w:ascii="Arial" w:eastAsia="Microsoft JhengHei" w:hAnsi="Arial" w:cs="Arial"/>
          <w:i/>
          <w:iCs/>
          <w:sz w:val="24"/>
        </w:rPr>
        <w:t>I</w:t>
      </w:r>
      <w:r w:rsidRPr="00B43694">
        <w:rPr>
          <w:rFonts w:ascii="Cambria Math" w:eastAsia="Microsoft JhengHei" w:hAnsi="Cambria Math" w:cs="Cambria Math"/>
          <w:i/>
          <w:iCs/>
          <w:sz w:val="24"/>
        </w:rPr>
        <w:t>₂</w:t>
      </w:r>
      <w:r w:rsidRPr="00B43694">
        <w:rPr>
          <w:rFonts w:ascii="Arial" w:eastAsia="Microsoft JhengHei" w:hAnsi="Arial" w:cs="Arial"/>
          <w:i/>
          <w:iCs/>
          <w:sz w:val="24"/>
        </w:rPr>
        <w:t>,</w:t>
      </w:r>
      <w:r w:rsidRPr="00B43694">
        <w:rPr>
          <w:rFonts w:ascii="Arial" w:eastAsia="Microsoft JhengHei" w:hAnsi="Arial" w:cs="Arial"/>
          <w:sz w:val="24"/>
        </w:rPr>
        <w:t xml:space="preserve"> the percentage of total variation across studies that is due to heterogeneity rather than chance.</w:t>
      </w:r>
    </w:p>
    <w:p w:rsidR="00CD005B" w:rsidRDefault="00CD005B" w:rsidP="00CD005B">
      <w:pPr>
        <w:rPr>
          <w:rFonts w:ascii="Arial" w:eastAsia="Microsoft JhengHei" w:hAnsi="Arial" w:cs="Arial"/>
          <w:sz w:val="24"/>
        </w:rPr>
      </w:pPr>
    </w:p>
    <w:p w:rsidR="00CD005B" w:rsidRDefault="00CD005B" w:rsidP="00CD005B">
      <w:pPr>
        <w:rPr>
          <w:rFonts w:ascii="Arial" w:eastAsia="Microsoft JhengHei" w:hAnsi="Arial" w:cs="Arial"/>
          <w:sz w:val="24"/>
        </w:rPr>
      </w:pPr>
      <w:r>
        <w:rPr>
          <w:rFonts w:ascii="Arial" w:eastAsia="Microsoft JhengHei" w:hAnsi="Arial" w:cs="Arial"/>
          <w:noProof/>
          <w:sz w:val="24"/>
          <w:lang w:eastAsia="en-US"/>
        </w:rPr>
        <w:drawing>
          <wp:inline distT="0" distB="0" distL="0" distR="0">
            <wp:extent cx="5274310" cy="51123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 Figur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5B" w:rsidRDefault="00CD005B">
      <w:pPr>
        <w:widowControl/>
        <w:spacing w:after="160" w:line="259" w:lineRule="auto"/>
        <w:jc w:val="left"/>
        <w:rPr>
          <w:rFonts w:ascii="Arial" w:eastAsia="Microsoft JhengHei" w:hAnsi="Arial" w:cs="Arial"/>
          <w:sz w:val="24"/>
        </w:rPr>
      </w:pPr>
      <w:r>
        <w:rPr>
          <w:rFonts w:ascii="Arial" w:eastAsia="Microsoft JhengHei" w:hAnsi="Arial" w:cs="Arial"/>
          <w:sz w:val="24"/>
        </w:rPr>
        <w:br w:type="page"/>
      </w:r>
    </w:p>
    <w:p w:rsidR="00CD005B" w:rsidRPr="00B43694" w:rsidRDefault="00CD005B" w:rsidP="00CD005B">
      <w:pPr>
        <w:rPr>
          <w:rFonts w:ascii="Arial" w:eastAsia="Microsoft JhengHei" w:hAnsi="Arial" w:cs="Arial"/>
          <w:sz w:val="24"/>
        </w:rPr>
      </w:pPr>
    </w:p>
    <w:p w:rsidR="00CD005B" w:rsidRPr="00B43694" w:rsidRDefault="00CD005B" w:rsidP="00CD005B">
      <w:pPr>
        <w:rPr>
          <w:rFonts w:ascii="Arial" w:eastAsia="Microsoft JhengHei" w:hAnsi="Arial" w:cs="Arial"/>
          <w:sz w:val="24"/>
        </w:rPr>
      </w:pPr>
      <w:r w:rsidRPr="00B43694">
        <w:rPr>
          <w:rFonts w:ascii="Arial" w:eastAsia="Microsoft JhengHei" w:hAnsi="Arial" w:cs="Arial"/>
          <w:sz w:val="24"/>
        </w:rPr>
        <w:t xml:space="preserve">Supplement Figure 2. Forest plots of increment of CD4 counts in 24-month ART between the older and younger among subgroups with different published time before and after 2009. CI, confidence interval; WMD, Weighted Mean Difference; </w:t>
      </w:r>
      <w:r w:rsidRPr="00B43694">
        <w:rPr>
          <w:rFonts w:ascii="Arial" w:eastAsia="Microsoft JhengHei" w:hAnsi="Arial" w:cs="Arial"/>
          <w:i/>
          <w:iCs/>
          <w:sz w:val="24"/>
        </w:rPr>
        <w:t>I-squared,</w:t>
      </w:r>
      <w:r w:rsidRPr="00B43694">
        <w:rPr>
          <w:rFonts w:ascii="Arial" w:eastAsia="Microsoft JhengHei" w:hAnsi="Arial" w:cs="Arial"/>
          <w:sz w:val="24"/>
        </w:rPr>
        <w:t xml:space="preserve"> the percentage of total variation across studies that is due to heterogeneity rather than chance.</w:t>
      </w:r>
    </w:p>
    <w:p w:rsidR="00CD005B" w:rsidRDefault="00CD005B">
      <w:pPr>
        <w:widowControl/>
        <w:spacing w:after="160" w:line="259" w:lineRule="auto"/>
        <w:jc w:val="left"/>
        <w:rPr>
          <w:rFonts w:ascii="Arial" w:eastAsia="Microsoft JhengHei" w:hAnsi="Arial" w:cs="Arial"/>
          <w:sz w:val="24"/>
        </w:rPr>
      </w:pPr>
    </w:p>
    <w:p w:rsidR="00CD005B" w:rsidRDefault="00CD005B">
      <w:pPr>
        <w:widowControl/>
        <w:spacing w:after="160" w:line="259" w:lineRule="auto"/>
        <w:jc w:val="left"/>
        <w:rPr>
          <w:rFonts w:ascii="Arial" w:eastAsia="Microsoft JhengHei" w:hAnsi="Arial" w:cs="Arial"/>
          <w:sz w:val="24"/>
        </w:rPr>
      </w:pPr>
      <w:r>
        <w:rPr>
          <w:rFonts w:ascii="Arial" w:eastAsia="Microsoft JhengHei" w:hAnsi="Arial" w:cs="Arial"/>
          <w:noProof/>
          <w:sz w:val="24"/>
          <w:lang w:eastAsia="en-US"/>
        </w:rPr>
        <w:drawing>
          <wp:inline distT="0" distB="0" distL="0" distR="0">
            <wp:extent cx="5274310" cy="39370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 Figur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icrosoft JhengHei" w:hAnsi="Arial" w:cs="Arial"/>
          <w:sz w:val="24"/>
        </w:rPr>
        <w:br w:type="page"/>
      </w:r>
    </w:p>
    <w:p w:rsidR="00CD005B" w:rsidRPr="00B43694" w:rsidRDefault="00CD005B" w:rsidP="00CD005B">
      <w:pPr>
        <w:rPr>
          <w:rFonts w:ascii="Arial" w:hAnsi="Arial" w:cs="Arial"/>
          <w:sz w:val="32"/>
          <w:szCs w:val="32"/>
        </w:rPr>
      </w:pPr>
      <w:r w:rsidRPr="00B43694">
        <w:rPr>
          <w:rFonts w:ascii="Arial" w:eastAsia="Microsoft JhengHei" w:hAnsi="Arial" w:cs="Arial"/>
          <w:sz w:val="24"/>
        </w:rPr>
        <w:lastRenderedPageBreak/>
        <w:t xml:space="preserve">Supplement Figure 3. Forest plots of AIDS-related mortality between the older and younger patients. CI, confidence interval; HR, hazard ratio; IV, inverse variance; SE, standard error, </w:t>
      </w:r>
      <w:r w:rsidRPr="00B43694">
        <w:rPr>
          <w:rFonts w:ascii="Arial" w:eastAsia="Microsoft JhengHei" w:hAnsi="Arial" w:cs="Arial"/>
          <w:i/>
          <w:iCs/>
          <w:sz w:val="24"/>
        </w:rPr>
        <w:t>I-squared,</w:t>
      </w:r>
      <w:r w:rsidRPr="00B43694">
        <w:rPr>
          <w:rFonts w:ascii="Arial" w:eastAsia="Microsoft JhengHei" w:hAnsi="Arial" w:cs="Arial"/>
          <w:sz w:val="24"/>
        </w:rPr>
        <w:t xml:space="preserve"> the percentage of total variation across studies that is due to heterogeneity rather than chance.</w:t>
      </w:r>
    </w:p>
    <w:p w:rsidR="00CD005B" w:rsidRDefault="00CD005B">
      <w:pPr>
        <w:widowControl/>
        <w:spacing w:after="160" w:line="259" w:lineRule="auto"/>
        <w:jc w:val="left"/>
        <w:rPr>
          <w:rFonts w:ascii="Arial" w:eastAsia="Microsoft JhengHei" w:hAnsi="Arial" w:cs="Arial"/>
          <w:sz w:val="24"/>
        </w:rPr>
      </w:pPr>
    </w:p>
    <w:p w:rsidR="00CD005B" w:rsidRDefault="00CD005B">
      <w:pPr>
        <w:widowControl/>
        <w:spacing w:after="160" w:line="259" w:lineRule="auto"/>
        <w:jc w:val="left"/>
        <w:rPr>
          <w:rFonts w:ascii="Arial" w:eastAsia="Microsoft JhengHei" w:hAnsi="Arial" w:cs="Arial"/>
          <w:sz w:val="24"/>
        </w:rPr>
      </w:pPr>
      <w:r>
        <w:rPr>
          <w:rFonts w:ascii="Arial" w:eastAsia="Microsoft JhengHei" w:hAnsi="Arial" w:cs="Arial"/>
          <w:noProof/>
          <w:sz w:val="24"/>
          <w:lang w:eastAsia="en-US"/>
        </w:rPr>
        <w:drawing>
          <wp:inline distT="0" distB="0" distL="0" distR="0">
            <wp:extent cx="5274310" cy="1412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 Figure 3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icrosoft JhengHei" w:hAnsi="Arial" w:cs="Arial"/>
          <w:sz w:val="24"/>
        </w:rPr>
        <w:br w:type="page"/>
      </w:r>
    </w:p>
    <w:p w:rsidR="00CD005B" w:rsidRPr="00B43694" w:rsidRDefault="00CD005B" w:rsidP="00CD005B">
      <w:pPr>
        <w:rPr>
          <w:rFonts w:ascii="Arial" w:hAnsi="Arial" w:cs="Arial"/>
          <w:sz w:val="32"/>
          <w:szCs w:val="32"/>
        </w:rPr>
      </w:pPr>
      <w:r w:rsidRPr="00B43694">
        <w:rPr>
          <w:rFonts w:ascii="Arial" w:eastAsia="Microsoft JhengHei" w:hAnsi="Arial" w:cs="Arial"/>
          <w:sz w:val="24"/>
        </w:rPr>
        <w:lastRenderedPageBreak/>
        <w:t xml:space="preserve">Supplement Figure 4. Forest plots of non-AIDS-related mortality between the older and younger patients. CI, confidence interval; HR, hazard ratio; IV, inverse variance; SE, standard error, </w:t>
      </w:r>
      <w:r w:rsidRPr="00B43694">
        <w:rPr>
          <w:rFonts w:ascii="Arial" w:eastAsia="Microsoft JhengHei" w:hAnsi="Arial" w:cs="Arial"/>
          <w:i/>
          <w:iCs/>
          <w:sz w:val="24"/>
        </w:rPr>
        <w:t>I-squared,</w:t>
      </w:r>
      <w:r w:rsidRPr="00B43694">
        <w:rPr>
          <w:rFonts w:ascii="Arial" w:eastAsia="Microsoft JhengHei" w:hAnsi="Arial" w:cs="Arial"/>
          <w:sz w:val="24"/>
        </w:rPr>
        <w:t xml:space="preserve"> the percentage of total variation across studies that is due to heterogeneity rather than chance.</w:t>
      </w:r>
    </w:p>
    <w:p w:rsidR="00CD005B" w:rsidRPr="00B43694" w:rsidRDefault="00CD005B" w:rsidP="00CD005B">
      <w:pPr>
        <w:spacing w:line="360" w:lineRule="auto"/>
        <w:rPr>
          <w:rFonts w:ascii="Arial" w:hAnsi="Arial" w:cs="Arial"/>
          <w:sz w:val="24"/>
        </w:rPr>
      </w:pPr>
    </w:p>
    <w:p w:rsidR="007F5EC0" w:rsidRDefault="00CD005B">
      <w:bookmarkStart w:id="0" w:name="_GoBack"/>
      <w:r>
        <w:rPr>
          <w:noProof/>
          <w:lang w:eastAsia="en-US"/>
        </w:rPr>
        <w:drawing>
          <wp:inline distT="0" distB="0" distL="0" distR="0">
            <wp:extent cx="5274310" cy="12877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 Figure 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EC0" w:rsidSect="00B4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5B"/>
    <w:rsid w:val="007F5EC0"/>
    <w:rsid w:val="00C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A5179-EB63-46DB-9250-E72AF24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5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Laura Anderson</cp:lastModifiedBy>
  <cp:revision>1</cp:revision>
  <dcterms:created xsi:type="dcterms:W3CDTF">2019-11-25T19:21:00Z</dcterms:created>
  <dcterms:modified xsi:type="dcterms:W3CDTF">2019-11-25T19:26:00Z</dcterms:modified>
</cp:coreProperties>
</file>