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C5059" w14:textId="187AD9C1" w:rsidR="00AE6921" w:rsidRDefault="00AE6921" w:rsidP="00AE6921">
      <w:pPr>
        <w:spacing w:after="0"/>
        <w:rPr>
          <w:rFonts w:ascii="Arial" w:hAnsi="Arial" w:cs="Arial"/>
          <w:b/>
        </w:rPr>
      </w:pPr>
      <w:r w:rsidRPr="00DA6626">
        <w:rPr>
          <w:rFonts w:ascii="Arial" w:hAnsi="Arial" w:cs="Arial"/>
          <w:b/>
        </w:rPr>
        <w:t>Supplemental Table 1. Sensitivity analys</w:t>
      </w:r>
      <w:r>
        <w:rPr>
          <w:rFonts w:ascii="Arial" w:hAnsi="Arial" w:cs="Arial"/>
          <w:b/>
        </w:rPr>
        <w:t>i</w:t>
      </w:r>
      <w:r w:rsidRPr="00DA6626">
        <w:rPr>
          <w:rFonts w:ascii="Arial" w:hAnsi="Arial" w:cs="Arial"/>
          <w:b/>
        </w:rPr>
        <w:t xml:space="preserve">s </w:t>
      </w:r>
      <w:r w:rsidR="00931C0B">
        <w:rPr>
          <w:rFonts w:ascii="Arial" w:hAnsi="Arial" w:cs="Arial"/>
          <w:b/>
        </w:rPr>
        <w:t>of changes in sex</w:t>
      </w:r>
      <w:r w:rsidR="00403BFA">
        <w:rPr>
          <w:rFonts w:ascii="Arial" w:hAnsi="Arial" w:cs="Arial"/>
          <w:b/>
        </w:rPr>
        <w:t>ual</w:t>
      </w:r>
      <w:r w:rsidR="00931C0B">
        <w:rPr>
          <w:rFonts w:ascii="Arial" w:hAnsi="Arial" w:cs="Arial"/>
          <w:b/>
        </w:rPr>
        <w:t xml:space="preserve"> behaviors </w:t>
      </w:r>
      <w:r w:rsidR="00403BFA">
        <w:rPr>
          <w:rFonts w:ascii="Arial" w:hAnsi="Arial" w:cs="Arial"/>
          <w:b/>
        </w:rPr>
        <w:t>using</w:t>
      </w:r>
      <w:r w:rsidR="00403BFA" w:rsidRPr="00DA6626">
        <w:rPr>
          <w:rFonts w:ascii="Arial" w:hAnsi="Arial" w:cs="Arial"/>
          <w:b/>
        </w:rPr>
        <w:t xml:space="preserve"> </w:t>
      </w:r>
      <w:r w:rsidRPr="00DA6626">
        <w:rPr>
          <w:rFonts w:ascii="Arial" w:hAnsi="Arial" w:cs="Arial"/>
          <w:b/>
        </w:rPr>
        <w:t>restricted time intervals</w:t>
      </w:r>
      <w:r w:rsidR="00403BFA">
        <w:rPr>
          <w:rFonts w:ascii="Arial" w:hAnsi="Arial" w:cs="Arial"/>
          <w:b/>
        </w:rPr>
        <w:t xml:space="preserve"> before and after </w:t>
      </w:r>
      <w:proofErr w:type="spellStart"/>
      <w:r w:rsidR="00403BFA">
        <w:rPr>
          <w:rFonts w:ascii="Arial" w:hAnsi="Arial" w:cs="Arial"/>
          <w:b/>
        </w:rPr>
        <w:t>PrEP</w:t>
      </w:r>
      <w:proofErr w:type="spellEnd"/>
      <w:r w:rsidR="00403BFA">
        <w:rPr>
          <w:rFonts w:ascii="Arial" w:hAnsi="Arial" w:cs="Arial"/>
          <w:b/>
        </w:rPr>
        <w:t xml:space="preserve"> discontinuation</w:t>
      </w:r>
    </w:p>
    <w:p w14:paraId="4CDF3D50" w14:textId="77777777" w:rsidR="00BD6B22" w:rsidRPr="00DA6626" w:rsidRDefault="00BD6B22" w:rsidP="00AE6921">
      <w:pPr>
        <w:spacing w:after="0"/>
        <w:rPr>
          <w:rFonts w:ascii="Arial" w:hAnsi="Arial" w:cs="Arial"/>
          <w:b/>
        </w:rPr>
      </w:pPr>
    </w:p>
    <w:tbl>
      <w:tblPr>
        <w:tblStyle w:val="PlainTable2"/>
        <w:tblW w:w="7083" w:type="dxa"/>
        <w:tblInd w:w="622" w:type="dxa"/>
        <w:tblLayout w:type="fixed"/>
        <w:tblLook w:val="0400" w:firstRow="0" w:lastRow="0" w:firstColumn="0" w:lastColumn="0" w:noHBand="0" w:noVBand="1"/>
      </w:tblPr>
      <w:tblGrid>
        <w:gridCol w:w="2915"/>
        <w:gridCol w:w="767"/>
        <w:gridCol w:w="1317"/>
        <w:gridCol w:w="767"/>
        <w:gridCol w:w="1317"/>
      </w:tblGrid>
      <w:tr w:rsidR="00AE6921" w:rsidRPr="00DA6626" w14:paraId="4C49878C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single" w:sz="4" w:space="0" w:color="auto"/>
              <w:bottom w:val="nil"/>
            </w:tcBorders>
          </w:tcPr>
          <w:p w14:paraId="16D34ABD" w14:textId="77777777" w:rsidR="00AE6921" w:rsidRPr="00DA6626" w:rsidRDefault="00AE6921" w:rsidP="00554B3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</w:tcBorders>
          </w:tcPr>
          <w:p w14:paraId="2635CFBB" w14:textId="0A5AB276" w:rsidR="00AE6921" w:rsidRDefault="00B446E9" w:rsidP="009867AA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Change in </w:t>
            </w:r>
            <w:proofErr w:type="spellStart"/>
            <w:r>
              <w:rPr>
                <w:rFonts w:ascii="Arial" w:hAnsi="Arial" w:cs="Arial"/>
              </w:rPr>
              <w:t>Level</w:t>
            </w:r>
            <w:r w:rsidR="00594423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31AEBE01" w14:textId="0D2D8436" w:rsidR="00126C5A" w:rsidRPr="00DA6626" w:rsidRDefault="00126C5A" w:rsidP="00554B3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</w:tcBorders>
          </w:tcPr>
          <w:p w14:paraId="23B405A6" w14:textId="53D7AECB" w:rsidR="00AE6921" w:rsidRPr="00DA6626" w:rsidRDefault="00B446E9" w:rsidP="00554B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</w:t>
            </w:r>
            <w:proofErr w:type="spellStart"/>
            <w:r>
              <w:rPr>
                <w:rFonts w:ascii="Arial" w:hAnsi="Arial" w:cs="Arial"/>
              </w:rPr>
              <w:t>Trend</w:t>
            </w:r>
            <w:r w:rsidR="00594423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AE6921" w:rsidRPr="00DA6626" w14:paraId="1264A773" w14:textId="77777777" w:rsidTr="00554B39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3BE1E252" w14:textId="77777777" w:rsidR="00AE6921" w:rsidRPr="00DA6626" w:rsidRDefault="00AE6921" w:rsidP="00554B3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14:paraId="63B4432C" w14:textId="2B3FF82F" w:rsidR="00AE6921" w:rsidRPr="00DA6626" w:rsidRDefault="000434F2" w:rsidP="00554B3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AE6921" w:rsidRPr="00DA6626">
              <w:rPr>
                <w:rFonts w:ascii="Arial" w:hAnsi="Arial" w:cs="Arial"/>
              </w:rPr>
              <w:t>RR</w:t>
            </w:r>
            <w:proofErr w:type="spellEnd"/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14:paraId="1581D198" w14:textId="77777777" w:rsidR="00AE6921" w:rsidRPr="00DA6626" w:rsidRDefault="00AE6921" w:rsidP="00554B39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DA6626">
              <w:rPr>
                <w:rFonts w:ascii="Arial" w:hAnsi="Arial" w:cs="Arial"/>
              </w:rPr>
              <w:t>95% CI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14:paraId="30526932" w14:textId="3FC0CF2F" w:rsidR="00AE6921" w:rsidRPr="00DA6626" w:rsidRDefault="000434F2" w:rsidP="00554B3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AE6921" w:rsidRPr="00DA6626">
              <w:rPr>
                <w:rFonts w:ascii="Arial" w:hAnsi="Arial" w:cs="Arial"/>
              </w:rPr>
              <w:t>RR</w:t>
            </w:r>
            <w:proofErr w:type="spellEnd"/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14:paraId="649A66BF" w14:textId="77777777" w:rsidR="00AE6921" w:rsidRPr="00DA6626" w:rsidRDefault="00AE6921" w:rsidP="00554B39">
            <w:pPr>
              <w:spacing w:after="0"/>
              <w:jc w:val="center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95% CI</w:t>
            </w:r>
          </w:p>
        </w:tc>
      </w:tr>
      <w:tr w:rsidR="00AE6921" w:rsidRPr="00DA6626" w14:paraId="3F246866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083" w:type="dxa"/>
            <w:gridSpan w:val="5"/>
            <w:tcBorders>
              <w:top w:val="single" w:sz="4" w:space="0" w:color="auto"/>
              <w:bottom w:val="nil"/>
            </w:tcBorders>
          </w:tcPr>
          <w:p w14:paraId="3A789622" w14:textId="77777777" w:rsidR="00AE6921" w:rsidRPr="00DA6626" w:rsidRDefault="00AE6921" w:rsidP="0059546B">
            <w:pPr>
              <w:spacing w:after="0"/>
              <w:rPr>
                <w:rFonts w:ascii="Arial" w:hAnsi="Arial" w:cs="Arial"/>
                <w:b/>
              </w:rPr>
            </w:pPr>
            <w:r w:rsidRPr="00DA6626">
              <w:rPr>
                <w:rFonts w:ascii="Arial" w:hAnsi="Arial" w:cs="Arial"/>
                <w:b/>
              </w:rPr>
              <w:t>All couples</w:t>
            </w:r>
          </w:p>
        </w:tc>
      </w:tr>
      <w:tr w:rsidR="00AE6921" w:rsidRPr="00DA6626" w14:paraId="2D38CBB8" w14:textId="77777777" w:rsidTr="00554B39">
        <w:trPr>
          <w:trHeight w:val="20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72C5E6EB" w14:textId="14598182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 xml:space="preserve">Within 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12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(n=56</w:t>
            </w:r>
            <w:r w:rsidR="002E611C" w:rsidRPr="00554B39">
              <w:rPr>
                <w:rFonts w:ascii="Arial" w:hAnsi="Arial" w:cs="Arial"/>
                <w:bCs/>
                <w:i/>
                <w:iCs/>
              </w:rPr>
              <w:t>5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3550932D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76EC1F8B" w14:textId="48CA10F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B82FF32" w14:textId="0EEC427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B8509FD" w14:textId="11C4002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7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9DD0D2B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04F17CB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0.98, 1.01</w:t>
            </w:r>
          </w:p>
        </w:tc>
      </w:tr>
      <w:tr w:rsidR="00511936" w:rsidRPr="00DA6626" w14:paraId="50369B64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6F2AE350" w14:textId="0AF9010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B5F5638" w14:textId="40B2CE5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37B7A62" w14:textId="438B7AD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7</w:t>
            </w:r>
            <w:r w:rsidRPr="00DA6626">
              <w:rPr>
                <w:rFonts w:ascii="Arial" w:hAnsi="Arial" w:cs="Arial"/>
              </w:rPr>
              <w:t>, 1.1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312EBD9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7EED38C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0.98, 1.04</w:t>
            </w:r>
          </w:p>
        </w:tc>
      </w:tr>
      <w:tr w:rsidR="00AE6921" w:rsidRPr="00DA6626" w14:paraId="09D4CB2C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59F43CFE" w14:textId="0DA8958D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9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(n=56</w:t>
            </w:r>
            <w:r w:rsidR="002E611C" w:rsidRPr="00554B39">
              <w:rPr>
                <w:rFonts w:ascii="Arial" w:hAnsi="Arial" w:cs="Arial"/>
                <w:bCs/>
                <w:i/>
                <w:iCs/>
              </w:rPr>
              <w:t>2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48684C7B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438303DE" w14:textId="177E0450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14382DEC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A467B25" w14:textId="4F782B0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4</w:t>
            </w:r>
            <w:r w:rsidRPr="00DA6626">
              <w:rPr>
                <w:rFonts w:ascii="Arial" w:hAnsi="Arial" w:cs="Arial"/>
              </w:rPr>
              <w:t>, 1.03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CEF0E11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9FB4A90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0.97, 1.01</w:t>
            </w:r>
          </w:p>
        </w:tc>
      </w:tr>
      <w:tr w:rsidR="00511936" w:rsidRPr="00DA6626" w14:paraId="286CCFFD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644AE02D" w14:textId="58782C7B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78701DB" w14:textId="1D75236E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15EEA6E" w14:textId="4AD66DA4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9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1543675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6B9FEB3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0.97, 1.05</w:t>
            </w:r>
          </w:p>
        </w:tc>
      </w:tr>
      <w:tr w:rsidR="00AE6921" w:rsidRPr="00DA6626" w14:paraId="07459714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7173EC85" w14:textId="154F4619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6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(n=56</w:t>
            </w:r>
            <w:r w:rsidR="00E236F3" w:rsidRPr="00554B39">
              <w:rPr>
                <w:rFonts w:ascii="Arial" w:hAnsi="Arial" w:cs="Arial"/>
                <w:bCs/>
                <w:i/>
                <w:iCs/>
              </w:rPr>
              <w:t>1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6FF0189A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13C19397" w14:textId="1D40F7A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447B99D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EA86086" w14:textId="7E098BE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0.81, 1.0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C8BE021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D22179A" w14:textId="61F258A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0.95, 1.0</w:t>
            </w:r>
            <w:r>
              <w:rPr>
                <w:rFonts w:ascii="Arial" w:hAnsi="Arial" w:cs="Arial"/>
              </w:rPr>
              <w:t>3</w:t>
            </w:r>
          </w:p>
        </w:tc>
      </w:tr>
      <w:tr w:rsidR="00511936" w:rsidRPr="00DA6626" w14:paraId="335CA7EE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68ECCBD9" w14:textId="6068F7C9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F552011" w14:textId="35F6D67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FBC1D04" w14:textId="598ED4D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0.65, 1.2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EB2116C" w14:textId="57884A1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0533673" w14:textId="70DF55C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90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9</w:t>
            </w:r>
          </w:p>
        </w:tc>
      </w:tr>
      <w:tr w:rsidR="00AE6921" w:rsidRPr="00DA6626" w14:paraId="0032B2FD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04A31A40" w14:textId="43CC2017" w:rsidR="00AE6921" w:rsidRPr="00DA6626" w:rsidRDefault="00AE6921" w:rsidP="0059546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A6626">
              <w:rPr>
                <w:rFonts w:ascii="Arial" w:hAnsi="Arial" w:cs="Arial"/>
                <w:b/>
                <w:bCs/>
              </w:rPr>
              <w:t>HIV-</w:t>
            </w:r>
            <w:r w:rsidR="00511936">
              <w:rPr>
                <w:rFonts w:ascii="Arial" w:hAnsi="Arial" w:cs="Arial"/>
                <w:b/>
                <w:bCs/>
              </w:rPr>
              <w:t>negative</w:t>
            </w:r>
            <w:r w:rsidR="00511936" w:rsidRPr="00DA6626">
              <w:rPr>
                <w:rFonts w:ascii="Arial" w:hAnsi="Arial" w:cs="Arial"/>
                <w:b/>
                <w:bCs/>
              </w:rPr>
              <w:t xml:space="preserve"> </w:t>
            </w:r>
            <w:r w:rsidRPr="00DA6626">
              <w:rPr>
                <w:rFonts w:ascii="Arial" w:hAnsi="Arial" w:cs="Arial"/>
                <w:b/>
                <w:bCs/>
              </w:rPr>
              <w:t>partner is male</w:t>
            </w:r>
          </w:p>
        </w:tc>
      </w:tr>
      <w:tr w:rsidR="00AE6921" w:rsidRPr="00DA6626" w14:paraId="64044720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34094E0E" w14:textId="29163862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12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(n=38</w:t>
            </w:r>
            <w:r w:rsidR="00E04EF0" w:rsidRPr="00554B39">
              <w:rPr>
                <w:rFonts w:ascii="Arial" w:hAnsi="Arial" w:cs="Arial"/>
                <w:bCs/>
                <w:i/>
                <w:iCs/>
              </w:rPr>
              <w:t>0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6D5FE1B8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13298F43" w14:textId="547DCAB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C69C1C0" w14:textId="78D784E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03AB65F" w14:textId="0992FD8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6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7732943" w14:textId="6714A9F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802C583" w14:textId="1EC9299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0.98, 1.0</w:t>
            </w:r>
            <w:r>
              <w:rPr>
                <w:rFonts w:ascii="Arial" w:hAnsi="Arial" w:cs="Arial"/>
              </w:rPr>
              <w:t>2</w:t>
            </w:r>
          </w:p>
        </w:tc>
      </w:tr>
      <w:tr w:rsidR="00511936" w:rsidRPr="00DA6626" w14:paraId="78B23F3E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1263335A" w14:textId="264E77C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2B5BF91" w14:textId="182F44E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182D62D" w14:textId="4EC8C65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83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35F2E2D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7B5D2C" w14:textId="076D351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7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4</w:t>
            </w:r>
          </w:p>
        </w:tc>
      </w:tr>
      <w:tr w:rsidR="00AE6921" w:rsidRPr="00DA6626" w14:paraId="1BD9EB2B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69311AB1" w14:textId="3CB3E791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9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(n=37</w:t>
            </w:r>
            <w:r w:rsidR="0018502D" w:rsidRPr="00554B39">
              <w:rPr>
                <w:rFonts w:ascii="Arial" w:hAnsi="Arial" w:cs="Arial"/>
                <w:bCs/>
                <w:i/>
                <w:iCs/>
              </w:rPr>
              <w:t>7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509C8159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121F958F" w14:textId="6E4567AC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0B9469F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ED71A07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0.82, 1.07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D0E5755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A393B16" w14:textId="77A721CC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8</w:t>
            </w:r>
            <w:r w:rsidRPr="00DA6626">
              <w:rPr>
                <w:rFonts w:ascii="Arial" w:hAnsi="Arial" w:cs="Arial"/>
              </w:rPr>
              <w:t>, 1.02</w:t>
            </w:r>
          </w:p>
        </w:tc>
      </w:tr>
      <w:tr w:rsidR="00511936" w:rsidRPr="00DA6626" w14:paraId="51A078E3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1F1B22AE" w14:textId="61C89A1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F0E1D8A" w14:textId="67CCAF2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B90170B" w14:textId="17320F4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77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1D0C7A8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1883686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0.96, 1.05</w:t>
            </w:r>
          </w:p>
        </w:tc>
      </w:tr>
      <w:tr w:rsidR="00AE6921" w:rsidRPr="00DA6626" w14:paraId="08CBB2F3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144A7DE0" w14:textId="25CDDBF7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6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(n=37</w:t>
            </w:r>
            <w:r w:rsidR="00CF7E4A" w:rsidRPr="00554B39">
              <w:rPr>
                <w:rFonts w:ascii="Arial" w:hAnsi="Arial" w:cs="Arial"/>
                <w:bCs/>
                <w:i/>
                <w:iCs/>
              </w:rPr>
              <w:t>6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40BD2D0A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099CCD14" w14:textId="657C604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F741F9A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4ED3EA6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0.77, 1.10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1C8928C5" w14:textId="6F8683EB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4EDC576" w14:textId="167FBF7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0.95, 1.0</w:t>
            </w:r>
            <w:r>
              <w:rPr>
                <w:rFonts w:ascii="Arial" w:hAnsi="Arial" w:cs="Arial"/>
              </w:rPr>
              <w:t>5</w:t>
            </w:r>
          </w:p>
        </w:tc>
      </w:tr>
      <w:tr w:rsidR="00511936" w:rsidRPr="00DA6626" w14:paraId="452042C5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3475A510" w14:textId="56D0973F" w:rsidR="00511936" w:rsidRPr="00554B39" w:rsidRDefault="00511936" w:rsidP="00511936">
            <w:pPr>
              <w:spacing w:after="0"/>
              <w:rPr>
                <w:rFonts w:ascii="Arial" w:hAnsi="Arial" w:cs="Arial"/>
                <w:highlight w:val="yellow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04A14C8" w14:textId="1B473D68" w:rsidR="00511936" w:rsidRPr="00DA6626" w:rsidRDefault="00511936" w:rsidP="00554B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0BF873" w14:textId="170B7961" w:rsidR="00511936" w:rsidRPr="00DA6626" w:rsidRDefault="00511936" w:rsidP="00554B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7472BAB" w14:textId="2E3C335D" w:rsidR="00511936" w:rsidRPr="00DA6626" w:rsidRDefault="00511936" w:rsidP="00554B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0631B70" w14:textId="568B484E" w:rsidR="00511936" w:rsidRPr="00DA6626" w:rsidRDefault="00511936" w:rsidP="00554B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AE6921" w:rsidRPr="00DA6626" w14:paraId="1B353F19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01AE6A6B" w14:textId="1A9510A3" w:rsidR="00AE6921" w:rsidRPr="00DA6626" w:rsidRDefault="00AE6921" w:rsidP="0059546B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  <w:b/>
                <w:bCs/>
              </w:rPr>
              <w:t>HIV-</w:t>
            </w:r>
            <w:r w:rsidR="00511936">
              <w:rPr>
                <w:rFonts w:ascii="Arial" w:hAnsi="Arial" w:cs="Arial"/>
                <w:b/>
                <w:bCs/>
              </w:rPr>
              <w:t>negative</w:t>
            </w:r>
            <w:r w:rsidR="00511936" w:rsidRPr="00DA6626">
              <w:rPr>
                <w:rFonts w:ascii="Arial" w:hAnsi="Arial" w:cs="Arial"/>
                <w:b/>
                <w:bCs/>
              </w:rPr>
              <w:t xml:space="preserve"> </w:t>
            </w:r>
            <w:r w:rsidRPr="00DA6626">
              <w:rPr>
                <w:rFonts w:ascii="Arial" w:hAnsi="Arial" w:cs="Arial"/>
                <w:b/>
                <w:bCs/>
              </w:rPr>
              <w:t>partner is female</w:t>
            </w:r>
          </w:p>
        </w:tc>
      </w:tr>
      <w:tr w:rsidR="00AE6921" w:rsidRPr="00DA6626" w14:paraId="11D16FAA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64C26CB6" w14:textId="63AC0837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12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(n=185)</w:t>
            </w:r>
          </w:p>
        </w:tc>
      </w:tr>
      <w:tr w:rsidR="00511936" w:rsidRPr="00DA6626" w14:paraId="78967BCA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2AB595AA" w14:textId="59C41F5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133B6A7C" w14:textId="53F41684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970D4B6" w14:textId="5573301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9</w:t>
            </w:r>
            <w:r w:rsidRPr="00DA6626">
              <w:rPr>
                <w:rFonts w:ascii="Arial" w:hAnsi="Arial" w:cs="Arial"/>
              </w:rPr>
              <w:t>, 1.1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89D36C4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24ABF37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0.97, 1.02</w:t>
            </w:r>
          </w:p>
        </w:tc>
      </w:tr>
      <w:tr w:rsidR="00511936" w:rsidRPr="00DA6626" w14:paraId="00A7F3C9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4017FA48" w14:textId="2A960A0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72E96668" w14:textId="590BA4C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F0AA434" w14:textId="2EBD584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0.4</w:t>
            </w:r>
            <w:r>
              <w:rPr>
                <w:rFonts w:ascii="Arial" w:hAnsi="Arial" w:cs="Arial"/>
              </w:rPr>
              <w:t>6</w:t>
            </w:r>
            <w:r w:rsidRPr="00DA6626">
              <w:rPr>
                <w:rFonts w:ascii="Arial" w:hAnsi="Arial" w:cs="Arial"/>
              </w:rPr>
              <w:t>, 1.15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64A6BFB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01D573A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0.96, 1.08</w:t>
            </w:r>
          </w:p>
        </w:tc>
      </w:tr>
      <w:tr w:rsidR="00AE6921" w:rsidRPr="00DA6626" w14:paraId="25ABAB56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464023D6" w14:textId="30EFC062" w:rsidR="00AE6921" w:rsidRPr="00DA6626" w:rsidRDefault="00511936" w:rsidP="0059546B">
            <w:pPr>
              <w:spacing w:after="0"/>
              <w:rPr>
                <w:rFonts w:ascii="Arial" w:hAnsi="Arial" w:cs="Arial"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9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(n=185)</w:t>
            </w:r>
          </w:p>
        </w:tc>
      </w:tr>
      <w:tr w:rsidR="00511936" w:rsidRPr="00DA6626" w14:paraId="5F4AA0CB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45D8D231" w14:textId="78B4325C" w:rsidR="00511936" w:rsidRPr="00554B39" w:rsidRDefault="00511936" w:rsidP="00511936">
            <w:pPr>
              <w:spacing w:after="0"/>
              <w:rPr>
                <w:rFonts w:ascii="Arial" w:hAnsi="Arial" w:cs="Arial"/>
                <w:highlight w:val="yellow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A047460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7F140CC" w14:textId="33FCED8E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0.75, 1.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D4F953F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11D6224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0.95, 1.02</w:t>
            </w:r>
          </w:p>
        </w:tc>
      </w:tr>
      <w:tr w:rsidR="00511936" w:rsidRPr="00DA6626" w14:paraId="1AE2AAF7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4D0781E9" w14:textId="09323D6D" w:rsidR="00511936" w:rsidRPr="00554B39" w:rsidRDefault="00511936" w:rsidP="00511936">
            <w:pPr>
              <w:spacing w:after="0"/>
              <w:rPr>
                <w:rFonts w:ascii="Arial" w:hAnsi="Arial" w:cs="Arial"/>
                <w:highlight w:val="yellow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40F97BE" w14:textId="676B341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3D3488" w14:textId="16BA711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 xml:space="preserve">0.36, </w:t>
            </w:r>
            <w:r>
              <w:rPr>
                <w:rFonts w:ascii="Arial" w:hAnsi="Arial" w:cs="Arial"/>
              </w:rPr>
              <w:t>1.01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8151D73" w14:textId="09910FD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D1788A9" w14:textId="1D19837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0.92, 1.1</w:t>
            </w:r>
            <w:r>
              <w:rPr>
                <w:rFonts w:ascii="Arial" w:hAnsi="Arial" w:cs="Arial"/>
              </w:rPr>
              <w:t>1</w:t>
            </w:r>
          </w:p>
        </w:tc>
      </w:tr>
      <w:tr w:rsidR="00AE6921" w:rsidRPr="00DA6626" w14:paraId="2970F947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04C58AF8" w14:textId="76D48C2B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6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(n=185)</w:t>
            </w:r>
          </w:p>
        </w:tc>
      </w:tr>
      <w:tr w:rsidR="00511936" w:rsidRPr="00DA6626" w14:paraId="46D9E0BB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6E17E092" w14:textId="5312531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50F41B1" w14:textId="0109A05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57F87E" w14:textId="695942C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70</w:t>
            </w:r>
            <w:r w:rsidRPr="00DA6626">
              <w:rPr>
                <w:rFonts w:ascii="Arial" w:hAnsi="Arial" w:cs="Arial"/>
              </w:rPr>
              <w:t>, 1.21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AE4E7C5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A9C3CEC" w14:textId="2062F0C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0.91, 1.0</w:t>
            </w:r>
            <w:r>
              <w:rPr>
                <w:rFonts w:ascii="Arial" w:hAnsi="Arial" w:cs="Arial"/>
              </w:rPr>
              <w:t>4</w:t>
            </w:r>
          </w:p>
        </w:tc>
      </w:tr>
      <w:tr w:rsidR="00511936" w:rsidRPr="00DA6626" w14:paraId="28B2C9C8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2F8F4C36" w14:textId="0EBCFC7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76B8B23" w14:textId="032DE46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3C5772F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0.35, 1.47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97A2C21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EFBB099" w14:textId="7EEEA48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8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18</w:t>
            </w:r>
          </w:p>
        </w:tc>
      </w:tr>
      <w:tr w:rsidR="00AE6921" w:rsidRPr="00DA6626" w14:paraId="3A88A3E2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6DF3BC38" w14:textId="7C9BE0E9" w:rsidR="00AE6921" w:rsidRPr="00DA6626" w:rsidRDefault="00AE6921" w:rsidP="0059546B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  <w:b/>
                <w:bCs/>
              </w:rPr>
              <w:t>HIV-</w:t>
            </w:r>
            <w:r w:rsidR="00511936">
              <w:rPr>
                <w:rFonts w:ascii="Arial" w:hAnsi="Arial" w:cs="Arial"/>
                <w:b/>
                <w:bCs/>
              </w:rPr>
              <w:t>negative</w:t>
            </w:r>
            <w:r w:rsidR="00511936" w:rsidRPr="00DA6626">
              <w:rPr>
                <w:rFonts w:ascii="Arial" w:hAnsi="Arial" w:cs="Arial"/>
                <w:b/>
                <w:bCs/>
              </w:rPr>
              <w:t xml:space="preserve"> </w:t>
            </w:r>
            <w:r w:rsidRPr="00DA6626">
              <w:rPr>
                <w:rFonts w:ascii="Arial" w:hAnsi="Arial" w:cs="Arial"/>
                <w:b/>
                <w:bCs/>
              </w:rPr>
              <w:t xml:space="preserve">partner is </w:t>
            </w:r>
            <w:r w:rsidRPr="00DA6626">
              <w:rPr>
                <w:rFonts w:ascii="Arial" w:hAnsi="Arial" w:cs="Arial"/>
                <w:b/>
                <w:bCs/>
              </w:rPr>
              <w:sym w:font="Symbol" w:char="F0A3"/>
            </w:r>
            <w:r w:rsidRPr="00DA6626">
              <w:rPr>
                <w:rFonts w:ascii="Arial" w:hAnsi="Arial" w:cs="Arial"/>
                <w:b/>
                <w:bCs/>
              </w:rPr>
              <w:t>30 years of age</w:t>
            </w:r>
          </w:p>
        </w:tc>
      </w:tr>
      <w:tr w:rsidR="00AE6921" w:rsidRPr="00DA6626" w14:paraId="5D7C5F03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2703F28A" w14:textId="03103619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12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(n=286)</w:t>
            </w:r>
          </w:p>
        </w:tc>
      </w:tr>
      <w:tr w:rsidR="00511936" w:rsidRPr="00DA6626" w14:paraId="686F927B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0755EFDA" w14:textId="1FF7FC7B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6DF380B" w14:textId="079DB249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C75BA2A" w14:textId="2C60C85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9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B73B1A1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0723531" w14:textId="17F2E1F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</w:t>
            </w:r>
            <w:r>
              <w:rPr>
                <w:rFonts w:ascii="Arial" w:hAnsi="Arial" w:cs="Arial"/>
              </w:rPr>
              <w:t>1</w:t>
            </w:r>
          </w:p>
        </w:tc>
      </w:tr>
      <w:tr w:rsidR="00511936" w:rsidRPr="00DA6626" w14:paraId="6EC7E5CB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1B53784A" w14:textId="5BD470B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C3A6F2B" w14:textId="7FF4F318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8C7BEFB" w14:textId="025EB40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88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1F66E7D" w14:textId="062D826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5F979F1" w14:textId="1AF1828B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0.96, 1.0</w:t>
            </w:r>
            <w:r>
              <w:rPr>
                <w:rFonts w:ascii="Arial" w:hAnsi="Arial" w:cs="Arial"/>
              </w:rPr>
              <w:t>4</w:t>
            </w:r>
          </w:p>
        </w:tc>
      </w:tr>
      <w:tr w:rsidR="00AE6921" w:rsidRPr="00DA6626" w14:paraId="54BA9529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05C79562" w14:textId="645EB381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9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(n=28</w:t>
            </w:r>
            <w:r w:rsidR="00277864">
              <w:rPr>
                <w:rFonts w:ascii="Arial" w:hAnsi="Arial" w:cs="Arial"/>
                <w:bCs/>
                <w:i/>
                <w:iCs/>
              </w:rPr>
              <w:t>5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2A3C314A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14F92774" w14:textId="201949DC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56B53A6" w14:textId="0533494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174DE38" w14:textId="532C2EA9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4</w:t>
            </w:r>
            <w:r w:rsidRPr="00DA6626">
              <w:rPr>
                <w:rFonts w:ascii="Arial" w:hAnsi="Arial" w:cs="Arial"/>
              </w:rPr>
              <w:t>, 1.1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B7DFF29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BB28244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0.97, 1.03</w:t>
            </w:r>
          </w:p>
        </w:tc>
      </w:tr>
      <w:tr w:rsidR="00511936" w:rsidRPr="00DA6626" w14:paraId="13CE81DE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623B9B67" w14:textId="6106E0E9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3C5AF1D" w14:textId="5FEF2A7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1DBA634" w14:textId="510CD57C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82</w:t>
            </w:r>
            <w:r w:rsidRPr="00DA6626">
              <w:rPr>
                <w:rFonts w:ascii="Arial" w:hAnsi="Arial" w:cs="Arial"/>
              </w:rPr>
              <w:t>, 1.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1283FB59" w14:textId="7466E251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C4E52E1" w14:textId="230F1E3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6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6</w:t>
            </w:r>
          </w:p>
        </w:tc>
      </w:tr>
      <w:tr w:rsidR="00AE6921" w:rsidRPr="00DA6626" w14:paraId="1275D5F3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7458EC80" w14:textId="1A5750CC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6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</w:t>
            </w:r>
            <w:r w:rsidR="00277864" w:rsidRPr="00554B39">
              <w:rPr>
                <w:rFonts w:ascii="Arial" w:hAnsi="Arial" w:cs="Arial"/>
                <w:bCs/>
                <w:i/>
                <w:iCs/>
              </w:rPr>
              <w:t>28</w:t>
            </w:r>
            <w:r w:rsidR="00277864">
              <w:rPr>
                <w:rFonts w:ascii="Arial" w:hAnsi="Arial" w:cs="Arial"/>
                <w:bCs/>
                <w:i/>
                <w:iCs/>
              </w:rPr>
              <w:t>3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511936" w:rsidRPr="00DA6626" w14:paraId="0AE5CEDB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4D9D9109" w14:textId="22C3692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30D1E43B" w14:textId="3DA56B69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F2D7CBA" w14:textId="0E16731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0.85, 1.2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F16EED9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DD5B74C" w14:textId="0E4ADC7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0.94, 1.0</w:t>
            </w:r>
            <w:r>
              <w:rPr>
                <w:rFonts w:ascii="Arial" w:hAnsi="Arial" w:cs="Arial"/>
              </w:rPr>
              <w:t>5</w:t>
            </w:r>
          </w:p>
        </w:tc>
      </w:tr>
      <w:tr w:rsidR="00511936" w:rsidRPr="00DA6626" w14:paraId="2BE76F79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2D3D5EEF" w14:textId="11428F7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66FB338" w14:textId="41862C3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63B2E42" w14:textId="535AC9A4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0.77, 1.63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76A5552" w14:textId="5CF670FE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57FF3B" w14:textId="7559A6F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0.90, 1.63</w:t>
            </w:r>
          </w:p>
        </w:tc>
      </w:tr>
      <w:tr w:rsidR="00AE6921" w:rsidRPr="00DA6626" w14:paraId="33BF8C26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68AC4427" w14:textId="43E81BFD" w:rsidR="00AE6921" w:rsidRPr="00DA6626" w:rsidRDefault="00AE6921" w:rsidP="0059546B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  <w:b/>
                <w:bCs/>
              </w:rPr>
              <w:t>HIV-</w:t>
            </w:r>
            <w:r w:rsidR="00511936">
              <w:rPr>
                <w:rFonts w:ascii="Arial" w:hAnsi="Arial" w:cs="Arial"/>
                <w:b/>
                <w:bCs/>
              </w:rPr>
              <w:t>negative</w:t>
            </w:r>
            <w:r w:rsidR="00511936" w:rsidRPr="00DA6626">
              <w:rPr>
                <w:rFonts w:ascii="Arial" w:hAnsi="Arial" w:cs="Arial"/>
                <w:b/>
                <w:bCs/>
              </w:rPr>
              <w:t xml:space="preserve"> </w:t>
            </w:r>
            <w:r w:rsidRPr="00DA6626">
              <w:rPr>
                <w:rFonts w:ascii="Arial" w:hAnsi="Arial" w:cs="Arial"/>
                <w:b/>
                <w:bCs/>
              </w:rPr>
              <w:t>partner is &gt;30 years of age</w:t>
            </w:r>
          </w:p>
        </w:tc>
      </w:tr>
      <w:tr w:rsidR="00AE6921" w:rsidRPr="00DA6626" w14:paraId="2CE9A8CB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56704A92" w14:textId="3A8688C9" w:rsidR="00AE6921" w:rsidRPr="00DA6626" w:rsidRDefault="00511936" w:rsidP="0059546B">
            <w:pPr>
              <w:spacing w:after="0"/>
              <w:rPr>
                <w:rFonts w:ascii="Arial" w:hAnsi="Arial" w:cs="Arial"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lastRenderedPageBreak/>
              <w:t>Within</w:t>
            </w:r>
            <w:r w:rsidRPr="00554B39" w:rsidDel="00511936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12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(n=280)</w:t>
            </w:r>
          </w:p>
        </w:tc>
      </w:tr>
      <w:tr w:rsidR="00511936" w:rsidRPr="00DA6626" w14:paraId="1E9BBEEE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1AFD40DA" w14:textId="563A529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0AD9B27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0.88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F25E43D" w14:textId="5B0E6E6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8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BB1AD10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A4906EF" w14:textId="53AD795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0.97, 1.0</w:t>
            </w:r>
            <w:r>
              <w:rPr>
                <w:rFonts w:ascii="Arial" w:hAnsi="Arial" w:cs="Arial"/>
              </w:rPr>
              <w:t>2</w:t>
            </w:r>
          </w:p>
        </w:tc>
      </w:tr>
      <w:tr w:rsidR="00511936" w:rsidRPr="00DA6626" w14:paraId="63692E1E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57F85FD1" w14:textId="062B8875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6E80A6F8" w14:textId="4F1EA062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8927453" w14:textId="2604C133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4</w:t>
            </w:r>
            <w:r w:rsidRPr="00DA66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585744A" w14:textId="1F747DC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BCAF014" w14:textId="5309C9E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0.96, 1.0</w:t>
            </w:r>
            <w:r>
              <w:rPr>
                <w:rFonts w:ascii="Arial" w:hAnsi="Arial" w:cs="Arial"/>
              </w:rPr>
              <w:t>6</w:t>
            </w:r>
          </w:p>
        </w:tc>
      </w:tr>
      <w:tr w:rsidR="00AE6921" w:rsidRPr="00DA6626" w14:paraId="0D0DD7EF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551B22AB" w14:textId="39938CDE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9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(n=279)</w:t>
            </w:r>
          </w:p>
        </w:tc>
      </w:tr>
      <w:tr w:rsidR="00511936" w:rsidRPr="00DA6626" w14:paraId="507E6374" w14:textId="77777777" w:rsidTr="00554B39">
        <w:tc>
          <w:tcPr>
            <w:tcW w:w="2915" w:type="dxa"/>
            <w:tcBorders>
              <w:top w:val="nil"/>
              <w:bottom w:val="nil"/>
            </w:tcBorders>
          </w:tcPr>
          <w:p w14:paraId="6721AF2F" w14:textId="6C8FF45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124A833B" w14:textId="699DA9A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F992A27" w14:textId="3344176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5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41F2EB17" w14:textId="56431D7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F31B1CA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0.96, 1.01</w:t>
            </w:r>
          </w:p>
        </w:tc>
      </w:tr>
      <w:tr w:rsidR="00511936" w:rsidRPr="00DA6626" w14:paraId="253B17BE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1BBA4783" w14:textId="67CF386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5456356B" w14:textId="13B381CA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A4C38FE" w14:textId="1AA4299E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0.4</w:t>
            </w:r>
            <w:r>
              <w:rPr>
                <w:rFonts w:ascii="Arial" w:hAnsi="Arial" w:cs="Arial"/>
              </w:rPr>
              <w:t>7</w:t>
            </w:r>
            <w:r w:rsidRPr="00DA6626">
              <w:rPr>
                <w:rFonts w:ascii="Arial" w:hAnsi="Arial" w:cs="Arial"/>
              </w:rPr>
              <w:t>, 0.9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29332A10" w14:textId="26DD5CBB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AE16DB9" w14:textId="1A2AF26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5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7</w:t>
            </w:r>
          </w:p>
        </w:tc>
      </w:tr>
      <w:tr w:rsidR="00AE6921" w:rsidRPr="00DA6626" w14:paraId="1D38E5EE" w14:textId="77777777" w:rsidTr="00554B39">
        <w:tc>
          <w:tcPr>
            <w:tcW w:w="7083" w:type="dxa"/>
            <w:gridSpan w:val="5"/>
            <w:tcBorders>
              <w:top w:val="nil"/>
              <w:bottom w:val="nil"/>
            </w:tcBorders>
          </w:tcPr>
          <w:p w14:paraId="670A9D14" w14:textId="7CA226D1" w:rsidR="00AE6921" w:rsidRPr="00554B39" w:rsidRDefault="00511936" w:rsidP="0059546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554B39">
              <w:rPr>
                <w:rFonts w:ascii="Arial" w:hAnsi="Arial" w:cs="Arial"/>
                <w:bCs/>
                <w:i/>
                <w:iCs/>
              </w:rPr>
              <w:t>Within</w:t>
            </w:r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6 months </w:t>
            </w:r>
            <w:proofErr w:type="spellStart"/>
            <w:r w:rsidR="00AE6921" w:rsidRPr="00554B39">
              <w:rPr>
                <w:rFonts w:ascii="Arial" w:hAnsi="Arial" w:cs="Arial"/>
                <w:bCs/>
                <w:i/>
                <w:iCs/>
              </w:rPr>
              <w:t>PrEP</w:t>
            </w:r>
            <w:proofErr w:type="spellEnd"/>
            <w:r w:rsidR="00AE6921" w:rsidRPr="00554B39">
              <w:rPr>
                <w:rFonts w:ascii="Arial" w:hAnsi="Arial" w:cs="Arial"/>
                <w:bCs/>
                <w:i/>
                <w:iCs/>
              </w:rPr>
              <w:t xml:space="preserve"> discontinuation (n=278)</w:t>
            </w:r>
          </w:p>
        </w:tc>
      </w:tr>
      <w:tr w:rsidR="00511936" w:rsidRPr="00DA6626" w14:paraId="2D86BEA7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15" w:type="dxa"/>
            <w:tcBorders>
              <w:top w:val="nil"/>
              <w:bottom w:val="nil"/>
            </w:tcBorders>
          </w:tcPr>
          <w:p w14:paraId="2AD990E3" w14:textId="73B8121D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77981B7E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0.83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163B879" w14:textId="314DCA4E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6</w:t>
            </w:r>
            <w:r w:rsidRPr="00DA6626">
              <w:rPr>
                <w:rFonts w:ascii="Arial" w:hAnsi="Arial" w:cs="Arial"/>
              </w:rPr>
              <w:t>, 1.0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14:paraId="09A8ABA3" w14:textId="1056EE4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6CD501A" w14:textId="77777777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0.93, 1.04</w:t>
            </w:r>
          </w:p>
        </w:tc>
      </w:tr>
      <w:tr w:rsidR="00511936" w:rsidRPr="00DA6626" w14:paraId="4759D3F5" w14:textId="77777777" w:rsidTr="00554B39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254CD1E7" w14:textId="71FFC865" w:rsidR="00511936" w:rsidRPr="002031C0" w:rsidRDefault="00511936" w:rsidP="00511936">
            <w:pPr>
              <w:spacing w:after="0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14:paraId="0F1D5E77" w14:textId="7CB7CA24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14:paraId="74BDC302" w14:textId="31D2C63C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0.39, 1.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14:paraId="2EEF2461" w14:textId="7E0BA8B6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14:paraId="2753726F" w14:textId="205441CF" w:rsidR="00511936" w:rsidRPr="00DA6626" w:rsidRDefault="00511936" w:rsidP="00511936">
            <w:pPr>
              <w:spacing w:after="0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>0.84, 1.0</w:t>
            </w:r>
            <w:r>
              <w:rPr>
                <w:rFonts w:ascii="Arial" w:hAnsi="Arial" w:cs="Arial"/>
              </w:rPr>
              <w:t>9</w:t>
            </w:r>
          </w:p>
        </w:tc>
      </w:tr>
      <w:tr w:rsidR="00AE6921" w:rsidRPr="00DA6626" w14:paraId="01ED6927" w14:textId="77777777" w:rsidTr="005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single" w:sz="4" w:space="0" w:color="auto"/>
              <w:bottom w:val="nil"/>
            </w:tcBorders>
          </w:tcPr>
          <w:p w14:paraId="25FC0CAB" w14:textId="77247AD7" w:rsidR="00455ADB" w:rsidRPr="00DA6626" w:rsidRDefault="00455ADB" w:rsidP="00455ADB">
            <w:pPr>
              <w:spacing w:after="0" w:line="240" w:lineRule="auto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 xml:space="preserve">CI: confidence interval; 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: pre-exposure prophylaxis;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DA6626">
              <w:rPr>
                <w:rFonts w:ascii="Arial" w:hAnsi="Arial" w:cs="Arial"/>
              </w:rPr>
              <w:t>RR</w:t>
            </w:r>
            <w:proofErr w:type="spellEnd"/>
            <w:r w:rsidRPr="00DA662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adjusted </w:t>
            </w:r>
            <w:r w:rsidRPr="00DA6626">
              <w:rPr>
                <w:rFonts w:ascii="Arial" w:hAnsi="Arial" w:cs="Arial"/>
              </w:rPr>
              <w:t>risk ratio</w:t>
            </w:r>
            <w:r w:rsidR="00143DF0">
              <w:rPr>
                <w:rFonts w:ascii="Arial" w:hAnsi="Arial" w:cs="Arial"/>
              </w:rPr>
              <w:t>; not estimable due to model convergence failure</w:t>
            </w:r>
          </w:p>
          <w:p w14:paraId="18D6C26C" w14:textId="58CC19F9" w:rsidR="00AE6921" w:rsidRPr="00DA6626" w:rsidRDefault="00455ADB" w:rsidP="005954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>All</w:t>
            </w:r>
            <w:proofErr w:type="spellEnd"/>
            <w:r>
              <w:rPr>
                <w:rFonts w:ascii="Arial" w:hAnsi="Arial" w:cs="Arial"/>
              </w:rPr>
              <w:t xml:space="preserve"> models adjust</w:t>
            </w:r>
            <w:r w:rsidRPr="00DA6626">
              <w:rPr>
                <w:rFonts w:ascii="Arial" w:hAnsi="Arial" w:cs="Arial"/>
              </w:rPr>
              <w:t xml:space="preserve"> for visit pre/post 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 discontinuation statu</w:t>
            </w:r>
            <w:r>
              <w:rPr>
                <w:rFonts w:ascii="Arial" w:hAnsi="Arial" w:cs="Arial"/>
              </w:rPr>
              <w:t xml:space="preserve">s, </w:t>
            </w:r>
            <w:r w:rsidRPr="00DA6626">
              <w:rPr>
                <w:rFonts w:ascii="Arial" w:hAnsi="Arial" w:cs="Arial"/>
              </w:rPr>
              <w:t>number of months post-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 discontinuation</w:t>
            </w:r>
            <w:r>
              <w:rPr>
                <w:rFonts w:ascii="Arial" w:hAnsi="Arial" w:cs="Arial"/>
              </w:rPr>
              <w:t xml:space="preserve"> (coded zero for discontinuation visit and all previous visits), number of months from </w:t>
            </w:r>
            <w:proofErr w:type="spellStart"/>
            <w:r>
              <w:rPr>
                <w:rFonts w:ascii="Arial" w:hAnsi="Arial" w:cs="Arial"/>
              </w:rPr>
              <w:t>PrEP</w:t>
            </w:r>
            <w:proofErr w:type="spellEnd"/>
            <w:r>
              <w:rPr>
                <w:rFonts w:ascii="Arial" w:hAnsi="Arial" w:cs="Arial"/>
              </w:rPr>
              <w:t xml:space="preserve"> discontinuation (coded zero for discontinuation visit and negative value for all previous visits) and whether the visit occurred after changes in national ART guideline. </w:t>
            </w:r>
            <w:r w:rsidRPr="00517AF9"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</w:rPr>
              <w:t xml:space="preserve"> modeling the outcome of total sex acts, the negative binomial models also adjust for the HIV-negative partner’s age, sex (male/female) and number of sex acts at enrollment; the zero-inflated models adjust for HIV-negative partner’s age and sex, the woman’s pregnancy status, whether the couple was still together, any outside sexual partner and any </w:t>
            </w:r>
            <w:r w:rsidR="00BE47B5">
              <w:rPr>
                <w:rFonts w:ascii="Arial" w:hAnsi="Arial" w:cs="Arial"/>
              </w:rPr>
              <w:t>sexually transmitted infection (STI)</w:t>
            </w:r>
            <w:r>
              <w:rPr>
                <w:rFonts w:ascii="Arial" w:hAnsi="Arial" w:cs="Arial"/>
              </w:rPr>
              <w:t xml:space="preserve"> symptom at enrollment. When modeling the outcome of </w:t>
            </w:r>
            <w:proofErr w:type="spellStart"/>
            <w:r>
              <w:rPr>
                <w:rFonts w:ascii="Arial" w:hAnsi="Arial" w:cs="Arial"/>
              </w:rPr>
              <w:t>condomless</w:t>
            </w:r>
            <w:proofErr w:type="spellEnd"/>
            <w:r>
              <w:rPr>
                <w:rFonts w:ascii="Arial" w:hAnsi="Arial" w:cs="Arial"/>
              </w:rPr>
              <w:t xml:space="preserve"> sex acts, the negative binomial models also adjust for HIV-negative partners’ age, sex and number of sex acts at enrollment, any outside partner and use of a modern contraceptive method; the zero-inflated models adjust for HIV-negative partner’s age, sex and number of sex acts at enrollment, the female partner’s pregnancy status, whether the couple was still together, having any outside sexual partner, use of a modern contraceptive method, relationship satisfaction scale score and any </w:t>
            </w:r>
            <w:r w:rsidR="00BE47B5">
              <w:rPr>
                <w:rFonts w:ascii="Arial" w:hAnsi="Arial" w:cs="Arial"/>
              </w:rPr>
              <w:t>STI</w:t>
            </w:r>
            <w:r>
              <w:rPr>
                <w:rFonts w:ascii="Arial" w:hAnsi="Arial" w:cs="Arial"/>
              </w:rPr>
              <w:t xml:space="preserve"> symptom at enrollment.</w:t>
            </w:r>
          </w:p>
        </w:tc>
      </w:tr>
    </w:tbl>
    <w:p w14:paraId="67B7834C" w14:textId="2FBEFFB8" w:rsidR="003C352C" w:rsidRDefault="003C352C"/>
    <w:p w14:paraId="4D64F5E8" w14:textId="77777777" w:rsidR="003C352C" w:rsidRDefault="003C352C">
      <w:pPr>
        <w:spacing w:after="0" w:line="240" w:lineRule="auto"/>
      </w:pPr>
      <w:r>
        <w:br w:type="page"/>
      </w:r>
    </w:p>
    <w:p w14:paraId="353AAABC" w14:textId="77777777" w:rsidR="003C352C" w:rsidRDefault="003C352C" w:rsidP="003C352C">
      <w:pPr>
        <w:spacing w:after="0"/>
        <w:rPr>
          <w:rFonts w:ascii="Arial" w:hAnsi="Arial" w:cs="Arial"/>
          <w:b/>
        </w:rPr>
      </w:pPr>
      <w:r w:rsidRPr="00DA6626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2</w:t>
      </w:r>
      <w:r w:rsidRPr="00DA6626">
        <w:rPr>
          <w:rFonts w:ascii="Arial" w:hAnsi="Arial" w:cs="Arial"/>
          <w:b/>
        </w:rPr>
        <w:t>. Sensitivity analysis</w:t>
      </w:r>
      <w:r>
        <w:rPr>
          <w:rFonts w:ascii="Arial" w:hAnsi="Arial" w:cs="Arial"/>
          <w:b/>
        </w:rPr>
        <w:t xml:space="preserve"> of changes in sexual behaviors</w:t>
      </w:r>
      <w:r w:rsidRPr="00DA66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that restricts to couples where the HIV-uninfected partner contributes observations both before and after </w:t>
      </w:r>
      <w:proofErr w:type="spellStart"/>
      <w:r>
        <w:rPr>
          <w:rFonts w:ascii="Arial" w:hAnsi="Arial" w:cs="Arial"/>
          <w:b/>
        </w:rPr>
        <w:t>PrEP</w:t>
      </w:r>
      <w:proofErr w:type="spellEnd"/>
      <w:r>
        <w:rPr>
          <w:rFonts w:ascii="Arial" w:hAnsi="Arial" w:cs="Arial"/>
          <w:b/>
        </w:rPr>
        <w:t xml:space="preserve"> discontinuation</w:t>
      </w:r>
    </w:p>
    <w:p w14:paraId="26B4C5E4" w14:textId="77777777" w:rsidR="003C352C" w:rsidRDefault="003C352C" w:rsidP="003C352C">
      <w:pPr>
        <w:spacing w:after="0"/>
        <w:rPr>
          <w:rFonts w:ascii="Arial" w:hAnsi="Arial" w:cs="Arial"/>
          <w:b/>
        </w:rPr>
      </w:pPr>
    </w:p>
    <w:tbl>
      <w:tblPr>
        <w:tblW w:w="7268" w:type="dxa"/>
        <w:tblInd w:w="1048" w:type="dxa"/>
        <w:tblLayout w:type="fixed"/>
        <w:tblLook w:val="0400" w:firstRow="0" w:lastRow="0" w:firstColumn="0" w:lastColumn="0" w:noHBand="0" w:noVBand="1"/>
      </w:tblPr>
      <w:tblGrid>
        <w:gridCol w:w="2412"/>
        <w:gridCol w:w="79"/>
        <w:gridCol w:w="828"/>
        <w:gridCol w:w="1531"/>
        <w:gridCol w:w="828"/>
        <w:gridCol w:w="1531"/>
        <w:gridCol w:w="59"/>
      </w:tblGrid>
      <w:tr w:rsidR="003C352C" w:rsidRPr="007C0EF9" w14:paraId="668C42AD" w14:textId="77777777" w:rsidTr="003D1ACA">
        <w:trPr>
          <w:gridAfter w:val="1"/>
          <w:wAfter w:w="59" w:type="dxa"/>
          <w:trHeight w:val="61"/>
        </w:trPr>
        <w:tc>
          <w:tcPr>
            <w:tcW w:w="2491" w:type="dxa"/>
            <w:gridSpan w:val="2"/>
            <w:tcBorders>
              <w:top w:val="single" w:sz="8" w:space="0" w:color="auto"/>
            </w:tcBorders>
          </w:tcPr>
          <w:p w14:paraId="00187C45" w14:textId="77777777" w:rsidR="003C352C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</w:p>
          <w:p w14:paraId="46641EA2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</w:tcBorders>
          </w:tcPr>
          <w:p w14:paraId="09F81635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Change in </w:t>
            </w:r>
            <w:proofErr w:type="spellStart"/>
            <w:r w:rsidRPr="007C0EF9">
              <w:rPr>
                <w:rFonts w:ascii="Arial" w:hAnsi="Arial" w:cs="Arial"/>
              </w:rPr>
              <w:t>level</w:t>
            </w:r>
            <w:r w:rsidRPr="007C0EF9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8" w:space="0" w:color="auto"/>
            </w:tcBorders>
          </w:tcPr>
          <w:p w14:paraId="0D7898D8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Change in </w:t>
            </w:r>
            <w:proofErr w:type="spellStart"/>
            <w:r w:rsidRPr="007C0EF9">
              <w:rPr>
                <w:rFonts w:ascii="Arial" w:hAnsi="Arial" w:cs="Arial"/>
              </w:rPr>
              <w:t>trend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3C352C" w:rsidRPr="007C0EF9" w14:paraId="4B7DD1A3" w14:textId="77777777" w:rsidTr="003D1ACA">
        <w:trPr>
          <w:gridAfter w:val="1"/>
          <w:wAfter w:w="59" w:type="dxa"/>
          <w:trHeight w:val="59"/>
        </w:trPr>
        <w:tc>
          <w:tcPr>
            <w:tcW w:w="2491" w:type="dxa"/>
            <w:gridSpan w:val="2"/>
            <w:tcBorders>
              <w:bottom w:val="single" w:sz="8" w:space="0" w:color="auto"/>
            </w:tcBorders>
          </w:tcPr>
          <w:p w14:paraId="2DE6C722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14:paraId="0972267E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7C0EF9">
              <w:rPr>
                <w:rFonts w:ascii="Arial" w:hAnsi="Arial" w:cs="Arial"/>
              </w:rPr>
              <w:t>RR</w:t>
            </w:r>
            <w:proofErr w:type="spellEnd"/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7B3B59A8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>95% CI</w:t>
            </w:r>
          </w:p>
        </w:tc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14:paraId="2EEB707A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7C0EF9">
              <w:rPr>
                <w:rFonts w:ascii="Arial" w:hAnsi="Arial" w:cs="Arial"/>
              </w:rPr>
              <w:t>RR</w:t>
            </w:r>
            <w:proofErr w:type="spellEnd"/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946C846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>95% CI</w:t>
            </w:r>
          </w:p>
        </w:tc>
      </w:tr>
      <w:tr w:rsidR="003C352C" w:rsidRPr="007C0EF9" w14:paraId="08655477" w14:textId="77777777" w:rsidTr="003D1ACA">
        <w:trPr>
          <w:trHeight w:val="282"/>
        </w:trPr>
        <w:tc>
          <w:tcPr>
            <w:tcW w:w="2412" w:type="dxa"/>
            <w:tcBorders>
              <w:top w:val="single" w:sz="8" w:space="0" w:color="auto"/>
            </w:tcBorders>
            <w:shd w:val="clear" w:color="auto" w:fill="auto"/>
          </w:tcPr>
          <w:p w14:paraId="34E03A80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0EF9">
              <w:rPr>
                <w:rFonts w:ascii="Arial" w:hAnsi="Arial" w:cs="Arial"/>
                <w:b/>
              </w:rPr>
              <w:t>All couples (n=</w:t>
            </w:r>
            <w:r>
              <w:rPr>
                <w:rFonts w:ascii="Arial" w:hAnsi="Arial" w:cs="Arial"/>
                <w:b/>
              </w:rPr>
              <w:t>516</w:t>
            </w:r>
            <w:r w:rsidRPr="007C0E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56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193103A3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C352C" w:rsidRPr="007C0EF9" w14:paraId="550A83D7" w14:textId="77777777" w:rsidTr="003D1ACA">
        <w:trPr>
          <w:gridAfter w:val="1"/>
          <w:wAfter w:w="59" w:type="dxa"/>
          <w:trHeight w:val="275"/>
        </w:trPr>
        <w:tc>
          <w:tcPr>
            <w:tcW w:w="2491" w:type="dxa"/>
            <w:gridSpan w:val="2"/>
          </w:tcPr>
          <w:p w14:paraId="32662150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828" w:type="dxa"/>
          </w:tcPr>
          <w:p w14:paraId="1318C9DD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</w:t>
            </w:r>
          </w:p>
        </w:tc>
        <w:tc>
          <w:tcPr>
            <w:tcW w:w="1531" w:type="dxa"/>
          </w:tcPr>
          <w:p w14:paraId="3904E7EC" w14:textId="77777777" w:rsidR="003C352C" w:rsidRPr="007C0EF9" w:rsidRDefault="003C352C" w:rsidP="003D1ACA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0.87, 1.04</w:t>
            </w:r>
          </w:p>
        </w:tc>
        <w:tc>
          <w:tcPr>
            <w:tcW w:w="828" w:type="dxa"/>
          </w:tcPr>
          <w:p w14:paraId="0C420AE6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5CA8DBF1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0.99, 1.01</w:t>
            </w:r>
          </w:p>
        </w:tc>
      </w:tr>
      <w:tr w:rsidR="003C352C" w:rsidRPr="007C0EF9" w14:paraId="0CCAB68B" w14:textId="77777777" w:rsidTr="003D1ACA">
        <w:trPr>
          <w:gridAfter w:val="1"/>
          <w:wAfter w:w="59" w:type="dxa"/>
          <w:trHeight w:val="275"/>
        </w:trPr>
        <w:tc>
          <w:tcPr>
            <w:tcW w:w="2491" w:type="dxa"/>
            <w:gridSpan w:val="2"/>
          </w:tcPr>
          <w:p w14:paraId="0F70C066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828" w:type="dxa"/>
          </w:tcPr>
          <w:p w14:paraId="7391D51B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0.97 </w:t>
            </w:r>
          </w:p>
        </w:tc>
        <w:tc>
          <w:tcPr>
            <w:tcW w:w="1531" w:type="dxa"/>
          </w:tcPr>
          <w:p w14:paraId="3CA954A9" w14:textId="77777777" w:rsidR="003C352C" w:rsidRPr="007C0EF9" w:rsidRDefault="003C352C" w:rsidP="003D1ACA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0.80, 1.17</w:t>
            </w:r>
          </w:p>
        </w:tc>
        <w:tc>
          <w:tcPr>
            <w:tcW w:w="828" w:type="dxa"/>
          </w:tcPr>
          <w:p w14:paraId="4721A7F1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7134AC81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0.98, 1.02</w:t>
            </w:r>
          </w:p>
        </w:tc>
      </w:tr>
      <w:tr w:rsidR="003C352C" w:rsidRPr="007C0EF9" w14:paraId="70BFB2CB" w14:textId="77777777" w:rsidTr="003D1ACA">
        <w:trPr>
          <w:trHeight w:val="275"/>
        </w:trPr>
        <w:tc>
          <w:tcPr>
            <w:tcW w:w="7268" w:type="dxa"/>
            <w:gridSpan w:val="7"/>
          </w:tcPr>
          <w:p w14:paraId="57C9B8B4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  <w:b/>
              </w:rPr>
              <w:t>HIV-</w:t>
            </w:r>
            <w:r>
              <w:rPr>
                <w:rFonts w:ascii="Arial" w:hAnsi="Arial" w:cs="Arial"/>
                <w:b/>
              </w:rPr>
              <w:t>uninfected</w:t>
            </w:r>
            <w:r w:rsidRPr="007C0EF9">
              <w:rPr>
                <w:rFonts w:ascii="Arial" w:hAnsi="Arial" w:cs="Arial"/>
                <w:b/>
              </w:rPr>
              <w:t xml:space="preserve"> partner is female (n=</w:t>
            </w:r>
            <w:r>
              <w:rPr>
                <w:rFonts w:ascii="Arial" w:hAnsi="Arial" w:cs="Arial"/>
                <w:b/>
              </w:rPr>
              <w:t>169)</w:t>
            </w:r>
          </w:p>
        </w:tc>
      </w:tr>
      <w:tr w:rsidR="003C352C" w:rsidRPr="007C0EF9" w14:paraId="792537D8" w14:textId="77777777" w:rsidTr="003D1ACA">
        <w:trPr>
          <w:gridAfter w:val="1"/>
          <w:wAfter w:w="59" w:type="dxa"/>
          <w:trHeight w:val="275"/>
        </w:trPr>
        <w:tc>
          <w:tcPr>
            <w:tcW w:w="2491" w:type="dxa"/>
            <w:gridSpan w:val="2"/>
          </w:tcPr>
          <w:p w14:paraId="053B1B0C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828" w:type="dxa"/>
          </w:tcPr>
          <w:p w14:paraId="4789543B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</w:t>
            </w:r>
          </w:p>
        </w:tc>
        <w:tc>
          <w:tcPr>
            <w:tcW w:w="1531" w:type="dxa"/>
          </w:tcPr>
          <w:p w14:paraId="7A713019" w14:textId="77777777" w:rsidR="003C352C" w:rsidRPr="007C0EF9" w:rsidRDefault="003C352C" w:rsidP="003D1ACA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0.79, 1.08</w:t>
            </w:r>
          </w:p>
        </w:tc>
        <w:tc>
          <w:tcPr>
            <w:tcW w:w="828" w:type="dxa"/>
          </w:tcPr>
          <w:p w14:paraId="634F3906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714B8474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0.98, 1.02</w:t>
            </w:r>
          </w:p>
        </w:tc>
      </w:tr>
      <w:tr w:rsidR="003C352C" w:rsidRPr="007C0EF9" w14:paraId="2AFE2F37" w14:textId="77777777" w:rsidTr="003D1ACA">
        <w:trPr>
          <w:gridAfter w:val="1"/>
          <w:wAfter w:w="59" w:type="dxa"/>
          <w:trHeight w:val="275"/>
        </w:trPr>
        <w:tc>
          <w:tcPr>
            <w:tcW w:w="2491" w:type="dxa"/>
            <w:gridSpan w:val="2"/>
          </w:tcPr>
          <w:p w14:paraId="23DC5447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828" w:type="dxa"/>
          </w:tcPr>
          <w:p w14:paraId="5699F68B" w14:textId="77777777" w:rsidR="003C352C" w:rsidRPr="007C0EF9" w:rsidRDefault="003C352C" w:rsidP="003D1ACA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1531" w:type="dxa"/>
          </w:tcPr>
          <w:p w14:paraId="6B9408A9" w14:textId="77777777" w:rsidR="003C352C" w:rsidRPr="007C0EF9" w:rsidRDefault="003C352C" w:rsidP="003D1ACA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0.49, 1.16</w:t>
            </w:r>
          </w:p>
        </w:tc>
        <w:tc>
          <w:tcPr>
            <w:tcW w:w="828" w:type="dxa"/>
          </w:tcPr>
          <w:p w14:paraId="291D3741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</w:t>
            </w:r>
          </w:p>
        </w:tc>
        <w:tc>
          <w:tcPr>
            <w:tcW w:w="1531" w:type="dxa"/>
          </w:tcPr>
          <w:p w14:paraId="60DD75D4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0.97, 1.06</w:t>
            </w:r>
          </w:p>
        </w:tc>
      </w:tr>
      <w:tr w:rsidR="003C352C" w:rsidRPr="007C0EF9" w14:paraId="0EA80A6A" w14:textId="77777777" w:rsidTr="003D1ACA">
        <w:trPr>
          <w:trHeight w:val="282"/>
        </w:trPr>
        <w:tc>
          <w:tcPr>
            <w:tcW w:w="7268" w:type="dxa"/>
            <w:gridSpan w:val="7"/>
          </w:tcPr>
          <w:p w14:paraId="74662BB7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0EF9">
              <w:rPr>
                <w:rFonts w:ascii="Arial" w:hAnsi="Arial" w:cs="Arial"/>
                <w:b/>
              </w:rPr>
              <w:t>HIV-</w:t>
            </w:r>
            <w:r>
              <w:rPr>
                <w:rFonts w:ascii="Arial" w:hAnsi="Arial" w:cs="Arial"/>
                <w:b/>
              </w:rPr>
              <w:t>uninfected</w:t>
            </w:r>
            <w:r w:rsidRPr="007C0EF9">
              <w:rPr>
                <w:rFonts w:ascii="Arial" w:hAnsi="Arial" w:cs="Arial"/>
                <w:b/>
              </w:rPr>
              <w:t xml:space="preserve"> partner is male (n=</w:t>
            </w:r>
            <w:r>
              <w:rPr>
                <w:rFonts w:ascii="Arial" w:hAnsi="Arial" w:cs="Arial"/>
                <w:b/>
              </w:rPr>
              <w:t>347</w:t>
            </w:r>
            <w:r w:rsidRPr="007C0EF9">
              <w:rPr>
                <w:rFonts w:ascii="Arial" w:hAnsi="Arial" w:cs="Arial"/>
                <w:b/>
              </w:rPr>
              <w:t>)</w:t>
            </w:r>
          </w:p>
        </w:tc>
      </w:tr>
      <w:tr w:rsidR="003C352C" w:rsidRPr="007C0EF9" w14:paraId="0E111F9A" w14:textId="77777777" w:rsidTr="003D1ACA">
        <w:trPr>
          <w:gridAfter w:val="1"/>
          <w:wAfter w:w="59" w:type="dxa"/>
          <w:trHeight w:val="275"/>
        </w:trPr>
        <w:tc>
          <w:tcPr>
            <w:tcW w:w="2491" w:type="dxa"/>
            <w:gridSpan w:val="2"/>
          </w:tcPr>
          <w:p w14:paraId="5FA42C98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828" w:type="dxa"/>
          </w:tcPr>
          <w:p w14:paraId="384FA3E1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</w:t>
            </w:r>
          </w:p>
        </w:tc>
        <w:tc>
          <w:tcPr>
            <w:tcW w:w="1531" w:type="dxa"/>
          </w:tcPr>
          <w:p w14:paraId="624EAE5A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0.86, 1.08</w:t>
            </w:r>
          </w:p>
        </w:tc>
        <w:tc>
          <w:tcPr>
            <w:tcW w:w="828" w:type="dxa"/>
          </w:tcPr>
          <w:p w14:paraId="7F8394B3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75EC8758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0.98, 1.01</w:t>
            </w:r>
          </w:p>
        </w:tc>
      </w:tr>
      <w:tr w:rsidR="003C352C" w:rsidRPr="007C0EF9" w14:paraId="3403999C" w14:textId="77777777" w:rsidTr="003D1ACA">
        <w:trPr>
          <w:gridAfter w:val="1"/>
          <w:wAfter w:w="59" w:type="dxa"/>
          <w:trHeight w:val="282"/>
        </w:trPr>
        <w:tc>
          <w:tcPr>
            <w:tcW w:w="2491" w:type="dxa"/>
            <w:gridSpan w:val="2"/>
          </w:tcPr>
          <w:p w14:paraId="41F60853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828" w:type="dxa"/>
          </w:tcPr>
          <w:p w14:paraId="16AA2688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  <w:tc>
          <w:tcPr>
            <w:tcW w:w="1531" w:type="dxa"/>
          </w:tcPr>
          <w:p w14:paraId="1894E2BC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0.84, 1.30</w:t>
            </w:r>
          </w:p>
        </w:tc>
        <w:tc>
          <w:tcPr>
            <w:tcW w:w="828" w:type="dxa"/>
          </w:tcPr>
          <w:p w14:paraId="22CB0A09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624CB689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0.97, 1.02</w:t>
            </w:r>
          </w:p>
        </w:tc>
      </w:tr>
      <w:tr w:rsidR="003C352C" w:rsidRPr="007C0EF9" w14:paraId="7C9F726A" w14:textId="77777777" w:rsidTr="003D1ACA">
        <w:trPr>
          <w:trHeight w:val="282"/>
        </w:trPr>
        <w:tc>
          <w:tcPr>
            <w:tcW w:w="7268" w:type="dxa"/>
            <w:gridSpan w:val="7"/>
          </w:tcPr>
          <w:p w14:paraId="0928C879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  <w:b/>
              </w:rPr>
              <w:t>HIV-</w:t>
            </w:r>
            <w:r>
              <w:rPr>
                <w:rFonts w:ascii="Arial" w:hAnsi="Arial" w:cs="Arial"/>
                <w:b/>
              </w:rPr>
              <w:t>uninfected</w:t>
            </w:r>
            <w:r w:rsidRPr="007C0EF9">
              <w:rPr>
                <w:rFonts w:ascii="Arial" w:hAnsi="Arial" w:cs="Arial"/>
                <w:b/>
              </w:rPr>
              <w:t xml:space="preserve"> partner ≤30 years old (n=</w:t>
            </w:r>
            <w:r>
              <w:rPr>
                <w:rFonts w:ascii="Arial" w:hAnsi="Arial" w:cs="Arial"/>
                <w:b/>
              </w:rPr>
              <w:t>256</w:t>
            </w:r>
            <w:r w:rsidRPr="007C0EF9">
              <w:rPr>
                <w:rFonts w:ascii="Arial" w:hAnsi="Arial" w:cs="Arial"/>
                <w:b/>
              </w:rPr>
              <w:t>)</w:t>
            </w:r>
          </w:p>
        </w:tc>
      </w:tr>
      <w:tr w:rsidR="003C352C" w:rsidRPr="007C0EF9" w14:paraId="65B1F8BF" w14:textId="77777777" w:rsidTr="003D1ACA">
        <w:trPr>
          <w:gridAfter w:val="1"/>
          <w:wAfter w:w="59" w:type="dxa"/>
          <w:trHeight w:val="282"/>
        </w:trPr>
        <w:tc>
          <w:tcPr>
            <w:tcW w:w="2491" w:type="dxa"/>
            <w:gridSpan w:val="2"/>
          </w:tcPr>
          <w:p w14:paraId="0BF55003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828" w:type="dxa"/>
          </w:tcPr>
          <w:p w14:paraId="5D0B2E2C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</w:tc>
        <w:tc>
          <w:tcPr>
            <w:tcW w:w="1531" w:type="dxa"/>
          </w:tcPr>
          <w:p w14:paraId="10F738D6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0.84, 1.10</w:t>
            </w:r>
          </w:p>
        </w:tc>
        <w:tc>
          <w:tcPr>
            <w:tcW w:w="828" w:type="dxa"/>
          </w:tcPr>
          <w:p w14:paraId="774C1DF7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3E267DB9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0.98, 1.01</w:t>
            </w:r>
          </w:p>
        </w:tc>
      </w:tr>
      <w:tr w:rsidR="003C352C" w:rsidRPr="007C0EF9" w14:paraId="14F5AED4" w14:textId="77777777" w:rsidTr="003D1ACA">
        <w:trPr>
          <w:gridAfter w:val="1"/>
          <w:wAfter w:w="59" w:type="dxa"/>
          <w:trHeight w:val="282"/>
        </w:trPr>
        <w:tc>
          <w:tcPr>
            <w:tcW w:w="2491" w:type="dxa"/>
            <w:gridSpan w:val="2"/>
          </w:tcPr>
          <w:p w14:paraId="77A0AFB8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828" w:type="dxa"/>
          </w:tcPr>
          <w:p w14:paraId="6A821B1B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1531" w:type="dxa"/>
          </w:tcPr>
          <w:p w14:paraId="1C56BEFD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0.90, 1.50</w:t>
            </w:r>
          </w:p>
        </w:tc>
        <w:tc>
          <w:tcPr>
            <w:tcW w:w="828" w:type="dxa"/>
          </w:tcPr>
          <w:p w14:paraId="46E9C421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  <w:tc>
          <w:tcPr>
            <w:tcW w:w="1531" w:type="dxa"/>
          </w:tcPr>
          <w:p w14:paraId="11160620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0.96, 1.02</w:t>
            </w:r>
          </w:p>
        </w:tc>
      </w:tr>
      <w:tr w:rsidR="003C352C" w:rsidRPr="007C0EF9" w14:paraId="3C3F2BC6" w14:textId="77777777" w:rsidTr="003D1ACA">
        <w:trPr>
          <w:trHeight w:val="282"/>
        </w:trPr>
        <w:tc>
          <w:tcPr>
            <w:tcW w:w="7268" w:type="dxa"/>
            <w:gridSpan w:val="7"/>
          </w:tcPr>
          <w:p w14:paraId="3040AD25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  <w:b/>
              </w:rPr>
              <w:t>HIV-</w:t>
            </w:r>
            <w:r>
              <w:rPr>
                <w:rFonts w:ascii="Arial" w:hAnsi="Arial" w:cs="Arial"/>
                <w:b/>
              </w:rPr>
              <w:t>uninfected</w:t>
            </w:r>
            <w:r w:rsidRPr="007C0EF9">
              <w:rPr>
                <w:rFonts w:ascii="Arial" w:hAnsi="Arial" w:cs="Arial"/>
                <w:b/>
              </w:rPr>
              <w:t xml:space="preserve"> partner &gt;30 years old (n=</w:t>
            </w:r>
            <w:r>
              <w:rPr>
                <w:rFonts w:ascii="Arial" w:hAnsi="Arial" w:cs="Arial"/>
                <w:b/>
              </w:rPr>
              <w:t>260</w:t>
            </w:r>
            <w:r w:rsidRPr="007C0EF9">
              <w:rPr>
                <w:rFonts w:ascii="Arial" w:hAnsi="Arial" w:cs="Arial"/>
                <w:b/>
              </w:rPr>
              <w:t>)</w:t>
            </w:r>
          </w:p>
        </w:tc>
      </w:tr>
      <w:tr w:rsidR="003C352C" w:rsidRPr="007C0EF9" w14:paraId="6AFD3720" w14:textId="77777777" w:rsidTr="003D1ACA">
        <w:trPr>
          <w:gridAfter w:val="1"/>
          <w:wAfter w:w="59" w:type="dxa"/>
          <w:trHeight w:val="282"/>
        </w:trPr>
        <w:tc>
          <w:tcPr>
            <w:tcW w:w="2491" w:type="dxa"/>
            <w:gridSpan w:val="2"/>
          </w:tcPr>
          <w:p w14:paraId="5E7F21C5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7C0EF9">
              <w:rPr>
                <w:rFonts w:ascii="Arial" w:hAnsi="Arial" w:cs="Arial"/>
              </w:rPr>
              <w:t xml:space="preserve">Total sex acts </w:t>
            </w:r>
          </w:p>
        </w:tc>
        <w:tc>
          <w:tcPr>
            <w:tcW w:w="828" w:type="dxa"/>
          </w:tcPr>
          <w:p w14:paraId="4E3F7069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</w:tc>
        <w:tc>
          <w:tcPr>
            <w:tcW w:w="1531" w:type="dxa"/>
          </w:tcPr>
          <w:p w14:paraId="72C850EC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0.84, 1.07</w:t>
            </w:r>
          </w:p>
        </w:tc>
        <w:tc>
          <w:tcPr>
            <w:tcW w:w="828" w:type="dxa"/>
          </w:tcPr>
          <w:p w14:paraId="09D55357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31" w:type="dxa"/>
          </w:tcPr>
          <w:p w14:paraId="57EAEFC5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0.98, 1.01</w:t>
            </w:r>
          </w:p>
        </w:tc>
      </w:tr>
      <w:tr w:rsidR="003C352C" w:rsidRPr="007C0EF9" w14:paraId="38487560" w14:textId="77777777" w:rsidTr="003D1ACA">
        <w:trPr>
          <w:gridAfter w:val="1"/>
          <w:wAfter w:w="59" w:type="dxa"/>
          <w:trHeight w:val="282"/>
        </w:trPr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14:paraId="0F38A94F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0EF9">
              <w:rPr>
                <w:rFonts w:ascii="Arial" w:hAnsi="Arial" w:cs="Arial"/>
              </w:rPr>
              <w:t>Condomless</w:t>
            </w:r>
            <w:proofErr w:type="spellEnd"/>
            <w:r w:rsidRPr="007C0EF9">
              <w:rPr>
                <w:rFonts w:ascii="Arial" w:hAnsi="Arial" w:cs="Arial"/>
              </w:rPr>
              <w:t xml:space="preserve"> sex acts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BC3F7B8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8031446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0.59, 1.04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92DB7BE" w14:textId="77777777" w:rsidR="003C352C" w:rsidRPr="007C0EF9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9EEC6AB" w14:textId="77777777" w:rsidR="003C352C" w:rsidRPr="007C0EF9" w:rsidRDefault="003C352C" w:rsidP="003D1A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0.99, 1.06</w:t>
            </w:r>
          </w:p>
        </w:tc>
      </w:tr>
      <w:tr w:rsidR="003C352C" w:rsidRPr="007C0EF9" w14:paraId="617BBFA8" w14:textId="77777777" w:rsidTr="003D1ACA">
        <w:trPr>
          <w:trHeight w:val="275"/>
        </w:trPr>
        <w:tc>
          <w:tcPr>
            <w:tcW w:w="7268" w:type="dxa"/>
            <w:gridSpan w:val="7"/>
            <w:tcBorders>
              <w:top w:val="single" w:sz="4" w:space="0" w:color="auto"/>
            </w:tcBorders>
          </w:tcPr>
          <w:p w14:paraId="4ECBA2E4" w14:textId="77777777" w:rsidR="003C352C" w:rsidRPr="00DA6626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r w:rsidRPr="00DA6626">
              <w:rPr>
                <w:rFonts w:ascii="Arial" w:hAnsi="Arial" w:cs="Arial"/>
              </w:rPr>
              <w:t xml:space="preserve">CI: confidence interval; 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: pre-exposure prophylaxis;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DA6626">
              <w:rPr>
                <w:rFonts w:ascii="Arial" w:hAnsi="Arial" w:cs="Arial"/>
              </w:rPr>
              <w:t>RR</w:t>
            </w:r>
            <w:proofErr w:type="spellEnd"/>
            <w:r w:rsidRPr="00DA662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adjusted </w:t>
            </w:r>
            <w:r w:rsidRPr="00DA6626">
              <w:rPr>
                <w:rFonts w:ascii="Arial" w:hAnsi="Arial" w:cs="Arial"/>
              </w:rPr>
              <w:t>risk ratio</w:t>
            </w:r>
          </w:p>
          <w:p w14:paraId="7534D573" w14:textId="77777777" w:rsidR="003C352C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>All</w:t>
            </w:r>
            <w:proofErr w:type="spellEnd"/>
            <w:r>
              <w:rPr>
                <w:rFonts w:ascii="Arial" w:hAnsi="Arial" w:cs="Arial"/>
              </w:rPr>
              <w:t xml:space="preserve"> models adjust</w:t>
            </w:r>
            <w:r w:rsidRPr="00DA6626">
              <w:rPr>
                <w:rFonts w:ascii="Arial" w:hAnsi="Arial" w:cs="Arial"/>
              </w:rPr>
              <w:t xml:space="preserve"> for visit pre/post 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 discontinuation statu</w:t>
            </w:r>
            <w:r>
              <w:rPr>
                <w:rFonts w:ascii="Arial" w:hAnsi="Arial" w:cs="Arial"/>
              </w:rPr>
              <w:t xml:space="preserve">s, </w:t>
            </w:r>
            <w:r w:rsidRPr="00DA6626">
              <w:rPr>
                <w:rFonts w:ascii="Arial" w:hAnsi="Arial" w:cs="Arial"/>
              </w:rPr>
              <w:t>number of months post-</w:t>
            </w:r>
            <w:proofErr w:type="spellStart"/>
            <w:r w:rsidRPr="00DA6626">
              <w:rPr>
                <w:rFonts w:ascii="Arial" w:hAnsi="Arial" w:cs="Arial"/>
              </w:rPr>
              <w:t>PrEP</w:t>
            </w:r>
            <w:proofErr w:type="spellEnd"/>
            <w:r w:rsidRPr="00DA6626">
              <w:rPr>
                <w:rFonts w:ascii="Arial" w:hAnsi="Arial" w:cs="Arial"/>
              </w:rPr>
              <w:t xml:space="preserve"> discontinuation</w:t>
            </w:r>
            <w:r>
              <w:rPr>
                <w:rFonts w:ascii="Arial" w:hAnsi="Arial" w:cs="Arial"/>
              </w:rPr>
              <w:t xml:space="preserve"> (coded zero for discontinuation visit and all previous visits), number of months from </w:t>
            </w:r>
            <w:proofErr w:type="spellStart"/>
            <w:r>
              <w:rPr>
                <w:rFonts w:ascii="Arial" w:hAnsi="Arial" w:cs="Arial"/>
              </w:rPr>
              <w:t>PrEP</w:t>
            </w:r>
            <w:proofErr w:type="spellEnd"/>
            <w:r>
              <w:rPr>
                <w:rFonts w:ascii="Arial" w:hAnsi="Arial" w:cs="Arial"/>
              </w:rPr>
              <w:t xml:space="preserve"> discontinuation (coded zero for discontinuation visit and negative value for all previous visits) and whether the visit occurred after changes in national ART guideline. </w:t>
            </w:r>
            <w:r w:rsidRPr="00517AF9"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</w:rPr>
              <w:t xml:space="preserve"> modeling the outcome of total sex acts, the negative binomial models also adjust for the HIV-negative partner’s age, sex (male/female) and number of sex acts at enrollment; the zero-inflated models adjust for HIV-negative partner’s age and sex, the woman’s pregnancy status, whether the couple was still together, any outside sexual partner and any STI symptom at enrollment. When modeling the outcome of </w:t>
            </w:r>
            <w:proofErr w:type="spellStart"/>
            <w:r>
              <w:rPr>
                <w:rFonts w:ascii="Arial" w:hAnsi="Arial" w:cs="Arial"/>
              </w:rPr>
              <w:t>condomless</w:t>
            </w:r>
            <w:proofErr w:type="spellEnd"/>
            <w:r>
              <w:rPr>
                <w:rFonts w:ascii="Arial" w:hAnsi="Arial" w:cs="Arial"/>
              </w:rPr>
              <w:t xml:space="preserve"> sex acts, the negative binomial models also adjust for HIV-negative partners’ age, sex and number of sex acts at enrollment, any outside partner and use of a modern contraceptive method; the zero-inflated models adjust for HIV-negative partner’s age, sex and number of sex acts at enrollment, the female partner’s pregnancy status, whether the couple was still together, having any outside sexual partner, use of a modern contraceptive method, relationship satisfaction scale score and any sexually transmitted infection (STI) symptom at enrollment.</w:t>
            </w:r>
          </w:p>
          <w:p w14:paraId="06ED87B4" w14:textId="77777777" w:rsidR="003C352C" w:rsidRDefault="003C352C" w:rsidP="003D1A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483DE" w14:textId="77777777" w:rsidR="003C352C" w:rsidRDefault="003C352C" w:rsidP="003C352C"/>
    <w:p w14:paraId="6C486105" w14:textId="77777777" w:rsidR="000D6EA0" w:rsidRDefault="003C352C">
      <w:bookmarkStart w:id="0" w:name="_GoBack"/>
      <w:bookmarkEnd w:id="0"/>
    </w:p>
    <w:sectPr w:rsidR="000D6EA0" w:rsidSect="00EA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1"/>
    <w:rsid w:val="00010B24"/>
    <w:rsid w:val="000434F2"/>
    <w:rsid w:val="000511C0"/>
    <w:rsid w:val="000A1D33"/>
    <w:rsid w:val="000A2209"/>
    <w:rsid w:val="000B4DC8"/>
    <w:rsid w:val="000C1D05"/>
    <w:rsid w:val="000E55CF"/>
    <w:rsid w:val="000F0A09"/>
    <w:rsid w:val="00114C81"/>
    <w:rsid w:val="00126C5A"/>
    <w:rsid w:val="00143DF0"/>
    <w:rsid w:val="001712B9"/>
    <w:rsid w:val="0018502D"/>
    <w:rsid w:val="002031C0"/>
    <w:rsid w:val="00227B7A"/>
    <w:rsid w:val="00276B53"/>
    <w:rsid w:val="00277864"/>
    <w:rsid w:val="002E611C"/>
    <w:rsid w:val="002E6693"/>
    <w:rsid w:val="003520D4"/>
    <w:rsid w:val="00366AFA"/>
    <w:rsid w:val="003B6B4B"/>
    <w:rsid w:val="003C352C"/>
    <w:rsid w:val="003F2F47"/>
    <w:rsid w:val="004030E1"/>
    <w:rsid w:val="00403BFA"/>
    <w:rsid w:val="00425398"/>
    <w:rsid w:val="00455ADB"/>
    <w:rsid w:val="00483CCD"/>
    <w:rsid w:val="0049694E"/>
    <w:rsid w:val="004D1494"/>
    <w:rsid w:val="00511936"/>
    <w:rsid w:val="00524E55"/>
    <w:rsid w:val="00527B84"/>
    <w:rsid w:val="00554B39"/>
    <w:rsid w:val="0057384E"/>
    <w:rsid w:val="00594423"/>
    <w:rsid w:val="005C2E20"/>
    <w:rsid w:val="005C2EF3"/>
    <w:rsid w:val="00624AAF"/>
    <w:rsid w:val="006453BA"/>
    <w:rsid w:val="00684E49"/>
    <w:rsid w:val="00696338"/>
    <w:rsid w:val="006A731A"/>
    <w:rsid w:val="00760743"/>
    <w:rsid w:val="007755B3"/>
    <w:rsid w:val="00797E5F"/>
    <w:rsid w:val="007A6094"/>
    <w:rsid w:val="007C22D9"/>
    <w:rsid w:val="007D7CF9"/>
    <w:rsid w:val="0085702A"/>
    <w:rsid w:val="00874642"/>
    <w:rsid w:val="00890F61"/>
    <w:rsid w:val="008A6F2A"/>
    <w:rsid w:val="008C543F"/>
    <w:rsid w:val="008E1DAE"/>
    <w:rsid w:val="008E5EFC"/>
    <w:rsid w:val="00931C0B"/>
    <w:rsid w:val="00957D42"/>
    <w:rsid w:val="00974226"/>
    <w:rsid w:val="00974A06"/>
    <w:rsid w:val="009867AA"/>
    <w:rsid w:val="00992E0B"/>
    <w:rsid w:val="00997FE0"/>
    <w:rsid w:val="009C44A1"/>
    <w:rsid w:val="00A11E28"/>
    <w:rsid w:val="00A141B1"/>
    <w:rsid w:val="00A333EC"/>
    <w:rsid w:val="00AA7FED"/>
    <w:rsid w:val="00AE6921"/>
    <w:rsid w:val="00B446E9"/>
    <w:rsid w:val="00B82635"/>
    <w:rsid w:val="00B84829"/>
    <w:rsid w:val="00BD6B22"/>
    <w:rsid w:val="00BE47B5"/>
    <w:rsid w:val="00C47849"/>
    <w:rsid w:val="00CA0C85"/>
    <w:rsid w:val="00CC3EB3"/>
    <w:rsid w:val="00CC70C3"/>
    <w:rsid w:val="00CF0867"/>
    <w:rsid w:val="00CF7E4A"/>
    <w:rsid w:val="00DB0E5A"/>
    <w:rsid w:val="00DB79ED"/>
    <w:rsid w:val="00DE75D4"/>
    <w:rsid w:val="00E01EE2"/>
    <w:rsid w:val="00E04EF0"/>
    <w:rsid w:val="00E236F3"/>
    <w:rsid w:val="00E454CD"/>
    <w:rsid w:val="00E736B7"/>
    <w:rsid w:val="00E8286D"/>
    <w:rsid w:val="00E855F3"/>
    <w:rsid w:val="00EA286E"/>
    <w:rsid w:val="00EA405E"/>
    <w:rsid w:val="00EB0BA9"/>
    <w:rsid w:val="00EE500A"/>
    <w:rsid w:val="00F13457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1BE9"/>
  <w15:chartTrackingRefBased/>
  <w15:docId w15:val="{71372159-94E0-2E42-8614-D268E01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5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457"/>
    <w:rPr>
      <w:sz w:val="22"/>
      <w:szCs w:val="22"/>
    </w:rPr>
  </w:style>
  <w:style w:type="table" w:styleId="PlainTable2">
    <w:name w:val="Plain Table 2"/>
    <w:basedOn w:val="TableNormal"/>
    <w:uiPriority w:val="42"/>
    <w:rsid w:val="00276B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Stalter</dc:creator>
  <cp:keywords/>
  <dc:description/>
  <cp:lastModifiedBy>Laura Anderson</cp:lastModifiedBy>
  <cp:revision>2</cp:revision>
  <dcterms:created xsi:type="dcterms:W3CDTF">2020-06-26T18:07:00Z</dcterms:created>
  <dcterms:modified xsi:type="dcterms:W3CDTF">2020-06-26T18:07:00Z</dcterms:modified>
</cp:coreProperties>
</file>