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B0EBF" w14:textId="268F5D78" w:rsidR="00A71043" w:rsidRPr="001C46BC" w:rsidRDefault="00F303A9" w:rsidP="006D4B4C">
      <w:pPr>
        <w:widowControl w:val="0"/>
        <w:autoSpaceDE w:val="0"/>
        <w:autoSpaceDN w:val="0"/>
        <w:adjustRightInd w:val="0"/>
        <w:spacing w:line="240" w:lineRule="auto"/>
        <w:jc w:val="center"/>
        <w:rPr>
          <w:szCs w:val="24"/>
        </w:rPr>
      </w:pPr>
      <w:r w:rsidRPr="001C46BC">
        <w:rPr>
          <w:noProof/>
          <w:szCs w:val="24"/>
        </w:rPr>
        <w:drawing>
          <wp:inline distT="0" distB="0" distL="0" distR="0" wp14:anchorId="208E1386" wp14:editId="1A5E166F">
            <wp:extent cx="5850890" cy="3293110"/>
            <wp:effectExtent l="0" t="0" r="0" b="2540"/>
            <wp:docPr id="2" name="Picture 2" descr="C:\Users\hluan\OneDrive - University Of Oregon\Manuscripts\R projects\Multivariate modeling_COVID-19\COVID crude rate_1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luan\OneDrive - University Of Oregon\Manuscripts\R projects\Multivariate modeling_COVID-19\COVID crude rate_100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0890" cy="3293110"/>
                    </a:xfrm>
                    <a:prstGeom prst="rect">
                      <a:avLst/>
                    </a:prstGeom>
                    <a:noFill/>
                    <a:ln>
                      <a:noFill/>
                    </a:ln>
                  </pic:spPr>
                </pic:pic>
              </a:graphicData>
            </a:graphic>
          </wp:inline>
        </w:drawing>
      </w:r>
    </w:p>
    <w:p w14:paraId="519A6547" w14:textId="55BC9DB0" w:rsidR="00CF110C" w:rsidRPr="001C46BC" w:rsidRDefault="00DE50B3" w:rsidP="00CF110C">
      <w:pPr>
        <w:widowControl w:val="0"/>
        <w:autoSpaceDE w:val="0"/>
        <w:autoSpaceDN w:val="0"/>
        <w:adjustRightInd w:val="0"/>
        <w:spacing w:line="240" w:lineRule="auto"/>
        <w:jc w:val="center"/>
        <w:rPr>
          <w:b/>
          <w:szCs w:val="24"/>
        </w:rPr>
      </w:pPr>
      <w:r w:rsidRPr="001C46BC">
        <w:rPr>
          <w:b/>
          <w:szCs w:val="24"/>
        </w:rPr>
        <w:t xml:space="preserve">Appendix Figure </w:t>
      </w:r>
      <w:r w:rsidR="001C46BC">
        <w:rPr>
          <w:b/>
          <w:szCs w:val="24"/>
        </w:rPr>
        <w:t>1</w:t>
      </w:r>
      <w:r w:rsidR="00CF110C" w:rsidRPr="001C46BC">
        <w:rPr>
          <w:b/>
          <w:szCs w:val="24"/>
        </w:rPr>
        <w:t xml:space="preserve">: </w:t>
      </w:r>
      <w:r w:rsidR="001C46BC">
        <w:rPr>
          <w:b/>
          <w:szCs w:val="24"/>
        </w:rPr>
        <w:t xml:space="preserve">Crude </w:t>
      </w:r>
      <w:r w:rsidR="00CF110C" w:rsidRPr="001C46BC">
        <w:rPr>
          <w:b/>
          <w:szCs w:val="24"/>
        </w:rPr>
        <w:t>COVID-19 infection rates per 10,000 population as of Oct 7, 2020</w:t>
      </w:r>
    </w:p>
    <w:p w14:paraId="7AD27A42" w14:textId="77777777" w:rsidR="00CF110C" w:rsidRPr="001C46BC" w:rsidRDefault="00CF110C" w:rsidP="00CF110C">
      <w:pPr>
        <w:widowControl w:val="0"/>
        <w:autoSpaceDE w:val="0"/>
        <w:autoSpaceDN w:val="0"/>
        <w:adjustRightInd w:val="0"/>
        <w:spacing w:line="240" w:lineRule="auto"/>
        <w:jc w:val="center"/>
        <w:rPr>
          <w:b/>
          <w:szCs w:val="24"/>
        </w:rPr>
      </w:pPr>
    </w:p>
    <w:p w14:paraId="3C97959A" w14:textId="6F576B5F" w:rsidR="00A71043" w:rsidRPr="001C46BC" w:rsidRDefault="00643C9B" w:rsidP="006D4B4C">
      <w:pPr>
        <w:widowControl w:val="0"/>
        <w:autoSpaceDE w:val="0"/>
        <w:autoSpaceDN w:val="0"/>
        <w:adjustRightInd w:val="0"/>
        <w:spacing w:line="240" w:lineRule="auto"/>
        <w:jc w:val="center"/>
        <w:rPr>
          <w:szCs w:val="24"/>
        </w:rPr>
      </w:pPr>
      <w:r w:rsidRPr="001C46BC">
        <w:rPr>
          <w:noProof/>
          <w:szCs w:val="24"/>
        </w:rPr>
        <w:drawing>
          <wp:inline distT="0" distB="0" distL="0" distR="0" wp14:anchorId="2C6DD150" wp14:editId="3468CAAA">
            <wp:extent cx="5850890" cy="3293110"/>
            <wp:effectExtent l="0" t="0" r="0" b="2540"/>
            <wp:docPr id="4" name="Picture 4" descr="C:\Users\hluan\OneDrive - University Of Oregon\Manuscripts\R projects\Multivariate modeling_COVID-19\HIV crude rate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luan\OneDrive - University Of Oregon\Manuscripts\R projects\Multivariate modeling_COVID-19\HIV crude rate_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0890" cy="3293110"/>
                    </a:xfrm>
                    <a:prstGeom prst="rect">
                      <a:avLst/>
                    </a:prstGeom>
                    <a:noFill/>
                    <a:ln>
                      <a:noFill/>
                    </a:ln>
                  </pic:spPr>
                </pic:pic>
              </a:graphicData>
            </a:graphic>
          </wp:inline>
        </w:drawing>
      </w:r>
    </w:p>
    <w:p w14:paraId="21570247" w14:textId="4A26ACD5" w:rsidR="00850422" w:rsidRPr="001C46BC" w:rsidRDefault="001C46BC" w:rsidP="00EB1CE4">
      <w:pPr>
        <w:widowControl w:val="0"/>
        <w:autoSpaceDE w:val="0"/>
        <w:autoSpaceDN w:val="0"/>
        <w:adjustRightInd w:val="0"/>
        <w:spacing w:line="240" w:lineRule="auto"/>
        <w:jc w:val="center"/>
        <w:rPr>
          <w:b/>
          <w:szCs w:val="24"/>
        </w:rPr>
      </w:pPr>
      <w:r>
        <w:rPr>
          <w:b/>
          <w:szCs w:val="24"/>
        </w:rPr>
        <w:t>Appendix Figure 2</w:t>
      </w:r>
      <w:r w:rsidR="00CF110C" w:rsidRPr="001C46BC">
        <w:rPr>
          <w:b/>
          <w:szCs w:val="24"/>
        </w:rPr>
        <w:t xml:space="preserve">: </w:t>
      </w:r>
      <w:r w:rsidR="006736FA">
        <w:rPr>
          <w:b/>
          <w:szCs w:val="24"/>
        </w:rPr>
        <w:t xml:space="preserve">Prevalent </w:t>
      </w:r>
      <w:r w:rsidR="00CF110C" w:rsidRPr="001C46BC">
        <w:rPr>
          <w:b/>
          <w:szCs w:val="24"/>
        </w:rPr>
        <w:t>HIV infection rate in 2018 per 10,000 population</w:t>
      </w:r>
      <w:r w:rsidR="00850422" w:rsidRPr="001C46BC">
        <w:rPr>
          <w:szCs w:val="24"/>
        </w:rPr>
        <w:br w:type="page"/>
      </w:r>
    </w:p>
    <w:p w14:paraId="18432B27" w14:textId="52F3BB28" w:rsidR="00850422" w:rsidRPr="001C46BC" w:rsidRDefault="001C46BC" w:rsidP="00850422">
      <w:pPr>
        <w:rPr>
          <w:b/>
          <w:szCs w:val="24"/>
        </w:rPr>
      </w:pPr>
      <w:r>
        <w:rPr>
          <w:b/>
          <w:szCs w:val="24"/>
        </w:rPr>
        <w:lastRenderedPageBreak/>
        <w:t>Appendix Table 1</w:t>
      </w:r>
      <w:r w:rsidR="00850422" w:rsidRPr="001C46BC">
        <w:rPr>
          <w:b/>
          <w:szCs w:val="24"/>
        </w:rPr>
        <w:t>: Counties detected as hotspots of both COVID-19 and HIV infections (i.e., category Yellow in Figure 2)</w:t>
      </w:r>
    </w:p>
    <w:tbl>
      <w:tblPr>
        <w:tblW w:w="7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36"/>
        <w:gridCol w:w="1340"/>
        <w:gridCol w:w="1340"/>
        <w:gridCol w:w="1839"/>
      </w:tblGrid>
      <w:tr w:rsidR="006411A3" w:rsidRPr="00760837" w14:paraId="7F277A71" w14:textId="7EFC7377" w:rsidTr="005C4211">
        <w:trPr>
          <w:trHeight w:val="290"/>
          <w:jc w:val="center"/>
        </w:trPr>
        <w:tc>
          <w:tcPr>
            <w:tcW w:w="960" w:type="dxa"/>
            <w:shd w:val="clear" w:color="auto" w:fill="auto"/>
            <w:noWrap/>
            <w:vAlign w:val="center"/>
            <w:hideMark/>
          </w:tcPr>
          <w:p w14:paraId="63DB2B3E" w14:textId="77777777" w:rsidR="006411A3" w:rsidRPr="00760837" w:rsidRDefault="006411A3" w:rsidP="00CC4757">
            <w:pPr>
              <w:spacing w:after="0" w:line="240" w:lineRule="auto"/>
              <w:jc w:val="center"/>
              <w:rPr>
                <w:rFonts w:eastAsia="Times New Roman" w:cs="Times New Roman"/>
                <w:b/>
                <w:color w:val="000000"/>
                <w:sz w:val="22"/>
              </w:rPr>
            </w:pPr>
            <w:r w:rsidRPr="00760837">
              <w:rPr>
                <w:rFonts w:eastAsia="Times New Roman" w:cs="Times New Roman"/>
                <w:b/>
                <w:color w:val="000000"/>
                <w:sz w:val="22"/>
              </w:rPr>
              <w:t>ID</w:t>
            </w:r>
          </w:p>
        </w:tc>
        <w:tc>
          <w:tcPr>
            <w:tcW w:w="1536" w:type="dxa"/>
            <w:shd w:val="clear" w:color="auto" w:fill="auto"/>
            <w:noWrap/>
            <w:vAlign w:val="center"/>
            <w:hideMark/>
          </w:tcPr>
          <w:p w14:paraId="6A16CC94" w14:textId="77777777" w:rsidR="006411A3" w:rsidRPr="00760837" w:rsidRDefault="006411A3" w:rsidP="00CC4757">
            <w:pPr>
              <w:spacing w:after="0" w:line="240" w:lineRule="auto"/>
              <w:jc w:val="center"/>
              <w:rPr>
                <w:rFonts w:eastAsia="Times New Roman" w:cs="Times New Roman"/>
                <w:b/>
                <w:color w:val="000000"/>
                <w:sz w:val="22"/>
              </w:rPr>
            </w:pPr>
            <w:r w:rsidRPr="00760837">
              <w:rPr>
                <w:rFonts w:eastAsia="Times New Roman" w:cs="Times New Roman"/>
                <w:b/>
                <w:color w:val="000000"/>
                <w:sz w:val="22"/>
              </w:rPr>
              <w:t>County</w:t>
            </w:r>
          </w:p>
        </w:tc>
        <w:tc>
          <w:tcPr>
            <w:tcW w:w="1340" w:type="dxa"/>
            <w:shd w:val="clear" w:color="auto" w:fill="auto"/>
            <w:noWrap/>
            <w:vAlign w:val="center"/>
            <w:hideMark/>
          </w:tcPr>
          <w:p w14:paraId="07B3288E" w14:textId="77777777" w:rsidR="006411A3" w:rsidRPr="00760837" w:rsidRDefault="006411A3" w:rsidP="00CC4757">
            <w:pPr>
              <w:spacing w:after="0" w:line="240" w:lineRule="auto"/>
              <w:jc w:val="center"/>
              <w:rPr>
                <w:rFonts w:eastAsia="Times New Roman" w:cs="Times New Roman"/>
                <w:b/>
                <w:color w:val="000000"/>
                <w:sz w:val="22"/>
              </w:rPr>
            </w:pPr>
            <w:r w:rsidRPr="00760837">
              <w:rPr>
                <w:rFonts w:eastAsia="Times New Roman" w:cs="Times New Roman"/>
                <w:b/>
                <w:color w:val="000000"/>
                <w:sz w:val="22"/>
              </w:rPr>
              <w:t>State</w:t>
            </w:r>
          </w:p>
        </w:tc>
        <w:tc>
          <w:tcPr>
            <w:tcW w:w="1340" w:type="dxa"/>
            <w:vAlign w:val="center"/>
          </w:tcPr>
          <w:p w14:paraId="2D3BB87C" w14:textId="3DACFBE4" w:rsidR="006411A3" w:rsidRPr="00760837" w:rsidRDefault="005C4211" w:rsidP="005C4211">
            <w:pPr>
              <w:spacing w:after="0" w:line="240" w:lineRule="auto"/>
              <w:jc w:val="center"/>
              <w:rPr>
                <w:rFonts w:eastAsia="Times New Roman" w:cs="Times New Roman"/>
                <w:b/>
                <w:color w:val="000000"/>
                <w:sz w:val="22"/>
              </w:rPr>
            </w:pPr>
            <w:r w:rsidRPr="00760837">
              <w:rPr>
                <w:rFonts w:eastAsia="Times New Roman" w:cs="Times New Roman"/>
                <w:b/>
                <w:color w:val="000000"/>
                <w:sz w:val="22"/>
              </w:rPr>
              <w:t>Rank</w:t>
            </w:r>
          </w:p>
        </w:tc>
        <w:tc>
          <w:tcPr>
            <w:tcW w:w="1839" w:type="dxa"/>
          </w:tcPr>
          <w:p w14:paraId="35E68F19" w14:textId="6833561B" w:rsidR="006411A3" w:rsidRPr="00760837" w:rsidRDefault="006411A3" w:rsidP="00CC4757">
            <w:pPr>
              <w:spacing w:after="0" w:line="240" w:lineRule="auto"/>
              <w:jc w:val="center"/>
              <w:rPr>
                <w:rFonts w:eastAsia="Times New Roman" w:cs="Times New Roman"/>
                <w:b/>
                <w:color w:val="000000"/>
                <w:sz w:val="22"/>
              </w:rPr>
            </w:pPr>
            <w:r w:rsidRPr="00760837">
              <w:rPr>
                <w:rFonts w:eastAsia="Times New Roman" w:cs="Times New Roman"/>
                <w:b/>
                <w:color w:val="000000"/>
                <w:sz w:val="22"/>
              </w:rPr>
              <w:t>Identified as an Ending the HIV epidemic county</w:t>
            </w:r>
          </w:p>
        </w:tc>
      </w:tr>
      <w:tr w:rsidR="00C654C4" w:rsidRPr="00760837" w14:paraId="33576938" w14:textId="690C7717" w:rsidTr="008616EE">
        <w:trPr>
          <w:trHeight w:val="290"/>
          <w:jc w:val="center"/>
        </w:trPr>
        <w:tc>
          <w:tcPr>
            <w:tcW w:w="960" w:type="dxa"/>
            <w:shd w:val="clear" w:color="auto" w:fill="auto"/>
            <w:noWrap/>
            <w:vAlign w:val="center"/>
            <w:hideMark/>
          </w:tcPr>
          <w:p w14:paraId="28913D5C"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1</w:t>
            </w:r>
          </w:p>
        </w:tc>
        <w:tc>
          <w:tcPr>
            <w:tcW w:w="1536" w:type="dxa"/>
            <w:shd w:val="clear" w:color="auto" w:fill="auto"/>
            <w:noWrap/>
            <w:vAlign w:val="bottom"/>
            <w:hideMark/>
          </w:tcPr>
          <w:p w14:paraId="66EBB315" w14:textId="3D6E61E9"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Bullock</w:t>
            </w:r>
          </w:p>
        </w:tc>
        <w:tc>
          <w:tcPr>
            <w:tcW w:w="1340" w:type="dxa"/>
            <w:shd w:val="clear" w:color="auto" w:fill="auto"/>
            <w:noWrap/>
            <w:vAlign w:val="center"/>
            <w:hideMark/>
          </w:tcPr>
          <w:p w14:paraId="7B422376"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Alabama</w:t>
            </w:r>
          </w:p>
        </w:tc>
        <w:tc>
          <w:tcPr>
            <w:tcW w:w="1340" w:type="dxa"/>
            <w:vAlign w:val="bottom"/>
          </w:tcPr>
          <w:p w14:paraId="002840FB" w14:textId="17D3945E"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40</w:t>
            </w:r>
          </w:p>
        </w:tc>
        <w:tc>
          <w:tcPr>
            <w:tcW w:w="1839" w:type="dxa"/>
          </w:tcPr>
          <w:p w14:paraId="1E41925C"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49AF8718" w14:textId="5498A791" w:rsidTr="008616EE">
        <w:trPr>
          <w:trHeight w:val="290"/>
          <w:jc w:val="center"/>
        </w:trPr>
        <w:tc>
          <w:tcPr>
            <w:tcW w:w="960" w:type="dxa"/>
            <w:shd w:val="clear" w:color="auto" w:fill="auto"/>
            <w:noWrap/>
            <w:vAlign w:val="center"/>
            <w:hideMark/>
          </w:tcPr>
          <w:p w14:paraId="3B6C4CDB"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2</w:t>
            </w:r>
          </w:p>
        </w:tc>
        <w:tc>
          <w:tcPr>
            <w:tcW w:w="1536" w:type="dxa"/>
            <w:shd w:val="clear" w:color="auto" w:fill="auto"/>
            <w:noWrap/>
            <w:vAlign w:val="bottom"/>
            <w:hideMark/>
          </w:tcPr>
          <w:p w14:paraId="44CD3A49" w14:textId="2951D54F"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Dallas</w:t>
            </w:r>
          </w:p>
        </w:tc>
        <w:tc>
          <w:tcPr>
            <w:tcW w:w="1340" w:type="dxa"/>
            <w:shd w:val="clear" w:color="auto" w:fill="auto"/>
            <w:noWrap/>
            <w:vAlign w:val="center"/>
            <w:hideMark/>
          </w:tcPr>
          <w:p w14:paraId="1041DC5D"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Alabama</w:t>
            </w:r>
          </w:p>
        </w:tc>
        <w:tc>
          <w:tcPr>
            <w:tcW w:w="1340" w:type="dxa"/>
            <w:vAlign w:val="bottom"/>
          </w:tcPr>
          <w:p w14:paraId="0AD418D2" w14:textId="2AEFA7B3"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52</w:t>
            </w:r>
          </w:p>
        </w:tc>
        <w:tc>
          <w:tcPr>
            <w:tcW w:w="1839" w:type="dxa"/>
          </w:tcPr>
          <w:p w14:paraId="7F613ED6"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6AB0862D" w14:textId="50B49DCA" w:rsidTr="008616EE">
        <w:trPr>
          <w:trHeight w:val="290"/>
          <w:jc w:val="center"/>
        </w:trPr>
        <w:tc>
          <w:tcPr>
            <w:tcW w:w="960" w:type="dxa"/>
            <w:shd w:val="clear" w:color="auto" w:fill="auto"/>
            <w:noWrap/>
            <w:vAlign w:val="center"/>
            <w:hideMark/>
          </w:tcPr>
          <w:p w14:paraId="6DDE7D1B"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3</w:t>
            </w:r>
          </w:p>
        </w:tc>
        <w:tc>
          <w:tcPr>
            <w:tcW w:w="1536" w:type="dxa"/>
            <w:shd w:val="clear" w:color="auto" w:fill="auto"/>
            <w:noWrap/>
            <w:vAlign w:val="bottom"/>
            <w:hideMark/>
          </w:tcPr>
          <w:p w14:paraId="0B726967" w14:textId="616A8772"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Hale</w:t>
            </w:r>
          </w:p>
        </w:tc>
        <w:tc>
          <w:tcPr>
            <w:tcW w:w="1340" w:type="dxa"/>
            <w:shd w:val="clear" w:color="auto" w:fill="auto"/>
            <w:noWrap/>
            <w:vAlign w:val="center"/>
            <w:hideMark/>
          </w:tcPr>
          <w:p w14:paraId="3F4239CF"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Alabama</w:t>
            </w:r>
          </w:p>
        </w:tc>
        <w:tc>
          <w:tcPr>
            <w:tcW w:w="1340" w:type="dxa"/>
            <w:vAlign w:val="bottom"/>
          </w:tcPr>
          <w:p w14:paraId="0996E832" w14:textId="470157CB"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66</w:t>
            </w:r>
          </w:p>
        </w:tc>
        <w:tc>
          <w:tcPr>
            <w:tcW w:w="1839" w:type="dxa"/>
          </w:tcPr>
          <w:p w14:paraId="3C162693"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72118DAB" w14:textId="38D2A73A" w:rsidTr="008616EE">
        <w:trPr>
          <w:trHeight w:val="290"/>
          <w:jc w:val="center"/>
        </w:trPr>
        <w:tc>
          <w:tcPr>
            <w:tcW w:w="960" w:type="dxa"/>
            <w:shd w:val="clear" w:color="auto" w:fill="auto"/>
            <w:noWrap/>
            <w:vAlign w:val="center"/>
            <w:hideMark/>
          </w:tcPr>
          <w:p w14:paraId="11184D3C"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4</w:t>
            </w:r>
          </w:p>
        </w:tc>
        <w:tc>
          <w:tcPr>
            <w:tcW w:w="1536" w:type="dxa"/>
            <w:shd w:val="clear" w:color="auto" w:fill="auto"/>
            <w:noWrap/>
            <w:vAlign w:val="bottom"/>
            <w:hideMark/>
          </w:tcPr>
          <w:p w14:paraId="6C57A4F3" w14:textId="426BD987"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Lowndes</w:t>
            </w:r>
          </w:p>
        </w:tc>
        <w:tc>
          <w:tcPr>
            <w:tcW w:w="1340" w:type="dxa"/>
            <w:shd w:val="clear" w:color="auto" w:fill="auto"/>
            <w:noWrap/>
            <w:vAlign w:val="center"/>
            <w:hideMark/>
          </w:tcPr>
          <w:p w14:paraId="795FFA48"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Alabama</w:t>
            </w:r>
          </w:p>
        </w:tc>
        <w:tc>
          <w:tcPr>
            <w:tcW w:w="1340" w:type="dxa"/>
            <w:vAlign w:val="bottom"/>
          </w:tcPr>
          <w:p w14:paraId="779F901A" w14:textId="1991D174"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42</w:t>
            </w:r>
          </w:p>
        </w:tc>
        <w:tc>
          <w:tcPr>
            <w:tcW w:w="1839" w:type="dxa"/>
          </w:tcPr>
          <w:p w14:paraId="04661D09"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0E8BCFBB" w14:textId="5C74A840" w:rsidTr="008616EE">
        <w:trPr>
          <w:trHeight w:val="290"/>
          <w:jc w:val="center"/>
        </w:trPr>
        <w:tc>
          <w:tcPr>
            <w:tcW w:w="960" w:type="dxa"/>
            <w:shd w:val="clear" w:color="auto" w:fill="auto"/>
            <w:noWrap/>
            <w:vAlign w:val="center"/>
            <w:hideMark/>
          </w:tcPr>
          <w:p w14:paraId="2674E085"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5</w:t>
            </w:r>
          </w:p>
        </w:tc>
        <w:tc>
          <w:tcPr>
            <w:tcW w:w="1536" w:type="dxa"/>
            <w:shd w:val="clear" w:color="auto" w:fill="auto"/>
            <w:noWrap/>
            <w:vAlign w:val="bottom"/>
            <w:hideMark/>
          </w:tcPr>
          <w:p w14:paraId="6CD60A7B" w14:textId="096CB30A"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Montgomery</w:t>
            </w:r>
          </w:p>
        </w:tc>
        <w:tc>
          <w:tcPr>
            <w:tcW w:w="1340" w:type="dxa"/>
            <w:shd w:val="clear" w:color="auto" w:fill="auto"/>
            <w:noWrap/>
            <w:vAlign w:val="center"/>
            <w:hideMark/>
          </w:tcPr>
          <w:p w14:paraId="6A5D0B6A"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Alabama</w:t>
            </w:r>
          </w:p>
        </w:tc>
        <w:tc>
          <w:tcPr>
            <w:tcW w:w="1340" w:type="dxa"/>
            <w:vAlign w:val="bottom"/>
          </w:tcPr>
          <w:p w14:paraId="1CB3A97C" w14:textId="0A1D064B"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0267921F"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334DE5BA" w14:textId="5A5D4DD5" w:rsidTr="008616EE">
        <w:trPr>
          <w:trHeight w:val="290"/>
          <w:jc w:val="center"/>
        </w:trPr>
        <w:tc>
          <w:tcPr>
            <w:tcW w:w="960" w:type="dxa"/>
            <w:shd w:val="clear" w:color="auto" w:fill="auto"/>
            <w:noWrap/>
            <w:vAlign w:val="center"/>
            <w:hideMark/>
          </w:tcPr>
          <w:p w14:paraId="24ACF3D4"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6</w:t>
            </w:r>
          </w:p>
        </w:tc>
        <w:tc>
          <w:tcPr>
            <w:tcW w:w="1536" w:type="dxa"/>
            <w:shd w:val="clear" w:color="auto" w:fill="auto"/>
            <w:noWrap/>
            <w:vAlign w:val="bottom"/>
            <w:hideMark/>
          </w:tcPr>
          <w:p w14:paraId="1A12DD04" w14:textId="3F030D91"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Crittenden</w:t>
            </w:r>
          </w:p>
        </w:tc>
        <w:tc>
          <w:tcPr>
            <w:tcW w:w="1340" w:type="dxa"/>
            <w:shd w:val="clear" w:color="auto" w:fill="auto"/>
            <w:noWrap/>
            <w:vAlign w:val="center"/>
            <w:hideMark/>
          </w:tcPr>
          <w:p w14:paraId="60B5A37D"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Arkansas</w:t>
            </w:r>
          </w:p>
        </w:tc>
        <w:tc>
          <w:tcPr>
            <w:tcW w:w="1340" w:type="dxa"/>
            <w:vAlign w:val="bottom"/>
          </w:tcPr>
          <w:p w14:paraId="5F4790BC" w14:textId="168712BC"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45</w:t>
            </w:r>
          </w:p>
        </w:tc>
        <w:tc>
          <w:tcPr>
            <w:tcW w:w="1839" w:type="dxa"/>
          </w:tcPr>
          <w:p w14:paraId="487FC26B"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45A3D868" w14:textId="68524BC6" w:rsidTr="008616EE">
        <w:trPr>
          <w:trHeight w:val="290"/>
          <w:jc w:val="center"/>
        </w:trPr>
        <w:tc>
          <w:tcPr>
            <w:tcW w:w="960" w:type="dxa"/>
            <w:shd w:val="clear" w:color="auto" w:fill="auto"/>
            <w:noWrap/>
            <w:vAlign w:val="center"/>
            <w:hideMark/>
          </w:tcPr>
          <w:p w14:paraId="4E72D8F3"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7</w:t>
            </w:r>
          </w:p>
        </w:tc>
        <w:tc>
          <w:tcPr>
            <w:tcW w:w="1536" w:type="dxa"/>
            <w:shd w:val="clear" w:color="auto" w:fill="auto"/>
            <w:noWrap/>
            <w:vAlign w:val="bottom"/>
            <w:hideMark/>
          </w:tcPr>
          <w:p w14:paraId="26F9CDF3" w14:textId="064D4B21"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Jefferson</w:t>
            </w:r>
          </w:p>
        </w:tc>
        <w:tc>
          <w:tcPr>
            <w:tcW w:w="1340" w:type="dxa"/>
            <w:shd w:val="clear" w:color="auto" w:fill="auto"/>
            <w:noWrap/>
            <w:vAlign w:val="center"/>
            <w:hideMark/>
          </w:tcPr>
          <w:p w14:paraId="585EBDCA"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Arkansas</w:t>
            </w:r>
          </w:p>
        </w:tc>
        <w:tc>
          <w:tcPr>
            <w:tcW w:w="1340" w:type="dxa"/>
            <w:vAlign w:val="bottom"/>
          </w:tcPr>
          <w:p w14:paraId="293FB622" w14:textId="56E68592"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3831E104"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73EF6BEF" w14:textId="6C923A7B" w:rsidTr="008616EE">
        <w:trPr>
          <w:trHeight w:val="290"/>
          <w:jc w:val="center"/>
        </w:trPr>
        <w:tc>
          <w:tcPr>
            <w:tcW w:w="960" w:type="dxa"/>
            <w:shd w:val="clear" w:color="auto" w:fill="auto"/>
            <w:noWrap/>
            <w:vAlign w:val="center"/>
            <w:hideMark/>
          </w:tcPr>
          <w:p w14:paraId="39B1E872"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8</w:t>
            </w:r>
          </w:p>
        </w:tc>
        <w:tc>
          <w:tcPr>
            <w:tcW w:w="1536" w:type="dxa"/>
            <w:shd w:val="clear" w:color="auto" w:fill="auto"/>
            <w:noWrap/>
            <w:vAlign w:val="bottom"/>
            <w:hideMark/>
          </w:tcPr>
          <w:p w14:paraId="792F2F02" w14:textId="05B00AF1"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Lee</w:t>
            </w:r>
          </w:p>
        </w:tc>
        <w:tc>
          <w:tcPr>
            <w:tcW w:w="1340" w:type="dxa"/>
            <w:shd w:val="clear" w:color="auto" w:fill="auto"/>
            <w:noWrap/>
            <w:vAlign w:val="center"/>
            <w:hideMark/>
          </w:tcPr>
          <w:p w14:paraId="222B5883"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Arkansas</w:t>
            </w:r>
          </w:p>
        </w:tc>
        <w:tc>
          <w:tcPr>
            <w:tcW w:w="1340" w:type="dxa"/>
            <w:vAlign w:val="bottom"/>
          </w:tcPr>
          <w:p w14:paraId="4CA78A7D" w14:textId="649F129F"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56</w:t>
            </w:r>
          </w:p>
        </w:tc>
        <w:tc>
          <w:tcPr>
            <w:tcW w:w="1839" w:type="dxa"/>
          </w:tcPr>
          <w:p w14:paraId="40DA6D54"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58BB8062" w14:textId="16A1180B" w:rsidTr="008616EE">
        <w:trPr>
          <w:trHeight w:val="290"/>
          <w:jc w:val="center"/>
        </w:trPr>
        <w:tc>
          <w:tcPr>
            <w:tcW w:w="960" w:type="dxa"/>
            <w:shd w:val="clear" w:color="auto" w:fill="auto"/>
            <w:noWrap/>
            <w:vAlign w:val="center"/>
            <w:hideMark/>
          </w:tcPr>
          <w:p w14:paraId="430CA191"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9</w:t>
            </w:r>
          </w:p>
        </w:tc>
        <w:tc>
          <w:tcPr>
            <w:tcW w:w="1536" w:type="dxa"/>
            <w:shd w:val="clear" w:color="auto" w:fill="auto"/>
            <w:noWrap/>
            <w:vAlign w:val="bottom"/>
            <w:hideMark/>
          </w:tcPr>
          <w:p w14:paraId="569F0753" w14:textId="212FD0C9"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Baker</w:t>
            </w:r>
          </w:p>
        </w:tc>
        <w:tc>
          <w:tcPr>
            <w:tcW w:w="1340" w:type="dxa"/>
            <w:shd w:val="clear" w:color="auto" w:fill="auto"/>
            <w:noWrap/>
            <w:vAlign w:val="center"/>
            <w:hideMark/>
          </w:tcPr>
          <w:p w14:paraId="2DE8D837"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Florida</w:t>
            </w:r>
          </w:p>
        </w:tc>
        <w:tc>
          <w:tcPr>
            <w:tcW w:w="1340" w:type="dxa"/>
            <w:vAlign w:val="bottom"/>
          </w:tcPr>
          <w:p w14:paraId="7A6317B5" w14:textId="459A3CC5"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49</w:t>
            </w:r>
          </w:p>
        </w:tc>
        <w:tc>
          <w:tcPr>
            <w:tcW w:w="1839" w:type="dxa"/>
          </w:tcPr>
          <w:p w14:paraId="3D242062"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4624E921" w14:textId="2DFB26E5" w:rsidTr="008616EE">
        <w:trPr>
          <w:trHeight w:val="290"/>
          <w:jc w:val="center"/>
        </w:trPr>
        <w:tc>
          <w:tcPr>
            <w:tcW w:w="960" w:type="dxa"/>
            <w:shd w:val="clear" w:color="auto" w:fill="auto"/>
            <w:noWrap/>
            <w:vAlign w:val="center"/>
            <w:hideMark/>
          </w:tcPr>
          <w:p w14:paraId="2C39179B"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10</w:t>
            </w:r>
          </w:p>
        </w:tc>
        <w:tc>
          <w:tcPr>
            <w:tcW w:w="1536" w:type="dxa"/>
            <w:shd w:val="clear" w:color="auto" w:fill="auto"/>
            <w:noWrap/>
            <w:vAlign w:val="bottom"/>
            <w:hideMark/>
          </w:tcPr>
          <w:p w14:paraId="254B4D48" w14:textId="600B72C6"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Broward</w:t>
            </w:r>
          </w:p>
        </w:tc>
        <w:tc>
          <w:tcPr>
            <w:tcW w:w="1340" w:type="dxa"/>
            <w:shd w:val="clear" w:color="auto" w:fill="auto"/>
            <w:noWrap/>
            <w:vAlign w:val="center"/>
            <w:hideMark/>
          </w:tcPr>
          <w:p w14:paraId="54E090EE"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Florida</w:t>
            </w:r>
          </w:p>
        </w:tc>
        <w:tc>
          <w:tcPr>
            <w:tcW w:w="1340" w:type="dxa"/>
            <w:vAlign w:val="bottom"/>
          </w:tcPr>
          <w:p w14:paraId="52D6E0D3" w14:textId="491A37B2"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170FEA1F" w14:textId="3CEBBD73"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Yes</w:t>
            </w:r>
          </w:p>
        </w:tc>
      </w:tr>
      <w:tr w:rsidR="00C654C4" w:rsidRPr="00760837" w14:paraId="509A7D24" w14:textId="58957350" w:rsidTr="008616EE">
        <w:trPr>
          <w:trHeight w:val="290"/>
          <w:jc w:val="center"/>
        </w:trPr>
        <w:tc>
          <w:tcPr>
            <w:tcW w:w="960" w:type="dxa"/>
            <w:shd w:val="clear" w:color="auto" w:fill="auto"/>
            <w:noWrap/>
            <w:vAlign w:val="center"/>
            <w:hideMark/>
          </w:tcPr>
          <w:p w14:paraId="11107BB2"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11</w:t>
            </w:r>
          </w:p>
        </w:tc>
        <w:tc>
          <w:tcPr>
            <w:tcW w:w="1536" w:type="dxa"/>
            <w:shd w:val="clear" w:color="auto" w:fill="auto"/>
            <w:noWrap/>
            <w:vAlign w:val="bottom"/>
            <w:hideMark/>
          </w:tcPr>
          <w:p w14:paraId="406613EF" w14:textId="343EE1B4"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Columbia</w:t>
            </w:r>
          </w:p>
        </w:tc>
        <w:tc>
          <w:tcPr>
            <w:tcW w:w="1340" w:type="dxa"/>
            <w:shd w:val="clear" w:color="auto" w:fill="auto"/>
            <w:noWrap/>
            <w:vAlign w:val="center"/>
            <w:hideMark/>
          </w:tcPr>
          <w:p w14:paraId="2717A17A"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Florida</w:t>
            </w:r>
          </w:p>
        </w:tc>
        <w:tc>
          <w:tcPr>
            <w:tcW w:w="1340" w:type="dxa"/>
            <w:vAlign w:val="bottom"/>
          </w:tcPr>
          <w:p w14:paraId="66129E91" w14:textId="0DD7713F"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7875ABE9"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34FBCCA6" w14:textId="55510068" w:rsidTr="008616EE">
        <w:trPr>
          <w:trHeight w:val="290"/>
          <w:jc w:val="center"/>
        </w:trPr>
        <w:tc>
          <w:tcPr>
            <w:tcW w:w="960" w:type="dxa"/>
            <w:shd w:val="clear" w:color="auto" w:fill="auto"/>
            <w:noWrap/>
            <w:vAlign w:val="center"/>
            <w:hideMark/>
          </w:tcPr>
          <w:p w14:paraId="51BFB448"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12</w:t>
            </w:r>
          </w:p>
        </w:tc>
        <w:tc>
          <w:tcPr>
            <w:tcW w:w="1536" w:type="dxa"/>
            <w:shd w:val="clear" w:color="auto" w:fill="auto"/>
            <w:noWrap/>
            <w:vAlign w:val="bottom"/>
            <w:hideMark/>
          </w:tcPr>
          <w:p w14:paraId="4273FEB4" w14:textId="31C57FD5"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DeSoto</w:t>
            </w:r>
          </w:p>
        </w:tc>
        <w:tc>
          <w:tcPr>
            <w:tcW w:w="1340" w:type="dxa"/>
            <w:shd w:val="clear" w:color="auto" w:fill="auto"/>
            <w:noWrap/>
            <w:vAlign w:val="center"/>
            <w:hideMark/>
          </w:tcPr>
          <w:p w14:paraId="76FF2358"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Florida</w:t>
            </w:r>
          </w:p>
        </w:tc>
        <w:tc>
          <w:tcPr>
            <w:tcW w:w="1340" w:type="dxa"/>
            <w:vAlign w:val="bottom"/>
          </w:tcPr>
          <w:p w14:paraId="62059C6B" w14:textId="1D203F9A"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55</w:t>
            </w:r>
          </w:p>
        </w:tc>
        <w:tc>
          <w:tcPr>
            <w:tcW w:w="1839" w:type="dxa"/>
          </w:tcPr>
          <w:p w14:paraId="1F896BE0"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30613D33" w14:textId="75FC3EE6" w:rsidTr="008616EE">
        <w:trPr>
          <w:trHeight w:val="290"/>
          <w:jc w:val="center"/>
        </w:trPr>
        <w:tc>
          <w:tcPr>
            <w:tcW w:w="960" w:type="dxa"/>
            <w:shd w:val="clear" w:color="auto" w:fill="auto"/>
            <w:noWrap/>
            <w:vAlign w:val="center"/>
            <w:hideMark/>
          </w:tcPr>
          <w:p w14:paraId="3AE6C283"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13</w:t>
            </w:r>
          </w:p>
        </w:tc>
        <w:tc>
          <w:tcPr>
            <w:tcW w:w="1536" w:type="dxa"/>
            <w:shd w:val="clear" w:color="auto" w:fill="auto"/>
            <w:noWrap/>
            <w:vAlign w:val="bottom"/>
            <w:hideMark/>
          </w:tcPr>
          <w:p w14:paraId="41C0FCFF" w14:textId="40FD99F3"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Escambia</w:t>
            </w:r>
          </w:p>
        </w:tc>
        <w:tc>
          <w:tcPr>
            <w:tcW w:w="1340" w:type="dxa"/>
            <w:shd w:val="clear" w:color="auto" w:fill="auto"/>
            <w:noWrap/>
            <w:vAlign w:val="center"/>
            <w:hideMark/>
          </w:tcPr>
          <w:p w14:paraId="23B6A193"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Florida</w:t>
            </w:r>
          </w:p>
        </w:tc>
        <w:tc>
          <w:tcPr>
            <w:tcW w:w="1340" w:type="dxa"/>
            <w:vAlign w:val="bottom"/>
          </w:tcPr>
          <w:p w14:paraId="41437A0F" w14:textId="7934B5E2"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42</w:t>
            </w:r>
          </w:p>
        </w:tc>
        <w:tc>
          <w:tcPr>
            <w:tcW w:w="1839" w:type="dxa"/>
          </w:tcPr>
          <w:p w14:paraId="6905E52E"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186A2F97" w14:textId="2235F7A5" w:rsidTr="008616EE">
        <w:trPr>
          <w:trHeight w:val="290"/>
          <w:jc w:val="center"/>
        </w:trPr>
        <w:tc>
          <w:tcPr>
            <w:tcW w:w="960" w:type="dxa"/>
            <w:shd w:val="clear" w:color="auto" w:fill="auto"/>
            <w:noWrap/>
            <w:vAlign w:val="center"/>
            <w:hideMark/>
          </w:tcPr>
          <w:p w14:paraId="1D759B3B"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14</w:t>
            </w:r>
          </w:p>
        </w:tc>
        <w:tc>
          <w:tcPr>
            <w:tcW w:w="1536" w:type="dxa"/>
            <w:shd w:val="clear" w:color="auto" w:fill="auto"/>
            <w:noWrap/>
            <w:vAlign w:val="bottom"/>
            <w:hideMark/>
          </w:tcPr>
          <w:p w14:paraId="43D0E7C5" w14:textId="353AE45D"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Gadsden</w:t>
            </w:r>
          </w:p>
        </w:tc>
        <w:tc>
          <w:tcPr>
            <w:tcW w:w="1340" w:type="dxa"/>
            <w:shd w:val="clear" w:color="auto" w:fill="auto"/>
            <w:noWrap/>
            <w:vAlign w:val="center"/>
            <w:hideMark/>
          </w:tcPr>
          <w:p w14:paraId="40585964"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Florida</w:t>
            </w:r>
          </w:p>
        </w:tc>
        <w:tc>
          <w:tcPr>
            <w:tcW w:w="1340" w:type="dxa"/>
            <w:vAlign w:val="bottom"/>
          </w:tcPr>
          <w:p w14:paraId="42738643" w14:textId="76328F1E"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0B6A37EE" w14:textId="34A7849B"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50517C93" w14:textId="04F067C7" w:rsidTr="008616EE">
        <w:trPr>
          <w:trHeight w:val="290"/>
          <w:jc w:val="center"/>
        </w:trPr>
        <w:tc>
          <w:tcPr>
            <w:tcW w:w="960" w:type="dxa"/>
            <w:shd w:val="clear" w:color="auto" w:fill="auto"/>
            <w:noWrap/>
            <w:vAlign w:val="center"/>
            <w:hideMark/>
          </w:tcPr>
          <w:p w14:paraId="3CB07AAA"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15</w:t>
            </w:r>
          </w:p>
        </w:tc>
        <w:tc>
          <w:tcPr>
            <w:tcW w:w="1536" w:type="dxa"/>
            <w:shd w:val="clear" w:color="auto" w:fill="auto"/>
            <w:noWrap/>
            <w:vAlign w:val="bottom"/>
            <w:hideMark/>
          </w:tcPr>
          <w:p w14:paraId="595E982F" w14:textId="4AF9E654"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Glades</w:t>
            </w:r>
          </w:p>
        </w:tc>
        <w:tc>
          <w:tcPr>
            <w:tcW w:w="1340" w:type="dxa"/>
            <w:shd w:val="clear" w:color="auto" w:fill="auto"/>
            <w:noWrap/>
            <w:vAlign w:val="center"/>
            <w:hideMark/>
          </w:tcPr>
          <w:p w14:paraId="1D012768"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Florida</w:t>
            </w:r>
          </w:p>
        </w:tc>
        <w:tc>
          <w:tcPr>
            <w:tcW w:w="1340" w:type="dxa"/>
            <w:vAlign w:val="bottom"/>
          </w:tcPr>
          <w:p w14:paraId="48604613" w14:textId="0CA96105"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68</w:t>
            </w:r>
          </w:p>
        </w:tc>
        <w:tc>
          <w:tcPr>
            <w:tcW w:w="1839" w:type="dxa"/>
          </w:tcPr>
          <w:p w14:paraId="15C9E741"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3198288A" w14:textId="7DB977A9" w:rsidTr="008616EE">
        <w:trPr>
          <w:trHeight w:val="290"/>
          <w:jc w:val="center"/>
        </w:trPr>
        <w:tc>
          <w:tcPr>
            <w:tcW w:w="960" w:type="dxa"/>
            <w:shd w:val="clear" w:color="auto" w:fill="auto"/>
            <w:noWrap/>
            <w:vAlign w:val="center"/>
            <w:hideMark/>
          </w:tcPr>
          <w:p w14:paraId="6124EB4B"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16</w:t>
            </w:r>
          </w:p>
        </w:tc>
        <w:tc>
          <w:tcPr>
            <w:tcW w:w="1536" w:type="dxa"/>
            <w:shd w:val="clear" w:color="auto" w:fill="auto"/>
            <w:noWrap/>
            <w:vAlign w:val="bottom"/>
            <w:hideMark/>
          </w:tcPr>
          <w:p w14:paraId="6063788E" w14:textId="31BC5211"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Hamilton</w:t>
            </w:r>
          </w:p>
        </w:tc>
        <w:tc>
          <w:tcPr>
            <w:tcW w:w="1340" w:type="dxa"/>
            <w:shd w:val="clear" w:color="auto" w:fill="auto"/>
            <w:noWrap/>
            <w:vAlign w:val="center"/>
            <w:hideMark/>
          </w:tcPr>
          <w:p w14:paraId="6314D765"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Florida</w:t>
            </w:r>
          </w:p>
        </w:tc>
        <w:tc>
          <w:tcPr>
            <w:tcW w:w="1340" w:type="dxa"/>
            <w:vAlign w:val="bottom"/>
          </w:tcPr>
          <w:p w14:paraId="63EA3D93" w14:textId="58FBBEAD"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4F30806F"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2496357E" w14:textId="12BC0DD9" w:rsidTr="008616EE">
        <w:trPr>
          <w:trHeight w:val="290"/>
          <w:jc w:val="center"/>
        </w:trPr>
        <w:tc>
          <w:tcPr>
            <w:tcW w:w="960" w:type="dxa"/>
            <w:shd w:val="clear" w:color="auto" w:fill="auto"/>
            <w:noWrap/>
            <w:vAlign w:val="center"/>
            <w:hideMark/>
          </w:tcPr>
          <w:p w14:paraId="355810B9"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17</w:t>
            </w:r>
          </w:p>
        </w:tc>
        <w:tc>
          <w:tcPr>
            <w:tcW w:w="1536" w:type="dxa"/>
            <w:shd w:val="clear" w:color="auto" w:fill="auto"/>
            <w:noWrap/>
            <w:vAlign w:val="bottom"/>
            <w:hideMark/>
          </w:tcPr>
          <w:p w14:paraId="0E8653D7" w14:textId="7AFF28D5"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Hendry</w:t>
            </w:r>
          </w:p>
        </w:tc>
        <w:tc>
          <w:tcPr>
            <w:tcW w:w="1340" w:type="dxa"/>
            <w:shd w:val="clear" w:color="auto" w:fill="auto"/>
            <w:noWrap/>
            <w:vAlign w:val="center"/>
            <w:hideMark/>
          </w:tcPr>
          <w:p w14:paraId="524B0F49"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Florida</w:t>
            </w:r>
          </w:p>
        </w:tc>
        <w:tc>
          <w:tcPr>
            <w:tcW w:w="1340" w:type="dxa"/>
            <w:vAlign w:val="bottom"/>
          </w:tcPr>
          <w:p w14:paraId="0CF791B6" w14:textId="4CCEE616"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62</w:t>
            </w:r>
          </w:p>
        </w:tc>
        <w:tc>
          <w:tcPr>
            <w:tcW w:w="1839" w:type="dxa"/>
          </w:tcPr>
          <w:p w14:paraId="536C0A68"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33341510" w14:textId="72D82A0B" w:rsidTr="008616EE">
        <w:trPr>
          <w:trHeight w:val="290"/>
          <w:jc w:val="center"/>
        </w:trPr>
        <w:tc>
          <w:tcPr>
            <w:tcW w:w="960" w:type="dxa"/>
            <w:shd w:val="clear" w:color="auto" w:fill="auto"/>
            <w:noWrap/>
            <w:vAlign w:val="center"/>
            <w:hideMark/>
          </w:tcPr>
          <w:p w14:paraId="318EF1AD"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18</w:t>
            </w:r>
          </w:p>
        </w:tc>
        <w:tc>
          <w:tcPr>
            <w:tcW w:w="1536" w:type="dxa"/>
            <w:shd w:val="clear" w:color="auto" w:fill="auto"/>
            <w:noWrap/>
            <w:vAlign w:val="bottom"/>
            <w:hideMark/>
          </w:tcPr>
          <w:p w14:paraId="53DA3796" w14:textId="6C9D1642"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Jackson</w:t>
            </w:r>
          </w:p>
        </w:tc>
        <w:tc>
          <w:tcPr>
            <w:tcW w:w="1340" w:type="dxa"/>
            <w:shd w:val="clear" w:color="auto" w:fill="auto"/>
            <w:noWrap/>
            <w:vAlign w:val="center"/>
            <w:hideMark/>
          </w:tcPr>
          <w:p w14:paraId="7593691B"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Florida</w:t>
            </w:r>
          </w:p>
        </w:tc>
        <w:tc>
          <w:tcPr>
            <w:tcW w:w="1340" w:type="dxa"/>
            <w:vAlign w:val="bottom"/>
          </w:tcPr>
          <w:p w14:paraId="0B40A491" w14:textId="385DC1C5"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69D1E845"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35CD1AA9" w14:textId="34C89E12" w:rsidTr="008616EE">
        <w:trPr>
          <w:trHeight w:val="290"/>
          <w:jc w:val="center"/>
        </w:trPr>
        <w:tc>
          <w:tcPr>
            <w:tcW w:w="960" w:type="dxa"/>
            <w:shd w:val="clear" w:color="auto" w:fill="auto"/>
            <w:noWrap/>
            <w:vAlign w:val="center"/>
            <w:hideMark/>
          </w:tcPr>
          <w:p w14:paraId="7018E226"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19</w:t>
            </w:r>
          </w:p>
        </w:tc>
        <w:tc>
          <w:tcPr>
            <w:tcW w:w="1536" w:type="dxa"/>
            <w:shd w:val="clear" w:color="auto" w:fill="auto"/>
            <w:noWrap/>
            <w:vAlign w:val="bottom"/>
            <w:hideMark/>
          </w:tcPr>
          <w:p w14:paraId="05A8B5C2" w14:textId="00330EAB"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Jefferson</w:t>
            </w:r>
          </w:p>
        </w:tc>
        <w:tc>
          <w:tcPr>
            <w:tcW w:w="1340" w:type="dxa"/>
            <w:shd w:val="clear" w:color="auto" w:fill="auto"/>
            <w:noWrap/>
            <w:vAlign w:val="center"/>
            <w:hideMark/>
          </w:tcPr>
          <w:p w14:paraId="345180F6"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Florida</w:t>
            </w:r>
          </w:p>
        </w:tc>
        <w:tc>
          <w:tcPr>
            <w:tcW w:w="1340" w:type="dxa"/>
            <w:vAlign w:val="bottom"/>
          </w:tcPr>
          <w:p w14:paraId="7E0DE037" w14:textId="7FDF6BFE"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73</w:t>
            </w:r>
          </w:p>
        </w:tc>
        <w:tc>
          <w:tcPr>
            <w:tcW w:w="1839" w:type="dxa"/>
          </w:tcPr>
          <w:p w14:paraId="0F64EDD0"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39D42C61" w14:textId="2E03ECCD" w:rsidTr="008616EE">
        <w:trPr>
          <w:trHeight w:val="290"/>
          <w:jc w:val="center"/>
        </w:trPr>
        <w:tc>
          <w:tcPr>
            <w:tcW w:w="960" w:type="dxa"/>
            <w:shd w:val="clear" w:color="auto" w:fill="auto"/>
            <w:noWrap/>
            <w:vAlign w:val="center"/>
            <w:hideMark/>
          </w:tcPr>
          <w:p w14:paraId="18848F34"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20</w:t>
            </w:r>
          </w:p>
        </w:tc>
        <w:tc>
          <w:tcPr>
            <w:tcW w:w="1536" w:type="dxa"/>
            <w:shd w:val="clear" w:color="auto" w:fill="auto"/>
            <w:noWrap/>
            <w:vAlign w:val="bottom"/>
            <w:hideMark/>
          </w:tcPr>
          <w:p w14:paraId="30766E25" w14:textId="75FE6B09"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Madison</w:t>
            </w:r>
          </w:p>
        </w:tc>
        <w:tc>
          <w:tcPr>
            <w:tcW w:w="1340" w:type="dxa"/>
            <w:shd w:val="clear" w:color="auto" w:fill="auto"/>
            <w:noWrap/>
            <w:vAlign w:val="center"/>
            <w:hideMark/>
          </w:tcPr>
          <w:p w14:paraId="4A6C5A62"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Florida</w:t>
            </w:r>
          </w:p>
        </w:tc>
        <w:tc>
          <w:tcPr>
            <w:tcW w:w="1340" w:type="dxa"/>
            <w:vAlign w:val="bottom"/>
          </w:tcPr>
          <w:p w14:paraId="7027841D" w14:textId="393EEFC7"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67A03CB4"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44DA33C9" w14:textId="0945A321" w:rsidTr="008616EE">
        <w:trPr>
          <w:trHeight w:val="290"/>
          <w:jc w:val="center"/>
        </w:trPr>
        <w:tc>
          <w:tcPr>
            <w:tcW w:w="960" w:type="dxa"/>
            <w:shd w:val="clear" w:color="auto" w:fill="auto"/>
            <w:noWrap/>
            <w:vAlign w:val="center"/>
            <w:hideMark/>
          </w:tcPr>
          <w:p w14:paraId="1BB769B8"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21</w:t>
            </w:r>
          </w:p>
        </w:tc>
        <w:tc>
          <w:tcPr>
            <w:tcW w:w="1536" w:type="dxa"/>
            <w:shd w:val="clear" w:color="auto" w:fill="auto"/>
            <w:noWrap/>
            <w:vAlign w:val="bottom"/>
            <w:hideMark/>
          </w:tcPr>
          <w:p w14:paraId="665F8192" w14:textId="5BF0D24C"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Miami-Dade</w:t>
            </w:r>
          </w:p>
        </w:tc>
        <w:tc>
          <w:tcPr>
            <w:tcW w:w="1340" w:type="dxa"/>
            <w:shd w:val="clear" w:color="auto" w:fill="auto"/>
            <w:noWrap/>
            <w:vAlign w:val="center"/>
            <w:hideMark/>
          </w:tcPr>
          <w:p w14:paraId="78FAB40C"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Florida</w:t>
            </w:r>
          </w:p>
        </w:tc>
        <w:tc>
          <w:tcPr>
            <w:tcW w:w="1340" w:type="dxa"/>
            <w:vAlign w:val="bottom"/>
          </w:tcPr>
          <w:p w14:paraId="36AB3254" w14:textId="3E816C8D"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4F8FE561" w14:textId="001EB236"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Yes</w:t>
            </w:r>
          </w:p>
        </w:tc>
      </w:tr>
      <w:tr w:rsidR="00C654C4" w:rsidRPr="00760837" w14:paraId="1D9CC887" w14:textId="5E5FA383" w:rsidTr="008616EE">
        <w:trPr>
          <w:trHeight w:val="290"/>
          <w:jc w:val="center"/>
        </w:trPr>
        <w:tc>
          <w:tcPr>
            <w:tcW w:w="960" w:type="dxa"/>
            <w:shd w:val="clear" w:color="auto" w:fill="auto"/>
            <w:noWrap/>
            <w:vAlign w:val="center"/>
            <w:hideMark/>
          </w:tcPr>
          <w:p w14:paraId="02017094"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22</w:t>
            </w:r>
          </w:p>
        </w:tc>
        <w:tc>
          <w:tcPr>
            <w:tcW w:w="1536" w:type="dxa"/>
            <w:shd w:val="clear" w:color="auto" w:fill="auto"/>
            <w:noWrap/>
            <w:vAlign w:val="bottom"/>
            <w:hideMark/>
          </w:tcPr>
          <w:p w14:paraId="0C4886FB" w14:textId="35B73156"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Suwannee</w:t>
            </w:r>
          </w:p>
        </w:tc>
        <w:tc>
          <w:tcPr>
            <w:tcW w:w="1340" w:type="dxa"/>
            <w:shd w:val="clear" w:color="auto" w:fill="auto"/>
            <w:noWrap/>
            <w:vAlign w:val="center"/>
            <w:hideMark/>
          </w:tcPr>
          <w:p w14:paraId="556EFAEA"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Florida</w:t>
            </w:r>
          </w:p>
        </w:tc>
        <w:tc>
          <w:tcPr>
            <w:tcW w:w="1340" w:type="dxa"/>
            <w:vAlign w:val="bottom"/>
          </w:tcPr>
          <w:p w14:paraId="5632DEEA" w14:textId="062E2D1A"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54</w:t>
            </w:r>
          </w:p>
        </w:tc>
        <w:tc>
          <w:tcPr>
            <w:tcW w:w="1839" w:type="dxa"/>
          </w:tcPr>
          <w:p w14:paraId="1610BA4D" w14:textId="1996F0A0"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74D84F6C" w14:textId="1AC7CA0E" w:rsidTr="008616EE">
        <w:trPr>
          <w:trHeight w:val="290"/>
          <w:jc w:val="center"/>
        </w:trPr>
        <w:tc>
          <w:tcPr>
            <w:tcW w:w="960" w:type="dxa"/>
            <w:shd w:val="clear" w:color="auto" w:fill="auto"/>
            <w:noWrap/>
            <w:vAlign w:val="center"/>
            <w:hideMark/>
          </w:tcPr>
          <w:p w14:paraId="22C5B252"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23</w:t>
            </w:r>
          </w:p>
        </w:tc>
        <w:tc>
          <w:tcPr>
            <w:tcW w:w="1536" w:type="dxa"/>
            <w:shd w:val="clear" w:color="auto" w:fill="auto"/>
            <w:noWrap/>
            <w:vAlign w:val="bottom"/>
            <w:hideMark/>
          </w:tcPr>
          <w:p w14:paraId="1556AE03" w14:textId="40EFF400"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Taylor</w:t>
            </w:r>
          </w:p>
        </w:tc>
        <w:tc>
          <w:tcPr>
            <w:tcW w:w="1340" w:type="dxa"/>
            <w:shd w:val="clear" w:color="auto" w:fill="auto"/>
            <w:noWrap/>
            <w:vAlign w:val="center"/>
            <w:hideMark/>
          </w:tcPr>
          <w:p w14:paraId="395E61BD"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Florida</w:t>
            </w:r>
          </w:p>
        </w:tc>
        <w:tc>
          <w:tcPr>
            <w:tcW w:w="1340" w:type="dxa"/>
            <w:vAlign w:val="bottom"/>
          </w:tcPr>
          <w:p w14:paraId="7697C175" w14:textId="3484E3B0"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7D9F49C2"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615CFF91" w14:textId="62DD8D0A" w:rsidTr="008616EE">
        <w:trPr>
          <w:trHeight w:val="290"/>
          <w:jc w:val="center"/>
        </w:trPr>
        <w:tc>
          <w:tcPr>
            <w:tcW w:w="960" w:type="dxa"/>
            <w:shd w:val="clear" w:color="auto" w:fill="auto"/>
            <w:noWrap/>
            <w:vAlign w:val="center"/>
            <w:hideMark/>
          </w:tcPr>
          <w:p w14:paraId="296BD22E"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24</w:t>
            </w:r>
          </w:p>
        </w:tc>
        <w:tc>
          <w:tcPr>
            <w:tcW w:w="1536" w:type="dxa"/>
            <w:shd w:val="clear" w:color="auto" w:fill="auto"/>
            <w:noWrap/>
            <w:vAlign w:val="bottom"/>
            <w:hideMark/>
          </w:tcPr>
          <w:p w14:paraId="286AF093" w14:textId="04342E54"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Union</w:t>
            </w:r>
          </w:p>
        </w:tc>
        <w:tc>
          <w:tcPr>
            <w:tcW w:w="1340" w:type="dxa"/>
            <w:shd w:val="clear" w:color="auto" w:fill="auto"/>
            <w:noWrap/>
            <w:vAlign w:val="center"/>
            <w:hideMark/>
          </w:tcPr>
          <w:p w14:paraId="299C0448"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Florida</w:t>
            </w:r>
          </w:p>
        </w:tc>
        <w:tc>
          <w:tcPr>
            <w:tcW w:w="1340" w:type="dxa"/>
            <w:vAlign w:val="bottom"/>
          </w:tcPr>
          <w:p w14:paraId="21EDAFB2" w14:textId="691F94FA"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68789252"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088A3CBE" w14:textId="74923DE2" w:rsidTr="008616EE">
        <w:trPr>
          <w:trHeight w:val="290"/>
          <w:jc w:val="center"/>
        </w:trPr>
        <w:tc>
          <w:tcPr>
            <w:tcW w:w="960" w:type="dxa"/>
            <w:shd w:val="clear" w:color="auto" w:fill="auto"/>
            <w:noWrap/>
            <w:vAlign w:val="center"/>
            <w:hideMark/>
          </w:tcPr>
          <w:p w14:paraId="47C54D78"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25</w:t>
            </w:r>
          </w:p>
        </w:tc>
        <w:tc>
          <w:tcPr>
            <w:tcW w:w="1536" w:type="dxa"/>
            <w:shd w:val="clear" w:color="auto" w:fill="auto"/>
            <w:noWrap/>
            <w:vAlign w:val="bottom"/>
            <w:hideMark/>
          </w:tcPr>
          <w:p w14:paraId="7739CEBB" w14:textId="5865ED9C"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Washington</w:t>
            </w:r>
          </w:p>
        </w:tc>
        <w:tc>
          <w:tcPr>
            <w:tcW w:w="1340" w:type="dxa"/>
            <w:shd w:val="clear" w:color="auto" w:fill="auto"/>
            <w:noWrap/>
            <w:vAlign w:val="center"/>
            <w:hideMark/>
          </w:tcPr>
          <w:p w14:paraId="7FBCC97A"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Florida</w:t>
            </w:r>
          </w:p>
        </w:tc>
        <w:tc>
          <w:tcPr>
            <w:tcW w:w="1340" w:type="dxa"/>
            <w:vAlign w:val="bottom"/>
          </w:tcPr>
          <w:p w14:paraId="002C5559" w14:textId="7BA323F1"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295D0F19"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78BE60A4" w14:textId="7218FFA1" w:rsidTr="008616EE">
        <w:trPr>
          <w:trHeight w:val="290"/>
          <w:jc w:val="center"/>
        </w:trPr>
        <w:tc>
          <w:tcPr>
            <w:tcW w:w="960" w:type="dxa"/>
            <w:shd w:val="clear" w:color="auto" w:fill="auto"/>
            <w:noWrap/>
            <w:vAlign w:val="center"/>
            <w:hideMark/>
          </w:tcPr>
          <w:p w14:paraId="3A48FC65"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26</w:t>
            </w:r>
          </w:p>
        </w:tc>
        <w:tc>
          <w:tcPr>
            <w:tcW w:w="1536" w:type="dxa"/>
            <w:shd w:val="clear" w:color="auto" w:fill="auto"/>
            <w:noWrap/>
            <w:vAlign w:val="bottom"/>
            <w:hideMark/>
          </w:tcPr>
          <w:p w14:paraId="1D079173" w14:textId="53F6ADFA"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Bacon</w:t>
            </w:r>
          </w:p>
        </w:tc>
        <w:tc>
          <w:tcPr>
            <w:tcW w:w="1340" w:type="dxa"/>
            <w:shd w:val="clear" w:color="auto" w:fill="auto"/>
            <w:noWrap/>
            <w:vAlign w:val="center"/>
            <w:hideMark/>
          </w:tcPr>
          <w:p w14:paraId="4663ABB0"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Georgia</w:t>
            </w:r>
          </w:p>
        </w:tc>
        <w:tc>
          <w:tcPr>
            <w:tcW w:w="1340" w:type="dxa"/>
            <w:vAlign w:val="bottom"/>
          </w:tcPr>
          <w:p w14:paraId="198F787D" w14:textId="3CA6CEAF"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72</w:t>
            </w:r>
          </w:p>
        </w:tc>
        <w:tc>
          <w:tcPr>
            <w:tcW w:w="1839" w:type="dxa"/>
          </w:tcPr>
          <w:p w14:paraId="4413C39E"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141199CD" w14:textId="45444F40" w:rsidTr="008616EE">
        <w:trPr>
          <w:trHeight w:val="290"/>
          <w:jc w:val="center"/>
        </w:trPr>
        <w:tc>
          <w:tcPr>
            <w:tcW w:w="960" w:type="dxa"/>
            <w:shd w:val="clear" w:color="auto" w:fill="auto"/>
            <w:noWrap/>
            <w:vAlign w:val="center"/>
            <w:hideMark/>
          </w:tcPr>
          <w:p w14:paraId="3A8E6E63"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27</w:t>
            </w:r>
          </w:p>
        </w:tc>
        <w:tc>
          <w:tcPr>
            <w:tcW w:w="1536" w:type="dxa"/>
            <w:shd w:val="clear" w:color="auto" w:fill="auto"/>
            <w:noWrap/>
            <w:vAlign w:val="bottom"/>
            <w:hideMark/>
          </w:tcPr>
          <w:p w14:paraId="052D9AB8" w14:textId="1074F86D"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Bibb</w:t>
            </w:r>
          </w:p>
        </w:tc>
        <w:tc>
          <w:tcPr>
            <w:tcW w:w="1340" w:type="dxa"/>
            <w:shd w:val="clear" w:color="auto" w:fill="auto"/>
            <w:noWrap/>
            <w:vAlign w:val="center"/>
            <w:hideMark/>
          </w:tcPr>
          <w:p w14:paraId="419534A6"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Georgia</w:t>
            </w:r>
          </w:p>
        </w:tc>
        <w:tc>
          <w:tcPr>
            <w:tcW w:w="1340" w:type="dxa"/>
            <w:vAlign w:val="bottom"/>
          </w:tcPr>
          <w:p w14:paraId="2567616C" w14:textId="6653EC69"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42</w:t>
            </w:r>
          </w:p>
        </w:tc>
        <w:tc>
          <w:tcPr>
            <w:tcW w:w="1839" w:type="dxa"/>
          </w:tcPr>
          <w:p w14:paraId="68A135B2"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68069981" w14:textId="0B95D9A4" w:rsidTr="008616EE">
        <w:trPr>
          <w:trHeight w:val="290"/>
          <w:jc w:val="center"/>
        </w:trPr>
        <w:tc>
          <w:tcPr>
            <w:tcW w:w="960" w:type="dxa"/>
            <w:shd w:val="clear" w:color="auto" w:fill="auto"/>
            <w:noWrap/>
            <w:vAlign w:val="center"/>
            <w:hideMark/>
          </w:tcPr>
          <w:p w14:paraId="02460A9E"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28</w:t>
            </w:r>
          </w:p>
        </w:tc>
        <w:tc>
          <w:tcPr>
            <w:tcW w:w="1536" w:type="dxa"/>
            <w:shd w:val="clear" w:color="auto" w:fill="auto"/>
            <w:noWrap/>
            <w:vAlign w:val="bottom"/>
            <w:hideMark/>
          </w:tcPr>
          <w:p w14:paraId="54120B44" w14:textId="125F4D66"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Charlton</w:t>
            </w:r>
          </w:p>
        </w:tc>
        <w:tc>
          <w:tcPr>
            <w:tcW w:w="1340" w:type="dxa"/>
            <w:shd w:val="clear" w:color="auto" w:fill="auto"/>
            <w:noWrap/>
            <w:vAlign w:val="center"/>
            <w:hideMark/>
          </w:tcPr>
          <w:p w14:paraId="53470E90"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Georgia</w:t>
            </w:r>
          </w:p>
        </w:tc>
        <w:tc>
          <w:tcPr>
            <w:tcW w:w="1340" w:type="dxa"/>
            <w:vAlign w:val="bottom"/>
          </w:tcPr>
          <w:p w14:paraId="52304A4B" w14:textId="3CA15402"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74</w:t>
            </w:r>
          </w:p>
        </w:tc>
        <w:tc>
          <w:tcPr>
            <w:tcW w:w="1839" w:type="dxa"/>
          </w:tcPr>
          <w:p w14:paraId="0ECB123E"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4E41A7C7" w14:textId="1F8787B4" w:rsidTr="008616EE">
        <w:trPr>
          <w:trHeight w:val="290"/>
          <w:jc w:val="center"/>
        </w:trPr>
        <w:tc>
          <w:tcPr>
            <w:tcW w:w="960" w:type="dxa"/>
            <w:shd w:val="clear" w:color="auto" w:fill="auto"/>
            <w:noWrap/>
            <w:vAlign w:val="center"/>
            <w:hideMark/>
          </w:tcPr>
          <w:p w14:paraId="603BD8FB"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29</w:t>
            </w:r>
          </w:p>
        </w:tc>
        <w:tc>
          <w:tcPr>
            <w:tcW w:w="1536" w:type="dxa"/>
            <w:shd w:val="clear" w:color="auto" w:fill="auto"/>
            <w:noWrap/>
            <w:vAlign w:val="bottom"/>
            <w:hideMark/>
          </w:tcPr>
          <w:p w14:paraId="72FFFD55" w14:textId="565D7FB7"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Clarke</w:t>
            </w:r>
          </w:p>
        </w:tc>
        <w:tc>
          <w:tcPr>
            <w:tcW w:w="1340" w:type="dxa"/>
            <w:shd w:val="clear" w:color="auto" w:fill="auto"/>
            <w:noWrap/>
            <w:vAlign w:val="center"/>
            <w:hideMark/>
          </w:tcPr>
          <w:p w14:paraId="61A69226"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Georgia</w:t>
            </w:r>
          </w:p>
        </w:tc>
        <w:tc>
          <w:tcPr>
            <w:tcW w:w="1340" w:type="dxa"/>
            <w:vAlign w:val="bottom"/>
          </w:tcPr>
          <w:p w14:paraId="69148631" w14:textId="14209EBB"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67</w:t>
            </w:r>
          </w:p>
        </w:tc>
        <w:tc>
          <w:tcPr>
            <w:tcW w:w="1839" w:type="dxa"/>
          </w:tcPr>
          <w:p w14:paraId="2D6DBA31"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2A4074B4" w14:textId="658CAD4F" w:rsidTr="008616EE">
        <w:trPr>
          <w:trHeight w:val="290"/>
          <w:jc w:val="center"/>
        </w:trPr>
        <w:tc>
          <w:tcPr>
            <w:tcW w:w="960" w:type="dxa"/>
            <w:shd w:val="clear" w:color="auto" w:fill="auto"/>
            <w:noWrap/>
            <w:vAlign w:val="center"/>
            <w:hideMark/>
          </w:tcPr>
          <w:p w14:paraId="47CE4D51"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30</w:t>
            </w:r>
          </w:p>
        </w:tc>
        <w:tc>
          <w:tcPr>
            <w:tcW w:w="1536" w:type="dxa"/>
            <w:shd w:val="clear" w:color="auto" w:fill="auto"/>
            <w:noWrap/>
            <w:vAlign w:val="bottom"/>
            <w:hideMark/>
          </w:tcPr>
          <w:p w14:paraId="5078F5F7" w14:textId="0E101503"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Clinch</w:t>
            </w:r>
          </w:p>
        </w:tc>
        <w:tc>
          <w:tcPr>
            <w:tcW w:w="1340" w:type="dxa"/>
            <w:shd w:val="clear" w:color="auto" w:fill="auto"/>
            <w:noWrap/>
            <w:vAlign w:val="center"/>
            <w:hideMark/>
          </w:tcPr>
          <w:p w14:paraId="4B80E0E4"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Georgia</w:t>
            </w:r>
          </w:p>
        </w:tc>
        <w:tc>
          <w:tcPr>
            <w:tcW w:w="1340" w:type="dxa"/>
            <w:vAlign w:val="bottom"/>
          </w:tcPr>
          <w:p w14:paraId="13FFFA6A" w14:textId="427622C8"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60</w:t>
            </w:r>
          </w:p>
        </w:tc>
        <w:tc>
          <w:tcPr>
            <w:tcW w:w="1839" w:type="dxa"/>
          </w:tcPr>
          <w:p w14:paraId="60E1A2CA"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04BB5446" w14:textId="4B2EF939" w:rsidTr="008616EE">
        <w:trPr>
          <w:trHeight w:val="290"/>
          <w:jc w:val="center"/>
        </w:trPr>
        <w:tc>
          <w:tcPr>
            <w:tcW w:w="960" w:type="dxa"/>
            <w:shd w:val="clear" w:color="auto" w:fill="auto"/>
            <w:noWrap/>
            <w:vAlign w:val="center"/>
            <w:hideMark/>
          </w:tcPr>
          <w:p w14:paraId="05C9EA1F"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31</w:t>
            </w:r>
          </w:p>
        </w:tc>
        <w:tc>
          <w:tcPr>
            <w:tcW w:w="1536" w:type="dxa"/>
            <w:shd w:val="clear" w:color="auto" w:fill="auto"/>
            <w:noWrap/>
            <w:vAlign w:val="bottom"/>
            <w:hideMark/>
          </w:tcPr>
          <w:p w14:paraId="2E275ABD" w14:textId="77139E54"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Colquitt</w:t>
            </w:r>
          </w:p>
        </w:tc>
        <w:tc>
          <w:tcPr>
            <w:tcW w:w="1340" w:type="dxa"/>
            <w:shd w:val="clear" w:color="auto" w:fill="auto"/>
            <w:noWrap/>
            <w:vAlign w:val="center"/>
            <w:hideMark/>
          </w:tcPr>
          <w:p w14:paraId="36D0D655"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Georgia</w:t>
            </w:r>
          </w:p>
        </w:tc>
        <w:tc>
          <w:tcPr>
            <w:tcW w:w="1340" w:type="dxa"/>
            <w:vAlign w:val="bottom"/>
          </w:tcPr>
          <w:p w14:paraId="6B173F7F" w14:textId="49212AFF"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641BD161"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679574B3" w14:textId="1A3C4FA1" w:rsidTr="008616EE">
        <w:trPr>
          <w:trHeight w:val="290"/>
          <w:jc w:val="center"/>
        </w:trPr>
        <w:tc>
          <w:tcPr>
            <w:tcW w:w="960" w:type="dxa"/>
            <w:shd w:val="clear" w:color="auto" w:fill="auto"/>
            <w:noWrap/>
            <w:vAlign w:val="center"/>
            <w:hideMark/>
          </w:tcPr>
          <w:p w14:paraId="219CA94B"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32</w:t>
            </w:r>
          </w:p>
        </w:tc>
        <w:tc>
          <w:tcPr>
            <w:tcW w:w="1536" w:type="dxa"/>
            <w:shd w:val="clear" w:color="auto" w:fill="auto"/>
            <w:noWrap/>
            <w:vAlign w:val="bottom"/>
            <w:hideMark/>
          </w:tcPr>
          <w:p w14:paraId="12176E00" w14:textId="1A8E7E8F"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Decatur</w:t>
            </w:r>
          </w:p>
        </w:tc>
        <w:tc>
          <w:tcPr>
            <w:tcW w:w="1340" w:type="dxa"/>
            <w:shd w:val="clear" w:color="auto" w:fill="auto"/>
            <w:noWrap/>
            <w:vAlign w:val="center"/>
            <w:hideMark/>
          </w:tcPr>
          <w:p w14:paraId="27E3C1FB"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Georgia</w:t>
            </w:r>
          </w:p>
        </w:tc>
        <w:tc>
          <w:tcPr>
            <w:tcW w:w="1340" w:type="dxa"/>
            <w:vAlign w:val="bottom"/>
          </w:tcPr>
          <w:p w14:paraId="759966F8" w14:textId="187B5866"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16C7A1B7"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2123C93B" w14:textId="0393B53D" w:rsidTr="008616EE">
        <w:trPr>
          <w:trHeight w:val="290"/>
          <w:jc w:val="center"/>
        </w:trPr>
        <w:tc>
          <w:tcPr>
            <w:tcW w:w="960" w:type="dxa"/>
            <w:shd w:val="clear" w:color="auto" w:fill="auto"/>
            <w:noWrap/>
            <w:vAlign w:val="center"/>
            <w:hideMark/>
          </w:tcPr>
          <w:p w14:paraId="6BAAF1E8"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33</w:t>
            </w:r>
          </w:p>
        </w:tc>
        <w:tc>
          <w:tcPr>
            <w:tcW w:w="1536" w:type="dxa"/>
            <w:shd w:val="clear" w:color="auto" w:fill="auto"/>
            <w:noWrap/>
            <w:vAlign w:val="bottom"/>
            <w:hideMark/>
          </w:tcPr>
          <w:p w14:paraId="180F4D4A" w14:textId="1ABF7F30"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Glynn</w:t>
            </w:r>
          </w:p>
        </w:tc>
        <w:tc>
          <w:tcPr>
            <w:tcW w:w="1340" w:type="dxa"/>
            <w:shd w:val="clear" w:color="auto" w:fill="auto"/>
            <w:noWrap/>
            <w:vAlign w:val="center"/>
            <w:hideMark/>
          </w:tcPr>
          <w:p w14:paraId="1E14DB0A"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Georgia</w:t>
            </w:r>
          </w:p>
        </w:tc>
        <w:tc>
          <w:tcPr>
            <w:tcW w:w="1340" w:type="dxa"/>
            <w:vAlign w:val="bottom"/>
          </w:tcPr>
          <w:p w14:paraId="1CFF1C5C" w14:textId="4EFAF9C6"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53</w:t>
            </w:r>
          </w:p>
        </w:tc>
        <w:tc>
          <w:tcPr>
            <w:tcW w:w="1839" w:type="dxa"/>
          </w:tcPr>
          <w:p w14:paraId="549C8AC6"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78CEF79C" w14:textId="1484AED1" w:rsidTr="008616EE">
        <w:trPr>
          <w:trHeight w:val="290"/>
          <w:jc w:val="center"/>
        </w:trPr>
        <w:tc>
          <w:tcPr>
            <w:tcW w:w="960" w:type="dxa"/>
            <w:shd w:val="clear" w:color="auto" w:fill="auto"/>
            <w:noWrap/>
            <w:vAlign w:val="center"/>
            <w:hideMark/>
          </w:tcPr>
          <w:p w14:paraId="74EB918E"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34</w:t>
            </w:r>
          </w:p>
        </w:tc>
        <w:tc>
          <w:tcPr>
            <w:tcW w:w="1536" w:type="dxa"/>
            <w:shd w:val="clear" w:color="auto" w:fill="auto"/>
            <w:noWrap/>
            <w:vAlign w:val="bottom"/>
            <w:hideMark/>
          </w:tcPr>
          <w:p w14:paraId="0C3BEC7A" w14:textId="0A92A8D3"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Hancock</w:t>
            </w:r>
          </w:p>
        </w:tc>
        <w:tc>
          <w:tcPr>
            <w:tcW w:w="1340" w:type="dxa"/>
            <w:shd w:val="clear" w:color="auto" w:fill="auto"/>
            <w:noWrap/>
            <w:vAlign w:val="center"/>
            <w:hideMark/>
          </w:tcPr>
          <w:p w14:paraId="71EBA968"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Georgia</w:t>
            </w:r>
          </w:p>
        </w:tc>
        <w:tc>
          <w:tcPr>
            <w:tcW w:w="1340" w:type="dxa"/>
            <w:vAlign w:val="bottom"/>
          </w:tcPr>
          <w:p w14:paraId="65CFC774" w14:textId="0D4D0E07"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61</w:t>
            </w:r>
          </w:p>
        </w:tc>
        <w:tc>
          <w:tcPr>
            <w:tcW w:w="1839" w:type="dxa"/>
          </w:tcPr>
          <w:p w14:paraId="41333615"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5063C91F" w14:textId="64AE9945" w:rsidTr="008616EE">
        <w:trPr>
          <w:trHeight w:val="290"/>
          <w:jc w:val="center"/>
        </w:trPr>
        <w:tc>
          <w:tcPr>
            <w:tcW w:w="960" w:type="dxa"/>
            <w:shd w:val="clear" w:color="auto" w:fill="auto"/>
            <w:noWrap/>
            <w:vAlign w:val="center"/>
            <w:hideMark/>
          </w:tcPr>
          <w:p w14:paraId="36FE0D30"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35</w:t>
            </w:r>
          </w:p>
        </w:tc>
        <w:tc>
          <w:tcPr>
            <w:tcW w:w="1536" w:type="dxa"/>
            <w:shd w:val="clear" w:color="auto" w:fill="auto"/>
            <w:noWrap/>
            <w:vAlign w:val="bottom"/>
            <w:hideMark/>
          </w:tcPr>
          <w:p w14:paraId="4B4CCB78" w14:textId="7BAA7CF5"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Randolph</w:t>
            </w:r>
          </w:p>
        </w:tc>
        <w:tc>
          <w:tcPr>
            <w:tcW w:w="1340" w:type="dxa"/>
            <w:shd w:val="clear" w:color="auto" w:fill="auto"/>
            <w:noWrap/>
            <w:vAlign w:val="center"/>
            <w:hideMark/>
          </w:tcPr>
          <w:p w14:paraId="5C269D0C"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Georgia</w:t>
            </w:r>
          </w:p>
        </w:tc>
        <w:tc>
          <w:tcPr>
            <w:tcW w:w="1340" w:type="dxa"/>
            <w:vAlign w:val="bottom"/>
          </w:tcPr>
          <w:p w14:paraId="42AA8097" w14:textId="601FE800"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48</w:t>
            </w:r>
          </w:p>
        </w:tc>
        <w:tc>
          <w:tcPr>
            <w:tcW w:w="1839" w:type="dxa"/>
          </w:tcPr>
          <w:p w14:paraId="193ADD83"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1A76F202" w14:textId="02509E38" w:rsidTr="008616EE">
        <w:trPr>
          <w:trHeight w:val="290"/>
          <w:jc w:val="center"/>
        </w:trPr>
        <w:tc>
          <w:tcPr>
            <w:tcW w:w="960" w:type="dxa"/>
            <w:shd w:val="clear" w:color="auto" w:fill="auto"/>
            <w:noWrap/>
            <w:vAlign w:val="center"/>
            <w:hideMark/>
          </w:tcPr>
          <w:p w14:paraId="1F279C74"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36</w:t>
            </w:r>
          </w:p>
        </w:tc>
        <w:tc>
          <w:tcPr>
            <w:tcW w:w="1536" w:type="dxa"/>
            <w:shd w:val="clear" w:color="auto" w:fill="auto"/>
            <w:noWrap/>
            <w:vAlign w:val="bottom"/>
            <w:hideMark/>
          </w:tcPr>
          <w:p w14:paraId="4DA9E116" w14:textId="54AA9CF9"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Stewart</w:t>
            </w:r>
          </w:p>
        </w:tc>
        <w:tc>
          <w:tcPr>
            <w:tcW w:w="1340" w:type="dxa"/>
            <w:shd w:val="clear" w:color="auto" w:fill="auto"/>
            <w:noWrap/>
            <w:vAlign w:val="center"/>
            <w:hideMark/>
          </w:tcPr>
          <w:p w14:paraId="092CE5C2"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Georgia</w:t>
            </w:r>
          </w:p>
        </w:tc>
        <w:tc>
          <w:tcPr>
            <w:tcW w:w="1340" w:type="dxa"/>
            <w:vAlign w:val="bottom"/>
          </w:tcPr>
          <w:p w14:paraId="721560E3" w14:textId="43143073"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69D28396"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1BD8918D" w14:textId="4C0F0901" w:rsidTr="008616EE">
        <w:trPr>
          <w:trHeight w:val="290"/>
          <w:jc w:val="center"/>
        </w:trPr>
        <w:tc>
          <w:tcPr>
            <w:tcW w:w="960" w:type="dxa"/>
            <w:shd w:val="clear" w:color="auto" w:fill="auto"/>
            <w:noWrap/>
            <w:vAlign w:val="center"/>
            <w:hideMark/>
          </w:tcPr>
          <w:p w14:paraId="602F08D9"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37</w:t>
            </w:r>
          </w:p>
        </w:tc>
        <w:tc>
          <w:tcPr>
            <w:tcW w:w="1536" w:type="dxa"/>
            <w:shd w:val="clear" w:color="auto" w:fill="auto"/>
            <w:noWrap/>
            <w:vAlign w:val="bottom"/>
            <w:hideMark/>
          </w:tcPr>
          <w:p w14:paraId="077349AC" w14:textId="42408CB0"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Tift</w:t>
            </w:r>
          </w:p>
        </w:tc>
        <w:tc>
          <w:tcPr>
            <w:tcW w:w="1340" w:type="dxa"/>
            <w:shd w:val="clear" w:color="auto" w:fill="auto"/>
            <w:noWrap/>
            <w:vAlign w:val="center"/>
            <w:hideMark/>
          </w:tcPr>
          <w:p w14:paraId="6CDE00FB"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Georgia</w:t>
            </w:r>
          </w:p>
        </w:tc>
        <w:tc>
          <w:tcPr>
            <w:tcW w:w="1340" w:type="dxa"/>
            <w:vAlign w:val="bottom"/>
          </w:tcPr>
          <w:p w14:paraId="6EFA1732" w14:textId="78938D8E"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47</w:t>
            </w:r>
          </w:p>
        </w:tc>
        <w:tc>
          <w:tcPr>
            <w:tcW w:w="1839" w:type="dxa"/>
          </w:tcPr>
          <w:p w14:paraId="77D95156"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15670580" w14:textId="6712589C" w:rsidTr="008616EE">
        <w:trPr>
          <w:trHeight w:val="290"/>
          <w:jc w:val="center"/>
        </w:trPr>
        <w:tc>
          <w:tcPr>
            <w:tcW w:w="960" w:type="dxa"/>
            <w:shd w:val="clear" w:color="auto" w:fill="auto"/>
            <w:noWrap/>
            <w:vAlign w:val="center"/>
            <w:hideMark/>
          </w:tcPr>
          <w:p w14:paraId="5E548525"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38</w:t>
            </w:r>
          </w:p>
        </w:tc>
        <w:tc>
          <w:tcPr>
            <w:tcW w:w="1536" w:type="dxa"/>
            <w:shd w:val="clear" w:color="auto" w:fill="auto"/>
            <w:noWrap/>
            <w:vAlign w:val="bottom"/>
            <w:hideMark/>
          </w:tcPr>
          <w:p w14:paraId="6B84BBBF" w14:textId="6818C56C"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Ware</w:t>
            </w:r>
          </w:p>
        </w:tc>
        <w:tc>
          <w:tcPr>
            <w:tcW w:w="1340" w:type="dxa"/>
            <w:shd w:val="clear" w:color="auto" w:fill="auto"/>
            <w:noWrap/>
            <w:vAlign w:val="center"/>
            <w:hideMark/>
          </w:tcPr>
          <w:p w14:paraId="5E239063"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Georgia</w:t>
            </w:r>
          </w:p>
        </w:tc>
        <w:tc>
          <w:tcPr>
            <w:tcW w:w="1340" w:type="dxa"/>
            <w:vAlign w:val="bottom"/>
          </w:tcPr>
          <w:p w14:paraId="6816B9A8" w14:textId="4FAA825C"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45DE48FD"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32D6F7EC" w14:textId="7BA2F676" w:rsidTr="008616EE">
        <w:trPr>
          <w:trHeight w:val="290"/>
          <w:jc w:val="center"/>
        </w:trPr>
        <w:tc>
          <w:tcPr>
            <w:tcW w:w="960" w:type="dxa"/>
            <w:shd w:val="clear" w:color="auto" w:fill="auto"/>
            <w:noWrap/>
            <w:vAlign w:val="center"/>
            <w:hideMark/>
          </w:tcPr>
          <w:p w14:paraId="2C4AC9AE"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lastRenderedPageBreak/>
              <w:t>39</w:t>
            </w:r>
          </w:p>
        </w:tc>
        <w:tc>
          <w:tcPr>
            <w:tcW w:w="1536" w:type="dxa"/>
            <w:shd w:val="clear" w:color="auto" w:fill="auto"/>
            <w:noWrap/>
            <w:vAlign w:val="bottom"/>
            <w:hideMark/>
          </w:tcPr>
          <w:p w14:paraId="4C27EB4E" w14:textId="494D7D98"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Wheeler</w:t>
            </w:r>
          </w:p>
        </w:tc>
        <w:tc>
          <w:tcPr>
            <w:tcW w:w="1340" w:type="dxa"/>
            <w:shd w:val="clear" w:color="auto" w:fill="auto"/>
            <w:noWrap/>
            <w:vAlign w:val="center"/>
            <w:hideMark/>
          </w:tcPr>
          <w:p w14:paraId="327AFA09"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Georgia</w:t>
            </w:r>
          </w:p>
        </w:tc>
        <w:tc>
          <w:tcPr>
            <w:tcW w:w="1340" w:type="dxa"/>
            <w:vAlign w:val="bottom"/>
          </w:tcPr>
          <w:p w14:paraId="29BB0D39" w14:textId="5B57F456"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69</w:t>
            </w:r>
          </w:p>
        </w:tc>
        <w:tc>
          <w:tcPr>
            <w:tcW w:w="1839" w:type="dxa"/>
          </w:tcPr>
          <w:p w14:paraId="35D603EE"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67DC8D7C" w14:textId="6E618D10" w:rsidTr="008616EE">
        <w:trPr>
          <w:trHeight w:val="290"/>
          <w:jc w:val="center"/>
        </w:trPr>
        <w:tc>
          <w:tcPr>
            <w:tcW w:w="960" w:type="dxa"/>
            <w:shd w:val="clear" w:color="auto" w:fill="auto"/>
            <w:noWrap/>
            <w:vAlign w:val="center"/>
            <w:hideMark/>
          </w:tcPr>
          <w:p w14:paraId="7BF1EB9A"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40</w:t>
            </w:r>
          </w:p>
        </w:tc>
        <w:tc>
          <w:tcPr>
            <w:tcW w:w="1536" w:type="dxa"/>
            <w:shd w:val="clear" w:color="auto" w:fill="auto"/>
            <w:noWrap/>
            <w:vAlign w:val="bottom"/>
            <w:hideMark/>
          </w:tcPr>
          <w:p w14:paraId="0AE86F1B" w14:textId="4526A8B8"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Allen</w:t>
            </w:r>
          </w:p>
        </w:tc>
        <w:tc>
          <w:tcPr>
            <w:tcW w:w="1340" w:type="dxa"/>
            <w:shd w:val="clear" w:color="auto" w:fill="auto"/>
            <w:noWrap/>
            <w:vAlign w:val="center"/>
            <w:hideMark/>
          </w:tcPr>
          <w:p w14:paraId="11FB118A"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Louisiana</w:t>
            </w:r>
          </w:p>
        </w:tc>
        <w:tc>
          <w:tcPr>
            <w:tcW w:w="1340" w:type="dxa"/>
            <w:vAlign w:val="bottom"/>
          </w:tcPr>
          <w:p w14:paraId="290DF0E5" w14:textId="58457D2E"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2F6D8338"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06D8E187" w14:textId="174FBE1C" w:rsidTr="008616EE">
        <w:trPr>
          <w:trHeight w:val="290"/>
          <w:jc w:val="center"/>
        </w:trPr>
        <w:tc>
          <w:tcPr>
            <w:tcW w:w="960" w:type="dxa"/>
            <w:shd w:val="clear" w:color="auto" w:fill="auto"/>
            <w:noWrap/>
            <w:vAlign w:val="center"/>
            <w:hideMark/>
          </w:tcPr>
          <w:p w14:paraId="132CAA49"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41</w:t>
            </w:r>
          </w:p>
        </w:tc>
        <w:tc>
          <w:tcPr>
            <w:tcW w:w="1536" w:type="dxa"/>
            <w:shd w:val="clear" w:color="auto" w:fill="auto"/>
            <w:noWrap/>
            <w:vAlign w:val="bottom"/>
            <w:hideMark/>
          </w:tcPr>
          <w:p w14:paraId="338D7D00" w14:textId="25D5D408"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Avoyelles</w:t>
            </w:r>
          </w:p>
        </w:tc>
        <w:tc>
          <w:tcPr>
            <w:tcW w:w="1340" w:type="dxa"/>
            <w:shd w:val="clear" w:color="auto" w:fill="auto"/>
            <w:noWrap/>
            <w:vAlign w:val="center"/>
            <w:hideMark/>
          </w:tcPr>
          <w:p w14:paraId="5601319B"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Louisiana</w:t>
            </w:r>
          </w:p>
        </w:tc>
        <w:tc>
          <w:tcPr>
            <w:tcW w:w="1340" w:type="dxa"/>
            <w:vAlign w:val="bottom"/>
          </w:tcPr>
          <w:p w14:paraId="0DA66245" w14:textId="7CE023CD"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70</w:t>
            </w:r>
          </w:p>
        </w:tc>
        <w:tc>
          <w:tcPr>
            <w:tcW w:w="1839" w:type="dxa"/>
          </w:tcPr>
          <w:p w14:paraId="693CE594"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62DE9D90" w14:textId="60403B73" w:rsidTr="008616EE">
        <w:trPr>
          <w:trHeight w:val="290"/>
          <w:jc w:val="center"/>
        </w:trPr>
        <w:tc>
          <w:tcPr>
            <w:tcW w:w="960" w:type="dxa"/>
            <w:shd w:val="clear" w:color="auto" w:fill="auto"/>
            <w:noWrap/>
            <w:vAlign w:val="center"/>
            <w:hideMark/>
          </w:tcPr>
          <w:p w14:paraId="49509FD4"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42</w:t>
            </w:r>
          </w:p>
        </w:tc>
        <w:tc>
          <w:tcPr>
            <w:tcW w:w="1536" w:type="dxa"/>
            <w:shd w:val="clear" w:color="auto" w:fill="auto"/>
            <w:noWrap/>
            <w:vAlign w:val="bottom"/>
            <w:hideMark/>
          </w:tcPr>
          <w:p w14:paraId="3510732A" w14:textId="433F8363"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Calcasieu</w:t>
            </w:r>
          </w:p>
        </w:tc>
        <w:tc>
          <w:tcPr>
            <w:tcW w:w="1340" w:type="dxa"/>
            <w:shd w:val="clear" w:color="auto" w:fill="auto"/>
            <w:noWrap/>
            <w:vAlign w:val="center"/>
            <w:hideMark/>
          </w:tcPr>
          <w:p w14:paraId="531EE25B"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Louisiana</w:t>
            </w:r>
          </w:p>
        </w:tc>
        <w:tc>
          <w:tcPr>
            <w:tcW w:w="1340" w:type="dxa"/>
            <w:vAlign w:val="bottom"/>
          </w:tcPr>
          <w:p w14:paraId="08A32990" w14:textId="3DCA645C"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64</w:t>
            </w:r>
          </w:p>
        </w:tc>
        <w:tc>
          <w:tcPr>
            <w:tcW w:w="1839" w:type="dxa"/>
          </w:tcPr>
          <w:p w14:paraId="1B359F12"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146EEA51" w14:textId="7324256A" w:rsidTr="008616EE">
        <w:trPr>
          <w:trHeight w:val="290"/>
          <w:jc w:val="center"/>
        </w:trPr>
        <w:tc>
          <w:tcPr>
            <w:tcW w:w="960" w:type="dxa"/>
            <w:shd w:val="clear" w:color="auto" w:fill="auto"/>
            <w:noWrap/>
            <w:vAlign w:val="center"/>
            <w:hideMark/>
          </w:tcPr>
          <w:p w14:paraId="114F9BB8"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43</w:t>
            </w:r>
          </w:p>
        </w:tc>
        <w:tc>
          <w:tcPr>
            <w:tcW w:w="1536" w:type="dxa"/>
            <w:shd w:val="clear" w:color="auto" w:fill="auto"/>
            <w:noWrap/>
            <w:vAlign w:val="bottom"/>
            <w:hideMark/>
          </w:tcPr>
          <w:p w14:paraId="3615A5BB" w14:textId="7D5623AD"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East Carroll</w:t>
            </w:r>
          </w:p>
        </w:tc>
        <w:tc>
          <w:tcPr>
            <w:tcW w:w="1340" w:type="dxa"/>
            <w:shd w:val="clear" w:color="auto" w:fill="auto"/>
            <w:noWrap/>
            <w:vAlign w:val="center"/>
            <w:hideMark/>
          </w:tcPr>
          <w:p w14:paraId="7783C023"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Louisiana</w:t>
            </w:r>
          </w:p>
        </w:tc>
        <w:tc>
          <w:tcPr>
            <w:tcW w:w="1340" w:type="dxa"/>
            <w:vAlign w:val="bottom"/>
          </w:tcPr>
          <w:p w14:paraId="6038C22F" w14:textId="1879050D"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71</w:t>
            </w:r>
          </w:p>
        </w:tc>
        <w:tc>
          <w:tcPr>
            <w:tcW w:w="1839" w:type="dxa"/>
          </w:tcPr>
          <w:p w14:paraId="4CBC5655"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33A15ED2" w14:textId="7048DA69" w:rsidTr="008616EE">
        <w:trPr>
          <w:trHeight w:val="290"/>
          <w:jc w:val="center"/>
        </w:trPr>
        <w:tc>
          <w:tcPr>
            <w:tcW w:w="960" w:type="dxa"/>
            <w:shd w:val="clear" w:color="auto" w:fill="auto"/>
            <w:noWrap/>
            <w:vAlign w:val="center"/>
            <w:hideMark/>
          </w:tcPr>
          <w:p w14:paraId="7E1FD29B"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44</w:t>
            </w:r>
          </w:p>
        </w:tc>
        <w:tc>
          <w:tcPr>
            <w:tcW w:w="1536" w:type="dxa"/>
            <w:shd w:val="clear" w:color="auto" w:fill="auto"/>
            <w:noWrap/>
            <w:vAlign w:val="bottom"/>
            <w:hideMark/>
          </w:tcPr>
          <w:p w14:paraId="25DF7275" w14:textId="5E82C554"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East Feliciana</w:t>
            </w:r>
          </w:p>
        </w:tc>
        <w:tc>
          <w:tcPr>
            <w:tcW w:w="1340" w:type="dxa"/>
            <w:shd w:val="clear" w:color="auto" w:fill="auto"/>
            <w:noWrap/>
            <w:vAlign w:val="center"/>
            <w:hideMark/>
          </w:tcPr>
          <w:p w14:paraId="0836A695"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Louisiana</w:t>
            </w:r>
          </w:p>
        </w:tc>
        <w:tc>
          <w:tcPr>
            <w:tcW w:w="1340" w:type="dxa"/>
            <w:vAlign w:val="bottom"/>
          </w:tcPr>
          <w:p w14:paraId="1A4223B2" w14:textId="75C37F36"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35EFDEB0"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68A409A0" w14:textId="4E3ED92F" w:rsidTr="008616EE">
        <w:trPr>
          <w:trHeight w:val="290"/>
          <w:jc w:val="center"/>
        </w:trPr>
        <w:tc>
          <w:tcPr>
            <w:tcW w:w="960" w:type="dxa"/>
            <w:shd w:val="clear" w:color="auto" w:fill="auto"/>
            <w:noWrap/>
            <w:vAlign w:val="center"/>
            <w:hideMark/>
          </w:tcPr>
          <w:p w14:paraId="50BF7D13"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45</w:t>
            </w:r>
          </w:p>
        </w:tc>
        <w:tc>
          <w:tcPr>
            <w:tcW w:w="1536" w:type="dxa"/>
            <w:shd w:val="clear" w:color="auto" w:fill="auto"/>
            <w:noWrap/>
            <w:vAlign w:val="bottom"/>
            <w:hideMark/>
          </w:tcPr>
          <w:p w14:paraId="5D2E1320" w14:textId="76A83F9F"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Iberville</w:t>
            </w:r>
          </w:p>
        </w:tc>
        <w:tc>
          <w:tcPr>
            <w:tcW w:w="1340" w:type="dxa"/>
            <w:shd w:val="clear" w:color="auto" w:fill="auto"/>
            <w:noWrap/>
            <w:vAlign w:val="center"/>
            <w:hideMark/>
          </w:tcPr>
          <w:p w14:paraId="4BA08891"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Louisiana</w:t>
            </w:r>
          </w:p>
        </w:tc>
        <w:tc>
          <w:tcPr>
            <w:tcW w:w="1340" w:type="dxa"/>
            <w:vAlign w:val="bottom"/>
          </w:tcPr>
          <w:p w14:paraId="60EB8029" w14:textId="67F4435C"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5C1EB258"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4341CC1D" w14:textId="20ACC4BE" w:rsidTr="008616EE">
        <w:trPr>
          <w:trHeight w:val="290"/>
          <w:jc w:val="center"/>
        </w:trPr>
        <w:tc>
          <w:tcPr>
            <w:tcW w:w="960" w:type="dxa"/>
            <w:shd w:val="clear" w:color="auto" w:fill="auto"/>
            <w:noWrap/>
            <w:vAlign w:val="center"/>
            <w:hideMark/>
          </w:tcPr>
          <w:p w14:paraId="78122EFD"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46</w:t>
            </w:r>
          </w:p>
        </w:tc>
        <w:tc>
          <w:tcPr>
            <w:tcW w:w="1536" w:type="dxa"/>
            <w:shd w:val="clear" w:color="auto" w:fill="auto"/>
            <w:noWrap/>
            <w:vAlign w:val="bottom"/>
            <w:hideMark/>
          </w:tcPr>
          <w:p w14:paraId="6CA1A761" w14:textId="503636D7"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Jefferson</w:t>
            </w:r>
          </w:p>
        </w:tc>
        <w:tc>
          <w:tcPr>
            <w:tcW w:w="1340" w:type="dxa"/>
            <w:shd w:val="clear" w:color="auto" w:fill="auto"/>
            <w:noWrap/>
            <w:vAlign w:val="center"/>
            <w:hideMark/>
          </w:tcPr>
          <w:p w14:paraId="109F1DAA"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Louisiana</w:t>
            </w:r>
          </w:p>
        </w:tc>
        <w:tc>
          <w:tcPr>
            <w:tcW w:w="1340" w:type="dxa"/>
            <w:vAlign w:val="bottom"/>
          </w:tcPr>
          <w:p w14:paraId="3B5E2A9F" w14:textId="20C90D4B"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1F0480A5"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0E41E16F" w14:textId="0AC808B2" w:rsidTr="008616EE">
        <w:trPr>
          <w:trHeight w:val="290"/>
          <w:jc w:val="center"/>
        </w:trPr>
        <w:tc>
          <w:tcPr>
            <w:tcW w:w="960" w:type="dxa"/>
            <w:shd w:val="clear" w:color="auto" w:fill="auto"/>
            <w:noWrap/>
            <w:vAlign w:val="center"/>
            <w:hideMark/>
          </w:tcPr>
          <w:p w14:paraId="4E4047B4"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47</w:t>
            </w:r>
          </w:p>
        </w:tc>
        <w:tc>
          <w:tcPr>
            <w:tcW w:w="1536" w:type="dxa"/>
            <w:shd w:val="clear" w:color="auto" w:fill="auto"/>
            <w:noWrap/>
            <w:vAlign w:val="bottom"/>
            <w:hideMark/>
          </w:tcPr>
          <w:p w14:paraId="130BB60F" w14:textId="754E0B0A"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Ouachita</w:t>
            </w:r>
          </w:p>
        </w:tc>
        <w:tc>
          <w:tcPr>
            <w:tcW w:w="1340" w:type="dxa"/>
            <w:shd w:val="clear" w:color="auto" w:fill="auto"/>
            <w:noWrap/>
            <w:vAlign w:val="center"/>
            <w:hideMark/>
          </w:tcPr>
          <w:p w14:paraId="435425FB"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Louisiana</w:t>
            </w:r>
          </w:p>
        </w:tc>
        <w:tc>
          <w:tcPr>
            <w:tcW w:w="1340" w:type="dxa"/>
            <w:vAlign w:val="bottom"/>
          </w:tcPr>
          <w:p w14:paraId="60B3FD03" w14:textId="5C0FCD29"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37024478"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14F31D21" w14:textId="6D098516" w:rsidTr="008616EE">
        <w:trPr>
          <w:trHeight w:val="290"/>
          <w:jc w:val="center"/>
        </w:trPr>
        <w:tc>
          <w:tcPr>
            <w:tcW w:w="960" w:type="dxa"/>
            <w:shd w:val="clear" w:color="auto" w:fill="auto"/>
            <w:noWrap/>
            <w:vAlign w:val="center"/>
            <w:hideMark/>
          </w:tcPr>
          <w:p w14:paraId="10720B3C"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48</w:t>
            </w:r>
          </w:p>
        </w:tc>
        <w:tc>
          <w:tcPr>
            <w:tcW w:w="1536" w:type="dxa"/>
            <w:shd w:val="clear" w:color="auto" w:fill="auto"/>
            <w:noWrap/>
            <w:vAlign w:val="bottom"/>
            <w:hideMark/>
          </w:tcPr>
          <w:p w14:paraId="0225C136" w14:textId="03DBC7A1"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St. Landry</w:t>
            </w:r>
          </w:p>
        </w:tc>
        <w:tc>
          <w:tcPr>
            <w:tcW w:w="1340" w:type="dxa"/>
            <w:shd w:val="clear" w:color="auto" w:fill="auto"/>
            <w:noWrap/>
            <w:vAlign w:val="center"/>
            <w:hideMark/>
          </w:tcPr>
          <w:p w14:paraId="7D71E1DF"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Louisiana</w:t>
            </w:r>
          </w:p>
        </w:tc>
        <w:tc>
          <w:tcPr>
            <w:tcW w:w="1340" w:type="dxa"/>
            <w:vAlign w:val="bottom"/>
          </w:tcPr>
          <w:p w14:paraId="7E1692B6" w14:textId="653E92B5"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57</w:t>
            </w:r>
          </w:p>
        </w:tc>
        <w:tc>
          <w:tcPr>
            <w:tcW w:w="1839" w:type="dxa"/>
          </w:tcPr>
          <w:p w14:paraId="21438080"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79EDF03C" w14:textId="35A56A5E" w:rsidTr="008616EE">
        <w:trPr>
          <w:trHeight w:val="290"/>
          <w:jc w:val="center"/>
        </w:trPr>
        <w:tc>
          <w:tcPr>
            <w:tcW w:w="960" w:type="dxa"/>
            <w:shd w:val="clear" w:color="auto" w:fill="auto"/>
            <w:noWrap/>
            <w:vAlign w:val="center"/>
            <w:hideMark/>
          </w:tcPr>
          <w:p w14:paraId="4DB141CC"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49</w:t>
            </w:r>
          </w:p>
        </w:tc>
        <w:tc>
          <w:tcPr>
            <w:tcW w:w="1536" w:type="dxa"/>
            <w:shd w:val="clear" w:color="auto" w:fill="auto"/>
            <w:noWrap/>
            <w:vAlign w:val="bottom"/>
            <w:hideMark/>
          </w:tcPr>
          <w:p w14:paraId="2435FB8A" w14:textId="2FE06C9B"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West Feliciana</w:t>
            </w:r>
          </w:p>
        </w:tc>
        <w:tc>
          <w:tcPr>
            <w:tcW w:w="1340" w:type="dxa"/>
            <w:shd w:val="clear" w:color="auto" w:fill="auto"/>
            <w:noWrap/>
            <w:vAlign w:val="center"/>
            <w:hideMark/>
          </w:tcPr>
          <w:p w14:paraId="45FF9B19"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Louisiana</w:t>
            </w:r>
          </w:p>
        </w:tc>
        <w:tc>
          <w:tcPr>
            <w:tcW w:w="1340" w:type="dxa"/>
            <w:vAlign w:val="bottom"/>
          </w:tcPr>
          <w:p w14:paraId="093CBB93" w14:textId="2C8F0A6A"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25EE7702"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45626638" w14:textId="48585FEB" w:rsidTr="008616EE">
        <w:trPr>
          <w:trHeight w:val="290"/>
          <w:jc w:val="center"/>
        </w:trPr>
        <w:tc>
          <w:tcPr>
            <w:tcW w:w="960" w:type="dxa"/>
            <w:shd w:val="clear" w:color="auto" w:fill="auto"/>
            <w:noWrap/>
            <w:vAlign w:val="center"/>
            <w:hideMark/>
          </w:tcPr>
          <w:p w14:paraId="38262C0D"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50</w:t>
            </w:r>
          </w:p>
        </w:tc>
        <w:tc>
          <w:tcPr>
            <w:tcW w:w="1536" w:type="dxa"/>
            <w:shd w:val="clear" w:color="auto" w:fill="auto"/>
            <w:noWrap/>
            <w:vAlign w:val="bottom"/>
            <w:hideMark/>
          </w:tcPr>
          <w:p w14:paraId="2B74CB1C" w14:textId="28EC2375"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Bolivar</w:t>
            </w:r>
          </w:p>
        </w:tc>
        <w:tc>
          <w:tcPr>
            <w:tcW w:w="1340" w:type="dxa"/>
            <w:shd w:val="clear" w:color="auto" w:fill="auto"/>
            <w:noWrap/>
            <w:vAlign w:val="center"/>
            <w:hideMark/>
          </w:tcPr>
          <w:p w14:paraId="3AA0C997"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Mississippi</w:t>
            </w:r>
          </w:p>
        </w:tc>
        <w:tc>
          <w:tcPr>
            <w:tcW w:w="1340" w:type="dxa"/>
            <w:vAlign w:val="bottom"/>
          </w:tcPr>
          <w:p w14:paraId="3CF76DF3" w14:textId="068F4420"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63</w:t>
            </w:r>
          </w:p>
        </w:tc>
        <w:tc>
          <w:tcPr>
            <w:tcW w:w="1839" w:type="dxa"/>
          </w:tcPr>
          <w:p w14:paraId="01648C32"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18C4036F" w14:textId="09631B21" w:rsidTr="008616EE">
        <w:trPr>
          <w:trHeight w:val="290"/>
          <w:jc w:val="center"/>
        </w:trPr>
        <w:tc>
          <w:tcPr>
            <w:tcW w:w="960" w:type="dxa"/>
            <w:shd w:val="clear" w:color="auto" w:fill="auto"/>
            <w:noWrap/>
            <w:vAlign w:val="center"/>
            <w:hideMark/>
          </w:tcPr>
          <w:p w14:paraId="6AF84D4E"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51</w:t>
            </w:r>
          </w:p>
        </w:tc>
        <w:tc>
          <w:tcPr>
            <w:tcW w:w="1536" w:type="dxa"/>
            <w:shd w:val="clear" w:color="auto" w:fill="auto"/>
            <w:noWrap/>
            <w:vAlign w:val="bottom"/>
            <w:hideMark/>
          </w:tcPr>
          <w:p w14:paraId="52BA96CE" w14:textId="0B05411F"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Coahoma</w:t>
            </w:r>
          </w:p>
        </w:tc>
        <w:tc>
          <w:tcPr>
            <w:tcW w:w="1340" w:type="dxa"/>
            <w:shd w:val="clear" w:color="auto" w:fill="auto"/>
            <w:noWrap/>
            <w:vAlign w:val="center"/>
            <w:hideMark/>
          </w:tcPr>
          <w:p w14:paraId="5B384536"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Mississippi</w:t>
            </w:r>
          </w:p>
        </w:tc>
        <w:tc>
          <w:tcPr>
            <w:tcW w:w="1340" w:type="dxa"/>
            <w:vAlign w:val="bottom"/>
          </w:tcPr>
          <w:p w14:paraId="28F4D7C3" w14:textId="41353B45"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3A1486F9"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0CA25305" w14:textId="408AD676" w:rsidTr="008616EE">
        <w:trPr>
          <w:trHeight w:val="290"/>
          <w:jc w:val="center"/>
        </w:trPr>
        <w:tc>
          <w:tcPr>
            <w:tcW w:w="960" w:type="dxa"/>
            <w:shd w:val="clear" w:color="auto" w:fill="auto"/>
            <w:noWrap/>
            <w:vAlign w:val="center"/>
            <w:hideMark/>
          </w:tcPr>
          <w:p w14:paraId="32C4727F"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52</w:t>
            </w:r>
          </w:p>
        </w:tc>
        <w:tc>
          <w:tcPr>
            <w:tcW w:w="1536" w:type="dxa"/>
            <w:shd w:val="clear" w:color="auto" w:fill="auto"/>
            <w:noWrap/>
            <w:vAlign w:val="bottom"/>
            <w:hideMark/>
          </w:tcPr>
          <w:p w14:paraId="35693C51" w14:textId="08DA19E6"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Copiah</w:t>
            </w:r>
          </w:p>
        </w:tc>
        <w:tc>
          <w:tcPr>
            <w:tcW w:w="1340" w:type="dxa"/>
            <w:shd w:val="clear" w:color="auto" w:fill="auto"/>
            <w:noWrap/>
            <w:vAlign w:val="center"/>
            <w:hideMark/>
          </w:tcPr>
          <w:p w14:paraId="213BC286"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Mississippi</w:t>
            </w:r>
          </w:p>
        </w:tc>
        <w:tc>
          <w:tcPr>
            <w:tcW w:w="1340" w:type="dxa"/>
            <w:vAlign w:val="bottom"/>
          </w:tcPr>
          <w:p w14:paraId="091C6007" w14:textId="322F9006"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58</w:t>
            </w:r>
          </w:p>
        </w:tc>
        <w:tc>
          <w:tcPr>
            <w:tcW w:w="1839" w:type="dxa"/>
          </w:tcPr>
          <w:p w14:paraId="2952407D"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25C7B361" w14:textId="5380CA29" w:rsidTr="008616EE">
        <w:trPr>
          <w:trHeight w:val="290"/>
          <w:jc w:val="center"/>
        </w:trPr>
        <w:tc>
          <w:tcPr>
            <w:tcW w:w="960" w:type="dxa"/>
            <w:shd w:val="clear" w:color="auto" w:fill="auto"/>
            <w:noWrap/>
            <w:vAlign w:val="center"/>
            <w:hideMark/>
          </w:tcPr>
          <w:p w14:paraId="4A578D1B"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53</w:t>
            </w:r>
          </w:p>
        </w:tc>
        <w:tc>
          <w:tcPr>
            <w:tcW w:w="1536" w:type="dxa"/>
            <w:shd w:val="clear" w:color="auto" w:fill="auto"/>
            <w:noWrap/>
            <w:vAlign w:val="bottom"/>
            <w:hideMark/>
          </w:tcPr>
          <w:p w14:paraId="1BCD17AF" w14:textId="1AA9E00E"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Holmes</w:t>
            </w:r>
          </w:p>
        </w:tc>
        <w:tc>
          <w:tcPr>
            <w:tcW w:w="1340" w:type="dxa"/>
            <w:shd w:val="clear" w:color="auto" w:fill="auto"/>
            <w:noWrap/>
            <w:vAlign w:val="center"/>
            <w:hideMark/>
          </w:tcPr>
          <w:p w14:paraId="26124401"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Mississippi</w:t>
            </w:r>
          </w:p>
        </w:tc>
        <w:tc>
          <w:tcPr>
            <w:tcW w:w="1340" w:type="dxa"/>
            <w:vAlign w:val="bottom"/>
          </w:tcPr>
          <w:p w14:paraId="35B35A78" w14:textId="65B4F45E"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59</w:t>
            </w:r>
          </w:p>
        </w:tc>
        <w:tc>
          <w:tcPr>
            <w:tcW w:w="1839" w:type="dxa"/>
          </w:tcPr>
          <w:p w14:paraId="0ED85D11"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097BD7D6" w14:textId="1D77044F" w:rsidTr="008616EE">
        <w:trPr>
          <w:trHeight w:val="290"/>
          <w:jc w:val="center"/>
        </w:trPr>
        <w:tc>
          <w:tcPr>
            <w:tcW w:w="960" w:type="dxa"/>
            <w:shd w:val="clear" w:color="auto" w:fill="auto"/>
            <w:noWrap/>
            <w:vAlign w:val="center"/>
            <w:hideMark/>
          </w:tcPr>
          <w:p w14:paraId="793961FB"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54</w:t>
            </w:r>
          </w:p>
        </w:tc>
        <w:tc>
          <w:tcPr>
            <w:tcW w:w="1536" w:type="dxa"/>
            <w:shd w:val="clear" w:color="auto" w:fill="auto"/>
            <w:noWrap/>
            <w:vAlign w:val="bottom"/>
            <w:hideMark/>
          </w:tcPr>
          <w:p w14:paraId="2970E0E8" w14:textId="1CDBB2DB"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Leflore</w:t>
            </w:r>
          </w:p>
        </w:tc>
        <w:tc>
          <w:tcPr>
            <w:tcW w:w="1340" w:type="dxa"/>
            <w:shd w:val="clear" w:color="auto" w:fill="auto"/>
            <w:noWrap/>
            <w:vAlign w:val="center"/>
            <w:hideMark/>
          </w:tcPr>
          <w:p w14:paraId="6A70EE88"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Mississippi</w:t>
            </w:r>
          </w:p>
        </w:tc>
        <w:tc>
          <w:tcPr>
            <w:tcW w:w="1340" w:type="dxa"/>
            <w:vAlign w:val="bottom"/>
          </w:tcPr>
          <w:p w14:paraId="416F07CA" w14:textId="6A0FB135"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79ED07D6"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27919F2A" w14:textId="1552A557" w:rsidTr="008616EE">
        <w:trPr>
          <w:trHeight w:val="290"/>
          <w:jc w:val="center"/>
        </w:trPr>
        <w:tc>
          <w:tcPr>
            <w:tcW w:w="960" w:type="dxa"/>
            <w:shd w:val="clear" w:color="auto" w:fill="auto"/>
            <w:noWrap/>
            <w:vAlign w:val="center"/>
            <w:hideMark/>
          </w:tcPr>
          <w:p w14:paraId="6F13ECF4"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55</w:t>
            </w:r>
          </w:p>
        </w:tc>
        <w:tc>
          <w:tcPr>
            <w:tcW w:w="1536" w:type="dxa"/>
            <w:shd w:val="clear" w:color="auto" w:fill="auto"/>
            <w:noWrap/>
            <w:vAlign w:val="bottom"/>
            <w:hideMark/>
          </w:tcPr>
          <w:p w14:paraId="6A764007" w14:textId="67A85923"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Sunflower</w:t>
            </w:r>
          </w:p>
        </w:tc>
        <w:tc>
          <w:tcPr>
            <w:tcW w:w="1340" w:type="dxa"/>
            <w:shd w:val="clear" w:color="auto" w:fill="auto"/>
            <w:noWrap/>
            <w:vAlign w:val="center"/>
            <w:hideMark/>
          </w:tcPr>
          <w:p w14:paraId="55834241"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Mississippi</w:t>
            </w:r>
          </w:p>
        </w:tc>
        <w:tc>
          <w:tcPr>
            <w:tcW w:w="1340" w:type="dxa"/>
            <w:vAlign w:val="bottom"/>
          </w:tcPr>
          <w:p w14:paraId="73604AFA" w14:textId="770E3024"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1E9DB32E"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052BAF02" w14:textId="22EFA482" w:rsidTr="008616EE">
        <w:trPr>
          <w:trHeight w:val="290"/>
          <w:jc w:val="center"/>
        </w:trPr>
        <w:tc>
          <w:tcPr>
            <w:tcW w:w="960" w:type="dxa"/>
            <w:shd w:val="clear" w:color="auto" w:fill="auto"/>
            <w:noWrap/>
            <w:vAlign w:val="center"/>
            <w:hideMark/>
          </w:tcPr>
          <w:p w14:paraId="1893E926"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56</w:t>
            </w:r>
          </w:p>
        </w:tc>
        <w:tc>
          <w:tcPr>
            <w:tcW w:w="1536" w:type="dxa"/>
            <w:shd w:val="clear" w:color="auto" w:fill="auto"/>
            <w:noWrap/>
            <w:vAlign w:val="bottom"/>
            <w:hideMark/>
          </w:tcPr>
          <w:p w14:paraId="7D6416F1" w14:textId="37ED86CE"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Tunica</w:t>
            </w:r>
          </w:p>
        </w:tc>
        <w:tc>
          <w:tcPr>
            <w:tcW w:w="1340" w:type="dxa"/>
            <w:shd w:val="clear" w:color="auto" w:fill="auto"/>
            <w:noWrap/>
            <w:vAlign w:val="center"/>
            <w:hideMark/>
          </w:tcPr>
          <w:p w14:paraId="03D107FA"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Mississippi</w:t>
            </w:r>
          </w:p>
        </w:tc>
        <w:tc>
          <w:tcPr>
            <w:tcW w:w="1340" w:type="dxa"/>
            <w:vAlign w:val="bottom"/>
          </w:tcPr>
          <w:p w14:paraId="5C911534" w14:textId="7659D8E0"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5E86DCED"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31B11A9F" w14:textId="76D657CC" w:rsidTr="008616EE">
        <w:trPr>
          <w:trHeight w:val="290"/>
          <w:jc w:val="center"/>
        </w:trPr>
        <w:tc>
          <w:tcPr>
            <w:tcW w:w="960" w:type="dxa"/>
            <w:shd w:val="clear" w:color="auto" w:fill="auto"/>
            <w:noWrap/>
            <w:vAlign w:val="center"/>
            <w:hideMark/>
          </w:tcPr>
          <w:p w14:paraId="77E58124"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57</w:t>
            </w:r>
          </w:p>
        </w:tc>
        <w:tc>
          <w:tcPr>
            <w:tcW w:w="1536" w:type="dxa"/>
            <w:shd w:val="clear" w:color="auto" w:fill="auto"/>
            <w:noWrap/>
            <w:vAlign w:val="bottom"/>
            <w:hideMark/>
          </w:tcPr>
          <w:p w14:paraId="3A9842BB" w14:textId="36299381"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Washington</w:t>
            </w:r>
          </w:p>
        </w:tc>
        <w:tc>
          <w:tcPr>
            <w:tcW w:w="1340" w:type="dxa"/>
            <w:shd w:val="clear" w:color="auto" w:fill="auto"/>
            <w:noWrap/>
            <w:vAlign w:val="center"/>
            <w:hideMark/>
          </w:tcPr>
          <w:p w14:paraId="7E44D520"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Mississippi</w:t>
            </w:r>
          </w:p>
        </w:tc>
        <w:tc>
          <w:tcPr>
            <w:tcW w:w="1340" w:type="dxa"/>
            <w:vAlign w:val="bottom"/>
          </w:tcPr>
          <w:p w14:paraId="77AD05A1" w14:textId="6FE1F6B1"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17F315F0"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14DC84DB" w14:textId="639D5028" w:rsidTr="008616EE">
        <w:trPr>
          <w:trHeight w:val="290"/>
          <w:jc w:val="center"/>
        </w:trPr>
        <w:tc>
          <w:tcPr>
            <w:tcW w:w="960" w:type="dxa"/>
            <w:shd w:val="clear" w:color="auto" w:fill="auto"/>
            <w:noWrap/>
            <w:vAlign w:val="center"/>
            <w:hideMark/>
          </w:tcPr>
          <w:p w14:paraId="7257121C"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58</w:t>
            </w:r>
          </w:p>
        </w:tc>
        <w:tc>
          <w:tcPr>
            <w:tcW w:w="1536" w:type="dxa"/>
            <w:shd w:val="clear" w:color="auto" w:fill="auto"/>
            <w:noWrap/>
            <w:vAlign w:val="bottom"/>
            <w:hideMark/>
          </w:tcPr>
          <w:p w14:paraId="115EBFE6" w14:textId="20A17A08"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Westchester</w:t>
            </w:r>
          </w:p>
        </w:tc>
        <w:tc>
          <w:tcPr>
            <w:tcW w:w="1340" w:type="dxa"/>
            <w:shd w:val="clear" w:color="auto" w:fill="auto"/>
            <w:noWrap/>
            <w:vAlign w:val="center"/>
            <w:hideMark/>
          </w:tcPr>
          <w:p w14:paraId="7AF49A9D"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New York</w:t>
            </w:r>
          </w:p>
        </w:tc>
        <w:tc>
          <w:tcPr>
            <w:tcW w:w="1340" w:type="dxa"/>
            <w:vAlign w:val="bottom"/>
          </w:tcPr>
          <w:p w14:paraId="6627E4EA" w14:textId="4AC1E51A"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251902AC"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653B9AD6" w14:textId="4B8848CA" w:rsidTr="008616EE">
        <w:trPr>
          <w:trHeight w:val="290"/>
          <w:jc w:val="center"/>
        </w:trPr>
        <w:tc>
          <w:tcPr>
            <w:tcW w:w="960" w:type="dxa"/>
            <w:shd w:val="clear" w:color="auto" w:fill="auto"/>
            <w:noWrap/>
            <w:vAlign w:val="center"/>
            <w:hideMark/>
          </w:tcPr>
          <w:p w14:paraId="6AE176EF"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59</w:t>
            </w:r>
          </w:p>
        </w:tc>
        <w:tc>
          <w:tcPr>
            <w:tcW w:w="1536" w:type="dxa"/>
            <w:shd w:val="clear" w:color="auto" w:fill="auto"/>
            <w:noWrap/>
            <w:vAlign w:val="bottom"/>
            <w:hideMark/>
          </w:tcPr>
          <w:p w14:paraId="669CA38F" w14:textId="5E90B1F5"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Allendale</w:t>
            </w:r>
          </w:p>
        </w:tc>
        <w:tc>
          <w:tcPr>
            <w:tcW w:w="1340" w:type="dxa"/>
            <w:shd w:val="clear" w:color="auto" w:fill="auto"/>
            <w:noWrap/>
            <w:vAlign w:val="center"/>
            <w:hideMark/>
          </w:tcPr>
          <w:p w14:paraId="223BA527"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South Carolina</w:t>
            </w:r>
          </w:p>
        </w:tc>
        <w:tc>
          <w:tcPr>
            <w:tcW w:w="1340" w:type="dxa"/>
            <w:vAlign w:val="bottom"/>
          </w:tcPr>
          <w:p w14:paraId="5FF6D9F9" w14:textId="0B7EF994"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46</w:t>
            </w:r>
          </w:p>
        </w:tc>
        <w:tc>
          <w:tcPr>
            <w:tcW w:w="1839" w:type="dxa"/>
          </w:tcPr>
          <w:p w14:paraId="465D5216"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035E7E1D" w14:textId="0522F4A1" w:rsidTr="008616EE">
        <w:trPr>
          <w:trHeight w:val="290"/>
          <w:jc w:val="center"/>
        </w:trPr>
        <w:tc>
          <w:tcPr>
            <w:tcW w:w="960" w:type="dxa"/>
            <w:shd w:val="clear" w:color="auto" w:fill="auto"/>
            <w:noWrap/>
            <w:vAlign w:val="center"/>
            <w:hideMark/>
          </w:tcPr>
          <w:p w14:paraId="3AB0037F"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60</w:t>
            </w:r>
          </w:p>
        </w:tc>
        <w:tc>
          <w:tcPr>
            <w:tcW w:w="1536" w:type="dxa"/>
            <w:shd w:val="clear" w:color="auto" w:fill="auto"/>
            <w:noWrap/>
            <w:vAlign w:val="bottom"/>
            <w:hideMark/>
          </w:tcPr>
          <w:p w14:paraId="0D82ED5E" w14:textId="7AC4E2E5"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Bamberg</w:t>
            </w:r>
          </w:p>
        </w:tc>
        <w:tc>
          <w:tcPr>
            <w:tcW w:w="1340" w:type="dxa"/>
            <w:shd w:val="clear" w:color="auto" w:fill="auto"/>
            <w:noWrap/>
            <w:vAlign w:val="center"/>
            <w:hideMark/>
          </w:tcPr>
          <w:p w14:paraId="72D8D489"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South Carolina</w:t>
            </w:r>
          </w:p>
        </w:tc>
        <w:tc>
          <w:tcPr>
            <w:tcW w:w="1340" w:type="dxa"/>
            <w:vAlign w:val="bottom"/>
          </w:tcPr>
          <w:p w14:paraId="6E5623F9" w14:textId="21396228"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290F87C7"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7AD2C11F" w14:textId="53D8951D" w:rsidTr="008616EE">
        <w:trPr>
          <w:trHeight w:val="290"/>
          <w:jc w:val="center"/>
        </w:trPr>
        <w:tc>
          <w:tcPr>
            <w:tcW w:w="960" w:type="dxa"/>
            <w:shd w:val="clear" w:color="auto" w:fill="auto"/>
            <w:noWrap/>
            <w:vAlign w:val="center"/>
            <w:hideMark/>
          </w:tcPr>
          <w:p w14:paraId="5B18D934"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61</w:t>
            </w:r>
          </w:p>
        </w:tc>
        <w:tc>
          <w:tcPr>
            <w:tcW w:w="1536" w:type="dxa"/>
            <w:shd w:val="clear" w:color="auto" w:fill="auto"/>
            <w:noWrap/>
            <w:vAlign w:val="bottom"/>
            <w:hideMark/>
          </w:tcPr>
          <w:p w14:paraId="63518258" w14:textId="5BF8F382"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Charleston</w:t>
            </w:r>
          </w:p>
        </w:tc>
        <w:tc>
          <w:tcPr>
            <w:tcW w:w="1340" w:type="dxa"/>
            <w:shd w:val="clear" w:color="auto" w:fill="auto"/>
            <w:noWrap/>
            <w:vAlign w:val="center"/>
            <w:hideMark/>
          </w:tcPr>
          <w:p w14:paraId="49025DBC"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South Carolina</w:t>
            </w:r>
          </w:p>
        </w:tc>
        <w:tc>
          <w:tcPr>
            <w:tcW w:w="1340" w:type="dxa"/>
            <w:vAlign w:val="bottom"/>
          </w:tcPr>
          <w:p w14:paraId="4B7AC811" w14:textId="317765A2"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36DD5FBD"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0C6FAE2B" w14:textId="65AEA635" w:rsidTr="008616EE">
        <w:trPr>
          <w:trHeight w:val="290"/>
          <w:jc w:val="center"/>
        </w:trPr>
        <w:tc>
          <w:tcPr>
            <w:tcW w:w="960" w:type="dxa"/>
            <w:shd w:val="clear" w:color="auto" w:fill="auto"/>
            <w:noWrap/>
            <w:vAlign w:val="center"/>
            <w:hideMark/>
          </w:tcPr>
          <w:p w14:paraId="0247BB93"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62</w:t>
            </w:r>
          </w:p>
        </w:tc>
        <w:tc>
          <w:tcPr>
            <w:tcW w:w="1536" w:type="dxa"/>
            <w:shd w:val="clear" w:color="auto" w:fill="auto"/>
            <w:noWrap/>
            <w:vAlign w:val="bottom"/>
            <w:hideMark/>
          </w:tcPr>
          <w:p w14:paraId="14F3ACE1" w14:textId="15F5D40D"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Lee</w:t>
            </w:r>
          </w:p>
        </w:tc>
        <w:tc>
          <w:tcPr>
            <w:tcW w:w="1340" w:type="dxa"/>
            <w:shd w:val="clear" w:color="auto" w:fill="auto"/>
            <w:noWrap/>
            <w:vAlign w:val="center"/>
            <w:hideMark/>
          </w:tcPr>
          <w:p w14:paraId="633BE93D"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South Carolina</w:t>
            </w:r>
          </w:p>
        </w:tc>
        <w:tc>
          <w:tcPr>
            <w:tcW w:w="1340" w:type="dxa"/>
            <w:vAlign w:val="bottom"/>
          </w:tcPr>
          <w:p w14:paraId="5D36DA53" w14:textId="4C82CE2B"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51</w:t>
            </w:r>
          </w:p>
        </w:tc>
        <w:tc>
          <w:tcPr>
            <w:tcW w:w="1839" w:type="dxa"/>
          </w:tcPr>
          <w:p w14:paraId="782B2335"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6DAABBAD" w14:textId="29F28DEF" w:rsidTr="008616EE">
        <w:trPr>
          <w:trHeight w:val="290"/>
          <w:jc w:val="center"/>
        </w:trPr>
        <w:tc>
          <w:tcPr>
            <w:tcW w:w="960" w:type="dxa"/>
            <w:shd w:val="clear" w:color="auto" w:fill="auto"/>
            <w:noWrap/>
            <w:vAlign w:val="center"/>
            <w:hideMark/>
          </w:tcPr>
          <w:p w14:paraId="33795567"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63</w:t>
            </w:r>
          </w:p>
        </w:tc>
        <w:tc>
          <w:tcPr>
            <w:tcW w:w="1536" w:type="dxa"/>
            <w:shd w:val="clear" w:color="auto" w:fill="auto"/>
            <w:noWrap/>
            <w:vAlign w:val="bottom"/>
            <w:hideMark/>
          </w:tcPr>
          <w:p w14:paraId="50CE2995" w14:textId="0552A407"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Williamsburg</w:t>
            </w:r>
          </w:p>
        </w:tc>
        <w:tc>
          <w:tcPr>
            <w:tcW w:w="1340" w:type="dxa"/>
            <w:shd w:val="clear" w:color="auto" w:fill="auto"/>
            <w:noWrap/>
            <w:vAlign w:val="center"/>
            <w:hideMark/>
          </w:tcPr>
          <w:p w14:paraId="101E18D1"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South Carolina</w:t>
            </w:r>
          </w:p>
        </w:tc>
        <w:tc>
          <w:tcPr>
            <w:tcW w:w="1340" w:type="dxa"/>
            <w:vAlign w:val="bottom"/>
          </w:tcPr>
          <w:p w14:paraId="0D9C9E83" w14:textId="512C2B0D"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593BD008"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39207131" w14:textId="66A8A450" w:rsidTr="008616EE">
        <w:trPr>
          <w:trHeight w:val="290"/>
          <w:jc w:val="center"/>
        </w:trPr>
        <w:tc>
          <w:tcPr>
            <w:tcW w:w="960" w:type="dxa"/>
            <w:shd w:val="clear" w:color="auto" w:fill="auto"/>
            <w:noWrap/>
            <w:vAlign w:val="center"/>
            <w:hideMark/>
          </w:tcPr>
          <w:p w14:paraId="49EECD10"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64</w:t>
            </w:r>
          </w:p>
        </w:tc>
        <w:tc>
          <w:tcPr>
            <w:tcW w:w="1536" w:type="dxa"/>
            <w:shd w:val="clear" w:color="auto" w:fill="auto"/>
            <w:noWrap/>
            <w:vAlign w:val="bottom"/>
            <w:hideMark/>
          </w:tcPr>
          <w:p w14:paraId="693DCA55" w14:textId="07D6463B"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Davidson</w:t>
            </w:r>
          </w:p>
        </w:tc>
        <w:tc>
          <w:tcPr>
            <w:tcW w:w="1340" w:type="dxa"/>
            <w:shd w:val="clear" w:color="auto" w:fill="auto"/>
            <w:noWrap/>
            <w:vAlign w:val="center"/>
            <w:hideMark/>
          </w:tcPr>
          <w:p w14:paraId="028811D3"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Tennessee</w:t>
            </w:r>
          </w:p>
        </w:tc>
        <w:tc>
          <w:tcPr>
            <w:tcW w:w="1340" w:type="dxa"/>
            <w:vAlign w:val="bottom"/>
          </w:tcPr>
          <w:p w14:paraId="759446A3" w14:textId="267C6CFD"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6EB46FFE"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5136E170" w14:textId="1B3968CC" w:rsidTr="008616EE">
        <w:trPr>
          <w:trHeight w:val="290"/>
          <w:jc w:val="center"/>
        </w:trPr>
        <w:tc>
          <w:tcPr>
            <w:tcW w:w="960" w:type="dxa"/>
            <w:shd w:val="clear" w:color="auto" w:fill="auto"/>
            <w:noWrap/>
            <w:vAlign w:val="center"/>
            <w:hideMark/>
          </w:tcPr>
          <w:p w14:paraId="2CA33EB8"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65</w:t>
            </w:r>
          </w:p>
        </w:tc>
        <w:tc>
          <w:tcPr>
            <w:tcW w:w="1536" w:type="dxa"/>
            <w:shd w:val="clear" w:color="auto" w:fill="auto"/>
            <w:noWrap/>
            <w:vAlign w:val="bottom"/>
            <w:hideMark/>
          </w:tcPr>
          <w:p w14:paraId="0DA9E221" w14:textId="3935BFA0"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Haywood</w:t>
            </w:r>
          </w:p>
        </w:tc>
        <w:tc>
          <w:tcPr>
            <w:tcW w:w="1340" w:type="dxa"/>
            <w:shd w:val="clear" w:color="auto" w:fill="auto"/>
            <w:noWrap/>
            <w:vAlign w:val="center"/>
            <w:hideMark/>
          </w:tcPr>
          <w:p w14:paraId="4954B1D4"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Tennessee</w:t>
            </w:r>
          </w:p>
        </w:tc>
        <w:tc>
          <w:tcPr>
            <w:tcW w:w="1340" w:type="dxa"/>
            <w:vAlign w:val="bottom"/>
          </w:tcPr>
          <w:p w14:paraId="080534BE" w14:textId="0E6DE288"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40</w:t>
            </w:r>
          </w:p>
        </w:tc>
        <w:tc>
          <w:tcPr>
            <w:tcW w:w="1839" w:type="dxa"/>
          </w:tcPr>
          <w:p w14:paraId="047627F7"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5E9B0933" w14:textId="43E7D7A4" w:rsidTr="008616EE">
        <w:trPr>
          <w:trHeight w:val="290"/>
          <w:jc w:val="center"/>
        </w:trPr>
        <w:tc>
          <w:tcPr>
            <w:tcW w:w="960" w:type="dxa"/>
            <w:shd w:val="clear" w:color="auto" w:fill="auto"/>
            <w:noWrap/>
            <w:vAlign w:val="center"/>
            <w:hideMark/>
          </w:tcPr>
          <w:p w14:paraId="41737435"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66</w:t>
            </w:r>
          </w:p>
        </w:tc>
        <w:tc>
          <w:tcPr>
            <w:tcW w:w="1536" w:type="dxa"/>
            <w:shd w:val="clear" w:color="auto" w:fill="auto"/>
            <w:noWrap/>
            <w:vAlign w:val="bottom"/>
            <w:hideMark/>
          </w:tcPr>
          <w:p w14:paraId="053DEC06" w14:textId="07F54099"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Lake</w:t>
            </w:r>
          </w:p>
        </w:tc>
        <w:tc>
          <w:tcPr>
            <w:tcW w:w="1340" w:type="dxa"/>
            <w:shd w:val="clear" w:color="auto" w:fill="auto"/>
            <w:noWrap/>
            <w:vAlign w:val="center"/>
            <w:hideMark/>
          </w:tcPr>
          <w:p w14:paraId="339462B2"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Tennessee</w:t>
            </w:r>
          </w:p>
        </w:tc>
        <w:tc>
          <w:tcPr>
            <w:tcW w:w="1340" w:type="dxa"/>
            <w:vAlign w:val="bottom"/>
          </w:tcPr>
          <w:p w14:paraId="076F9526" w14:textId="28982CDC"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30488F29"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224DDB13" w14:textId="6AA8F6E7" w:rsidTr="008616EE">
        <w:trPr>
          <w:trHeight w:val="290"/>
          <w:jc w:val="center"/>
        </w:trPr>
        <w:tc>
          <w:tcPr>
            <w:tcW w:w="960" w:type="dxa"/>
            <w:shd w:val="clear" w:color="auto" w:fill="auto"/>
            <w:noWrap/>
            <w:vAlign w:val="center"/>
            <w:hideMark/>
          </w:tcPr>
          <w:p w14:paraId="7CBCCEC1"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67</w:t>
            </w:r>
          </w:p>
        </w:tc>
        <w:tc>
          <w:tcPr>
            <w:tcW w:w="1536" w:type="dxa"/>
            <w:shd w:val="clear" w:color="auto" w:fill="auto"/>
            <w:noWrap/>
            <w:vAlign w:val="bottom"/>
            <w:hideMark/>
          </w:tcPr>
          <w:p w14:paraId="7254AB29" w14:textId="506551BE"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Anderson</w:t>
            </w:r>
          </w:p>
        </w:tc>
        <w:tc>
          <w:tcPr>
            <w:tcW w:w="1340" w:type="dxa"/>
            <w:shd w:val="clear" w:color="auto" w:fill="auto"/>
            <w:noWrap/>
            <w:vAlign w:val="center"/>
            <w:hideMark/>
          </w:tcPr>
          <w:p w14:paraId="35373736"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Texas</w:t>
            </w:r>
          </w:p>
        </w:tc>
        <w:tc>
          <w:tcPr>
            <w:tcW w:w="1340" w:type="dxa"/>
            <w:vAlign w:val="bottom"/>
          </w:tcPr>
          <w:p w14:paraId="0BB8087B" w14:textId="70FDC943"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6F14E20B"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3B723F9C" w14:textId="0F30AFF1" w:rsidTr="008616EE">
        <w:trPr>
          <w:trHeight w:val="290"/>
          <w:jc w:val="center"/>
        </w:trPr>
        <w:tc>
          <w:tcPr>
            <w:tcW w:w="960" w:type="dxa"/>
            <w:shd w:val="clear" w:color="auto" w:fill="auto"/>
            <w:noWrap/>
            <w:vAlign w:val="center"/>
            <w:hideMark/>
          </w:tcPr>
          <w:p w14:paraId="1FDA342E"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68</w:t>
            </w:r>
          </w:p>
        </w:tc>
        <w:tc>
          <w:tcPr>
            <w:tcW w:w="1536" w:type="dxa"/>
            <w:shd w:val="clear" w:color="auto" w:fill="auto"/>
            <w:noWrap/>
            <w:vAlign w:val="bottom"/>
            <w:hideMark/>
          </w:tcPr>
          <w:p w14:paraId="11109F1B" w14:textId="76B09336"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Bee</w:t>
            </w:r>
          </w:p>
        </w:tc>
        <w:tc>
          <w:tcPr>
            <w:tcW w:w="1340" w:type="dxa"/>
            <w:shd w:val="clear" w:color="auto" w:fill="auto"/>
            <w:noWrap/>
            <w:vAlign w:val="center"/>
            <w:hideMark/>
          </w:tcPr>
          <w:p w14:paraId="45B492D8"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Texas</w:t>
            </w:r>
          </w:p>
        </w:tc>
        <w:tc>
          <w:tcPr>
            <w:tcW w:w="1340" w:type="dxa"/>
            <w:vAlign w:val="bottom"/>
          </w:tcPr>
          <w:p w14:paraId="2066DAF4" w14:textId="531F0B45"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59DA7269"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0C0BF0EA" w14:textId="2C641963" w:rsidTr="008616EE">
        <w:trPr>
          <w:trHeight w:val="290"/>
          <w:jc w:val="center"/>
        </w:trPr>
        <w:tc>
          <w:tcPr>
            <w:tcW w:w="960" w:type="dxa"/>
            <w:shd w:val="clear" w:color="auto" w:fill="auto"/>
            <w:noWrap/>
            <w:vAlign w:val="center"/>
            <w:hideMark/>
          </w:tcPr>
          <w:p w14:paraId="28FF2707"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69</w:t>
            </w:r>
          </w:p>
        </w:tc>
        <w:tc>
          <w:tcPr>
            <w:tcW w:w="1536" w:type="dxa"/>
            <w:shd w:val="clear" w:color="auto" w:fill="auto"/>
            <w:noWrap/>
            <w:vAlign w:val="bottom"/>
            <w:hideMark/>
          </w:tcPr>
          <w:p w14:paraId="5F890BD6" w14:textId="4E950296"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Frio</w:t>
            </w:r>
          </w:p>
        </w:tc>
        <w:tc>
          <w:tcPr>
            <w:tcW w:w="1340" w:type="dxa"/>
            <w:shd w:val="clear" w:color="auto" w:fill="auto"/>
            <w:noWrap/>
            <w:vAlign w:val="center"/>
            <w:hideMark/>
          </w:tcPr>
          <w:p w14:paraId="2797F7D8"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Texas</w:t>
            </w:r>
          </w:p>
        </w:tc>
        <w:tc>
          <w:tcPr>
            <w:tcW w:w="1340" w:type="dxa"/>
            <w:vAlign w:val="bottom"/>
          </w:tcPr>
          <w:p w14:paraId="53FE34D5" w14:textId="690040B0"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172EAC61"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6A3FCF62" w14:textId="7497CEAA" w:rsidTr="008616EE">
        <w:trPr>
          <w:trHeight w:val="290"/>
          <w:jc w:val="center"/>
        </w:trPr>
        <w:tc>
          <w:tcPr>
            <w:tcW w:w="960" w:type="dxa"/>
            <w:shd w:val="clear" w:color="auto" w:fill="auto"/>
            <w:noWrap/>
            <w:vAlign w:val="center"/>
            <w:hideMark/>
          </w:tcPr>
          <w:p w14:paraId="4125F382"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70</w:t>
            </w:r>
          </w:p>
        </w:tc>
        <w:tc>
          <w:tcPr>
            <w:tcW w:w="1536" w:type="dxa"/>
            <w:shd w:val="clear" w:color="auto" w:fill="auto"/>
            <w:noWrap/>
            <w:vAlign w:val="bottom"/>
            <w:hideMark/>
          </w:tcPr>
          <w:p w14:paraId="67FBAC66" w14:textId="68DFA48C"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Madison</w:t>
            </w:r>
          </w:p>
        </w:tc>
        <w:tc>
          <w:tcPr>
            <w:tcW w:w="1340" w:type="dxa"/>
            <w:shd w:val="clear" w:color="auto" w:fill="auto"/>
            <w:noWrap/>
            <w:vAlign w:val="center"/>
            <w:hideMark/>
          </w:tcPr>
          <w:p w14:paraId="3D11ADA8"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Texas</w:t>
            </w:r>
          </w:p>
        </w:tc>
        <w:tc>
          <w:tcPr>
            <w:tcW w:w="1340" w:type="dxa"/>
            <w:vAlign w:val="bottom"/>
          </w:tcPr>
          <w:p w14:paraId="0E15528A" w14:textId="49BE8BFC"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65</w:t>
            </w:r>
          </w:p>
        </w:tc>
        <w:tc>
          <w:tcPr>
            <w:tcW w:w="1839" w:type="dxa"/>
          </w:tcPr>
          <w:p w14:paraId="7EE05042"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32B3B794" w14:textId="7E73E198" w:rsidTr="008616EE">
        <w:trPr>
          <w:trHeight w:val="290"/>
          <w:jc w:val="center"/>
        </w:trPr>
        <w:tc>
          <w:tcPr>
            <w:tcW w:w="960" w:type="dxa"/>
            <w:shd w:val="clear" w:color="auto" w:fill="auto"/>
            <w:noWrap/>
            <w:vAlign w:val="center"/>
            <w:hideMark/>
          </w:tcPr>
          <w:p w14:paraId="2D03DC23"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71</w:t>
            </w:r>
          </w:p>
        </w:tc>
        <w:tc>
          <w:tcPr>
            <w:tcW w:w="1536" w:type="dxa"/>
            <w:shd w:val="clear" w:color="auto" w:fill="auto"/>
            <w:noWrap/>
            <w:vAlign w:val="bottom"/>
            <w:hideMark/>
          </w:tcPr>
          <w:p w14:paraId="0820F606" w14:textId="5143EB42"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Walker</w:t>
            </w:r>
          </w:p>
        </w:tc>
        <w:tc>
          <w:tcPr>
            <w:tcW w:w="1340" w:type="dxa"/>
            <w:shd w:val="clear" w:color="auto" w:fill="auto"/>
            <w:noWrap/>
            <w:vAlign w:val="center"/>
            <w:hideMark/>
          </w:tcPr>
          <w:p w14:paraId="738AE658"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Texas</w:t>
            </w:r>
          </w:p>
        </w:tc>
        <w:tc>
          <w:tcPr>
            <w:tcW w:w="1340" w:type="dxa"/>
            <w:vAlign w:val="bottom"/>
          </w:tcPr>
          <w:p w14:paraId="670B5928" w14:textId="2E0D198A"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3EA27A88"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0E188C5B" w14:textId="7A43860D" w:rsidTr="008616EE">
        <w:trPr>
          <w:trHeight w:val="290"/>
          <w:jc w:val="center"/>
        </w:trPr>
        <w:tc>
          <w:tcPr>
            <w:tcW w:w="960" w:type="dxa"/>
            <w:shd w:val="clear" w:color="auto" w:fill="auto"/>
            <w:noWrap/>
            <w:vAlign w:val="center"/>
            <w:hideMark/>
          </w:tcPr>
          <w:p w14:paraId="33967B1D"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72</w:t>
            </w:r>
          </w:p>
        </w:tc>
        <w:tc>
          <w:tcPr>
            <w:tcW w:w="1536" w:type="dxa"/>
            <w:shd w:val="clear" w:color="auto" w:fill="auto"/>
            <w:noWrap/>
            <w:vAlign w:val="bottom"/>
            <w:hideMark/>
          </w:tcPr>
          <w:p w14:paraId="2EFDD2EA" w14:textId="1DF2A5B3"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Willacy</w:t>
            </w:r>
          </w:p>
        </w:tc>
        <w:tc>
          <w:tcPr>
            <w:tcW w:w="1340" w:type="dxa"/>
            <w:shd w:val="clear" w:color="auto" w:fill="auto"/>
            <w:noWrap/>
            <w:vAlign w:val="center"/>
            <w:hideMark/>
          </w:tcPr>
          <w:p w14:paraId="5A912A81"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Texas</w:t>
            </w:r>
          </w:p>
        </w:tc>
        <w:tc>
          <w:tcPr>
            <w:tcW w:w="1340" w:type="dxa"/>
            <w:vAlign w:val="bottom"/>
          </w:tcPr>
          <w:p w14:paraId="71CE8B90" w14:textId="4799988D"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0B7A87FA"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55F72CD0" w14:textId="76BF40FB" w:rsidTr="008616EE">
        <w:trPr>
          <w:trHeight w:val="290"/>
          <w:jc w:val="center"/>
        </w:trPr>
        <w:tc>
          <w:tcPr>
            <w:tcW w:w="960" w:type="dxa"/>
            <w:shd w:val="clear" w:color="auto" w:fill="auto"/>
            <w:noWrap/>
            <w:vAlign w:val="center"/>
            <w:hideMark/>
          </w:tcPr>
          <w:p w14:paraId="5ECD2B57"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73</w:t>
            </w:r>
          </w:p>
        </w:tc>
        <w:tc>
          <w:tcPr>
            <w:tcW w:w="1536" w:type="dxa"/>
            <w:shd w:val="clear" w:color="auto" w:fill="auto"/>
            <w:noWrap/>
            <w:vAlign w:val="bottom"/>
            <w:hideMark/>
          </w:tcPr>
          <w:p w14:paraId="00048FDC" w14:textId="7F615B9F"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Buckingham</w:t>
            </w:r>
          </w:p>
        </w:tc>
        <w:tc>
          <w:tcPr>
            <w:tcW w:w="1340" w:type="dxa"/>
            <w:shd w:val="clear" w:color="auto" w:fill="auto"/>
            <w:noWrap/>
            <w:vAlign w:val="center"/>
            <w:hideMark/>
          </w:tcPr>
          <w:p w14:paraId="4A0FA9F0"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Virginia</w:t>
            </w:r>
          </w:p>
        </w:tc>
        <w:tc>
          <w:tcPr>
            <w:tcW w:w="1340" w:type="dxa"/>
            <w:vAlign w:val="bottom"/>
          </w:tcPr>
          <w:p w14:paraId="2261C415" w14:textId="6A7E35C2"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75</w:t>
            </w:r>
          </w:p>
        </w:tc>
        <w:tc>
          <w:tcPr>
            <w:tcW w:w="1839" w:type="dxa"/>
          </w:tcPr>
          <w:p w14:paraId="222CE21C"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6522B689" w14:textId="2EEB08A4" w:rsidTr="008616EE">
        <w:trPr>
          <w:trHeight w:val="290"/>
          <w:jc w:val="center"/>
        </w:trPr>
        <w:tc>
          <w:tcPr>
            <w:tcW w:w="960" w:type="dxa"/>
            <w:shd w:val="clear" w:color="auto" w:fill="auto"/>
            <w:noWrap/>
            <w:vAlign w:val="center"/>
            <w:hideMark/>
          </w:tcPr>
          <w:p w14:paraId="067EF9FD"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74</w:t>
            </w:r>
          </w:p>
        </w:tc>
        <w:tc>
          <w:tcPr>
            <w:tcW w:w="1536" w:type="dxa"/>
            <w:shd w:val="clear" w:color="auto" w:fill="auto"/>
            <w:noWrap/>
            <w:vAlign w:val="bottom"/>
          </w:tcPr>
          <w:p w14:paraId="50490AE4" w14:textId="5504DB05"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Greensville</w:t>
            </w:r>
          </w:p>
        </w:tc>
        <w:tc>
          <w:tcPr>
            <w:tcW w:w="1340" w:type="dxa"/>
            <w:shd w:val="clear" w:color="auto" w:fill="auto"/>
            <w:noWrap/>
            <w:vAlign w:val="center"/>
            <w:hideMark/>
          </w:tcPr>
          <w:p w14:paraId="1D33BE92"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Virginia</w:t>
            </w:r>
          </w:p>
        </w:tc>
        <w:tc>
          <w:tcPr>
            <w:tcW w:w="1340" w:type="dxa"/>
            <w:vAlign w:val="bottom"/>
          </w:tcPr>
          <w:p w14:paraId="3665099B" w14:textId="06E139D5"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1</w:t>
            </w:r>
          </w:p>
        </w:tc>
        <w:tc>
          <w:tcPr>
            <w:tcW w:w="1839" w:type="dxa"/>
          </w:tcPr>
          <w:p w14:paraId="09B74576" w14:textId="77777777" w:rsidR="00C654C4" w:rsidRPr="00760837" w:rsidRDefault="00C654C4" w:rsidP="00C654C4">
            <w:pPr>
              <w:spacing w:after="0" w:line="240" w:lineRule="auto"/>
              <w:jc w:val="center"/>
              <w:rPr>
                <w:rFonts w:eastAsia="Times New Roman" w:cs="Times New Roman"/>
                <w:color w:val="000000"/>
                <w:sz w:val="22"/>
              </w:rPr>
            </w:pPr>
          </w:p>
        </w:tc>
      </w:tr>
      <w:tr w:rsidR="00C654C4" w:rsidRPr="00760837" w14:paraId="3F3D1457" w14:textId="56F07717" w:rsidTr="008616EE">
        <w:trPr>
          <w:trHeight w:val="290"/>
          <w:jc w:val="center"/>
        </w:trPr>
        <w:tc>
          <w:tcPr>
            <w:tcW w:w="960" w:type="dxa"/>
            <w:shd w:val="clear" w:color="auto" w:fill="auto"/>
            <w:noWrap/>
            <w:vAlign w:val="center"/>
            <w:hideMark/>
          </w:tcPr>
          <w:p w14:paraId="7FC19B41"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75</w:t>
            </w:r>
          </w:p>
        </w:tc>
        <w:tc>
          <w:tcPr>
            <w:tcW w:w="1536" w:type="dxa"/>
            <w:shd w:val="clear" w:color="auto" w:fill="auto"/>
            <w:noWrap/>
            <w:vAlign w:val="bottom"/>
          </w:tcPr>
          <w:p w14:paraId="416E059F" w14:textId="507B21B0"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Sussex</w:t>
            </w:r>
          </w:p>
        </w:tc>
        <w:tc>
          <w:tcPr>
            <w:tcW w:w="1340" w:type="dxa"/>
            <w:shd w:val="clear" w:color="auto" w:fill="auto"/>
            <w:noWrap/>
            <w:vAlign w:val="center"/>
            <w:hideMark/>
          </w:tcPr>
          <w:p w14:paraId="34DA8C17" w14:textId="77777777" w:rsidR="00C654C4" w:rsidRPr="00760837" w:rsidRDefault="00C654C4" w:rsidP="00C654C4">
            <w:pPr>
              <w:spacing w:after="0" w:line="240" w:lineRule="auto"/>
              <w:jc w:val="center"/>
              <w:rPr>
                <w:rFonts w:eastAsia="Times New Roman" w:cs="Times New Roman"/>
                <w:color w:val="000000"/>
                <w:sz w:val="22"/>
              </w:rPr>
            </w:pPr>
            <w:r w:rsidRPr="00760837">
              <w:rPr>
                <w:rFonts w:eastAsia="Times New Roman" w:cs="Times New Roman"/>
                <w:color w:val="000000"/>
                <w:sz w:val="22"/>
              </w:rPr>
              <w:t>Virginia</w:t>
            </w:r>
          </w:p>
        </w:tc>
        <w:tc>
          <w:tcPr>
            <w:tcW w:w="1340" w:type="dxa"/>
            <w:vAlign w:val="bottom"/>
          </w:tcPr>
          <w:p w14:paraId="54784B7D" w14:textId="09745881" w:rsidR="00C654C4" w:rsidRPr="00760837" w:rsidRDefault="00C654C4" w:rsidP="00C654C4">
            <w:pPr>
              <w:spacing w:after="0" w:line="240" w:lineRule="auto"/>
              <w:jc w:val="center"/>
              <w:rPr>
                <w:rFonts w:eastAsia="Times New Roman" w:cs="Times New Roman"/>
                <w:color w:val="000000"/>
                <w:sz w:val="22"/>
              </w:rPr>
            </w:pPr>
            <w:r w:rsidRPr="00760837">
              <w:rPr>
                <w:rFonts w:cs="Times New Roman"/>
                <w:color w:val="000000"/>
                <w:sz w:val="22"/>
              </w:rPr>
              <w:t>50</w:t>
            </w:r>
          </w:p>
        </w:tc>
        <w:tc>
          <w:tcPr>
            <w:tcW w:w="1839" w:type="dxa"/>
          </w:tcPr>
          <w:p w14:paraId="6215822C" w14:textId="77777777" w:rsidR="00C654C4" w:rsidRPr="00760837" w:rsidRDefault="00C654C4" w:rsidP="00C654C4">
            <w:pPr>
              <w:spacing w:after="0" w:line="240" w:lineRule="auto"/>
              <w:jc w:val="center"/>
              <w:rPr>
                <w:rFonts w:eastAsia="Times New Roman" w:cs="Times New Roman"/>
                <w:color w:val="000000"/>
                <w:sz w:val="22"/>
              </w:rPr>
            </w:pPr>
          </w:p>
        </w:tc>
      </w:tr>
    </w:tbl>
    <w:p w14:paraId="0B53C6E9" w14:textId="77777777" w:rsidR="009176A7" w:rsidRDefault="009200FF" w:rsidP="008A7E8D">
      <w:pPr>
        <w:widowControl w:val="0"/>
        <w:autoSpaceDE w:val="0"/>
        <w:autoSpaceDN w:val="0"/>
        <w:adjustRightInd w:val="0"/>
        <w:spacing w:line="240" w:lineRule="auto"/>
        <w:rPr>
          <w:szCs w:val="24"/>
        </w:rPr>
        <w:sectPr w:rsidR="009176A7" w:rsidSect="00850422">
          <w:pgSz w:w="12240" w:h="15840"/>
          <w:pgMar w:top="1440" w:right="1440" w:bottom="1440" w:left="1440" w:header="720" w:footer="720" w:gutter="0"/>
          <w:cols w:space="720"/>
          <w:docGrid w:linePitch="360"/>
        </w:sectPr>
      </w:pPr>
      <w:r>
        <w:rPr>
          <w:szCs w:val="24"/>
        </w:rPr>
        <w:t>Note: The rank is based on the sum of the posterior probabilities of a county being a COVID-19 infection hotspot and being a HIV infection hotspot</w:t>
      </w:r>
    </w:p>
    <w:p w14:paraId="5EC720D3" w14:textId="11C0B8C6" w:rsidR="00850422" w:rsidRDefault="009176A7" w:rsidP="008A7E8D">
      <w:pPr>
        <w:widowControl w:val="0"/>
        <w:autoSpaceDE w:val="0"/>
        <w:autoSpaceDN w:val="0"/>
        <w:adjustRightInd w:val="0"/>
        <w:spacing w:line="240" w:lineRule="auto"/>
        <w:rPr>
          <w:szCs w:val="24"/>
        </w:rPr>
      </w:pPr>
      <w:r w:rsidRPr="001F5C5C">
        <w:rPr>
          <w:noProof/>
        </w:rPr>
        <w:lastRenderedPageBreak/>
        <mc:AlternateContent>
          <mc:Choice Requires="wps">
            <w:drawing>
              <wp:anchor distT="0" distB="0" distL="114300" distR="114300" simplePos="0" relativeHeight="251659264" behindDoc="0" locked="0" layoutInCell="1" allowOverlap="1" wp14:anchorId="297D3A08" wp14:editId="570EC30E">
                <wp:simplePos x="0" y="0"/>
                <wp:positionH relativeFrom="column">
                  <wp:posOffset>-411480</wp:posOffset>
                </wp:positionH>
                <wp:positionV relativeFrom="paragraph">
                  <wp:posOffset>45720</wp:posOffset>
                </wp:positionV>
                <wp:extent cx="6850380" cy="4023360"/>
                <wp:effectExtent l="0" t="0" r="26670" b="15240"/>
                <wp:wrapSquare wrapText="bothSides"/>
                <wp:docPr id="27" name="Rectangle 27"/>
                <wp:cNvGraphicFramePr/>
                <a:graphic xmlns:a="http://schemas.openxmlformats.org/drawingml/2006/main">
                  <a:graphicData uri="http://schemas.microsoft.com/office/word/2010/wordprocessingShape">
                    <wps:wsp>
                      <wps:cNvSpPr/>
                      <wps:spPr>
                        <a:xfrm>
                          <a:off x="0" y="0"/>
                          <a:ext cx="6850380" cy="402336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4"/>
                              <w:gridCol w:w="1861"/>
                              <w:gridCol w:w="2880"/>
                              <w:gridCol w:w="2970"/>
                            </w:tblGrid>
                            <w:tr w:rsidR="008616EE" w:rsidRPr="00624CCE" w14:paraId="2A0AEE57" w14:textId="77777777" w:rsidTr="008616EE">
                              <w:tc>
                                <w:tcPr>
                                  <w:tcW w:w="2454" w:type="dxa"/>
                                  <w:tcBorders>
                                    <w:bottom w:val="single" w:sz="4" w:space="0" w:color="auto"/>
                                  </w:tcBorders>
                                  <w:shd w:val="clear" w:color="auto" w:fill="FFFFFF" w:themeFill="background1"/>
                                </w:tcPr>
                                <w:p w14:paraId="29685F5B" w14:textId="77777777" w:rsidR="008616EE" w:rsidRPr="00624CCE" w:rsidRDefault="008616EE" w:rsidP="008616EE">
                                  <w:pPr>
                                    <w:rPr>
                                      <w:rFonts w:cs="Times New Roman"/>
                                      <w:color w:val="000000" w:themeColor="text1"/>
                                      <w:sz w:val="20"/>
                                      <w:szCs w:val="20"/>
                                    </w:rPr>
                                  </w:pPr>
                                </w:p>
                              </w:tc>
                              <w:tc>
                                <w:tcPr>
                                  <w:tcW w:w="1861" w:type="dxa"/>
                                  <w:tcBorders>
                                    <w:bottom w:val="single" w:sz="4" w:space="0" w:color="auto"/>
                                  </w:tcBorders>
                                  <w:shd w:val="clear" w:color="auto" w:fill="FFFFFF" w:themeFill="background1"/>
                                </w:tcPr>
                                <w:p w14:paraId="241F0119" w14:textId="77777777" w:rsidR="008616EE" w:rsidRPr="00624CCE" w:rsidRDefault="008616EE" w:rsidP="008616EE">
                                  <w:pPr>
                                    <w:rPr>
                                      <w:rFonts w:cs="Times New Roman"/>
                                      <w:b/>
                                      <w:bCs/>
                                      <w:color w:val="000000" w:themeColor="text1"/>
                                      <w:sz w:val="20"/>
                                      <w:szCs w:val="20"/>
                                    </w:rPr>
                                  </w:pPr>
                                  <w:r>
                                    <w:rPr>
                                      <w:rFonts w:cs="Times New Roman"/>
                                      <w:b/>
                                      <w:bCs/>
                                      <w:color w:val="000000" w:themeColor="text1"/>
                                      <w:sz w:val="20"/>
                                      <w:szCs w:val="20"/>
                                    </w:rPr>
                                    <w:t xml:space="preserve">Distribution </w:t>
                                  </w:r>
                                  <w:r w:rsidRPr="00624CCE">
                                    <w:rPr>
                                      <w:rFonts w:cs="Times New Roman"/>
                                      <w:b/>
                                      <w:bCs/>
                                      <w:color w:val="000000" w:themeColor="text1"/>
                                      <w:sz w:val="20"/>
                                      <w:szCs w:val="20"/>
                                    </w:rPr>
                                    <w:t>of study variables</w:t>
                                  </w:r>
                                </w:p>
                              </w:tc>
                              <w:tc>
                                <w:tcPr>
                                  <w:tcW w:w="2880" w:type="dxa"/>
                                  <w:tcBorders>
                                    <w:bottom w:val="single" w:sz="4" w:space="0" w:color="auto"/>
                                  </w:tcBorders>
                                  <w:shd w:val="clear" w:color="auto" w:fill="FFFFFF" w:themeFill="background1"/>
                                </w:tcPr>
                                <w:p w14:paraId="5479EA28" w14:textId="77777777" w:rsidR="008616EE" w:rsidRPr="00624CCE" w:rsidRDefault="008616EE" w:rsidP="008616EE">
                                  <w:pPr>
                                    <w:jc w:val="center"/>
                                    <w:rPr>
                                      <w:rFonts w:cs="Times New Roman"/>
                                      <w:b/>
                                      <w:bCs/>
                                      <w:color w:val="000000" w:themeColor="text1"/>
                                      <w:sz w:val="20"/>
                                      <w:szCs w:val="20"/>
                                    </w:rPr>
                                  </w:pPr>
                                  <w:r w:rsidRPr="00624CCE">
                                    <w:rPr>
                                      <w:rFonts w:cs="Times New Roman"/>
                                      <w:b/>
                                      <w:bCs/>
                                      <w:color w:val="000000" w:themeColor="text1"/>
                                      <w:sz w:val="20"/>
                                      <w:szCs w:val="20"/>
                                    </w:rPr>
                                    <w:t>COVID-19 infection</w:t>
                                  </w:r>
                                </w:p>
                              </w:tc>
                              <w:tc>
                                <w:tcPr>
                                  <w:tcW w:w="2970" w:type="dxa"/>
                                  <w:tcBorders>
                                    <w:bottom w:val="single" w:sz="4" w:space="0" w:color="auto"/>
                                  </w:tcBorders>
                                  <w:shd w:val="clear" w:color="auto" w:fill="FFFFFF" w:themeFill="background1"/>
                                </w:tcPr>
                                <w:p w14:paraId="6418E4B5" w14:textId="77777777" w:rsidR="008616EE" w:rsidRPr="00624CCE" w:rsidRDefault="008616EE" w:rsidP="008616EE">
                                  <w:pPr>
                                    <w:jc w:val="center"/>
                                    <w:rPr>
                                      <w:rFonts w:cs="Times New Roman"/>
                                      <w:b/>
                                      <w:bCs/>
                                      <w:color w:val="000000" w:themeColor="text1"/>
                                      <w:sz w:val="20"/>
                                      <w:szCs w:val="20"/>
                                    </w:rPr>
                                  </w:pPr>
                                  <w:r w:rsidRPr="00624CCE">
                                    <w:rPr>
                                      <w:rFonts w:cs="Times New Roman"/>
                                      <w:b/>
                                      <w:bCs/>
                                      <w:color w:val="000000" w:themeColor="text1"/>
                                      <w:sz w:val="20"/>
                                      <w:szCs w:val="20"/>
                                    </w:rPr>
                                    <w:t>HIV-infection</w:t>
                                  </w:r>
                                </w:p>
                              </w:tc>
                            </w:tr>
                            <w:tr w:rsidR="008616EE" w:rsidRPr="00624CCE" w14:paraId="2662E7E1" w14:textId="77777777" w:rsidTr="008616EE">
                              <w:tc>
                                <w:tcPr>
                                  <w:tcW w:w="2454" w:type="dxa"/>
                                  <w:tcBorders>
                                    <w:top w:val="single" w:sz="4" w:space="0" w:color="auto"/>
                                  </w:tcBorders>
                                  <w:shd w:val="clear" w:color="auto" w:fill="D9D9D9" w:themeFill="background1" w:themeFillShade="D9"/>
                                </w:tcPr>
                                <w:p w14:paraId="00663961" w14:textId="77777777" w:rsidR="008616EE" w:rsidRPr="00624CCE" w:rsidRDefault="008616EE" w:rsidP="008616EE">
                                  <w:pPr>
                                    <w:rPr>
                                      <w:rFonts w:cs="Times New Roman"/>
                                      <w:color w:val="000000" w:themeColor="text1"/>
                                      <w:sz w:val="20"/>
                                      <w:szCs w:val="20"/>
                                    </w:rPr>
                                  </w:pPr>
                                </w:p>
                              </w:tc>
                              <w:tc>
                                <w:tcPr>
                                  <w:tcW w:w="1861" w:type="dxa"/>
                                  <w:tcBorders>
                                    <w:top w:val="single" w:sz="4" w:space="0" w:color="auto"/>
                                  </w:tcBorders>
                                  <w:shd w:val="clear" w:color="auto" w:fill="D9D9D9" w:themeFill="background1" w:themeFillShade="D9"/>
                                </w:tcPr>
                                <w:p w14:paraId="6CB3F36F" w14:textId="77777777" w:rsidR="008616EE" w:rsidRPr="00624CCE" w:rsidRDefault="008616EE" w:rsidP="008616EE">
                                  <w:pPr>
                                    <w:rPr>
                                      <w:rFonts w:cs="Times New Roman"/>
                                      <w:b/>
                                      <w:bCs/>
                                      <w:color w:val="000000" w:themeColor="text1"/>
                                      <w:sz w:val="20"/>
                                      <w:szCs w:val="20"/>
                                    </w:rPr>
                                  </w:pPr>
                                </w:p>
                              </w:tc>
                              <w:tc>
                                <w:tcPr>
                                  <w:tcW w:w="2880" w:type="dxa"/>
                                  <w:tcBorders>
                                    <w:top w:val="single" w:sz="4" w:space="0" w:color="auto"/>
                                  </w:tcBorders>
                                  <w:shd w:val="clear" w:color="auto" w:fill="D9D9D9" w:themeFill="background1" w:themeFillShade="D9"/>
                                </w:tcPr>
                                <w:p w14:paraId="4E8EE82E" w14:textId="77777777" w:rsidR="008616EE" w:rsidRPr="00624CCE" w:rsidRDefault="008616EE" w:rsidP="008616EE">
                                  <w:pPr>
                                    <w:jc w:val="center"/>
                                    <w:rPr>
                                      <w:rFonts w:cs="Times New Roman"/>
                                      <w:b/>
                                      <w:bCs/>
                                      <w:color w:val="000000" w:themeColor="text1"/>
                                      <w:sz w:val="20"/>
                                      <w:szCs w:val="20"/>
                                    </w:rPr>
                                  </w:pPr>
                                </w:p>
                              </w:tc>
                              <w:tc>
                                <w:tcPr>
                                  <w:tcW w:w="2970" w:type="dxa"/>
                                  <w:tcBorders>
                                    <w:top w:val="single" w:sz="4" w:space="0" w:color="auto"/>
                                  </w:tcBorders>
                                  <w:shd w:val="clear" w:color="auto" w:fill="D9D9D9" w:themeFill="background1" w:themeFillShade="D9"/>
                                </w:tcPr>
                                <w:p w14:paraId="5B6E0281" w14:textId="77777777" w:rsidR="008616EE" w:rsidRPr="00624CCE" w:rsidRDefault="008616EE" w:rsidP="008616EE">
                                  <w:pPr>
                                    <w:jc w:val="center"/>
                                    <w:rPr>
                                      <w:rFonts w:cs="Times New Roman"/>
                                      <w:b/>
                                      <w:bCs/>
                                      <w:color w:val="000000" w:themeColor="text1"/>
                                      <w:sz w:val="20"/>
                                      <w:szCs w:val="20"/>
                                    </w:rPr>
                                  </w:pPr>
                                </w:p>
                              </w:tc>
                            </w:tr>
                            <w:tr w:rsidR="008616EE" w:rsidRPr="00624CCE" w14:paraId="7A306204" w14:textId="77777777" w:rsidTr="008616EE">
                              <w:tc>
                                <w:tcPr>
                                  <w:tcW w:w="2454" w:type="dxa"/>
                                  <w:shd w:val="clear" w:color="auto" w:fill="FFFFFF" w:themeFill="background1"/>
                                </w:tcPr>
                                <w:p w14:paraId="3B66747C" w14:textId="77777777" w:rsidR="008616EE" w:rsidRPr="00624CCE" w:rsidRDefault="008616EE" w:rsidP="008616EE">
                                  <w:pPr>
                                    <w:rPr>
                                      <w:rFonts w:cs="Times New Roman"/>
                                      <w:color w:val="000000" w:themeColor="text1"/>
                                      <w:sz w:val="20"/>
                                      <w:szCs w:val="20"/>
                                    </w:rPr>
                                  </w:pPr>
                                </w:p>
                              </w:tc>
                              <w:tc>
                                <w:tcPr>
                                  <w:tcW w:w="1861" w:type="dxa"/>
                                  <w:shd w:val="clear" w:color="auto" w:fill="FFFFFF" w:themeFill="background1"/>
                                  <w:vAlign w:val="bottom"/>
                                </w:tcPr>
                                <w:p w14:paraId="648F9967" w14:textId="77777777" w:rsidR="008616EE" w:rsidRPr="00624CCE" w:rsidRDefault="008616EE" w:rsidP="008616EE">
                                  <w:pPr>
                                    <w:rPr>
                                      <w:rFonts w:cs="Times New Roman"/>
                                      <w:b/>
                                      <w:bCs/>
                                      <w:color w:val="000000" w:themeColor="text1"/>
                                      <w:sz w:val="20"/>
                                      <w:szCs w:val="20"/>
                                    </w:rPr>
                                  </w:pPr>
                                  <w:r w:rsidRPr="00624CCE">
                                    <w:rPr>
                                      <w:rFonts w:cs="Times New Roman"/>
                                      <w:b/>
                                      <w:bCs/>
                                      <w:color w:val="000000" w:themeColor="text1"/>
                                      <w:sz w:val="20"/>
                                      <w:szCs w:val="20"/>
                                    </w:rPr>
                                    <w:t>Mean (SD)</w:t>
                                  </w:r>
                                </w:p>
                              </w:tc>
                              <w:tc>
                                <w:tcPr>
                                  <w:tcW w:w="2880" w:type="dxa"/>
                                  <w:shd w:val="clear" w:color="auto" w:fill="FFFFFF" w:themeFill="background1"/>
                                </w:tcPr>
                                <w:p w14:paraId="73FCF4E2" w14:textId="77777777" w:rsidR="008616EE" w:rsidRDefault="008616EE" w:rsidP="008616EE">
                                  <w:pPr>
                                    <w:rPr>
                                      <w:rFonts w:cs="Times New Roman"/>
                                      <w:b/>
                                      <w:bCs/>
                                      <w:color w:val="000000" w:themeColor="text1"/>
                                      <w:sz w:val="20"/>
                                      <w:szCs w:val="20"/>
                                    </w:rPr>
                                  </w:pPr>
                                  <w:r w:rsidRPr="00624CCE">
                                    <w:rPr>
                                      <w:rFonts w:cs="Times New Roman"/>
                                      <w:b/>
                                      <w:bCs/>
                                      <w:color w:val="000000" w:themeColor="text1"/>
                                      <w:sz w:val="20"/>
                                      <w:szCs w:val="20"/>
                                    </w:rPr>
                                    <w:br/>
                                    <w:t xml:space="preserve">Relative Risk and </w:t>
                                  </w:r>
                                </w:p>
                                <w:p w14:paraId="4A4B7497" w14:textId="77777777" w:rsidR="008616EE" w:rsidRPr="00624CCE" w:rsidRDefault="008616EE" w:rsidP="008616EE">
                                  <w:pPr>
                                    <w:rPr>
                                      <w:rFonts w:cs="Times New Roman"/>
                                      <w:b/>
                                      <w:bCs/>
                                      <w:color w:val="000000" w:themeColor="text1"/>
                                      <w:sz w:val="20"/>
                                      <w:szCs w:val="20"/>
                                    </w:rPr>
                                  </w:pPr>
                                  <w:r w:rsidRPr="00624CCE">
                                    <w:rPr>
                                      <w:rFonts w:cs="Times New Roman"/>
                                      <w:b/>
                                      <w:bCs/>
                                      <w:color w:val="000000" w:themeColor="text1"/>
                                      <w:sz w:val="20"/>
                                      <w:szCs w:val="20"/>
                                    </w:rPr>
                                    <w:t>(95% Credible Interval)</w:t>
                                  </w:r>
                                </w:p>
                              </w:tc>
                              <w:tc>
                                <w:tcPr>
                                  <w:tcW w:w="2970" w:type="dxa"/>
                                  <w:shd w:val="clear" w:color="auto" w:fill="FFFFFF" w:themeFill="background1"/>
                                  <w:vAlign w:val="bottom"/>
                                </w:tcPr>
                                <w:p w14:paraId="4BC4B3AD" w14:textId="77777777" w:rsidR="008616EE" w:rsidRDefault="008616EE" w:rsidP="008616EE">
                                  <w:pPr>
                                    <w:rPr>
                                      <w:rFonts w:cs="Times New Roman"/>
                                      <w:b/>
                                      <w:bCs/>
                                      <w:color w:val="000000" w:themeColor="text1"/>
                                      <w:sz w:val="20"/>
                                      <w:szCs w:val="20"/>
                                    </w:rPr>
                                  </w:pPr>
                                  <w:r w:rsidRPr="00624CCE">
                                    <w:rPr>
                                      <w:rFonts w:cs="Times New Roman"/>
                                      <w:b/>
                                      <w:bCs/>
                                      <w:color w:val="000000" w:themeColor="text1"/>
                                      <w:sz w:val="20"/>
                                      <w:szCs w:val="20"/>
                                    </w:rPr>
                                    <w:t xml:space="preserve">Relative Risk and </w:t>
                                  </w:r>
                                </w:p>
                                <w:p w14:paraId="542DC020" w14:textId="77777777" w:rsidR="008616EE" w:rsidRPr="00624CCE" w:rsidRDefault="008616EE" w:rsidP="008616EE">
                                  <w:pPr>
                                    <w:rPr>
                                      <w:rFonts w:cs="Times New Roman"/>
                                      <w:b/>
                                      <w:bCs/>
                                      <w:color w:val="000000" w:themeColor="text1"/>
                                      <w:sz w:val="20"/>
                                      <w:szCs w:val="20"/>
                                    </w:rPr>
                                  </w:pPr>
                                  <w:r w:rsidRPr="00624CCE">
                                    <w:rPr>
                                      <w:rFonts w:cs="Times New Roman"/>
                                      <w:b/>
                                      <w:bCs/>
                                      <w:color w:val="000000" w:themeColor="text1"/>
                                      <w:sz w:val="20"/>
                                      <w:szCs w:val="20"/>
                                    </w:rPr>
                                    <w:t>(95% Credible Interval)</w:t>
                                  </w:r>
                                </w:p>
                              </w:tc>
                            </w:tr>
                            <w:tr w:rsidR="008616EE" w:rsidRPr="00624CCE" w14:paraId="322F427A" w14:textId="77777777" w:rsidTr="008616EE">
                              <w:tc>
                                <w:tcPr>
                                  <w:tcW w:w="2454" w:type="dxa"/>
                                  <w:shd w:val="clear" w:color="auto" w:fill="D9D9D9" w:themeFill="background1" w:themeFillShade="D9"/>
                                </w:tcPr>
                                <w:p w14:paraId="2D2D1DDA" w14:textId="77777777" w:rsidR="008616EE" w:rsidRPr="00624CCE" w:rsidRDefault="008616EE" w:rsidP="008616EE">
                                  <w:pPr>
                                    <w:rPr>
                                      <w:rFonts w:cs="Times New Roman"/>
                                      <w:color w:val="000000" w:themeColor="text1"/>
                                      <w:sz w:val="20"/>
                                      <w:szCs w:val="20"/>
                                    </w:rPr>
                                  </w:pPr>
                                </w:p>
                              </w:tc>
                              <w:tc>
                                <w:tcPr>
                                  <w:tcW w:w="1861" w:type="dxa"/>
                                  <w:shd w:val="clear" w:color="auto" w:fill="D9D9D9" w:themeFill="background1" w:themeFillShade="D9"/>
                                  <w:vAlign w:val="bottom"/>
                                </w:tcPr>
                                <w:p w14:paraId="36DF0B56" w14:textId="77777777" w:rsidR="008616EE" w:rsidRPr="00624CCE" w:rsidRDefault="008616EE" w:rsidP="008616EE">
                                  <w:pPr>
                                    <w:rPr>
                                      <w:rFonts w:cs="Times New Roman"/>
                                      <w:b/>
                                      <w:bCs/>
                                      <w:color w:val="000000" w:themeColor="text1"/>
                                      <w:sz w:val="20"/>
                                      <w:szCs w:val="20"/>
                                    </w:rPr>
                                  </w:pPr>
                                </w:p>
                              </w:tc>
                              <w:tc>
                                <w:tcPr>
                                  <w:tcW w:w="2880" w:type="dxa"/>
                                  <w:shd w:val="clear" w:color="auto" w:fill="D9D9D9" w:themeFill="background1" w:themeFillShade="D9"/>
                                </w:tcPr>
                                <w:p w14:paraId="25C2C599" w14:textId="77777777" w:rsidR="008616EE" w:rsidRPr="00624CCE" w:rsidRDefault="008616EE" w:rsidP="008616EE">
                                  <w:pPr>
                                    <w:rPr>
                                      <w:rFonts w:cs="Times New Roman"/>
                                      <w:b/>
                                      <w:bCs/>
                                      <w:color w:val="000000" w:themeColor="text1"/>
                                      <w:sz w:val="20"/>
                                      <w:szCs w:val="20"/>
                                    </w:rPr>
                                  </w:pPr>
                                </w:p>
                              </w:tc>
                              <w:tc>
                                <w:tcPr>
                                  <w:tcW w:w="2970" w:type="dxa"/>
                                  <w:shd w:val="clear" w:color="auto" w:fill="D9D9D9" w:themeFill="background1" w:themeFillShade="D9"/>
                                  <w:vAlign w:val="bottom"/>
                                </w:tcPr>
                                <w:p w14:paraId="3C2352E0" w14:textId="77777777" w:rsidR="008616EE" w:rsidRPr="00624CCE" w:rsidRDefault="008616EE" w:rsidP="008616EE">
                                  <w:pPr>
                                    <w:rPr>
                                      <w:rFonts w:cs="Times New Roman"/>
                                      <w:b/>
                                      <w:bCs/>
                                      <w:color w:val="000000" w:themeColor="text1"/>
                                      <w:sz w:val="20"/>
                                      <w:szCs w:val="20"/>
                                    </w:rPr>
                                  </w:pPr>
                                </w:p>
                              </w:tc>
                            </w:tr>
                            <w:tr w:rsidR="008616EE" w:rsidRPr="00624CCE" w14:paraId="2F3ADF5D" w14:textId="77777777" w:rsidTr="008616EE">
                              <w:tc>
                                <w:tcPr>
                                  <w:tcW w:w="2454" w:type="dxa"/>
                                  <w:shd w:val="clear" w:color="auto" w:fill="FFFFFF" w:themeFill="background1"/>
                                </w:tcPr>
                                <w:p w14:paraId="5A1619C3" w14:textId="77777777" w:rsidR="008616EE" w:rsidRPr="00624CCE" w:rsidRDefault="008616EE" w:rsidP="008616EE">
                                  <w:pPr>
                                    <w:rPr>
                                      <w:rFonts w:cs="Times New Roman"/>
                                      <w:color w:val="000000" w:themeColor="text1"/>
                                      <w:sz w:val="20"/>
                                      <w:szCs w:val="20"/>
                                    </w:rPr>
                                  </w:pPr>
                                  <w:r w:rsidRPr="00624CCE">
                                    <w:rPr>
                                      <w:rFonts w:cs="Times New Roman"/>
                                      <w:color w:val="000000" w:themeColor="text1"/>
                                      <w:sz w:val="20"/>
                                      <w:szCs w:val="20"/>
                                    </w:rPr>
                                    <w:t>% Black</w:t>
                                  </w:r>
                                </w:p>
                              </w:tc>
                              <w:tc>
                                <w:tcPr>
                                  <w:tcW w:w="1861" w:type="dxa"/>
                                  <w:shd w:val="clear" w:color="auto" w:fill="FFFFFF" w:themeFill="background1"/>
                                </w:tcPr>
                                <w:p w14:paraId="1CE726B5" w14:textId="77777777" w:rsidR="008616EE" w:rsidRPr="00624CCE" w:rsidRDefault="008616EE" w:rsidP="008616EE">
                                  <w:pPr>
                                    <w:rPr>
                                      <w:rFonts w:cs="Times New Roman"/>
                                      <w:b/>
                                      <w:color w:val="000000" w:themeColor="text1"/>
                                      <w:sz w:val="20"/>
                                      <w:szCs w:val="20"/>
                                    </w:rPr>
                                  </w:pPr>
                                  <w:r w:rsidRPr="00624CCE">
                                    <w:rPr>
                                      <w:rFonts w:cs="Times New Roman"/>
                                      <w:b/>
                                      <w:color w:val="000000" w:themeColor="text1"/>
                                      <w:sz w:val="20"/>
                                      <w:szCs w:val="20"/>
                                    </w:rPr>
                                    <w:t>9.14% (14.59%)</w:t>
                                  </w:r>
                                </w:p>
                              </w:tc>
                              <w:tc>
                                <w:tcPr>
                                  <w:tcW w:w="2880" w:type="dxa"/>
                                  <w:shd w:val="clear" w:color="auto" w:fill="FFFFFF" w:themeFill="background1"/>
                                </w:tcPr>
                                <w:p w14:paraId="6AC4B190" w14:textId="36506152" w:rsidR="008616EE" w:rsidRPr="00624CCE" w:rsidRDefault="008616EE" w:rsidP="00A31057">
                                  <w:pPr>
                                    <w:rPr>
                                      <w:rFonts w:cs="Times New Roman"/>
                                      <w:b/>
                                      <w:color w:val="000000" w:themeColor="text1"/>
                                      <w:sz w:val="20"/>
                                      <w:szCs w:val="20"/>
                                    </w:rPr>
                                  </w:pPr>
                                  <w:r w:rsidRPr="00624CCE">
                                    <w:rPr>
                                      <w:rFonts w:cs="Times New Roman"/>
                                      <w:b/>
                                      <w:color w:val="000000" w:themeColor="text1"/>
                                      <w:sz w:val="20"/>
                                      <w:szCs w:val="20"/>
                                    </w:rPr>
                                    <w:t>1.1</w:t>
                                  </w:r>
                                  <w:r w:rsidR="00A31057">
                                    <w:rPr>
                                      <w:rFonts w:cs="Times New Roman"/>
                                      <w:b/>
                                      <w:color w:val="000000" w:themeColor="text1"/>
                                      <w:sz w:val="20"/>
                                      <w:szCs w:val="20"/>
                                    </w:rPr>
                                    <w:t>33</w:t>
                                  </w:r>
                                  <w:r w:rsidRPr="00624CCE">
                                    <w:rPr>
                                      <w:rFonts w:cs="Times New Roman"/>
                                      <w:b/>
                                      <w:color w:val="000000" w:themeColor="text1"/>
                                      <w:sz w:val="20"/>
                                      <w:szCs w:val="20"/>
                                    </w:rPr>
                                    <w:t xml:space="preserve"> (1.0</w:t>
                                  </w:r>
                                  <w:r w:rsidR="008B1ACD">
                                    <w:rPr>
                                      <w:rFonts w:cs="Times New Roman"/>
                                      <w:b/>
                                      <w:color w:val="000000" w:themeColor="text1"/>
                                      <w:sz w:val="20"/>
                                      <w:szCs w:val="20"/>
                                    </w:rPr>
                                    <w:t>9</w:t>
                                  </w:r>
                                  <w:r w:rsidRPr="00624CCE">
                                    <w:rPr>
                                      <w:rFonts w:cs="Times New Roman"/>
                                      <w:b/>
                                      <w:color w:val="000000" w:themeColor="text1"/>
                                      <w:sz w:val="20"/>
                                      <w:szCs w:val="20"/>
                                    </w:rPr>
                                    <w:t>8—1.1</w:t>
                                  </w:r>
                                  <w:r w:rsidR="008B1ACD">
                                    <w:rPr>
                                      <w:rFonts w:cs="Times New Roman"/>
                                      <w:b/>
                                      <w:color w:val="000000" w:themeColor="text1"/>
                                      <w:sz w:val="20"/>
                                      <w:szCs w:val="20"/>
                                    </w:rPr>
                                    <w:t>70</w:t>
                                  </w:r>
                                  <w:r w:rsidRPr="00624CCE">
                                    <w:rPr>
                                      <w:rFonts w:cs="Times New Roman"/>
                                      <w:b/>
                                      <w:color w:val="000000" w:themeColor="text1"/>
                                      <w:sz w:val="20"/>
                                      <w:szCs w:val="20"/>
                                    </w:rPr>
                                    <w:t>)</w:t>
                                  </w:r>
                                </w:p>
                              </w:tc>
                              <w:tc>
                                <w:tcPr>
                                  <w:tcW w:w="2970" w:type="dxa"/>
                                  <w:shd w:val="clear" w:color="auto" w:fill="FFFFFF" w:themeFill="background1"/>
                                </w:tcPr>
                                <w:p w14:paraId="16DCC9EA" w14:textId="3C3212C1" w:rsidR="008616EE" w:rsidRPr="00624CCE" w:rsidRDefault="008616EE" w:rsidP="0074135E">
                                  <w:pPr>
                                    <w:rPr>
                                      <w:rFonts w:cs="Times New Roman"/>
                                      <w:b/>
                                      <w:color w:val="000000" w:themeColor="text1"/>
                                      <w:sz w:val="20"/>
                                      <w:szCs w:val="20"/>
                                    </w:rPr>
                                  </w:pPr>
                                  <w:r w:rsidRPr="00624CCE">
                                    <w:rPr>
                                      <w:rFonts w:cs="Times New Roman"/>
                                      <w:b/>
                                      <w:color w:val="000000" w:themeColor="text1"/>
                                      <w:sz w:val="20"/>
                                      <w:szCs w:val="20"/>
                                    </w:rPr>
                                    <w:t>1.</w:t>
                                  </w:r>
                                  <w:r w:rsidR="005164AF" w:rsidRPr="00624CCE">
                                    <w:rPr>
                                      <w:rFonts w:cs="Times New Roman"/>
                                      <w:b/>
                                      <w:color w:val="000000" w:themeColor="text1"/>
                                      <w:sz w:val="20"/>
                                      <w:szCs w:val="20"/>
                                    </w:rPr>
                                    <w:t>5</w:t>
                                  </w:r>
                                  <w:r w:rsidR="005164AF">
                                    <w:rPr>
                                      <w:rFonts w:cs="Times New Roman"/>
                                      <w:b/>
                                      <w:color w:val="000000" w:themeColor="text1"/>
                                      <w:sz w:val="20"/>
                                      <w:szCs w:val="20"/>
                                    </w:rPr>
                                    <w:t>4</w:t>
                                  </w:r>
                                  <w:r w:rsidR="005164AF" w:rsidRPr="00624CCE">
                                    <w:rPr>
                                      <w:rFonts w:cs="Times New Roman"/>
                                      <w:b/>
                                      <w:color w:val="000000" w:themeColor="text1"/>
                                      <w:sz w:val="20"/>
                                      <w:szCs w:val="20"/>
                                    </w:rPr>
                                    <w:t xml:space="preserve">3 </w:t>
                                  </w:r>
                                  <w:r w:rsidRPr="00624CCE">
                                    <w:rPr>
                                      <w:rFonts w:cs="Times New Roman"/>
                                      <w:b/>
                                      <w:color w:val="000000" w:themeColor="text1"/>
                                      <w:sz w:val="20"/>
                                      <w:szCs w:val="20"/>
                                    </w:rPr>
                                    <w:t>(1.</w:t>
                                  </w:r>
                                  <w:r w:rsidR="0074135E">
                                    <w:rPr>
                                      <w:rFonts w:cs="Times New Roman"/>
                                      <w:b/>
                                      <w:color w:val="000000" w:themeColor="text1"/>
                                      <w:sz w:val="20"/>
                                      <w:szCs w:val="20"/>
                                    </w:rPr>
                                    <w:t>480</w:t>
                                  </w:r>
                                  <w:r w:rsidRPr="00624CCE">
                                    <w:rPr>
                                      <w:rFonts w:cs="Times New Roman"/>
                                      <w:b/>
                                      <w:color w:val="000000" w:themeColor="text1"/>
                                      <w:sz w:val="20"/>
                                      <w:szCs w:val="20"/>
                                    </w:rPr>
                                    <w:t>—1.</w:t>
                                  </w:r>
                                  <w:r w:rsidR="0074135E" w:rsidRPr="00624CCE">
                                    <w:rPr>
                                      <w:rFonts w:cs="Times New Roman"/>
                                      <w:b/>
                                      <w:color w:val="000000" w:themeColor="text1"/>
                                      <w:sz w:val="20"/>
                                      <w:szCs w:val="20"/>
                                    </w:rPr>
                                    <w:t>6</w:t>
                                  </w:r>
                                  <w:r w:rsidR="0074135E">
                                    <w:rPr>
                                      <w:rFonts w:cs="Times New Roman"/>
                                      <w:b/>
                                      <w:color w:val="000000" w:themeColor="text1"/>
                                      <w:sz w:val="20"/>
                                      <w:szCs w:val="20"/>
                                    </w:rPr>
                                    <w:t>10</w:t>
                                  </w:r>
                                  <w:r w:rsidRPr="00624CCE">
                                    <w:rPr>
                                      <w:rFonts w:cs="Times New Roman"/>
                                      <w:b/>
                                      <w:color w:val="000000" w:themeColor="text1"/>
                                      <w:sz w:val="20"/>
                                      <w:szCs w:val="20"/>
                                    </w:rPr>
                                    <w:t>)</w:t>
                                  </w:r>
                                </w:p>
                              </w:tc>
                            </w:tr>
                            <w:tr w:rsidR="008616EE" w:rsidRPr="00624CCE" w14:paraId="4763A9B2" w14:textId="77777777" w:rsidTr="008616EE">
                              <w:tc>
                                <w:tcPr>
                                  <w:tcW w:w="2454" w:type="dxa"/>
                                  <w:shd w:val="clear" w:color="auto" w:fill="FFFFFF" w:themeFill="background1"/>
                                </w:tcPr>
                                <w:p w14:paraId="0097C5F6" w14:textId="77777777" w:rsidR="008616EE" w:rsidRPr="00624CCE" w:rsidRDefault="008616EE" w:rsidP="008616EE">
                                  <w:pPr>
                                    <w:rPr>
                                      <w:rFonts w:cs="Times New Roman"/>
                                      <w:color w:val="000000" w:themeColor="text1"/>
                                      <w:sz w:val="20"/>
                                      <w:szCs w:val="20"/>
                                    </w:rPr>
                                  </w:pPr>
                                  <w:r w:rsidRPr="00624CCE">
                                    <w:rPr>
                                      <w:rFonts w:cs="Times New Roman"/>
                                      <w:color w:val="000000" w:themeColor="text1"/>
                                      <w:sz w:val="20"/>
                                      <w:szCs w:val="20"/>
                                    </w:rPr>
                                    <w:t>% Hispanic</w:t>
                                  </w:r>
                                </w:p>
                              </w:tc>
                              <w:tc>
                                <w:tcPr>
                                  <w:tcW w:w="1861" w:type="dxa"/>
                                  <w:shd w:val="clear" w:color="auto" w:fill="FFFFFF" w:themeFill="background1"/>
                                </w:tcPr>
                                <w:p w14:paraId="5992134E" w14:textId="77777777" w:rsidR="008616EE" w:rsidRPr="00624CCE" w:rsidRDefault="008616EE" w:rsidP="008616EE">
                                  <w:pPr>
                                    <w:rPr>
                                      <w:rFonts w:cs="Times New Roman"/>
                                      <w:b/>
                                      <w:color w:val="000000" w:themeColor="text1"/>
                                      <w:sz w:val="20"/>
                                      <w:szCs w:val="20"/>
                                    </w:rPr>
                                  </w:pPr>
                                  <w:r w:rsidRPr="00624CCE">
                                    <w:rPr>
                                      <w:rFonts w:cs="Times New Roman"/>
                                      <w:b/>
                                      <w:color w:val="000000" w:themeColor="text1"/>
                                      <w:sz w:val="20"/>
                                      <w:szCs w:val="20"/>
                                    </w:rPr>
                                    <w:t>9.3% (13.86%)</w:t>
                                  </w:r>
                                </w:p>
                              </w:tc>
                              <w:tc>
                                <w:tcPr>
                                  <w:tcW w:w="2880" w:type="dxa"/>
                                  <w:shd w:val="clear" w:color="auto" w:fill="FFFFFF" w:themeFill="background1"/>
                                </w:tcPr>
                                <w:p w14:paraId="53FB863B" w14:textId="797B4EBE" w:rsidR="008616EE" w:rsidRPr="00624CCE" w:rsidRDefault="008616EE" w:rsidP="00A31057">
                                  <w:pPr>
                                    <w:rPr>
                                      <w:rFonts w:cs="Times New Roman"/>
                                      <w:b/>
                                      <w:color w:val="000000" w:themeColor="text1"/>
                                      <w:sz w:val="20"/>
                                      <w:szCs w:val="20"/>
                                    </w:rPr>
                                  </w:pPr>
                                  <w:r w:rsidRPr="00624CCE">
                                    <w:rPr>
                                      <w:rFonts w:cs="Times New Roman"/>
                                      <w:b/>
                                      <w:color w:val="000000" w:themeColor="text1"/>
                                      <w:sz w:val="20"/>
                                      <w:szCs w:val="20"/>
                                    </w:rPr>
                                    <w:t>1.</w:t>
                                  </w:r>
                                  <w:r w:rsidR="00A31057" w:rsidRPr="00624CCE">
                                    <w:rPr>
                                      <w:rFonts w:cs="Times New Roman"/>
                                      <w:b/>
                                      <w:color w:val="000000" w:themeColor="text1"/>
                                      <w:sz w:val="20"/>
                                      <w:szCs w:val="20"/>
                                    </w:rPr>
                                    <w:t>3</w:t>
                                  </w:r>
                                  <w:r w:rsidR="00A31057">
                                    <w:rPr>
                                      <w:rFonts w:cs="Times New Roman"/>
                                      <w:b/>
                                      <w:color w:val="000000" w:themeColor="text1"/>
                                      <w:sz w:val="20"/>
                                      <w:szCs w:val="20"/>
                                    </w:rPr>
                                    <w:t>05</w:t>
                                  </w:r>
                                  <w:r w:rsidR="00A31057" w:rsidRPr="00624CCE">
                                    <w:rPr>
                                      <w:rFonts w:cs="Times New Roman"/>
                                      <w:b/>
                                      <w:color w:val="000000" w:themeColor="text1"/>
                                      <w:sz w:val="20"/>
                                      <w:szCs w:val="20"/>
                                    </w:rPr>
                                    <w:t xml:space="preserve"> </w:t>
                                  </w:r>
                                  <w:r w:rsidRPr="00624CCE">
                                    <w:rPr>
                                      <w:rFonts w:cs="Times New Roman"/>
                                      <w:b/>
                                      <w:color w:val="000000" w:themeColor="text1"/>
                                      <w:sz w:val="20"/>
                                      <w:szCs w:val="20"/>
                                    </w:rPr>
                                    <w:t>(1.2</w:t>
                                  </w:r>
                                  <w:r w:rsidR="008B1ACD">
                                    <w:rPr>
                                      <w:rFonts w:cs="Times New Roman"/>
                                      <w:b/>
                                      <w:color w:val="000000" w:themeColor="text1"/>
                                      <w:sz w:val="20"/>
                                      <w:szCs w:val="20"/>
                                    </w:rPr>
                                    <w:t>62</w:t>
                                  </w:r>
                                  <w:r w:rsidRPr="00624CCE">
                                    <w:rPr>
                                      <w:rFonts w:cs="Times New Roman"/>
                                      <w:b/>
                                      <w:color w:val="000000" w:themeColor="text1"/>
                                      <w:sz w:val="20"/>
                                      <w:szCs w:val="20"/>
                                    </w:rPr>
                                    <w:t>—1.3</w:t>
                                  </w:r>
                                  <w:r w:rsidR="008B1ACD">
                                    <w:rPr>
                                      <w:rFonts w:cs="Times New Roman"/>
                                      <w:b/>
                                      <w:color w:val="000000" w:themeColor="text1"/>
                                      <w:sz w:val="20"/>
                                      <w:szCs w:val="20"/>
                                    </w:rPr>
                                    <w:t>49</w:t>
                                  </w:r>
                                  <w:r w:rsidRPr="00624CCE">
                                    <w:rPr>
                                      <w:rFonts w:cs="Times New Roman"/>
                                      <w:b/>
                                      <w:color w:val="000000" w:themeColor="text1"/>
                                      <w:sz w:val="20"/>
                                      <w:szCs w:val="20"/>
                                    </w:rPr>
                                    <w:t>)</w:t>
                                  </w:r>
                                </w:p>
                              </w:tc>
                              <w:tc>
                                <w:tcPr>
                                  <w:tcW w:w="2970" w:type="dxa"/>
                                  <w:shd w:val="clear" w:color="auto" w:fill="FFFFFF" w:themeFill="background1"/>
                                </w:tcPr>
                                <w:p w14:paraId="73596424" w14:textId="0FD1D2B9" w:rsidR="008616EE" w:rsidRPr="00624CCE" w:rsidRDefault="008616EE" w:rsidP="0074135E">
                                  <w:pPr>
                                    <w:rPr>
                                      <w:rFonts w:cs="Times New Roman"/>
                                      <w:b/>
                                      <w:color w:val="000000" w:themeColor="text1"/>
                                      <w:sz w:val="20"/>
                                      <w:szCs w:val="20"/>
                                    </w:rPr>
                                  </w:pPr>
                                  <w:r w:rsidRPr="00624CCE">
                                    <w:rPr>
                                      <w:rFonts w:cs="Times New Roman"/>
                                      <w:b/>
                                      <w:color w:val="000000" w:themeColor="text1"/>
                                      <w:sz w:val="20"/>
                                      <w:szCs w:val="20"/>
                                    </w:rPr>
                                    <w:t>1.</w:t>
                                  </w:r>
                                  <w:r w:rsidR="005164AF" w:rsidRPr="00624CCE">
                                    <w:rPr>
                                      <w:rFonts w:cs="Times New Roman"/>
                                      <w:b/>
                                      <w:color w:val="000000" w:themeColor="text1"/>
                                      <w:sz w:val="20"/>
                                      <w:szCs w:val="20"/>
                                    </w:rPr>
                                    <w:t>1</w:t>
                                  </w:r>
                                  <w:r w:rsidR="005164AF">
                                    <w:rPr>
                                      <w:rFonts w:cs="Times New Roman"/>
                                      <w:b/>
                                      <w:color w:val="000000" w:themeColor="text1"/>
                                      <w:sz w:val="20"/>
                                      <w:szCs w:val="20"/>
                                    </w:rPr>
                                    <w:t>75</w:t>
                                  </w:r>
                                  <w:r w:rsidR="005164AF" w:rsidRPr="00624CCE">
                                    <w:rPr>
                                      <w:rFonts w:cs="Times New Roman"/>
                                      <w:b/>
                                      <w:color w:val="000000" w:themeColor="text1"/>
                                      <w:sz w:val="20"/>
                                      <w:szCs w:val="20"/>
                                    </w:rPr>
                                    <w:t xml:space="preserve"> </w:t>
                                  </w:r>
                                  <w:r w:rsidRPr="00624CCE">
                                    <w:rPr>
                                      <w:rFonts w:cs="Times New Roman"/>
                                      <w:b/>
                                      <w:color w:val="000000" w:themeColor="text1"/>
                                      <w:sz w:val="20"/>
                                      <w:szCs w:val="20"/>
                                    </w:rPr>
                                    <w:t>(1.</w:t>
                                  </w:r>
                                  <w:r w:rsidR="0074135E" w:rsidRPr="00624CCE">
                                    <w:rPr>
                                      <w:rFonts w:cs="Times New Roman"/>
                                      <w:b/>
                                      <w:color w:val="000000" w:themeColor="text1"/>
                                      <w:sz w:val="20"/>
                                      <w:szCs w:val="20"/>
                                    </w:rPr>
                                    <w:t>1</w:t>
                                  </w:r>
                                  <w:r w:rsidR="0074135E">
                                    <w:rPr>
                                      <w:rFonts w:cs="Times New Roman"/>
                                      <w:b/>
                                      <w:color w:val="000000" w:themeColor="text1"/>
                                      <w:sz w:val="20"/>
                                      <w:szCs w:val="20"/>
                                    </w:rPr>
                                    <w:t>27</w:t>
                                  </w:r>
                                  <w:r w:rsidRPr="00624CCE">
                                    <w:rPr>
                                      <w:rFonts w:cs="Times New Roman"/>
                                      <w:b/>
                                      <w:color w:val="000000" w:themeColor="text1"/>
                                      <w:sz w:val="20"/>
                                      <w:szCs w:val="20"/>
                                    </w:rPr>
                                    <w:t>—1.</w:t>
                                  </w:r>
                                  <w:r w:rsidR="0074135E" w:rsidRPr="00624CCE">
                                    <w:rPr>
                                      <w:rFonts w:cs="Times New Roman"/>
                                      <w:b/>
                                      <w:color w:val="000000" w:themeColor="text1"/>
                                      <w:sz w:val="20"/>
                                      <w:szCs w:val="20"/>
                                    </w:rPr>
                                    <w:t>2</w:t>
                                  </w:r>
                                  <w:r w:rsidR="0074135E">
                                    <w:rPr>
                                      <w:rFonts w:cs="Times New Roman"/>
                                      <w:b/>
                                      <w:color w:val="000000" w:themeColor="text1"/>
                                      <w:sz w:val="20"/>
                                      <w:szCs w:val="20"/>
                                    </w:rPr>
                                    <w:t>25</w:t>
                                  </w:r>
                                  <w:r w:rsidRPr="00624CCE">
                                    <w:rPr>
                                      <w:rFonts w:cs="Times New Roman"/>
                                      <w:b/>
                                      <w:color w:val="000000" w:themeColor="text1"/>
                                      <w:sz w:val="20"/>
                                      <w:szCs w:val="20"/>
                                    </w:rPr>
                                    <w:t>)</w:t>
                                  </w:r>
                                </w:p>
                              </w:tc>
                            </w:tr>
                            <w:tr w:rsidR="008616EE" w:rsidRPr="00624CCE" w14:paraId="1B39D77E" w14:textId="77777777" w:rsidTr="008616EE">
                              <w:tc>
                                <w:tcPr>
                                  <w:tcW w:w="2454" w:type="dxa"/>
                                  <w:shd w:val="clear" w:color="auto" w:fill="FFFFFF" w:themeFill="background1"/>
                                </w:tcPr>
                                <w:p w14:paraId="5571EBCD" w14:textId="77777777" w:rsidR="008616EE" w:rsidRPr="00624CCE" w:rsidRDefault="008616EE" w:rsidP="008616EE">
                                  <w:pPr>
                                    <w:rPr>
                                      <w:rFonts w:cs="Times New Roman"/>
                                      <w:color w:val="000000" w:themeColor="text1"/>
                                      <w:sz w:val="20"/>
                                      <w:szCs w:val="20"/>
                                    </w:rPr>
                                  </w:pPr>
                                  <w:r w:rsidRPr="00624CCE">
                                    <w:rPr>
                                      <w:rFonts w:cs="Times New Roman"/>
                                      <w:color w:val="000000" w:themeColor="text1"/>
                                      <w:sz w:val="20"/>
                                      <w:szCs w:val="20"/>
                                    </w:rPr>
                                    <w:t>% aged 35 to 64</w:t>
                                  </w:r>
                                </w:p>
                              </w:tc>
                              <w:tc>
                                <w:tcPr>
                                  <w:tcW w:w="1861" w:type="dxa"/>
                                  <w:shd w:val="clear" w:color="auto" w:fill="FFFFFF" w:themeFill="background1"/>
                                </w:tcPr>
                                <w:p w14:paraId="0E700505" w14:textId="77777777" w:rsidR="008616EE" w:rsidRPr="00624CCE" w:rsidRDefault="008616EE" w:rsidP="008616EE">
                                  <w:pPr>
                                    <w:rPr>
                                      <w:rFonts w:cs="Times New Roman"/>
                                      <w:b/>
                                      <w:color w:val="000000" w:themeColor="text1"/>
                                      <w:sz w:val="20"/>
                                      <w:szCs w:val="20"/>
                                    </w:rPr>
                                  </w:pPr>
                                  <w:r w:rsidRPr="00624CCE">
                                    <w:rPr>
                                      <w:rFonts w:cs="Times New Roman"/>
                                      <w:b/>
                                      <w:color w:val="000000" w:themeColor="text1"/>
                                      <w:sz w:val="20"/>
                                      <w:szCs w:val="20"/>
                                    </w:rPr>
                                    <w:t>38.66% (2.98%)</w:t>
                                  </w:r>
                                </w:p>
                              </w:tc>
                              <w:tc>
                                <w:tcPr>
                                  <w:tcW w:w="2880" w:type="dxa"/>
                                  <w:shd w:val="clear" w:color="auto" w:fill="FFFFFF" w:themeFill="background1"/>
                                </w:tcPr>
                                <w:p w14:paraId="7A7D59B8" w14:textId="7515776E" w:rsidR="008616EE" w:rsidRPr="00624CCE" w:rsidRDefault="008616EE" w:rsidP="0074135E">
                                  <w:pPr>
                                    <w:rPr>
                                      <w:rFonts w:cs="Times New Roman"/>
                                      <w:b/>
                                      <w:color w:val="000000" w:themeColor="text1"/>
                                      <w:sz w:val="20"/>
                                      <w:szCs w:val="20"/>
                                    </w:rPr>
                                  </w:pPr>
                                  <w:r w:rsidRPr="00624CCE">
                                    <w:rPr>
                                      <w:rFonts w:cs="Times New Roman"/>
                                      <w:b/>
                                      <w:color w:val="000000" w:themeColor="text1"/>
                                      <w:sz w:val="20"/>
                                      <w:szCs w:val="20"/>
                                    </w:rPr>
                                    <w:t>0.</w:t>
                                  </w:r>
                                  <w:r w:rsidR="00A31057" w:rsidRPr="00624CCE">
                                    <w:rPr>
                                      <w:rFonts w:cs="Times New Roman"/>
                                      <w:b/>
                                      <w:color w:val="000000" w:themeColor="text1"/>
                                      <w:sz w:val="20"/>
                                      <w:szCs w:val="20"/>
                                    </w:rPr>
                                    <w:t>9</w:t>
                                  </w:r>
                                  <w:r w:rsidR="00A31057">
                                    <w:rPr>
                                      <w:rFonts w:cs="Times New Roman"/>
                                      <w:b/>
                                      <w:color w:val="000000" w:themeColor="text1"/>
                                      <w:sz w:val="20"/>
                                      <w:szCs w:val="20"/>
                                    </w:rPr>
                                    <w:t>60</w:t>
                                  </w:r>
                                  <w:r w:rsidR="00A31057" w:rsidRPr="00624CCE">
                                    <w:rPr>
                                      <w:rFonts w:cs="Times New Roman"/>
                                      <w:b/>
                                      <w:color w:val="000000" w:themeColor="text1"/>
                                      <w:sz w:val="20"/>
                                      <w:szCs w:val="20"/>
                                    </w:rPr>
                                    <w:t xml:space="preserve"> </w:t>
                                  </w:r>
                                  <w:r w:rsidRPr="00624CCE">
                                    <w:rPr>
                                      <w:rFonts w:cs="Times New Roman"/>
                                      <w:b/>
                                      <w:color w:val="000000" w:themeColor="text1"/>
                                      <w:sz w:val="20"/>
                                      <w:szCs w:val="20"/>
                                    </w:rPr>
                                    <w:t>(0.</w:t>
                                  </w:r>
                                  <w:r w:rsidR="0074135E" w:rsidRPr="00624CCE">
                                    <w:rPr>
                                      <w:rFonts w:cs="Times New Roman"/>
                                      <w:b/>
                                      <w:color w:val="000000" w:themeColor="text1"/>
                                      <w:sz w:val="20"/>
                                      <w:szCs w:val="20"/>
                                    </w:rPr>
                                    <w:t>9</w:t>
                                  </w:r>
                                  <w:r w:rsidR="0074135E">
                                    <w:rPr>
                                      <w:rFonts w:cs="Times New Roman"/>
                                      <w:b/>
                                      <w:color w:val="000000" w:themeColor="text1"/>
                                      <w:sz w:val="20"/>
                                      <w:szCs w:val="20"/>
                                    </w:rPr>
                                    <w:t>43</w:t>
                                  </w:r>
                                  <w:r w:rsidRPr="00624CCE">
                                    <w:rPr>
                                      <w:rFonts w:cs="Times New Roman"/>
                                      <w:b/>
                                      <w:color w:val="000000" w:themeColor="text1"/>
                                      <w:sz w:val="20"/>
                                      <w:szCs w:val="20"/>
                                    </w:rPr>
                                    <w:t>—0.</w:t>
                                  </w:r>
                                  <w:r w:rsidR="0074135E" w:rsidRPr="00624CCE">
                                    <w:rPr>
                                      <w:rFonts w:cs="Times New Roman"/>
                                      <w:b/>
                                      <w:color w:val="000000" w:themeColor="text1"/>
                                      <w:sz w:val="20"/>
                                      <w:szCs w:val="20"/>
                                    </w:rPr>
                                    <w:t>97</w:t>
                                  </w:r>
                                  <w:r w:rsidR="0074135E">
                                    <w:rPr>
                                      <w:rFonts w:cs="Times New Roman"/>
                                      <w:b/>
                                      <w:color w:val="000000" w:themeColor="text1"/>
                                      <w:sz w:val="20"/>
                                      <w:szCs w:val="20"/>
                                    </w:rPr>
                                    <w:t>9</w:t>
                                  </w:r>
                                  <w:r w:rsidRPr="00624CCE">
                                    <w:rPr>
                                      <w:rFonts w:cs="Times New Roman"/>
                                      <w:b/>
                                      <w:color w:val="000000" w:themeColor="text1"/>
                                      <w:sz w:val="20"/>
                                      <w:szCs w:val="20"/>
                                    </w:rPr>
                                    <w:t>)</w:t>
                                  </w:r>
                                </w:p>
                              </w:tc>
                              <w:tc>
                                <w:tcPr>
                                  <w:tcW w:w="2970" w:type="dxa"/>
                                  <w:shd w:val="clear" w:color="auto" w:fill="FFFFFF" w:themeFill="background1"/>
                                </w:tcPr>
                                <w:p w14:paraId="35E7DDEF" w14:textId="4EC3F455" w:rsidR="008616EE" w:rsidRPr="00624CCE" w:rsidRDefault="008616EE" w:rsidP="0074135E">
                                  <w:pPr>
                                    <w:rPr>
                                      <w:rFonts w:cs="Times New Roman"/>
                                      <w:b/>
                                      <w:color w:val="000000" w:themeColor="text1"/>
                                      <w:sz w:val="20"/>
                                      <w:szCs w:val="20"/>
                                    </w:rPr>
                                  </w:pPr>
                                  <w:r w:rsidRPr="00624CCE">
                                    <w:rPr>
                                      <w:rFonts w:cs="Times New Roman"/>
                                      <w:b/>
                                      <w:color w:val="000000" w:themeColor="text1"/>
                                      <w:sz w:val="20"/>
                                      <w:szCs w:val="20"/>
                                    </w:rPr>
                                    <w:t>1.</w:t>
                                  </w:r>
                                  <w:r w:rsidR="005164AF" w:rsidRPr="00624CCE">
                                    <w:rPr>
                                      <w:rFonts w:cs="Times New Roman"/>
                                      <w:b/>
                                      <w:color w:val="000000" w:themeColor="text1"/>
                                      <w:sz w:val="20"/>
                                      <w:szCs w:val="20"/>
                                    </w:rPr>
                                    <w:t>10</w:t>
                                  </w:r>
                                  <w:r w:rsidR="005164AF">
                                    <w:rPr>
                                      <w:rFonts w:cs="Times New Roman"/>
                                      <w:b/>
                                      <w:color w:val="000000" w:themeColor="text1"/>
                                      <w:sz w:val="20"/>
                                      <w:szCs w:val="20"/>
                                    </w:rPr>
                                    <w:t>2</w:t>
                                  </w:r>
                                  <w:r w:rsidR="005164AF" w:rsidRPr="00624CCE">
                                    <w:rPr>
                                      <w:rFonts w:cs="Times New Roman"/>
                                      <w:b/>
                                      <w:color w:val="000000" w:themeColor="text1"/>
                                      <w:sz w:val="20"/>
                                      <w:szCs w:val="20"/>
                                    </w:rPr>
                                    <w:t xml:space="preserve"> </w:t>
                                  </w:r>
                                  <w:r w:rsidRPr="00624CCE">
                                    <w:rPr>
                                      <w:rFonts w:cs="Times New Roman"/>
                                      <w:b/>
                                      <w:color w:val="000000" w:themeColor="text1"/>
                                      <w:sz w:val="20"/>
                                      <w:szCs w:val="20"/>
                                    </w:rPr>
                                    <w:t>(1.</w:t>
                                  </w:r>
                                  <w:r w:rsidR="0074135E" w:rsidRPr="00624CCE">
                                    <w:rPr>
                                      <w:rFonts w:cs="Times New Roman"/>
                                      <w:b/>
                                      <w:color w:val="000000" w:themeColor="text1"/>
                                      <w:sz w:val="20"/>
                                      <w:szCs w:val="20"/>
                                    </w:rPr>
                                    <w:t>07</w:t>
                                  </w:r>
                                  <w:r w:rsidR="0074135E">
                                    <w:rPr>
                                      <w:rFonts w:cs="Times New Roman"/>
                                      <w:b/>
                                      <w:color w:val="000000" w:themeColor="text1"/>
                                      <w:sz w:val="20"/>
                                      <w:szCs w:val="20"/>
                                    </w:rPr>
                                    <w:t>2</w:t>
                                  </w:r>
                                  <w:r w:rsidRPr="00624CCE">
                                    <w:rPr>
                                      <w:rFonts w:cs="Times New Roman"/>
                                      <w:b/>
                                      <w:color w:val="000000" w:themeColor="text1"/>
                                      <w:sz w:val="20"/>
                                      <w:szCs w:val="20"/>
                                    </w:rPr>
                                    <w:t>—1.</w:t>
                                  </w:r>
                                  <w:r w:rsidR="0074135E" w:rsidRPr="00624CCE">
                                    <w:rPr>
                                      <w:rFonts w:cs="Times New Roman"/>
                                      <w:b/>
                                      <w:color w:val="000000" w:themeColor="text1"/>
                                      <w:sz w:val="20"/>
                                      <w:szCs w:val="20"/>
                                    </w:rPr>
                                    <w:t>13</w:t>
                                  </w:r>
                                  <w:r w:rsidR="0074135E">
                                    <w:rPr>
                                      <w:rFonts w:cs="Times New Roman"/>
                                      <w:b/>
                                      <w:color w:val="000000" w:themeColor="text1"/>
                                      <w:sz w:val="20"/>
                                      <w:szCs w:val="20"/>
                                    </w:rPr>
                                    <w:t>3</w:t>
                                  </w:r>
                                  <w:r w:rsidRPr="00624CCE">
                                    <w:rPr>
                                      <w:rFonts w:cs="Times New Roman"/>
                                      <w:b/>
                                      <w:color w:val="000000" w:themeColor="text1"/>
                                      <w:sz w:val="20"/>
                                      <w:szCs w:val="20"/>
                                    </w:rPr>
                                    <w:t>)</w:t>
                                  </w:r>
                                </w:p>
                              </w:tc>
                            </w:tr>
                            <w:tr w:rsidR="008616EE" w:rsidRPr="00624CCE" w14:paraId="124D1C92" w14:textId="77777777" w:rsidTr="008616EE">
                              <w:tc>
                                <w:tcPr>
                                  <w:tcW w:w="2454" w:type="dxa"/>
                                  <w:shd w:val="clear" w:color="auto" w:fill="FFFFFF" w:themeFill="background1"/>
                                </w:tcPr>
                                <w:p w14:paraId="150CC30F" w14:textId="77777777" w:rsidR="008616EE" w:rsidRPr="00624CCE" w:rsidRDefault="008616EE" w:rsidP="008616EE">
                                  <w:pPr>
                                    <w:rPr>
                                      <w:rFonts w:cs="Times New Roman"/>
                                      <w:color w:val="000000" w:themeColor="text1"/>
                                      <w:sz w:val="20"/>
                                      <w:szCs w:val="20"/>
                                    </w:rPr>
                                  </w:pPr>
                                  <w:r w:rsidRPr="00624CCE">
                                    <w:rPr>
                                      <w:rFonts w:cs="Times New Roman"/>
                                      <w:color w:val="000000" w:themeColor="text1"/>
                                      <w:sz w:val="20"/>
                                      <w:szCs w:val="20"/>
                                    </w:rPr>
                                    <w:t xml:space="preserve">Socioeconomic deprivation </w:t>
                                  </w:r>
                                  <w:r w:rsidRPr="00624CCE">
                                    <w:rPr>
                                      <w:rFonts w:cs="Times New Roman"/>
                                      <w:color w:val="000000" w:themeColor="text1"/>
                                      <w:sz w:val="20"/>
                                      <w:szCs w:val="20"/>
                                      <w:vertAlign w:val="superscript"/>
                                    </w:rPr>
                                    <w:t>a</w:t>
                                  </w:r>
                                </w:p>
                              </w:tc>
                              <w:tc>
                                <w:tcPr>
                                  <w:tcW w:w="1861" w:type="dxa"/>
                                  <w:shd w:val="clear" w:color="auto" w:fill="FFFFFF" w:themeFill="background1"/>
                                </w:tcPr>
                                <w:p w14:paraId="25A3D877" w14:textId="77777777" w:rsidR="008616EE" w:rsidRPr="00624CCE" w:rsidRDefault="008616EE" w:rsidP="008616EE">
                                  <w:pPr>
                                    <w:rPr>
                                      <w:rFonts w:cs="Times New Roman"/>
                                      <w:b/>
                                      <w:color w:val="000000" w:themeColor="text1"/>
                                      <w:sz w:val="20"/>
                                      <w:szCs w:val="20"/>
                                    </w:rPr>
                                  </w:pPr>
                                  <w:r w:rsidRPr="00624CCE">
                                    <w:rPr>
                                      <w:rFonts w:cs="Times New Roman"/>
                                      <w:b/>
                                      <w:color w:val="000000" w:themeColor="text1"/>
                                      <w:sz w:val="20"/>
                                      <w:szCs w:val="20"/>
                                    </w:rPr>
                                    <w:t>-1.85 (0.46)</w:t>
                                  </w:r>
                                </w:p>
                              </w:tc>
                              <w:tc>
                                <w:tcPr>
                                  <w:tcW w:w="2880" w:type="dxa"/>
                                  <w:shd w:val="clear" w:color="auto" w:fill="FFFFFF" w:themeFill="background1"/>
                                </w:tcPr>
                                <w:p w14:paraId="19B401AF" w14:textId="5009A741" w:rsidR="008616EE" w:rsidRPr="00624CCE" w:rsidRDefault="008616EE" w:rsidP="0074135E">
                                  <w:pPr>
                                    <w:rPr>
                                      <w:rFonts w:cs="Times New Roman"/>
                                      <w:color w:val="000000" w:themeColor="text1"/>
                                      <w:sz w:val="20"/>
                                      <w:szCs w:val="20"/>
                                    </w:rPr>
                                  </w:pPr>
                                  <w:r w:rsidRPr="00624CCE">
                                    <w:rPr>
                                      <w:rFonts w:cs="Times New Roman"/>
                                      <w:color w:val="000000" w:themeColor="text1"/>
                                      <w:sz w:val="20"/>
                                      <w:szCs w:val="20"/>
                                    </w:rPr>
                                    <w:t>1.022 (0.</w:t>
                                  </w:r>
                                  <w:r w:rsidR="0074135E" w:rsidRPr="00624CCE">
                                    <w:rPr>
                                      <w:rFonts w:cs="Times New Roman"/>
                                      <w:color w:val="000000" w:themeColor="text1"/>
                                      <w:sz w:val="20"/>
                                      <w:szCs w:val="20"/>
                                    </w:rPr>
                                    <w:t>99</w:t>
                                  </w:r>
                                  <w:r w:rsidR="0074135E">
                                    <w:rPr>
                                      <w:rFonts w:cs="Times New Roman"/>
                                      <w:color w:val="000000" w:themeColor="text1"/>
                                      <w:sz w:val="20"/>
                                      <w:szCs w:val="20"/>
                                    </w:rPr>
                                    <w:t>4</w:t>
                                  </w:r>
                                  <w:r w:rsidRPr="00624CCE">
                                    <w:rPr>
                                      <w:rFonts w:cs="Times New Roman"/>
                                      <w:b/>
                                      <w:color w:val="000000" w:themeColor="text1"/>
                                      <w:sz w:val="20"/>
                                      <w:szCs w:val="20"/>
                                    </w:rPr>
                                    <w:t>—</w:t>
                                  </w:r>
                                  <w:r w:rsidRPr="00624CCE">
                                    <w:rPr>
                                      <w:rFonts w:cs="Times New Roman"/>
                                      <w:color w:val="000000" w:themeColor="text1"/>
                                      <w:sz w:val="20"/>
                                      <w:szCs w:val="20"/>
                                    </w:rPr>
                                    <w:t>1.</w:t>
                                  </w:r>
                                  <w:r w:rsidR="0074135E" w:rsidRPr="00624CCE">
                                    <w:rPr>
                                      <w:rFonts w:cs="Times New Roman"/>
                                      <w:color w:val="000000" w:themeColor="text1"/>
                                      <w:sz w:val="20"/>
                                      <w:szCs w:val="20"/>
                                    </w:rPr>
                                    <w:t>05</w:t>
                                  </w:r>
                                  <w:r w:rsidR="0074135E">
                                    <w:rPr>
                                      <w:rFonts w:cs="Times New Roman"/>
                                      <w:color w:val="000000" w:themeColor="text1"/>
                                      <w:sz w:val="20"/>
                                      <w:szCs w:val="20"/>
                                    </w:rPr>
                                    <w:t>2</w:t>
                                  </w:r>
                                  <w:r w:rsidRPr="00624CCE">
                                    <w:rPr>
                                      <w:rFonts w:cs="Times New Roman"/>
                                      <w:color w:val="000000" w:themeColor="text1"/>
                                      <w:sz w:val="20"/>
                                      <w:szCs w:val="20"/>
                                    </w:rPr>
                                    <w:t>)</w:t>
                                  </w:r>
                                </w:p>
                              </w:tc>
                              <w:tc>
                                <w:tcPr>
                                  <w:tcW w:w="2970" w:type="dxa"/>
                                  <w:shd w:val="clear" w:color="auto" w:fill="FFFFFF" w:themeFill="background1"/>
                                </w:tcPr>
                                <w:p w14:paraId="29B14FBF" w14:textId="37988C75" w:rsidR="008616EE" w:rsidRPr="00624CCE" w:rsidRDefault="008616EE" w:rsidP="0074135E">
                                  <w:pPr>
                                    <w:rPr>
                                      <w:rFonts w:cs="Times New Roman"/>
                                      <w:b/>
                                      <w:color w:val="000000" w:themeColor="text1"/>
                                      <w:sz w:val="20"/>
                                      <w:szCs w:val="20"/>
                                    </w:rPr>
                                  </w:pPr>
                                  <w:r w:rsidRPr="00624CCE">
                                    <w:rPr>
                                      <w:rFonts w:cs="Times New Roman"/>
                                      <w:b/>
                                      <w:color w:val="000000" w:themeColor="text1"/>
                                      <w:sz w:val="20"/>
                                      <w:szCs w:val="20"/>
                                    </w:rPr>
                                    <w:t>1.</w:t>
                                  </w:r>
                                  <w:r w:rsidR="005164AF" w:rsidRPr="00624CCE">
                                    <w:rPr>
                                      <w:rFonts w:cs="Times New Roman"/>
                                      <w:b/>
                                      <w:color w:val="000000" w:themeColor="text1"/>
                                      <w:sz w:val="20"/>
                                      <w:szCs w:val="20"/>
                                    </w:rPr>
                                    <w:t>06</w:t>
                                  </w:r>
                                  <w:r w:rsidR="005164AF">
                                    <w:rPr>
                                      <w:rFonts w:cs="Times New Roman"/>
                                      <w:b/>
                                      <w:color w:val="000000" w:themeColor="text1"/>
                                      <w:sz w:val="20"/>
                                      <w:szCs w:val="20"/>
                                    </w:rPr>
                                    <w:t>4</w:t>
                                  </w:r>
                                  <w:r w:rsidR="005164AF" w:rsidRPr="00624CCE">
                                    <w:rPr>
                                      <w:rFonts w:cs="Times New Roman"/>
                                      <w:b/>
                                      <w:color w:val="000000" w:themeColor="text1"/>
                                      <w:sz w:val="20"/>
                                      <w:szCs w:val="20"/>
                                    </w:rPr>
                                    <w:t xml:space="preserve"> </w:t>
                                  </w:r>
                                  <w:r w:rsidRPr="00624CCE">
                                    <w:rPr>
                                      <w:rFonts w:cs="Times New Roman"/>
                                      <w:b/>
                                      <w:color w:val="000000" w:themeColor="text1"/>
                                      <w:sz w:val="20"/>
                                      <w:szCs w:val="20"/>
                                    </w:rPr>
                                    <w:t>(1.</w:t>
                                  </w:r>
                                  <w:r w:rsidR="0074135E" w:rsidRPr="00624CCE">
                                    <w:rPr>
                                      <w:rFonts w:cs="Times New Roman"/>
                                      <w:b/>
                                      <w:color w:val="000000" w:themeColor="text1"/>
                                      <w:sz w:val="20"/>
                                      <w:szCs w:val="20"/>
                                    </w:rPr>
                                    <w:t>02</w:t>
                                  </w:r>
                                  <w:r w:rsidR="0074135E">
                                    <w:rPr>
                                      <w:rFonts w:cs="Times New Roman"/>
                                      <w:b/>
                                      <w:color w:val="000000" w:themeColor="text1"/>
                                      <w:sz w:val="20"/>
                                      <w:szCs w:val="20"/>
                                    </w:rPr>
                                    <w:t>4</w:t>
                                  </w:r>
                                  <w:r w:rsidRPr="00624CCE">
                                    <w:rPr>
                                      <w:rFonts w:cs="Times New Roman"/>
                                      <w:b/>
                                      <w:color w:val="000000" w:themeColor="text1"/>
                                      <w:sz w:val="20"/>
                                      <w:szCs w:val="20"/>
                                    </w:rPr>
                                    <w:t>—1.</w:t>
                                  </w:r>
                                  <w:r w:rsidR="0074135E" w:rsidRPr="00624CCE">
                                    <w:rPr>
                                      <w:rFonts w:cs="Times New Roman"/>
                                      <w:b/>
                                      <w:color w:val="000000" w:themeColor="text1"/>
                                      <w:sz w:val="20"/>
                                      <w:szCs w:val="20"/>
                                    </w:rPr>
                                    <w:t>10</w:t>
                                  </w:r>
                                  <w:r w:rsidR="0074135E">
                                    <w:rPr>
                                      <w:rFonts w:cs="Times New Roman"/>
                                      <w:b/>
                                      <w:color w:val="000000" w:themeColor="text1"/>
                                      <w:sz w:val="20"/>
                                      <w:szCs w:val="20"/>
                                    </w:rPr>
                                    <w:t>6</w:t>
                                  </w:r>
                                  <w:r w:rsidRPr="00624CCE">
                                    <w:rPr>
                                      <w:rFonts w:cs="Times New Roman"/>
                                      <w:b/>
                                      <w:color w:val="000000" w:themeColor="text1"/>
                                      <w:sz w:val="20"/>
                                      <w:szCs w:val="20"/>
                                    </w:rPr>
                                    <w:t>)</w:t>
                                  </w:r>
                                </w:p>
                              </w:tc>
                            </w:tr>
                            <w:tr w:rsidR="008616EE" w:rsidRPr="00624CCE" w14:paraId="2937DF68" w14:textId="77777777" w:rsidTr="008616EE">
                              <w:tc>
                                <w:tcPr>
                                  <w:tcW w:w="2454" w:type="dxa"/>
                                  <w:shd w:val="clear" w:color="auto" w:fill="FFFFFF" w:themeFill="background1"/>
                                </w:tcPr>
                                <w:p w14:paraId="334DB9C6" w14:textId="77777777" w:rsidR="008616EE" w:rsidRPr="00624CCE" w:rsidRDefault="008616EE" w:rsidP="008616EE">
                                  <w:pPr>
                                    <w:rPr>
                                      <w:rFonts w:cs="Times New Roman"/>
                                      <w:color w:val="000000" w:themeColor="text1"/>
                                      <w:sz w:val="20"/>
                                      <w:szCs w:val="20"/>
                                    </w:rPr>
                                  </w:pPr>
                                  <w:r w:rsidRPr="00624CCE">
                                    <w:rPr>
                                      <w:rFonts w:cs="Times New Roman"/>
                                      <w:color w:val="000000" w:themeColor="text1"/>
                                      <w:sz w:val="20"/>
                                      <w:szCs w:val="20"/>
                                    </w:rPr>
                                    <w:t>Population density</w:t>
                                  </w:r>
                                </w:p>
                              </w:tc>
                              <w:tc>
                                <w:tcPr>
                                  <w:tcW w:w="1861" w:type="dxa"/>
                                  <w:shd w:val="clear" w:color="auto" w:fill="FFFFFF" w:themeFill="background1"/>
                                </w:tcPr>
                                <w:p w14:paraId="47DCA544" w14:textId="77777777" w:rsidR="008616EE" w:rsidRPr="00624CCE" w:rsidRDefault="008616EE" w:rsidP="008616EE">
                                  <w:pPr>
                                    <w:rPr>
                                      <w:rFonts w:cs="Times New Roman"/>
                                      <w:b/>
                                      <w:color w:val="000000" w:themeColor="text1"/>
                                      <w:sz w:val="20"/>
                                      <w:szCs w:val="20"/>
                                    </w:rPr>
                                  </w:pPr>
                                  <w:r w:rsidRPr="00624CCE">
                                    <w:rPr>
                                      <w:rFonts w:cs="Times New Roman"/>
                                      <w:b/>
                                      <w:color w:val="000000" w:themeColor="text1"/>
                                      <w:sz w:val="20"/>
                                      <w:szCs w:val="20"/>
                                    </w:rPr>
                                    <w:t>272.94 (1812.99)</w:t>
                                  </w:r>
                                </w:p>
                              </w:tc>
                              <w:tc>
                                <w:tcPr>
                                  <w:tcW w:w="2880" w:type="dxa"/>
                                  <w:shd w:val="clear" w:color="auto" w:fill="FFFFFF" w:themeFill="background1"/>
                                </w:tcPr>
                                <w:p w14:paraId="76BCEE5A" w14:textId="18E27B81" w:rsidR="008616EE" w:rsidRPr="00624CCE" w:rsidRDefault="008616EE" w:rsidP="0074135E">
                                  <w:pPr>
                                    <w:rPr>
                                      <w:rFonts w:cs="Times New Roman"/>
                                      <w:b/>
                                      <w:color w:val="000000" w:themeColor="text1"/>
                                      <w:sz w:val="20"/>
                                      <w:szCs w:val="20"/>
                                    </w:rPr>
                                  </w:pPr>
                                  <w:r w:rsidRPr="00624CCE">
                                    <w:rPr>
                                      <w:rFonts w:cs="Times New Roman"/>
                                      <w:b/>
                                      <w:color w:val="000000" w:themeColor="text1"/>
                                      <w:sz w:val="20"/>
                                      <w:szCs w:val="20"/>
                                    </w:rPr>
                                    <w:t>0.</w:t>
                                  </w:r>
                                  <w:r w:rsidR="00A31057" w:rsidRPr="00624CCE">
                                    <w:rPr>
                                      <w:rFonts w:cs="Times New Roman"/>
                                      <w:b/>
                                      <w:color w:val="000000" w:themeColor="text1"/>
                                      <w:sz w:val="20"/>
                                      <w:szCs w:val="20"/>
                                    </w:rPr>
                                    <w:t>97</w:t>
                                  </w:r>
                                  <w:r w:rsidR="00A31057">
                                    <w:rPr>
                                      <w:rFonts w:cs="Times New Roman"/>
                                      <w:b/>
                                      <w:color w:val="000000" w:themeColor="text1"/>
                                      <w:sz w:val="20"/>
                                      <w:szCs w:val="20"/>
                                    </w:rPr>
                                    <w:t>2</w:t>
                                  </w:r>
                                  <w:r w:rsidR="00A31057" w:rsidRPr="00624CCE">
                                    <w:rPr>
                                      <w:rFonts w:cs="Times New Roman"/>
                                      <w:b/>
                                      <w:color w:val="000000" w:themeColor="text1"/>
                                      <w:sz w:val="20"/>
                                      <w:szCs w:val="20"/>
                                    </w:rPr>
                                    <w:t xml:space="preserve"> </w:t>
                                  </w:r>
                                  <w:r w:rsidRPr="00624CCE">
                                    <w:rPr>
                                      <w:rFonts w:cs="Times New Roman"/>
                                      <w:b/>
                                      <w:color w:val="000000" w:themeColor="text1"/>
                                      <w:sz w:val="20"/>
                                      <w:szCs w:val="20"/>
                                    </w:rPr>
                                    <w:t>(0.</w:t>
                                  </w:r>
                                  <w:r w:rsidR="0074135E" w:rsidRPr="00624CCE">
                                    <w:rPr>
                                      <w:rFonts w:cs="Times New Roman"/>
                                      <w:b/>
                                      <w:color w:val="000000" w:themeColor="text1"/>
                                      <w:sz w:val="20"/>
                                      <w:szCs w:val="20"/>
                                    </w:rPr>
                                    <w:t>9</w:t>
                                  </w:r>
                                  <w:r w:rsidR="0074135E">
                                    <w:rPr>
                                      <w:rFonts w:cs="Times New Roman"/>
                                      <w:b/>
                                      <w:color w:val="000000" w:themeColor="text1"/>
                                      <w:sz w:val="20"/>
                                      <w:szCs w:val="20"/>
                                    </w:rPr>
                                    <w:t>50</w:t>
                                  </w:r>
                                  <w:r w:rsidRPr="00624CCE">
                                    <w:rPr>
                                      <w:rFonts w:cs="Times New Roman"/>
                                      <w:b/>
                                      <w:color w:val="000000" w:themeColor="text1"/>
                                      <w:sz w:val="20"/>
                                      <w:szCs w:val="20"/>
                                    </w:rPr>
                                    <w:t>—0.</w:t>
                                  </w:r>
                                  <w:r w:rsidR="0074135E" w:rsidRPr="00624CCE">
                                    <w:rPr>
                                      <w:rFonts w:cs="Times New Roman"/>
                                      <w:b/>
                                      <w:color w:val="000000" w:themeColor="text1"/>
                                      <w:sz w:val="20"/>
                                      <w:szCs w:val="20"/>
                                    </w:rPr>
                                    <w:t>99</w:t>
                                  </w:r>
                                  <w:r w:rsidR="0074135E">
                                    <w:rPr>
                                      <w:rFonts w:cs="Times New Roman"/>
                                      <w:b/>
                                      <w:color w:val="000000" w:themeColor="text1"/>
                                      <w:sz w:val="20"/>
                                      <w:szCs w:val="20"/>
                                    </w:rPr>
                                    <w:t>4</w:t>
                                  </w:r>
                                  <w:r w:rsidRPr="00624CCE">
                                    <w:rPr>
                                      <w:rFonts w:cs="Times New Roman"/>
                                      <w:b/>
                                      <w:color w:val="000000" w:themeColor="text1"/>
                                      <w:sz w:val="20"/>
                                      <w:szCs w:val="20"/>
                                    </w:rPr>
                                    <w:t>)</w:t>
                                  </w:r>
                                </w:p>
                              </w:tc>
                              <w:tc>
                                <w:tcPr>
                                  <w:tcW w:w="2970" w:type="dxa"/>
                                  <w:shd w:val="clear" w:color="auto" w:fill="FFFFFF" w:themeFill="background1"/>
                                </w:tcPr>
                                <w:p w14:paraId="4910EBEE" w14:textId="34985F3C" w:rsidR="008616EE" w:rsidRPr="00624CCE" w:rsidRDefault="008616EE" w:rsidP="0074135E">
                                  <w:pPr>
                                    <w:rPr>
                                      <w:rFonts w:cs="Times New Roman"/>
                                      <w:b/>
                                      <w:color w:val="000000" w:themeColor="text1"/>
                                      <w:sz w:val="20"/>
                                      <w:szCs w:val="20"/>
                                    </w:rPr>
                                  </w:pPr>
                                  <w:r w:rsidRPr="00624CCE">
                                    <w:rPr>
                                      <w:rFonts w:cs="Times New Roman"/>
                                      <w:b/>
                                      <w:color w:val="000000" w:themeColor="text1"/>
                                      <w:sz w:val="20"/>
                                      <w:szCs w:val="20"/>
                                    </w:rPr>
                                    <w:t>1.05</w:t>
                                  </w:r>
                                  <w:r w:rsidR="005164AF">
                                    <w:rPr>
                                      <w:rFonts w:cs="Times New Roman"/>
                                      <w:b/>
                                      <w:color w:val="000000" w:themeColor="text1"/>
                                      <w:sz w:val="20"/>
                                      <w:szCs w:val="20"/>
                                    </w:rPr>
                                    <w:t>6</w:t>
                                  </w:r>
                                  <w:r w:rsidRPr="00624CCE">
                                    <w:rPr>
                                      <w:rFonts w:cs="Times New Roman"/>
                                      <w:b/>
                                      <w:color w:val="000000" w:themeColor="text1"/>
                                      <w:sz w:val="20"/>
                                      <w:szCs w:val="20"/>
                                    </w:rPr>
                                    <w:t xml:space="preserve"> (1.</w:t>
                                  </w:r>
                                  <w:r w:rsidR="0074135E" w:rsidRPr="00624CCE">
                                    <w:rPr>
                                      <w:rFonts w:cs="Times New Roman"/>
                                      <w:b/>
                                      <w:color w:val="000000" w:themeColor="text1"/>
                                      <w:sz w:val="20"/>
                                      <w:szCs w:val="20"/>
                                    </w:rPr>
                                    <w:t>02</w:t>
                                  </w:r>
                                  <w:r w:rsidR="0074135E">
                                    <w:rPr>
                                      <w:rFonts w:cs="Times New Roman"/>
                                      <w:b/>
                                      <w:color w:val="000000" w:themeColor="text1"/>
                                      <w:sz w:val="20"/>
                                      <w:szCs w:val="20"/>
                                    </w:rPr>
                                    <w:t>6</w:t>
                                  </w:r>
                                  <w:r w:rsidRPr="00624CCE">
                                    <w:rPr>
                                      <w:rFonts w:cs="Times New Roman"/>
                                      <w:b/>
                                      <w:color w:val="000000" w:themeColor="text1"/>
                                      <w:sz w:val="20"/>
                                      <w:szCs w:val="20"/>
                                    </w:rPr>
                                    <w:t>—1.</w:t>
                                  </w:r>
                                  <w:r w:rsidR="0074135E" w:rsidRPr="00624CCE">
                                    <w:rPr>
                                      <w:rFonts w:cs="Times New Roman"/>
                                      <w:b/>
                                      <w:color w:val="000000" w:themeColor="text1"/>
                                      <w:sz w:val="20"/>
                                      <w:szCs w:val="20"/>
                                    </w:rPr>
                                    <w:t>0</w:t>
                                  </w:r>
                                  <w:r w:rsidR="0074135E">
                                    <w:rPr>
                                      <w:rFonts w:cs="Times New Roman"/>
                                      <w:b/>
                                      <w:color w:val="000000" w:themeColor="text1"/>
                                      <w:sz w:val="20"/>
                                      <w:szCs w:val="20"/>
                                    </w:rPr>
                                    <w:t>84</w:t>
                                  </w:r>
                                  <w:r w:rsidRPr="00624CCE">
                                    <w:rPr>
                                      <w:rFonts w:cs="Times New Roman"/>
                                      <w:b/>
                                      <w:color w:val="000000" w:themeColor="text1"/>
                                      <w:sz w:val="20"/>
                                      <w:szCs w:val="20"/>
                                    </w:rPr>
                                    <w:t>)</w:t>
                                  </w:r>
                                </w:p>
                              </w:tc>
                            </w:tr>
                            <w:tr w:rsidR="008616EE" w:rsidRPr="00624CCE" w14:paraId="67965827" w14:textId="77777777" w:rsidTr="008616EE">
                              <w:tc>
                                <w:tcPr>
                                  <w:tcW w:w="2454" w:type="dxa"/>
                                  <w:shd w:val="clear" w:color="auto" w:fill="FFFFFF" w:themeFill="background1"/>
                                </w:tcPr>
                                <w:p w14:paraId="5F82595E" w14:textId="77777777" w:rsidR="008616EE" w:rsidRPr="00624CCE" w:rsidRDefault="008616EE" w:rsidP="008616EE">
                                  <w:pPr>
                                    <w:rPr>
                                      <w:rFonts w:cs="Times New Roman"/>
                                      <w:color w:val="000000" w:themeColor="text1"/>
                                      <w:sz w:val="20"/>
                                      <w:szCs w:val="20"/>
                                    </w:rPr>
                                  </w:pPr>
                                  <w:r w:rsidRPr="00624CCE">
                                    <w:rPr>
                                      <w:rFonts w:cs="Times New Roman"/>
                                      <w:color w:val="000000" w:themeColor="text1"/>
                                      <w:sz w:val="20"/>
                                      <w:szCs w:val="20"/>
                                    </w:rPr>
                                    <w:t>Chlamydia rate</w:t>
                                  </w:r>
                                </w:p>
                              </w:tc>
                              <w:tc>
                                <w:tcPr>
                                  <w:tcW w:w="1861" w:type="dxa"/>
                                  <w:shd w:val="clear" w:color="auto" w:fill="FFFFFF" w:themeFill="background1"/>
                                </w:tcPr>
                                <w:p w14:paraId="26AB5B05" w14:textId="77777777" w:rsidR="008616EE" w:rsidRPr="00624CCE" w:rsidRDefault="008616EE" w:rsidP="008616EE">
                                  <w:pPr>
                                    <w:rPr>
                                      <w:rFonts w:cs="Times New Roman"/>
                                      <w:b/>
                                      <w:color w:val="000000" w:themeColor="text1"/>
                                      <w:sz w:val="20"/>
                                      <w:szCs w:val="20"/>
                                    </w:rPr>
                                  </w:pPr>
                                  <w:r w:rsidRPr="00624CCE">
                                    <w:rPr>
                                      <w:rFonts w:cs="Times New Roman"/>
                                      <w:b/>
                                      <w:color w:val="000000" w:themeColor="text1"/>
                                      <w:sz w:val="20"/>
                                      <w:szCs w:val="20"/>
                                    </w:rPr>
                                    <w:t>391.85 (277.08)</w:t>
                                  </w:r>
                                </w:p>
                              </w:tc>
                              <w:tc>
                                <w:tcPr>
                                  <w:tcW w:w="2880" w:type="dxa"/>
                                  <w:shd w:val="clear" w:color="auto" w:fill="FFFFFF" w:themeFill="background1"/>
                                </w:tcPr>
                                <w:p w14:paraId="16CF8990" w14:textId="57AD5D08" w:rsidR="008616EE" w:rsidRPr="00624CCE" w:rsidRDefault="008616EE" w:rsidP="0074135E">
                                  <w:pPr>
                                    <w:rPr>
                                      <w:rFonts w:cs="Times New Roman"/>
                                      <w:b/>
                                      <w:color w:val="000000" w:themeColor="text1"/>
                                      <w:sz w:val="20"/>
                                      <w:szCs w:val="20"/>
                                    </w:rPr>
                                  </w:pPr>
                                  <w:r w:rsidRPr="00624CCE">
                                    <w:rPr>
                                      <w:rFonts w:cs="Times New Roman"/>
                                      <w:b/>
                                      <w:color w:val="000000" w:themeColor="text1"/>
                                      <w:sz w:val="20"/>
                                      <w:szCs w:val="20"/>
                                    </w:rPr>
                                    <w:t>1.</w:t>
                                  </w:r>
                                  <w:r w:rsidR="00A31057" w:rsidRPr="00624CCE">
                                    <w:rPr>
                                      <w:rFonts w:cs="Times New Roman"/>
                                      <w:b/>
                                      <w:color w:val="000000" w:themeColor="text1"/>
                                      <w:sz w:val="20"/>
                                      <w:szCs w:val="20"/>
                                    </w:rPr>
                                    <w:t>06</w:t>
                                  </w:r>
                                  <w:r w:rsidR="00A31057">
                                    <w:rPr>
                                      <w:rFonts w:cs="Times New Roman"/>
                                      <w:b/>
                                      <w:color w:val="000000" w:themeColor="text1"/>
                                      <w:sz w:val="20"/>
                                      <w:szCs w:val="20"/>
                                    </w:rPr>
                                    <w:t>6</w:t>
                                  </w:r>
                                  <w:r w:rsidR="00A31057" w:rsidRPr="00624CCE">
                                    <w:rPr>
                                      <w:rFonts w:cs="Times New Roman"/>
                                      <w:b/>
                                      <w:color w:val="000000" w:themeColor="text1"/>
                                      <w:sz w:val="20"/>
                                      <w:szCs w:val="20"/>
                                    </w:rPr>
                                    <w:t xml:space="preserve"> </w:t>
                                  </w:r>
                                  <w:r w:rsidRPr="00624CCE">
                                    <w:rPr>
                                      <w:rFonts w:cs="Times New Roman"/>
                                      <w:b/>
                                      <w:color w:val="000000" w:themeColor="text1"/>
                                      <w:sz w:val="20"/>
                                      <w:szCs w:val="20"/>
                                    </w:rPr>
                                    <w:t>(1.</w:t>
                                  </w:r>
                                  <w:r w:rsidR="0074135E" w:rsidRPr="00624CCE">
                                    <w:rPr>
                                      <w:rFonts w:cs="Times New Roman"/>
                                      <w:b/>
                                      <w:color w:val="000000" w:themeColor="text1"/>
                                      <w:sz w:val="20"/>
                                      <w:szCs w:val="20"/>
                                    </w:rPr>
                                    <w:t>04</w:t>
                                  </w:r>
                                  <w:r w:rsidR="0074135E">
                                    <w:rPr>
                                      <w:rFonts w:cs="Times New Roman"/>
                                      <w:b/>
                                      <w:color w:val="000000" w:themeColor="text1"/>
                                      <w:sz w:val="20"/>
                                      <w:szCs w:val="20"/>
                                    </w:rPr>
                                    <w:t>3</w:t>
                                  </w:r>
                                  <w:r w:rsidRPr="00624CCE">
                                    <w:rPr>
                                      <w:rFonts w:cs="Times New Roman"/>
                                      <w:b/>
                                      <w:color w:val="000000" w:themeColor="text1"/>
                                      <w:sz w:val="20"/>
                                      <w:szCs w:val="20"/>
                                    </w:rPr>
                                    <w:t>—1.</w:t>
                                  </w:r>
                                  <w:r w:rsidR="0074135E" w:rsidRPr="00624CCE">
                                    <w:rPr>
                                      <w:rFonts w:cs="Times New Roman"/>
                                      <w:b/>
                                      <w:color w:val="000000" w:themeColor="text1"/>
                                      <w:sz w:val="20"/>
                                      <w:szCs w:val="20"/>
                                    </w:rPr>
                                    <w:t>08</w:t>
                                  </w:r>
                                  <w:r w:rsidR="0074135E">
                                    <w:rPr>
                                      <w:rFonts w:cs="Times New Roman"/>
                                      <w:b/>
                                      <w:color w:val="000000" w:themeColor="text1"/>
                                      <w:sz w:val="20"/>
                                      <w:szCs w:val="20"/>
                                    </w:rPr>
                                    <w:t>7</w:t>
                                  </w:r>
                                  <w:r w:rsidRPr="00624CCE">
                                    <w:rPr>
                                      <w:rFonts w:cs="Times New Roman"/>
                                      <w:b/>
                                      <w:color w:val="000000" w:themeColor="text1"/>
                                      <w:sz w:val="20"/>
                                      <w:szCs w:val="20"/>
                                    </w:rPr>
                                    <w:t>)</w:t>
                                  </w:r>
                                </w:p>
                              </w:tc>
                              <w:tc>
                                <w:tcPr>
                                  <w:tcW w:w="2970" w:type="dxa"/>
                                  <w:shd w:val="clear" w:color="auto" w:fill="FFFFFF" w:themeFill="background1"/>
                                </w:tcPr>
                                <w:p w14:paraId="32DD1C60" w14:textId="451C29BE" w:rsidR="008616EE" w:rsidRPr="00624CCE" w:rsidRDefault="008616EE" w:rsidP="0074135E">
                                  <w:pPr>
                                    <w:rPr>
                                      <w:rFonts w:cs="Times New Roman"/>
                                      <w:b/>
                                      <w:color w:val="000000" w:themeColor="text1"/>
                                      <w:sz w:val="20"/>
                                      <w:szCs w:val="20"/>
                                    </w:rPr>
                                  </w:pPr>
                                  <w:r w:rsidRPr="00624CCE">
                                    <w:rPr>
                                      <w:rFonts w:cs="Times New Roman"/>
                                      <w:b/>
                                      <w:color w:val="000000" w:themeColor="text1"/>
                                      <w:sz w:val="20"/>
                                      <w:szCs w:val="20"/>
                                    </w:rPr>
                                    <w:t>1.</w:t>
                                  </w:r>
                                  <w:r w:rsidR="005164AF" w:rsidRPr="00624CCE">
                                    <w:rPr>
                                      <w:rFonts w:cs="Times New Roman"/>
                                      <w:b/>
                                      <w:color w:val="000000" w:themeColor="text1"/>
                                      <w:sz w:val="20"/>
                                      <w:szCs w:val="20"/>
                                    </w:rPr>
                                    <w:t>1</w:t>
                                  </w:r>
                                  <w:r w:rsidR="005164AF">
                                    <w:rPr>
                                      <w:rFonts w:cs="Times New Roman"/>
                                      <w:b/>
                                      <w:color w:val="000000" w:themeColor="text1"/>
                                      <w:sz w:val="20"/>
                                      <w:szCs w:val="20"/>
                                    </w:rPr>
                                    <w:t>70</w:t>
                                  </w:r>
                                  <w:r w:rsidR="005164AF" w:rsidRPr="00624CCE">
                                    <w:rPr>
                                      <w:rFonts w:cs="Times New Roman"/>
                                      <w:b/>
                                      <w:color w:val="000000" w:themeColor="text1"/>
                                      <w:sz w:val="20"/>
                                      <w:szCs w:val="20"/>
                                    </w:rPr>
                                    <w:t xml:space="preserve"> </w:t>
                                  </w:r>
                                  <w:r w:rsidRPr="00624CCE">
                                    <w:rPr>
                                      <w:rFonts w:cs="Times New Roman"/>
                                      <w:b/>
                                      <w:color w:val="000000" w:themeColor="text1"/>
                                      <w:sz w:val="20"/>
                                      <w:szCs w:val="20"/>
                                    </w:rPr>
                                    <w:t>(1.</w:t>
                                  </w:r>
                                  <w:r w:rsidR="0074135E" w:rsidRPr="00624CCE">
                                    <w:rPr>
                                      <w:rFonts w:cs="Times New Roman"/>
                                      <w:b/>
                                      <w:color w:val="000000" w:themeColor="text1"/>
                                      <w:sz w:val="20"/>
                                      <w:szCs w:val="20"/>
                                    </w:rPr>
                                    <w:t>1</w:t>
                                  </w:r>
                                  <w:r w:rsidR="0074135E">
                                    <w:rPr>
                                      <w:rFonts w:cs="Times New Roman"/>
                                      <w:b/>
                                      <w:color w:val="000000" w:themeColor="text1"/>
                                      <w:sz w:val="20"/>
                                      <w:szCs w:val="20"/>
                                    </w:rPr>
                                    <w:t>32</w:t>
                                  </w:r>
                                  <w:r w:rsidRPr="00624CCE">
                                    <w:rPr>
                                      <w:rFonts w:cs="Times New Roman"/>
                                      <w:b/>
                                      <w:color w:val="000000" w:themeColor="text1"/>
                                      <w:sz w:val="20"/>
                                      <w:szCs w:val="20"/>
                                    </w:rPr>
                                    <w:t>—1.</w:t>
                                  </w:r>
                                  <w:r w:rsidR="0074135E">
                                    <w:rPr>
                                      <w:rFonts w:cs="Times New Roman"/>
                                      <w:b/>
                                      <w:color w:val="000000" w:themeColor="text1"/>
                                      <w:sz w:val="20"/>
                                      <w:szCs w:val="20"/>
                                    </w:rPr>
                                    <w:t>20</w:t>
                                  </w:r>
                                  <w:r w:rsidR="0074135E" w:rsidRPr="00624CCE">
                                    <w:rPr>
                                      <w:rFonts w:cs="Times New Roman"/>
                                      <w:b/>
                                      <w:color w:val="000000" w:themeColor="text1"/>
                                      <w:sz w:val="20"/>
                                      <w:szCs w:val="20"/>
                                    </w:rPr>
                                    <w:t>9</w:t>
                                  </w:r>
                                  <w:r w:rsidRPr="00624CCE">
                                    <w:rPr>
                                      <w:rFonts w:cs="Times New Roman"/>
                                      <w:b/>
                                      <w:color w:val="000000" w:themeColor="text1"/>
                                      <w:sz w:val="20"/>
                                      <w:szCs w:val="20"/>
                                    </w:rPr>
                                    <w:t>)</w:t>
                                  </w:r>
                                </w:p>
                              </w:tc>
                            </w:tr>
                            <w:tr w:rsidR="008616EE" w:rsidRPr="00624CCE" w14:paraId="5B9B8819" w14:textId="77777777" w:rsidTr="008616EE">
                              <w:tc>
                                <w:tcPr>
                                  <w:tcW w:w="2454" w:type="dxa"/>
                                  <w:shd w:val="clear" w:color="auto" w:fill="FFFFFF" w:themeFill="background1"/>
                                </w:tcPr>
                                <w:p w14:paraId="0DC0C2BD" w14:textId="77777777" w:rsidR="008616EE" w:rsidRPr="00624CCE" w:rsidRDefault="008616EE" w:rsidP="008616EE">
                                  <w:pPr>
                                    <w:rPr>
                                      <w:rFonts w:cs="Times New Roman"/>
                                      <w:color w:val="000000" w:themeColor="text1"/>
                                      <w:sz w:val="20"/>
                                      <w:szCs w:val="20"/>
                                    </w:rPr>
                                  </w:pPr>
                                  <w:r w:rsidRPr="00624CCE">
                                    <w:rPr>
                                      <w:rFonts w:cs="Times New Roman"/>
                                      <w:color w:val="000000" w:themeColor="text1"/>
                                      <w:sz w:val="20"/>
                                      <w:szCs w:val="20"/>
                                    </w:rPr>
                                    <w:t>% uninsured under 65</w:t>
                                  </w:r>
                                </w:p>
                              </w:tc>
                              <w:tc>
                                <w:tcPr>
                                  <w:tcW w:w="1861" w:type="dxa"/>
                                  <w:shd w:val="clear" w:color="auto" w:fill="FFFFFF" w:themeFill="background1"/>
                                </w:tcPr>
                                <w:p w14:paraId="36FB75B9" w14:textId="77777777" w:rsidR="008616EE" w:rsidRPr="00624CCE" w:rsidRDefault="008616EE" w:rsidP="008616EE">
                                  <w:pPr>
                                    <w:rPr>
                                      <w:rFonts w:cs="Times New Roman"/>
                                      <w:b/>
                                      <w:color w:val="000000" w:themeColor="text1"/>
                                      <w:sz w:val="20"/>
                                      <w:szCs w:val="20"/>
                                    </w:rPr>
                                  </w:pPr>
                                  <w:r w:rsidRPr="00624CCE">
                                    <w:rPr>
                                      <w:rFonts w:cs="Times New Roman"/>
                                      <w:b/>
                                      <w:color w:val="000000" w:themeColor="text1"/>
                                      <w:sz w:val="20"/>
                                      <w:szCs w:val="20"/>
                                    </w:rPr>
                                    <w:t>14.19% (6.14%)</w:t>
                                  </w:r>
                                </w:p>
                              </w:tc>
                              <w:tc>
                                <w:tcPr>
                                  <w:tcW w:w="2880" w:type="dxa"/>
                                  <w:shd w:val="clear" w:color="auto" w:fill="FFFFFF" w:themeFill="background1"/>
                                </w:tcPr>
                                <w:p w14:paraId="67E0025C" w14:textId="6843FFCB" w:rsidR="008616EE" w:rsidRPr="00624CCE" w:rsidRDefault="008616EE" w:rsidP="0074135E">
                                  <w:pPr>
                                    <w:rPr>
                                      <w:rFonts w:cs="Times New Roman"/>
                                      <w:b/>
                                      <w:color w:val="000000" w:themeColor="text1"/>
                                      <w:sz w:val="20"/>
                                      <w:szCs w:val="20"/>
                                    </w:rPr>
                                  </w:pPr>
                                  <w:r w:rsidRPr="00624CCE">
                                    <w:rPr>
                                      <w:rFonts w:cs="Times New Roman"/>
                                      <w:b/>
                                      <w:color w:val="000000" w:themeColor="text1"/>
                                      <w:sz w:val="20"/>
                                      <w:szCs w:val="20"/>
                                    </w:rPr>
                                    <w:t>1.</w:t>
                                  </w:r>
                                  <w:r w:rsidR="00A31057" w:rsidRPr="00624CCE">
                                    <w:rPr>
                                      <w:rFonts w:cs="Times New Roman"/>
                                      <w:b/>
                                      <w:color w:val="000000" w:themeColor="text1"/>
                                      <w:sz w:val="20"/>
                                      <w:szCs w:val="20"/>
                                    </w:rPr>
                                    <w:t>1</w:t>
                                  </w:r>
                                  <w:r w:rsidR="00A31057">
                                    <w:rPr>
                                      <w:rFonts w:cs="Times New Roman"/>
                                      <w:b/>
                                      <w:color w:val="000000" w:themeColor="text1"/>
                                      <w:sz w:val="20"/>
                                      <w:szCs w:val="20"/>
                                    </w:rPr>
                                    <w:t>12</w:t>
                                  </w:r>
                                  <w:r w:rsidR="00A31057" w:rsidRPr="00624CCE">
                                    <w:rPr>
                                      <w:rFonts w:cs="Times New Roman"/>
                                      <w:b/>
                                      <w:color w:val="000000" w:themeColor="text1"/>
                                      <w:sz w:val="20"/>
                                      <w:szCs w:val="20"/>
                                    </w:rPr>
                                    <w:t xml:space="preserve"> </w:t>
                                  </w:r>
                                  <w:r w:rsidRPr="00624CCE">
                                    <w:rPr>
                                      <w:rFonts w:cs="Times New Roman"/>
                                      <w:b/>
                                      <w:color w:val="000000" w:themeColor="text1"/>
                                      <w:sz w:val="20"/>
                                      <w:szCs w:val="20"/>
                                    </w:rPr>
                                    <w:t>(1.</w:t>
                                  </w:r>
                                  <w:r w:rsidR="0074135E" w:rsidRPr="00624CCE">
                                    <w:rPr>
                                      <w:rFonts w:cs="Times New Roman"/>
                                      <w:b/>
                                      <w:color w:val="000000" w:themeColor="text1"/>
                                      <w:sz w:val="20"/>
                                      <w:szCs w:val="20"/>
                                    </w:rPr>
                                    <w:t>0</w:t>
                                  </w:r>
                                  <w:r w:rsidR="0074135E">
                                    <w:rPr>
                                      <w:rFonts w:cs="Times New Roman"/>
                                      <w:b/>
                                      <w:color w:val="000000" w:themeColor="text1"/>
                                      <w:sz w:val="20"/>
                                      <w:szCs w:val="20"/>
                                    </w:rPr>
                                    <w:t>71</w:t>
                                  </w:r>
                                  <w:r w:rsidRPr="00624CCE">
                                    <w:rPr>
                                      <w:rFonts w:cs="Times New Roman"/>
                                      <w:b/>
                                      <w:color w:val="000000" w:themeColor="text1"/>
                                      <w:sz w:val="20"/>
                                      <w:szCs w:val="20"/>
                                    </w:rPr>
                                    <w:t>—1.</w:t>
                                  </w:r>
                                  <w:r w:rsidR="0074135E" w:rsidRPr="00624CCE">
                                    <w:rPr>
                                      <w:rFonts w:cs="Times New Roman"/>
                                      <w:b/>
                                      <w:color w:val="000000" w:themeColor="text1"/>
                                      <w:sz w:val="20"/>
                                      <w:szCs w:val="20"/>
                                    </w:rPr>
                                    <w:t>1</w:t>
                                  </w:r>
                                  <w:r w:rsidR="0074135E">
                                    <w:rPr>
                                      <w:rFonts w:cs="Times New Roman"/>
                                      <w:b/>
                                      <w:color w:val="000000" w:themeColor="text1"/>
                                      <w:sz w:val="20"/>
                                      <w:szCs w:val="20"/>
                                    </w:rPr>
                                    <w:t>53</w:t>
                                  </w:r>
                                  <w:r w:rsidRPr="00624CCE">
                                    <w:rPr>
                                      <w:rFonts w:cs="Times New Roman"/>
                                      <w:b/>
                                      <w:color w:val="000000" w:themeColor="text1"/>
                                      <w:sz w:val="20"/>
                                      <w:szCs w:val="20"/>
                                    </w:rPr>
                                    <w:t>)</w:t>
                                  </w:r>
                                </w:p>
                              </w:tc>
                              <w:tc>
                                <w:tcPr>
                                  <w:tcW w:w="2970" w:type="dxa"/>
                                  <w:shd w:val="clear" w:color="auto" w:fill="FFFFFF" w:themeFill="background1"/>
                                </w:tcPr>
                                <w:p w14:paraId="17C7808E" w14:textId="66637EA5" w:rsidR="008616EE" w:rsidRPr="00624CCE" w:rsidRDefault="008616EE" w:rsidP="0074135E">
                                  <w:pPr>
                                    <w:rPr>
                                      <w:rFonts w:cs="Times New Roman"/>
                                      <w:color w:val="000000" w:themeColor="text1"/>
                                      <w:sz w:val="20"/>
                                      <w:szCs w:val="20"/>
                                    </w:rPr>
                                  </w:pPr>
                                  <w:r w:rsidRPr="00624CCE">
                                    <w:rPr>
                                      <w:rFonts w:cs="Times New Roman"/>
                                      <w:color w:val="000000" w:themeColor="text1"/>
                                      <w:sz w:val="20"/>
                                      <w:szCs w:val="20"/>
                                    </w:rPr>
                                    <w:t>1.</w:t>
                                  </w:r>
                                  <w:r w:rsidR="005164AF" w:rsidRPr="00624CCE">
                                    <w:rPr>
                                      <w:rFonts w:cs="Times New Roman"/>
                                      <w:color w:val="000000" w:themeColor="text1"/>
                                      <w:sz w:val="20"/>
                                      <w:szCs w:val="20"/>
                                    </w:rPr>
                                    <w:t>0</w:t>
                                  </w:r>
                                  <w:r w:rsidR="005164AF">
                                    <w:rPr>
                                      <w:rFonts w:cs="Times New Roman"/>
                                      <w:color w:val="000000" w:themeColor="text1"/>
                                      <w:sz w:val="20"/>
                                      <w:szCs w:val="20"/>
                                    </w:rPr>
                                    <w:t>31</w:t>
                                  </w:r>
                                  <w:r w:rsidR="005164AF" w:rsidRPr="00624CCE">
                                    <w:rPr>
                                      <w:rFonts w:cs="Times New Roman"/>
                                      <w:color w:val="000000" w:themeColor="text1"/>
                                      <w:sz w:val="20"/>
                                      <w:szCs w:val="20"/>
                                    </w:rPr>
                                    <w:t xml:space="preserve"> </w:t>
                                  </w:r>
                                  <w:r w:rsidRPr="00624CCE">
                                    <w:rPr>
                                      <w:rFonts w:cs="Times New Roman"/>
                                      <w:color w:val="000000" w:themeColor="text1"/>
                                      <w:sz w:val="20"/>
                                      <w:szCs w:val="20"/>
                                    </w:rPr>
                                    <w:t>(0.</w:t>
                                  </w:r>
                                  <w:r w:rsidR="0074135E" w:rsidRPr="00624CCE">
                                    <w:rPr>
                                      <w:rFonts w:cs="Times New Roman"/>
                                      <w:color w:val="000000" w:themeColor="text1"/>
                                      <w:sz w:val="20"/>
                                      <w:szCs w:val="20"/>
                                    </w:rPr>
                                    <w:t>9</w:t>
                                  </w:r>
                                  <w:r w:rsidR="0074135E">
                                    <w:rPr>
                                      <w:rFonts w:cs="Times New Roman"/>
                                      <w:color w:val="000000" w:themeColor="text1"/>
                                      <w:sz w:val="20"/>
                                      <w:szCs w:val="20"/>
                                    </w:rPr>
                                    <w:t>8</w:t>
                                  </w:r>
                                  <w:r w:rsidR="0074135E" w:rsidRPr="00624CCE">
                                    <w:rPr>
                                      <w:rFonts w:cs="Times New Roman"/>
                                      <w:color w:val="000000" w:themeColor="text1"/>
                                      <w:sz w:val="20"/>
                                      <w:szCs w:val="20"/>
                                    </w:rPr>
                                    <w:t>2</w:t>
                                  </w:r>
                                  <w:r w:rsidRPr="00624CCE">
                                    <w:rPr>
                                      <w:rFonts w:cs="Times New Roman"/>
                                      <w:b/>
                                      <w:color w:val="000000" w:themeColor="text1"/>
                                      <w:sz w:val="20"/>
                                      <w:szCs w:val="20"/>
                                    </w:rPr>
                                    <w:t>—</w:t>
                                  </w:r>
                                  <w:r w:rsidRPr="00624CCE">
                                    <w:rPr>
                                      <w:rFonts w:cs="Times New Roman"/>
                                      <w:color w:val="000000" w:themeColor="text1"/>
                                      <w:sz w:val="20"/>
                                      <w:szCs w:val="20"/>
                                    </w:rPr>
                                    <w:t>1.</w:t>
                                  </w:r>
                                  <w:r w:rsidR="0074135E" w:rsidRPr="00624CCE">
                                    <w:rPr>
                                      <w:rFonts w:cs="Times New Roman"/>
                                      <w:color w:val="000000" w:themeColor="text1"/>
                                      <w:sz w:val="20"/>
                                      <w:szCs w:val="20"/>
                                    </w:rPr>
                                    <w:t>08</w:t>
                                  </w:r>
                                  <w:r w:rsidR="0074135E">
                                    <w:rPr>
                                      <w:rFonts w:cs="Times New Roman"/>
                                      <w:color w:val="000000" w:themeColor="text1"/>
                                      <w:sz w:val="20"/>
                                      <w:szCs w:val="20"/>
                                    </w:rPr>
                                    <w:t>1</w:t>
                                  </w:r>
                                  <w:r w:rsidRPr="00624CCE">
                                    <w:rPr>
                                      <w:rFonts w:cs="Times New Roman"/>
                                      <w:color w:val="000000" w:themeColor="text1"/>
                                      <w:sz w:val="20"/>
                                      <w:szCs w:val="20"/>
                                    </w:rPr>
                                    <w:t>)</w:t>
                                  </w:r>
                                </w:p>
                              </w:tc>
                            </w:tr>
                            <w:tr w:rsidR="008616EE" w:rsidRPr="00624CCE" w14:paraId="3354866E" w14:textId="77777777" w:rsidTr="008616EE">
                              <w:tc>
                                <w:tcPr>
                                  <w:tcW w:w="2454" w:type="dxa"/>
                                  <w:shd w:val="clear" w:color="auto" w:fill="FFFFFF" w:themeFill="background1"/>
                                </w:tcPr>
                                <w:p w14:paraId="78C10FFA" w14:textId="77777777" w:rsidR="008616EE" w:rsidRPr="00624CCE" w:rsidRDefault="008616EE" w:rsidP="008616EE">
                                  <w:pPr>
                                    <w:rPr>
                                      <w:rFonts w:cs="Times New Roman"/>
                                      <w:color w:val="000000" w:themeColor="text1"/>
                                      <w:sz w:val="20"/>
                                      <w:szCs w:val="20"/>
                                    </w:rPr>
                                  </w:pPr>
                                  <w:r w:rsidRPr="00624CCE">
                                    <w:rPr>
                                      <w:rFonts w:cs="Times New Roman"/>
                                      <w:color w:val="000000" w:themeColor="text1"/>
                                      <w:sz w:val="20"/>
                                      <w:szCs w:val="20"/>
                                    </w:rPr>
                                    <w:t>Gini coefficient</w:t>
                                  </w:r>
                                </w:p>
                              </w:tc>
                              <w:tc>
                                <w:tcPr>
                                  <w:tcW w:w="1861" w:type="dxa"/>
                                  <w:shd w:val="clear" w:color="auto" w:fill="FFFFFF" w:themeFill="background1"/>
                                </w:tcPr>
                                <w:p w14:paraId="218EF56A" w14:textId="77777777" w:rsidR="008616EE" w:rsidRPr="00624CCE" w:rsidRDefault="008616EE" w:rsidP="008616EE">
                                  <w:pPr>
                                    <w:rPr>
                                      <w:rFonts w:cs="Times New Roman"/>
                                      <w:b/>
                                      <w:color w:val="000000" w:themeColor="text1"/>
                                      <w:sz w:val="20"/>
                                      <w:szCs w:val="20"/>
                                    </w:rPr>
                                  </w:pPr>
                                  <w:r w:rsidRPr="00624CCE">
                                    <w:rPr>
                                      <w:rFonts w:cs="Times New Roman"/>
                                      <w:b/>
                                      <w:color w:val="000000" w:themeColor="text1"/>
                                      <w:sz w:val="20"/>
                                      <w:szCs w:val="20"/>
                                    </w:rPr>
                                    <w:t>0.43 (0.04)</w:t>
                                  </w:r>
                                </w:p>
                              </w:tc>
                              <w:tc>
                                <w:tcPr>
                                  <w:tcW w:w="2880" w:type="dxa"/>
                                  <w:shd w:val="clear" w:color="auto" w:fill="FFFFFF" w:themeFill="background1"/>
                                </w:tcPr>
                                <w:p w14:paraId="0469A646" w14:textId="3DAA2BCD" w:rsidR="008616EE" w:rsidRPr="00624CCE" w:rsidRDefault="008616EE" w:rsidP="0074135E">
                                  <w:pPr>
                                    <w:rPr>
                                      <w:rFonts w:cs="Times New Roman"/>
                                      <w:b/>
                                      <w:color w:val="000000" w:themeColor="text1"/>
                                      <w:sz w:val="20"/>
                                      <w:szCs w:val="20"/>
                                    </w:rPr>
                                  </w:pPr>
                                  <w:r w:rsidRPr="00624CCE">
                                    <w:rPr>
                                      <w:rFonts w:cs="Times New Roman"/>
                                      <w:b/>
                                      <w:color w:val="000000" w:themeColor="text1"/>
                                      <w:sz w:val="20"/>
                                      <w:szCs w:val="20"/>
                                    </w:rPr>
                                    <w:t>1.</w:t>
                                  </w:r>
                                  <w:r w:rsidR="00A31057" w:rsidRPr="00624CCE">
                                    <w:rPr>
                                      <w:rFonts w:cs="Times New Roman"/>
                                      <w:b/>
                                      <w:color w:val="000000" w:themeColor="text1"/>
                                      <w:sz w:val="20"/>
                                      <w:szCs w:val="20"/>
                                    </w:rPr>
                                    <w:t>04</w:t>
                                  </w:r>
                                  <w:r w:rsidR="00A31057">
                                    <w:rPr>
                                      <w:rFonts w:cs="Times New Roman"/>
                                      <w:b/>
                                      <w:color w:val="000000" w:themeColor="text1"/>
                                      <w:sz w:val="20"/>
                                      <w:szCs w:val="20"/>
                                    </w:rPr>
                                    <w:t>3</w:t>
                                  </w:r>
                                  <w:r w:rsidR="00A31057" w:rsidRPr="00624CCE">
                                    <w:rPr>
                                      <w:rFonts w:cs="Times New Roman"/>
                                      <w:b/>
                                      <w:color w:val="000000" w:themeColor="text1"/>
                                      <w:sz w:val="20"/>
                                      <w:szCs w:val="20"/>
                                    </w:rPr>
                                    <w:t xml:space="preserve"> </w:t>
                                  </w:r>
                                  <w:r w:rsidRPr="00624CCE">
                                    <w:rPr>
                                      <w:rFonts w:cs="Times New Roman"/>
                                      <w:b/>
                                      <w:color w:val="000000" w:themeColor="text1"/>
                                      <w:sz w:val="20"/>
                                      <w:szCs w:val="20"/>
                                    </w:rPr>
                                    <w:t>(1.</w:t>
                                  </w:r>
                                  <w:r w:rsidR="0074135E" w:rsidRPr="00624CCE">
                                    <w:rPr>
                                      <w:rFonts w:cs="Times New Roman"/>
                                      <w:b/>
                                      <w:color w:val="000000" w:themeColor="text1"/>
                                      <w:sz w:val="20"/>
                                      <w:szCs w:val="20"/>
                                    </w:rPr>
                                    <w:t>02</w:t>
                                  </w:r>
                                  <w:r w:rsidR="0074135E">
                                    <w:rPr>
                                      <w:rFonts w:cs="Times New Roman"/>
                                      <w:b/>
                                      <w:color w:val="000000" w:themeColor="text1"/>
                                      <w:sz w:val="20"/>
                                      <w:szCs w:val="20"/>
                                    </w:rPr>
                                    <w:t>5</w:t>
                                  </w:r>
                                  <w:r w:rsidRPr="00624CCE">
                                    <w:rPr>
                                      <w:rFonts w:cs="Times New Roman"/>
                                      <w:b/>
                                      <w:color w:val="000000" w:themeColor="text1"/>
                                      <w:sz w:val="20"/>
                                      <w:szCs w:val="20"/>
                                    </w:rPr>
                                    <w:t>—1.</w:t>
                                  </w:r>
                                  <w:r w:rsidR="0074135E" w:rsidRPr="00624CCE">
                                    <w:rPr>
                                      <w:rFonts w:cs="Times New Roman"/>
                                      <w:b/>
                                      <w:color w:val="000000" w:themeColor="text1"/>
                                      <w:sz w:val="20"/>
                                      <w:szCs w:val="20"/>
                                    </w:rPr>
                                    <w:t>06</w:t>
                                  </w:r>
                                  <w:r w:rsidR="0074135E">
                                    <w:rPr>
                                      <w:rFonts w:cs="Times New Roman"/>
                                      <w:b/>
                                      <w:color w:val="000000" w:themeColor="text1"/>
                                      <w:sz w:val="20"/>
                                      <w:szCs w:val="20"/>
                                    </w:rPr>
                                    <w:t>2</w:t>
                                  </w:r>
                                  <w:r w:rsidRPr="00624CCE">
                                    <w:rPr>
                                      <w:rFonts w:cs="Times New Roman"/>
                                      <w:b/>
                                      <w:color w:val="000000" w:themeColor="text1"/>
                                      <w:sz w:val="20"/>
                                      <w:szCs w:val="20"/>
                                    </w:rPr>
                                    <w:t>)</w:t>
                                  </w:r>
                                </w:p>
                              </w:tc>
                              <w:tc>
                                <w:tcPr>
                                  <w:tcW w:w="2970" w:type="dxa"/>
                                  <w:shd w:val="clear" w:color="auto" w:fill="FFFFFF" w:themeFill="background1"/>
                                </w:tcPr>
                                <w:p w14:paraId="641C78D6" w14:textId="154E15E7" w:rsidR="008616EE" w:rsidRPr="00624CCE" w:rsidRDefault="008616EE" w:rsidP="0074135E">
                                  <w:pPr>
                                    <w:rPr>
                                      <w:rFonts w:cs="Times New Roman"/>
                                      <w:b/>
                                      <w:color w:val="000000" w:themeColor="text1"/>
                                      <w:sz w:val="20"/>
                                      <w:szCs w:val="20"/>
                                    </w:rPr>
                                  </w:pPr>
                                  <w:r w:rsidRPr="00624CCE">
                                    <w:rPr>
                                      <w:rFonts w:cs="Times New Roman"/>
                                      <w:b/>
                                      <w:color w:val="000000" w:themeColor="text1"/>
                                      <w:sz w:val="20"/>
                                      <w:szCs w:val="20"/>
                                    </w:rPr>
                                    <w:t>1.</w:t>
                                  </w:r>
                                  <w:r w:rsidR="005164AF" w:rsidRPr="00624CCE">
                                    <w:rPr>
                                      <w:rFonts w:cs="Times New Roman"/>
                                      <w:b/>
                                      <w:color w:val="000000" w:themeColor="text1"/>
                                      <w:sz w:val="20"/>
                                      <w:szCs w:val="20"/>
                                    </w:rPr>
                                    <w:t>11</w:t>
                                  </w:r>
                                  <w:r w:rsidR="005164AF">
                                    <w:rPr>
                                      <w:rFonts w:cs="Times New Roman"/>
                                      <w:b/>
                                      <w:color w:val="000000" w:themeColor="text1"/>
                                      <w:sz w:val="20"/>
                                      <w:szCs w:val="20"/>
                                    </w:rPr>
                                    <w:t>4</w:t>
                                  </w:r>
                                  <w:r w:rsidR="005164AF" w:rsidRPr="00624CCE">
                                    <w:rPr>
                                      <w:rFonts w:cs="Times New Roman"/>
                                      <w:b/>
                                      <w:color w:val="000000" w:themeColor="text1"/>
                                      <w:sz w:val="20"/>
                                      <w:szCs w:val="20"/>
                                    </w:rPr>
                                    <w:t xml:space="preserve"> </w:t>
                                  </w:r>
                                  <w:r w:rsidRPr="00624CCE">
                                    <w:rPr>
                                      <w:rFonts w:cs="Times New Roman"/>
                                      <w:b/>
                                      <w:color w:val="000000" w:themeColor="text1"/>
                                      <w:sz w:val="20"/>
                                      <w:szCs w:val="20"/>
                                    </w:rPr>
                                    <w:t>(1.</w:t>
                                  </w:r>
                                  <w:r w:rsidR="0074135E" w:rsidRPr="00624CCE">
                                    <w:rPr>
                                      <w:rFonts w:cs="Times New Roman"/>
                                      <w:b/>
                                      <w:color w:val="000000" w:themeColor="text1"/>
                                      <w:sz w:val="20"/>
                                      <w:szCs w:val="20"/>
                                    </w:rPr>
                                    <w:t>0</w:t>
                                  </w:r>
                                  <w:r w:rsidR="0074135E">
                                    <w:rPr>
                                      <w:rFonts w:cs="Times New Roman"/>
                                      <w:b/>
                                      <w:color w:val="000000" w:themeColor="text1"/>
                                      <w:sz w:val="20"/>
                                      <w:szCs w:val="20"/>
                                    </w:rPr>
                                    <w:t>84</w:t>
                                  </w:r>
                                  <w:r w:rsidRPr="00624CCE">
                                    <w:rPr>
                                      <w:rFonts w:cs="Times New Roman"/>
                                      <w:b/>
                                      <w:color w:val="000000" w:themeColor="text1"/>
                                      <w:sz w:val="20"/>
                                      <w:szCs w:val="20"/>
                                    </w:rPr>
                                    <w:t>—1.</w:t>
                                  </w:r>
                                  <w:r w:rsidR="0074135E" w:rsidRPr="00624CCE">
                                    <w:rPr>
                                      <w:rFonts w:cs="Times New Roman"/>
                                      <w:b/>
                                      <w:color w:val="000000" w:themeColor="text1"/>
                                      <w:sz w:val="20"/>
                                      <w:szCs w:val="20"/>
                                    </w:rPr>
                                    <w:t>14</w:t>
                                  </w:r>
                                  <w:r w:rsidR="0074135E">
                                    <w:rPr>
                                      <w:rFonts w:cs="Times New Roman"/>
                                      <w:b/>
                                      <w:color w:val="000000" w:themeColor="text1"/>
                                      <w:sz w:val="20"/>
                                      <w:szCs w:val="20"/>
                                    </w:rPr>
                                    <w:t>5</w:t>
                                  </w:r>
                                  <w:r w:rsidRPr="00624CCE">
                                    <w:rPr>
                                      <w:rFonts w:cs="Times New Roman"/>
                                      <w:b/>
                                      <w:color w:val="000000" w:themeColor="text1"/>
                                      <w:sz w:val="20"/>
                                      <w:szCs w:val="20"/>
                                    </w:rPr>
                                    <w:t>)</w:t>
                                  </w:r>
                                </w:p>
                              </w:tc>
                            </w:tr>
                            <w:tr w:rsidR="008616EE" w:rsidRPr="00624CCE" w14:paraId="76B4E021" w14:textId="77777777" w:rsidTr="008616EE">
                              <w:tc>
                                <w:tcPr>
                                  <w:tcW w:w="2454" w:type="dxa"/>
                                  <w:shd w:val="clear" w:color="auto" w:fill="FFFFFF" w:themeFill="background1"/>
                                </w:tcPr>
                                <w:p w14:paraId="4CB5F7E3" w14:textId="77777777" w:rsidR="008616EE" w:rsidRPr="00624CCE" w:rsidRDefault="008616EE" w:rsidP="008616EE">
                                  <w:pPr>
                                    <w:rPr>
                                      <w:rFonts w:cs="Times New Roman"/>
                                      <w:color w:val="000000" w:themeColor="text1"/>
                                      <w:sz w:val="20"/>
                                      <w:szCs w:val="20"/>
                                    </w:rPr>
                                  </w:pPr>
                                  <w:r w:rsidRPr="00624CCE">
                                    <w:rPr>
                                      <w:rFonts w:cs="Times New Roman"/>
                                      <w:color w:val="000000" w:themeColor="text1"/>
                                      <w:sz w:val="20"/>
                                      <w:szCs w:val="20"/>
                                    </w:rPr>
                                    <w:t>% binge drinking</w:t>
                                  </w:r>
                                </w:p>
                              </w:tc>
                              <w:tc>
                                <w:tcPr>
                                  <w:tcW w:w="1861" w:type="dxa"/>
                                  <w:shd w:val="clear" w:color="auto" w:fill="FFFFFF" w:themeFill="background1"/>
                                </w:tcPr>
                                <w:p w14:paraId="7BF395B4" w14:textId="77777777" w:rsidR="008616EE" w:rsidRPr="00624CCE" w:rsidRDefault="008616EE" w:rsidP="008616EE">
                                  <w:pPr>
                                    <w:rPr>
                                      <w:rFonts w:cs="Times New Roman"/>
                                      <w:b/>
                                      <w:color w:val="000000" w:themeColor="text1"/>
                                      <w:sz w:val="20"/>
                                      <w:szCs w:val="20"/>
                                    </w:rPr>
                                  </w:pPr>
                                  <w:r w:rsidRPr="00624CCE">
                                    <w:rPr>
                                      <w:rFonts w:cs="Times New Roman"/>
                                      <w:b/>
                                      <w:color w:val="000000" w:themeColor="text1"/>
                                      <w:sz w:val="20"/>
                                      <w:szCs w:val="20"/>
                                    </w:rPr>
                                    <w:t>16.95% (2.98%)</w:t>
                                  </w:r>
                                </w:p>
                              </w:tc>
                              <w:tc>
                                <w:tcPr>
                                  <w:tcW w:w="2880" w:type="dxa"/>
                                  <w:shd w:val="clear" w:color="auto" w:fill="FFFFFF" w:themeFill="background1"/>
                                </w:tcPr>
                                <w:p w14:paraId="4AC31D37" w14:textId="0894A84C" w:rsidR="008616EE" w:rsidRPr="00624CCE" w:rsidRDefault="008616EE" w:rsidP="0074135E">
                                  <w:pPr>
                                    <w:rPr>
                                      <w:rFonts w:cs="Times New Roman"/>
                                      <w:b/>
                                      <w:color w:val="000000" w:themeColor="text1"/>
                                      <w:sz w:val="20"/>
                                      <w:szCs w:val="20"/>
                                    </w:rPr>
                                  </w:pPr>
                                  <w:r w:rsidRPr="00624CCE">
                                    <w:rPr>
                                      <w:rFonts w:cs="Times New Roman"/>
                                      <w:b/>
                                      <w:color w:val="000000" w:themeColor="text1"/>
                                      <w:sz w:val="20"/>
                                      <w:szCs w:val="20"/>
                                    </w:rPr>
                                    <w:t>1.</w:t>
                                  </w:r>
                                  <w:r w:rsidR="00A31057" w:rsidRPr="00624CCE">
                                    <w:rPr>
                                      <w:rFonts w:cs="Times New Roman"/>
                                      <w:b/>
                                      <w:color w:val="000000" w:themeColor="text1"/>
                                      <w:sz w:val="20"/>
                                      <w:szCs w:val="20"/>
                                    </w:rPr>
                                    <w:t>1</w:t>
                                  </w:r>
                                  <w:r w:rsidR="00A31057">
                                    <w:rPr>
                                      <w:rFonts w:cs="Times New Roman"/>
                                      <w:b/>
                                      <w:color w:val="000000" w:themeColor="text1"/>
                                      <w:sz w:val="20"/>
                                      <w:szCs w:val="20"/>
                                    </w:rPr>
                                    <w:t>42</w:t>
                                  </w:r>
                                  <w:r w:rsidR="00A31057" w:rsidRPr="00624CCE">
                                    <w:rPr>
                                      <w:rFonts w:cs="Times New Roman"/>
                                      <w:b/>
                                      <w:color w:val="000000" w:themeColor="text1"/>
                                      <w:sz w:val="20"/>
                                      <w:szCs w:val="20"/>
                                    </w:rPr>
                                    <w:t xml:space="preserve"> </w:t>
                                  </w:r>
                                  <w:r w:rsidRPr="00624CCE">
                                    <w:rPr>
                                      <w:rFonts w:cs="Times New Roman"/>
                                      <w:b/>
                                      <w:color w:val="000000" w:themeColor="text1"/>
                                      <w:sz w:val="20"/>
                                      <w:szCs w:val="20"/>
                                    </w:rPr>
                                    <w:t>(1.</w:t>
                                  </w:r>
                                  <w:r w:rsidR="0074135E">
                                    <w:rPr>
                                      <w:rFonts w:cs="Times New Roman"/>
                                      <w:b/>
                                      <w:color w:val="000000" w:themeColor="text1"/>
                                      <w:sz w:val="20"/>
                                      <w:szCs w:val="20"/>
                                    </w:rPr>
                                    <w:t>106</w:t>
                                  </w:r>
                                  <w:r w:rsidRPr="00624CCE">
                                    <w:rPr>
                                      <w:rFonts w:cs="Times New Roman"/>
                                      <w:b/>
                                      <w:color w:val="000000" w:themeColor="text1"/>
                                      <w:sz w:val="20"/>
                                      <w:szCs w:val="20"/>
                                    </w:rPr>
                                    <w:t>—1.</w:t>
                                  </w:r>
                                  <w:r w:rsidR="0074135E" w:rsidRPr="00624CCE">
                                    <w:rPr>
                                      <w:rFonts w:cs="Times New Roman"/>
                                      <w:b/>
                                      <w:color w:val="000000" w:themeColor="text1"/>
                                      <w:sz w:val="20"/>
                                      <w:szCs w:val="20"/>
                                    </w:rPr>
                                    <w:t>1</w:t>
                                  </w:r>
                                  <w:r w:rsidR="0074135E">
                                    <w:rPr>
                                      <w:rFonts w:cs="Times New Roman"/>
                                      <w:b/>
                                      <w:color w:val="000000" w:themeColor="text1"/>
                                      <w:sz w:val="20"/>
                                      <w:szCs w:val="20"/>
                                    </w:rPr>
                                    <w:t>77</w:t>
                                  </w:r>
                                  <w:r w:rsidRPr="00624CCE">
                                    <w:rPr>
                                      <w:rFonts w:cs="Times New Roman"/>
                                      <w:b/>
                                      <w:color w:val="000000" w:themeColor="text1"/>
                                      <w:sz w:val="20"/>
                                      <w:szCs w:val="20"/>
                                    </w:rPr>
                                    <w:t>)</w:t>
                                  </w:r>
                                </w:p>
                              </w:tc>
                              <w:tc>
                                <w:tcPr>
                                  <w:tcW w:w="2970" w:type="dxa"/>
                                  <w:shd w:val="clear" w:color="auto" w:fill="FFFFFF" w:themeFill="background1"/>
                                </w:tcPr>
                                <w:p w14:paraId="3A44A684" w14:textId="213A732A" w:rsidR="008616EE" w:rsidRPr="00624CCE" w:rsidRDefault="008616EE" w:rsidP="0074135E">
                                  <w:pPr>
                                    <w:rPr>
                                      <w:rFonts w:cs="Times New Roman"/>
                                      <w:b/>
                                      <w:color w:val="000000" w:themeColor="text1"/>
                                      <w:sz w:val="20"/>
                                      <w:szCs w:val="20"/>
                                    </w:rPr>
                                  </w:pPr>
                                  <w:r w:rsidRPr="00624CCE">
                                    <w:rPr>
                                      <w:rFonts w:cs="Times New Roman"/>
                                      <w:b/>
                                      <w:color w:val="000000" w:themeColor="text1"/>
                                      <w:sz w:val="20"/>
                                      <w:szCs w:val="20"/>
                                    </w:rPr>
                                    <w:t>1.</w:t>
                                  </w:r>
                                  <w:r w:rsidR="005164AF">
                                    <w:rPr>
                                      <w:rFonts w:cs="Times New Roman"/>
                                      <w:b/>
                                      <w:color w:val="000000" w:themeColor="text1"/>
                                      <w:sz w:val="20"/>
                                      <w:szCs w:val="20"/>
                                    </w:rPr>
                                    <w:t>097</w:t>
                                  </w:r>
                                  <w:r w:rsidR="005164AF" w:rsidRPr="00624CCE">
                                    <w:rPr>
                                      <w:rFonts w:cs="Times New Roman"/>
                                      <w:b/>
                                      <w:color w:val="000000" w:themeColor="text1"/>
                                      <w:sz w:val="20"/>
                                      <w:szCs w:val="20"/>
                                    </w:rPr>
                                    <w:t xml:space="preserve"> </w:t>
                                  </w:r>
                                  <w:r w:rsidRPr="00624CCE">
                                    <w:rPr>
                                      <w:rFonts w:cs="Times New Roman"/>
                                      <w:b/>
                                      <w:color w:val="000000" w:themeColor="text1"/>
                                      <w:sz w:val="20"/>
                                      <w:szCs w:val="20"/>
                                    </w:rPr>
                                    <w:t>(1.</w:t>
                                  </w:r>
                                  <w:r w:rsidR="0074135E" w:rsidRPr="00624CCE">
                                    <w:rPr>
                                      <w:rFonts w:cs="Times New Roman"/>
                                      <w:b/>
                                      <w:color w:val="000000" w:themeColor="text1"/>
                                      <w:sz w:val="20"/>
                                      <w:szCs w:val="20"/>
                                    </w:rPr>
                                    <w:t>0</w:t>
                                  </w:r>
                                  <w:r w:rsidR="0074135E">
                                    <w:rPr>
                                      <w:rFonts w:cs="Times New Roman"/>
                                      <w:b/>
                                      <w:color w:val="000000" w:themeColor="text1"/>
                                      <w:sz w:val="20"/>
                                      <w:szCs w:val="20"/>
                                    </w:rPr>
                                    <w:t>52</w:t>
                                  </w:r>
                                  <w:r w:rsidRPr="00624CCE">
                                    <w:rPr>
                                      <w:rFonts w:cs="Times New Roman"/>
                                      <w:b/>
                                      <w:color w:val="000000" w:themeColor="text1"/>
                                      <w:sz w:val="20"/>
                                      <w:szCs w:val="20"/>
                                    </w:rPr>
                                    <w:t>—1.</w:t>
                                  </w:r>
                                  <w:r w:rsidR="0074135E" w:rsidRPr="00624CCE">
                                    <w:rPr>
                                      <w:rFonts w:cs="Times New Roman"/>
                                      <w:b/>
                                      <w:color w:val="000000" w:themeColor="text1"/>
                                      <w:sz w:val="20"/>
                                      <w:szCs w:val="20"/>
                                    </w:rPr>
                                    <w:t>14</w:t>
                                  </w:r>
                                  <w:r w:rsidR="0074135E">
                                    <w:rPr>
                                      <w:rFonts w:cs="Times New Roman"/>
                                      <w:b/>
                                      <w:color w:val="000000" w:themeColor="text1"/>
                                      <w:sz w:val="20"/>
                                      <w:szCs w:val="20"/>
                                    </w:rPr>
                                    <w:t>4</w:t>
                                  </w:r>
                                  <w:r w:rsidRPr="00624CCE">
                                    <w:rPr>
                                      <w:rFonts w:cs="Times New Roman"/>
                                      <w:b/>
                                      <w:color w:val="000000" w:themeColor="text1"/>
                                      <w:sz w:val="20"/>
                                      <w:szCs w:val="20"/>
                                    </w:rPr>
                                    <w:t>)</w:t>
                                  </w:r>
                                </w:p>
                              </w:tc>
                            </w:tr>
                          </w:tbl>
                          <w:p w14:paraId="14074B73" w14:textId="77777777" w:rsidR="008616EE" w:rsidRDefault="008616EE" w:rsidP="009176A7">
                            <w:pPr>
                              <w:shd w:val="clear" w:color="auto" w:fill="D9D9D9" w:themeFill="background1" w:themeFillShade="D9"/>
                              <w:ind w:firstLine="720"/>
                              <w:jc w:val="left"/>
                              <w:rPr>
                                <w:b/>
                                <w:bCs/>
                                <w:color w:val="000000" w:themeColor="text1"/>
                              </w:rPr>
                            </w:pPr>
                            <w:r w:rsidRPr="00AE4E1F">
                              <w:rPr>
                                <w:b/>
                                <w:bCs/>
                                <w:color w:val="000000" w:themeColor="text1"/>
                              </w:rPr>
                              <w:br/>
                            </w:r>
                            <w:r w:rsidRPr="00A75F82">
                              <w:rPr>
                                <w:color w:val="000000" w:themeColor="text1"/>
                                <w:sz w:val="18"/>
                                <w:szCs w:val="18"/>
                              </w:rPr>
                              <w:t xml:space="preserve"> </w:t>
                            </w:r>
                            <w:proofErr w:type="spellStart"/>
                            <w:r w:rsidRPr="001367C7">
                              <w:rPr>
                                <w:color w:val="000000" w:themeColor="text1"/>
                                <w:sz w:val="18"/>
                                <w:szCs w:val="18"/>
                                <w:vertAlign w:val="superscript"/>
                              </w:rPr>
                              <w:t>a</w:t>
                            </w:r>
                            <w:r>
                              <w:rPr>
                                <w:color w:val="000000" w:themeColor="text1"/>
                                <w:sz w:val="18"/>
                                <w:szCs w:val="18"/>
                              </w:rPr>
                              <w:t>A</w:t>
                            </w:r>
                            <w:proofErr w:type="spellEnd"/>
                            <w:r>
                              <w:rPr>
                                <w:color w:val="000000" w:themeColor="text1"/>
                                <w:sz w:val="18"/>
                                <w:szCs w:val="18"/>
                              </w:rPr>
                              <w:t xml:space="preserve"> p</w:t>
                            </w:r>
                            <w:r w:rsidRPr="00A75F82">
                              <w:rPr>
                                <w:color w:val="000000" w:themeColor="text1"/>
                                <w:sz w:val="18"/>
                                <w:szCs w:val="18"/>
                              </w:rPr>
                              <w:t xml:space="preserve">rincipal components index of percent of population under age 25 with less than a high school diploma; median household income; percent of population 16 years and older unemployed; percent of people </w:t>
                            </w:r>
                            <w:proofErr w:type="gramStart"/>
                            <w:r w:rsidRPr="00A75F82">
                              <w:rPr>
                                <w:color w:val="000000" w:themeColor="text1"/>
                                <w:sz w:val="18"/>
                                <w:szCs w:val="18"/>
                              </w:rPr>
                              <w:t>age</w:t>
                            </w:r>
                            <w:proofErr w:type="gramEnd"/>
                            <w:r w:rsidRPr="00A75F82">
                              <w:rPr>
                                <w:color w:val="000000" w:themeColor="text1"/>
                                <w:sz w:val="18"/>
                                <w:szCs w:val="18"/>
                              </w:rPr>
                              <w:t xml:space="preserve"> 18 to 64 living in poverty.</w:t>
                            </w:r>
                            <w:r w:rsidRPr="00C26077">
                              <w:rPr>
                                <w:b/>
                                <w:bCs/>
                                <w:color w:val="000000" w:themeColor="text1"/>
                              </w:rPr>
                              <w:t xml:space="preserve"> </w:t>
                            </w:r>
                          </w:p>
                          <w:p w14:paraId="7A12E80E" w14:textId="439D8485" w:rsidR="008616EE" w:rsidRDefault="008616EE" w:rsidP="009176A7">
                            <w:pPr>
                              <w:pBdr>
                                <w:top w:val="single" w:sz="4" w:space="1" w:color="auto"/>
                              </w:pBdr>
                              <w:shd w:val="clear" w:color="auto" w:fill="D9D9D9" w:themeFill="background1" w:themeFillShade="D9"/>
                              <w:jc w:val="left"/>
                            </w:pPr>
                            <w:r>
                              <w:rPr>
                                <w:b/>
                                <w:bCs/>
                                <w:i/>
                                <w:iCs/>
                                <w:color w:val="000000" w:themeColor="text1"/>
                                <w:sz w:val="20"/>
                                <w:szCs w:val="20"/>
                              </w:rPr>
                              <w:t>Appendix Table 2</w:t>
                            </w:r>
                            <w:r w:rsidRPr="00826CF7">
                              <w:rPr>
                                <w:b/>
                                <w:bCs/>
                                <w:color w:val="000000" w:themeColor="text1"/>
                                <w:sz w:val="20"/>
                                <w:szCs w:val="20"/>
                              </w:rPr>
                              <w:t>: Multivariate results from Bayesian spatial Poisson regression analysis for factors associated with COVID-19 and HIV infection</w:t>
                            </w:r>
                            <w:r>
                              <w:rPr>
                                <w:b/>
                                <w:bCs/>
                                <w:color w:val="000000" w:themeColor="text1"/>
                                <w:sz w:val="20"/>
                                <w:szCs w:val="20"/>
                              </w:rPr>
                              <w:t xml:space="preserve"> when implemented with a hierarchical model that accounts for potential clustering of counties within the 9 census regions. The Deviance Information Criterion (DIC) between this fitted model used for robustness check and the </w:t>
                            </w:r>
                            <w:r w:rsidR="008079BD">
                              <w:rPr>
                                <w:b/>
                                <w:bCs/>
                                <w:color w:val="000000" w:themeColor="text1"/>
                                <w:sz w:val="20"/>
                                <w:szCs w:val="20"/>
                              </w:rPr>
                              <w:t>result</w:t>
                            </w:r>
                            <w:r>
                              <w:rPr>
                                <w:b/>
                                <w:bCs/>
                                <w:color w:val="000000" w:themeColor="text1"/>
                                <w:sz w:val="20"/>
                                <w:szCs w:val="20"/>
                              </w:rPr>
                              <w:t xml:space="preserve"> without clustering </w:t>
                            </w:r>
                            <w:r w:rsidRPr="009176A7">
                              <w:rPr>
                                <w:b/>
                                <w:bCs/>
                                <w:color w:val="000000" w:themeColor="text1"/>
                                <w:sz w:val="20"/>
                                <w:szCs w:val="20"/>
                              </w:rPr>
                              <w:t>is smaller than 2 (49650.35 VS 49648.99), suggesting that the models fitted the data equally well</w:t>
                            </w:r>
                            <w:r>
                              <w:rPr>
                                <w:b/>
                                <w:bCs/>
                                <w:color w:val="000000" w:themeColor="text1"/>
                                <w:sz w:val="20"/>
                                <w:szCs w:val="20"/>
                              </w:rPr>
                              <w:t>.</w:t>
                            </w:r>
                            <w:r w:rsidR="00786475">
                              <w:rPr>
                                <w:b/>
                                <w:bCs/>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D3A08" id="Rectangle 27" o:spid="_x0000_s1026" style="position:absolute;left:0;text-align:left;margin-left:-32.4pt;margin-top:3.6pt;width:539.4pt;height:3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" fillcolor="#d8d8d8 [2732]" strokecolor="#1f4d78 [1604]" strokeweight="1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4"/>
                        <w:gridCol w:w="1861"/>
                        <w:gridCol w:w="2880"/>
                        <w:gridCol w:w="2970"/>
                      </w:tblGrid>
                      <w:tr w:rsidR="008616EE" w:rsidRPr="00624CCE" w14:paraId="2A0AEE57" w14:textId="77777777" w:rsidTr="008616EE">
                        <w:tc>
                          <w:tcPr>
                            <w:tcW w:w="2454" w:type="dxa"/>
                            <w:tcBorders>
                              <w:bottom w:val="single" w:sz="4" w:space="0" w:color="auto"/>
                            </w:tcBorders>
                            <w:shd w:val="clear" w:color="auto" w:fill="FFFFFF" w:themeFill="background1"/>
                          </w:tcPr>
                          <w:p w14:paraId="29685F5B" w14:textId="77777777" w:rsidR="008616EE" w:rsidRPr="00624CCE" w:rsidRDefault="008616EE" w:rsidP="008616EE">
                            <w:pPr>
                              <w:rPr>
                                <w:rFonts w:cs="Times New Roman"/>
                                <w:color w:val="000000" w:themeColor="text1"/>
                                <w:sz w:val="20"/>
                                <w:szCs w:val="20"/>
                              </w:rPr>
                            </w:pPr>
                          </w:p>
                        </w:tc>
                        <w:tc>
                          <w:tcPr>
                            <w:tcW w:w="1861" w:type="dxa"/>
                            <w:tcBorders>
                              <w:bottom w:val="single" w:sz="4" w:space="0" w:color="auto"/>
                            </w:tcBorders>
                            <w:shd w:val="clear" w:color="auto" w:fill="FFFFFF" w:themeFill="background1"/>
                          </w:tcPr>
                          <w:p w14:paraId="241F0119" w14:textId="77777777" w:rsidR="008616EE" w:rsidRPr="00624CCE" w:rsidRDefault="008616EE" w:rsidP="008616EE">
                            <w:pPr>
                              <w:rPr>
                                <w:rFonts w:cs="Times New Roman"/>
                                <w:b/>
                                <w:bCs/>
                                <w:color w:val="000000" w:themeColor="text1"/>
                                <w:sz w:val="20"/>
                                <w:szCs w:val="20"/>
                              </w:rPr>
                            </w:pPr>
                            <w:r>
                              <w:rPr>
                                <w:rFonts w:cs="Times New Roman"/>
                                <w:b/>
                                <w:bCs/>
                                <w:color w:val="000000" w:themeColor="text1"/>
                                <w:sz w:val="20"/>
                                <w:szCs w:val="20"/>
                              </w:rPr>
                              <w:t xml:space="preserve">Distribution </w:t>
                            </w:r>
                            <w:r w:rsidRPr="00624CCE">
                              <w:rPr>
                                <w:rFonts w:cs="Times New Roman"/>
                                <w:b/>
                                <w:bCs/>
                                <w:color w:val="000000" w:themeColor="text1"/>
                                <w:sz w:val="20"/>
                                <w:szCs w:val="20"/>
                              </w:rPr>
                              <w:t>of study variables</w:t>
                            </w:r>
                          </w:p>
                        </w:tc>
                        <w:tc>
                          <w:tcPr>
                            <w:tcW w:w="2880" w:type="dxa"/>
                            <w:tcBorders>
                              <w:bottom w:val="single" w:sz="4" w:space="0" w:color="auto"/>
                            </w:tcBorders>
                            <w:shd w:val="clear" w:color="auto" w:fill="FFFFFF" w:themeFill="background1"/>
                          </w:tcPr>
                          <w:p w14:paraId="5479EA28" w14:textId="77777777" w:rsidR="008616EE" w:rsidRPr="00624CCE" w:rsidRDefault="008616EE" w:rsidP="008616EE">
                            <w:pPr>
                              <w:jc w:val="center"/>
                              <w:rPr>
                                <w:rFonts w:cs="Times New Roman"/>
                                <w:b/>
                                <w:bCs/>
                                <w:color w:val="000000" w:themeColor="text1"/>
                                <w:sz w:val="20"/>
                                <w:szCs w:val="20"/>
                              </w:rPr>
                            </w:pPr>
                            <w:r w:rsidRPr="00624CCE">
                              <w:rPr>
                                <w:rFonts w:cs="Times New Roman"/>
                                <w:b/>
                                <w:bCs/>
                                <w:color w:val="000000" w:themeColor="text1"/>
                                <w:sz w:val="20"/>
                                <w:szCs w:val="20"/>
                              </w:rPr>
                              <w:t>COVID-19 infection</w:t>
                            </w:r>
                          </w:p>
                        </w:tc>
                        <w:tc>
                          <w:tcPr>
                            <w:tcW w:w="2970" w:type="dxa"/>
                            <w:tcBorders>
                              <w:bottom w:val="single" w:sz="4" w:space="0" w:color="auto"/>
                            </w:tcBorders>
                            <w:shd w:val="clear" w:color="auto" w:fill="FFFFFF" w:themeFill="background1"/>
                          </w:tcPr>
                          <w:p w14:paraId="6418E4B5" w14:textId="77777777" w:rsidR="008616EE" w:rsidRPr="00624CCE" w:rsidRDefault="008616EE" w:rsidP="008616EE">
                            <w:pPr>
                              <w:jc w:val="center"/>
                              <w:rPr>
                                <w:rFonts w:cs="Times New Roman"/>
                                <w:b/>
                                <w:bCs/>
                                <w:color w:val="000000" w:themeColor="text1"/>
                                <w:sz w:val="20"/>
                                <w:szCs w:val="20"/>
                              </w:rPr>
                            </w:pPr>
                            <w:r w:rsidRPr="00624CCE">
                              <w:rPr>
                                <w:rFonts w:cs="Times New Roman"/>
                                <w:b/>
                                <w:bCs/>
                                <w:color w:val="000000" w:themeColor="text1"/>
                                <w:sz w:val="20"/>
                                <w:szCs w:val="20"/>
                              </w:rPr>
                              <w:t>HIV-infection</w:t>
                            </w:r>
                          </w:p>
                        </w:tc>
                      </w:tr>
                      <w:tr w:rsidR="008616EE" w:rsidRPr="00624CCE" w14:paraId="2662E7E1" w14:textId="77777777" w:rsidTr="008616EE">
                        <w:tc>
                          <w:tcPr>
                            <w:tcW w:w="2454" w:type="dxa"/>
                            <w:tcBorders>
                              <w:top w:val="single" w:sz="4" w:space="0" w:color="auto"/>
                            </w:tcBorders>
                            <w:shd w:val="clear" w:color="auto" w:fill="D9D9D9" w:themeFill="background1" w:themeFillShade="D9"/>
                          </w:tcPr>
                          <w:p w14:paraId="00663961" w14:textId="77777777" w:rsidR="008616EE" w:rsidRPr="00624CCE" w:rsidRDefault="008616EE" w:rsidP="008616EE">
                            <w:pPr>
                              <w:rPr>
                                <w:rFonts w:cs="Times New Roman"/>
                                <w:color w:val="000000" w:themeColor="text1"/>
                                <w:sz w:val="20"/>
                                <w:szCs w:val="20"/>
                              </w:rPr>
                            </w:pPr>
                          </w:p>
                        </w:tc>
                        <w:tc>
                          <w:tcPr>
                            <w:tcW w:w="1861" w:type="dxa"/>
                            <w:tcBorders>
                              <w:top w:val="single" w:sz="4" w:space="0" w:color="auto"/>
                            </w:tcBorders>
                            <w:shd w:val="clear" w:color="auto" w:fill="D9D9D9" w:themeFill="background1" w:themeFillShade="D9"/>
                          </w:tcPr>
                          <w:p w14:paraId="6CB3F36F" w14:textId="77777777" w:rsidR="008616EE" w:rsidRPr="00624CCE" w:rsidRDefault="008616EE" w:rsidP="008616EE">
                            <w:pPr>
                              <w:rPr>
                                <w:rFonts w:cs="Times New Roman"/>
                                <w:b/>
                                <w:bCs/>
                                <w:color w:val="000000" w:themeColor="text1"/>
                                <w:sz w:val="20"/>
                                <w:szCs w:val="20"/>
                              </w:rPr>
                            </w:pPr>
                          </w:p>
                        </w:tc>
                        <w:tc>
                          <w:tcPr>
                            <w:tcW w:w="2880" w:type="dxa"/>
                            <w:tcBorders>
                              <w:top w:val="single" w:sz="4" w:space="0" w:color="auto"/>
                            </w:tcBorders>
                            <w:shd w:val="clear" w:color="auto" w:fill="D9D9D9" w:themeFill="background1" w:themeFillShade="D9"/>
                          </w:tcPr>
                          <w:p w14:paraId="4E8EE82E" w14:textId="77777777" w:rsidR="008616EE" w:rsidRPr="00624CCE" w:rsidRDefault="008616EE" w:rsidP="008616EE">
                            <w:pPr>
                              <w:jc w:val="center"/>
                              <w:rPr>
                                <w:rFonts w:cs="Times New Roman"/>
                                <w:b/>
                                <w:bCs/>
                                <w:color w:val="000000" w:themeColor="text1"/>
                                <w:sz w:val="20"/>
                                <w:szCs w:val="20"/>
                              </w:rPr>
                            </w:pPr>
                          </w:p>
                        </w:tc>
                        <w:tc>
                          <w:tcPr>
                            <w:tcW w:w="2970" w:type="dxa"/>
                            <w:tcBorders>
                              <w:top w:val="single" w:sz="4" w:space="0" w:color="auto"/>
                            </w:tcBorders>
                            <w:shd w:val="clear" w:color="auto" w:fill="D9D9D9" w:themeFill="background1" w:themeFillShade="D9"/>
                          </w:tcPr>
                          <w:p w14:paraId="5B6E0281" w14:textId="77777777" w:rsidR="008616EE" w:rsidRPr="00624CCE" w:rsidRDefault="008616EE" w:rsidP="008616EE">
                            <w:pPr>
                              <w:jc w:val="center"/>
                              <w:rPr>
                                <w:rFonts w:cs="Times New Roman"/>
                                <w:b/>
                                <w:bCs/>
                                <w:color w:val="000000" w:themeColor="text1"/>
                                <w:sz w:val="20"/>
                                <w:szCs w:val="20"/>
                              </w:rPr>
                            </w:pPr>
                          </w:p>
                        </w:tc>
                      </w:tr>
                      <w:tr w:rsidR="008616EE" w:rsidRPr="00624CCE" w14:paraId="7A306204" w14:textId="77777777" w:rsidTr="008616EE">
                        <w:tc>
                          <w:tcPr>
                            <w:tcW w:w="2454" w:type="dxa"/>
                            <w:shd w:val="clear" w:color="auto" w:fill="FFFFFF" w:themeFill="background1"/>
                          </w:tcPr>
                          <w:p w14:paraId="3B66747C" w14:textId="77777777" w:rsidR="008616EE" w:rsidRPr="00624CCE" w:rsidRDefault="008616EE" w:rsidP="008616EE">
                            <w:pPr>
                              <w:rPr>
                                <w:rFonts w:cs="Times New Roman"/>
                                <w:color w:val="000000" w:themeColor="text1"/>
                                <w:sz w:val="20"/>
                                <w:szCs w:val="20"/>
                              </w:rPr>
                            </w:pPr>
                          </w:p>
                        </w:tc>
                        <w:tc>
                          <w:tcPr>
                            <w:tcW w:w="1861" w:type="dxa"/>
                            <w:shd w:val="clear" w:color="auto" w:fill="FFFFFF" w:themeFill="background1"/>
                            <w:vAlign w:val="bottom"/>
                          </w:tcPr>
                          <w:p w14:paraId="648F9967" w14:textId="77777777" w:rsidR="008616EE" w:rsidRPr="00624CCE" w:rsidRDefault="008616EE" w:rsidP="008616EE">
                            <w:pPr>
                              <w:rPr>
                                <w:rFonts w:cs="Times New Roman"/>
                                <w:b/>
                                <w:bCs/>
                                <w:color w:val="000000" w:themeColor="text1"/>
                                <w:sz w:val="20"/>
                                <w:szCs w:val="20"/>
                              </w:rPr>
                            </w:pPr>
                            <w:r w:rsidRPr="00624CCE">
                              <w:rPr>
                                <w:rFonts w:cs="Times New Roman"/>
                                <w:b/>
                                <w:bCs/>
                                <w:color w:val="000000" w:themeColor="text1"/>
                                <w:sz w:val="20"/>
                                <w:szCs w:val="20"/>
                              </w:rPr>
                              <w:t>Mean (SD)</w:t>
                            </w:r>
                          </w:p>
                        </w:tc>
                        <w:tc>
                          <w:tcPr>
                            <w:tcW w:w="2880" w:type="dxa"/>
                            <w:shd w:val="clear" w:color="auto" w:fill="FFFFFF" w:themeFill="background1"/>
                          </w:tcPr>
                          <w:p w14:paraId="73FCF4E2" w14:textId="77777777" w:rsidR="008616EE" w:rsidRDefault="008616EE" w:rsidP="008616EE">
                            <w:pPr>
                              <w:rPr>
                                <w:rFonts w:cs="Times New Roman"/>
                                <w:b/>
                                <w:bCs/>
                                <w:color w:val="000000" w:themeColor="text1"/>
                                <w:sz w:val="20"/>
                                <w:szCs w:val="20"/>
                              </w:rPr>
                            </w:pPr>
                            <w:r w:rsidRPr="00624CCE">
                              <w:rPr>
                                <w:rFonts w:cs="Times New Roman"/>
                                <w:b/>
                                <w:bCs/>
                                <w:color w:val="000000" w:themeColor="text1"/>
                                <w:sz w:val="20"/>
                                <w:szCs w:val="20"/>
                              </w:rPr>
                              <w:br/>
                              <w:t xml:space="preserve">Relative Risk and </w:t>
                            </w:r>
                          </w:p>
                          <w:p w14:paraId="4A4B7497" w14:textId="77777777" w:rsidR="008616EE" w:rsidRPr="00624CCE" w:rsidRDefault="008616EE" w:rsidP="008616EE">
                            <w:pPr>
                              <w:rPr>
                                <w:rFonts w:cs="Times New Roman"/>
                                <w:b/>
                                <w:bCs/>
                                <w:color w:val="000000" w:themeColor="text1"/>
                                <w:sz w:val="20"/>
                                <w:szCs w:val="20"/>
                              </w:rPr>
                            </w:pPr>
                            <w:r w:rsidRPr="00624CCE">
                              <w:rPr>
                                <w:rFonts w:cs="Times New Roman"/>
                                <w:b/>
                                <w:bCs/>
                                <w:color w:val="000000" w:themeColor="text1"/>
                                <w:sz w:val="20"/>
                                <w:szCs w:val="20"/>
                              </w:rPr>
                              <w:t>(95% Credible Interval)</w:t>
                            </w:r>
                          </w:p>
                        </w:tc>
                        <w:tc>
                          <w:tcPr>
                            <w:tcW w:w="2970" w:type="dxa"/>
                            <w:shd w:val="clear" w:color="auto" w:fill="FFFFFF" w:themeFill="background1"/>
                            <w:vAlign w:val="bottom"/>
                          </w:tcPr>
                          <w:p w14:paraId="4BC4B3AD" w14:textId="77777777" w:rsidR="008616EE" w:rsidRDefault="008616EE" w:rsidP="008616EE">
                            <w:pPr>
                              <w:rPr>
                                <w:rFonts w:cs="Times New Roman"/>
                                <w:b/>
                                <w:bCs/>
                                <w:color w:val="000000" w:themeColor="text1"/>
                                <w:sz w:val="20"/>
                                <w:szCs w:val="20"/>
                              </w:rPr>
                            </w:pPr>
                            <w:r w:rsidRPr="00624CCE">
                              <w:rPr>
                                <w:rFonts w:cs="Times New Roman"/>
                                <w:b/>
                                <w:bCs/>
                                <w:color w:val="000000" w:themeColor="text1"/>
                                <w:sz w:val="20"/>
                                <w:szCs w:val="20"/>
                              </w:rPr>
                              <w:t xml:space="preserve">Relative Risk and </w:t>
                            </w:r>
                          </w:p>
                          <w:p w14:paraId="542DC020" w14:textId="77777777" w:rsidR="008616EE" w:rsidRPr="00624CCE" w:rsidRDefault="008616EE" w:rsidP="008616EE">
                            <w:pPr>
                              <w:rPr>
                                <w:rFonts w:cs="Times New Roman"/>
                                <w:b/>
                                <w:bCs/>
                                <w:color w:val="000000" w:themeColor="text1"/>
                                <w:sz w:val="20"/>
                                <w:szCs w:val="20"/>
                              </w:rPr>
                            </w:pPr>
                            <w:r w:rsidRPr="00624CCE">
                              <w:rPr>
                                <w:rFonts w:cs="Times New Roman"/>
                                <w:b/>
                                <w:bCs/>
                                <w:color w:val="000000" w:themeColor="text1"/>
                                <w:sz w:val="20"/>
                                <w:szCs w:val="20"/>
                              </w:rPr>
                              <w:t>(95% Credible Interval)</w:t>
                            </w:r>
                          </w:p>
                        </w:tc>
                      </w:tr>
                      <w:tr w:rsidR="008616EE" w:rsidRPr="00624CCE" w14:paraId="322F427A" w14:textId="77777777" w:rsidTr="008616EE">
                        <w:tc>
                          <w:tcPr>
                            <w:tcW w:w="2454" w:type="dxa"/>
                            <w:shd w:val="clear" w:color="auto" w:fill="D9D9D9" w:themeFill="background1" w:themeFillShade="D9"/>
                          </w:tcPr>
                          <w:p w14:paraId="2D2D1DDA" w14:textId="77777777" w:rsidR="008616EE" w:rsidRPr="00624CCE" w:rsidRDefault="008616EE" w:rsidP="008616EE">
                            <w:pPr>
                              <w:rPr>
                                <w:rFonts w:cs="Times New Roman"/>
                                <w:color w:val="000000" w:themeColor="text1"/>
                                <w:sz w:val="20"/>
                                <w:szCs w:val="20"/>
                              </w:rPr>
                            </w:pPr>
                          </w:p>
                        </w:tc>
                        <w:tc>
                          <w:tcPr>
                            <w:tcW w:w="1861" w:type="dxa"/>
                            <w:shd w:val="clear" w:color="auto" w:fill="D9D9D9" w:themeFill="background1" w:themeFillShade="D9"/>
                            <w:vAlign w:val="bottom"/>
                          </w:tcPr>
                          <w:p w14:paraId="36DF0B56" w14:textId="77777777" w:rsidR="008616EE" w:rsidRPr="00624CCE" w:rsidRDefault="008616EE" w:rsidP="008616EE">
                            <w:pPr>
                              <w:rPr>
                                <w:rFonts w:cs="Times New Roman"/>
                                <w:b/>
                                <w:bCs/>
                                <w:color w:val="000000" w:themeColor="text1"/>
                                <w:sz w:val="20"/>
                                <w:szCs w:val="20"/>
                              </w:rPr>
                            </w:pPr>
                          </w:p>
                        </w:tc>
                        <w:tc>
                          <w:tcPr>
                            <w:tcW w:w="2880" w:type="dxa"/>
                            <w:shd w:val="clear" w:color="auto" w:fill="D9D9D9" w:themeFill="background1" w:themeFillShade="D9"/>
                          </w:tcPr>
                          <w:p w14:paraId="25C2C599" w14:textId="77777777" w:rsidR="008616EE" w:rsidRPr="00624CCE" w:rsidRDefault="008616EE" w:rsidP="008616EE">
                            <w:pPr>
                              <w:rPr>
                                <w:rFonts w:cs="Times New Roman"/>
                                <w:b/>
                                <w:bCs/>
                                <w:color w:val="000000" w:themeColor="text1"/>
                                <w:sz w:val="20"/>
                                <w:szCs w:val="20"/>
                              </w:rPr>
                            </w:pPr>
                          </w:p>
                        </w:tc>
                        <w:tc>
                          <w:tcPr>
                            <w:tcW w:w="2970" w:type="dxa"/>
                            <w:shd w:val="clear" w:color="auto" w:fill="D9D9D9" w:themeFill="background1" w:themeFillShade="D9"/>
                            <w:vAlign w:val="bottom"/>
                          </w:tcPr>
                          <w:p w14:paraId="3C2352E0" w14:textId="77777777" w:rsidR="008616EE" w:rsidRPr="00624CCE" w:rsidRDefault="008616EE" w:rsidP="008616EE">
                            <w:pPr>
                              <w:rPr>
                                <w:rFonts w:cs="Times New Roman"/>
                                <w:b/>
                                <w:bCs/>
                                <w:color w:val="000000" w:themeColor="text1"/>
                                <w:sz w:val="20"/>
                                <w:szCs w:val="20"/>
                              </w:rPr>
                            </w:pPr>
                          </w:p>
                        </w:tc>
                      </w:tr>
                      <w:tr w:rsidR="008616EE" w:rsidRPr="00624CCE" w14:paraId="2F3ADF5D" w14:textId="77777777" w:rsidTr="008616EE">
                        <w:tc>
                          <w:tcPr>
                            <w:tcW w:w="2454" w:type="dxa"/>
                            <w:shd w:val="clear" w:color="auto" w:fill="FFFFFF" w:themeFill="background1"/>
                          </w:tcPr>
                          <w:p w14:paraId="5A1619C3" w14:textId="77777777" w:rsidR="008616EE" w:rsidRPr="00624CCE" w:rsidRDefault="008616EE" w:rsidP="008616EE">
                            <w:pPr>
                              <w:rPr>
                                <w:rFonts w:cs="Times New Roman"/>
                                <w:color w:val="000000" w:themeColor="text1"/>
                                <w:sz w:val="20"/>
                                <w:szCs w:val="20"/>
                              </w:rPr>
                            </w:pPr>
                            <w:r w:rsidRPr="00624CCE">
                              <w:rPr>
                                <w:rFonts w:cs="Times New Roman"/>
                                <w:color w:val="000000" w:themeColor="text1"/>
                                <w:sz w:val="20"/>
                                <w:szCs w:val="20"/>
                              </w:rPr>
                              <w:t>% Black</w:t>
                            </w:r>
                          </w:p>
                        </w:tc>
                        <w:tc>
                          <w:tcPr>
                            <w:tcW w:w="1861" w:type="dxa"/>
                            <w:shd w:val="clear" w:color="auto" w:fill="FFFFFF" w:themeFill="background1"/>
                          </w:tcPr>
                          <w:p w14:paraId="1CE726B5" w14:textId="77777777" w:rsidR="008616EE" w:rsidRPr="00624CCE" w:rsidRDefault="008616EE" w:rsidP="008616EE">
                            <w:pPr>
                              <w:rPr>
                                <w:rFonts w:cs="Times New Roman"/>
                                <w:b/>
                                <w:color w:val="000000" w:themeColor="text1"/>
                                <w:sz w:val="20"/>
                                <w:szCs w:val="20"/>
                              </w:rPr>
                            </w:pPr>
                            <w:r w:rsidRPr="00624CCE">
                              <w:rPr>
                                <w:rFonts w:cs="Times New Roman"/>
                                <w:b/>
                                <w:color w:val="000000" w:themeColor="text1"/>
                                <w:sz w:val="20"/>
                                <w:szCs w:val="20"/>
                              </w:rPr>
                              <w:t>9.14% (14.59%)</w:t>
                            </w:r>
                          </w:p>
                        </w:tc>
                        <w:tc>
                          <w:tcPr>
                            <w:tcW w:w="2880" w:type="dxa"/>
                            <w:shd w:val="clear" w:color="auto" w:fill="FFFFFF" w:themeFill="background1"/>
                          </w:tcPr>
                          <w:p w14:paraId="6AC4B190" w14:textId="36506152" w:rsidR="008616EE" w:rsidRPr="00624CCE" w:rsidRDefault="008616EE" w:rsidP="00A31057">
                            <w:pPr>
                              <w:rPr>
                                <w:rFonts w:cs="Times New Roman"/>
                                <w:b/>
                                <w:color w:val="000000" w:themeColor="text1"/>
                                <w:sz w:val="20"/>
                                <w:szCs w:val="20"/>
                              </w:rPr>
                            </w:pPr>
                            <w:r w:rsidRPr="00624CCE">
                              <w:rPr>
                                <w:rFonts w:cs="Times New Roman"/>
                                <w:b/>
                                <w:color w:val="000000" w:themeColor="text1"/>
                                <w:sz w:val="20"/>
                                <w:szCs w:val="20"/>
                              </w:rPr>
                              <w:t>1.1</w:t>
                            </w:r>
                            <w:r w:rsidR="00A31057">
                              <w:rPr>
                                <w:rFonts w:cs="Times New Roman"/>
                                <w:b/>
                                <w:color w:val="000000" w:themeColor="text1"/>
                                <w:sz w:val="20"/>
                                <w:szCs w:val="20"/>
                              </w:rPr>
                              <w:t>33</w:t>
                            </w:r>
                            <w:r w:rsidRPr="00624CCE">
                              <w:rPr>
                                <w:rFonts w:cs="Times New Roman"/>
                                <w:b/>
                                <w:color w:val="000000" w:themeColor="text1"/>
                                <w:sz w:val="20"/>
                                <w:szCs w:val="20"/>
                              </w:rPr>
                              <w:t xml:space="preserve"> (1.0</w:t>
                            </w:r>
                            <w:r w:rsidR="008B1ACD">
                              <w:rPr>
                                <w:rFonts w:cs="Times New Roman"/>
                                <w:b/>
                                <w:color w:val="000000" w:themeColor="text1"/>
                                <w:sz w:val="20"/>
                                <w:szCs w:val="20"/>
                              </w:rPr>
                              <w:t>9</w:t>
                            </w:r>
                            <w:r w:rsidRPr="00624CCE">
                              <w:rPr>
                                <w:rFonts w:cs="Times New Roman"/>
                                <w:b/>
                                <w:color w:val="000000" w:themeColor="text1"/>
                                <w:sz w:val="20"/>
                                <w:szCs w:val="20"/>
                              </w:rPr>
                              <w:t>8—1.1</w:t>
                            </w:r>
                            <w:r w:rsidR="008B1ACD">
                              <w:rPr>
                                <w:rFonts w:cs="Times New Roman"/>
                                <w:b/>
                                <w:color w:val="000000" w:themeColor="text1"/>
                                <w:sz w:val="20"/>
                                <w:szCs w:val="20"/>
                              </w:rPr>
                              <w:t>70</w:t>
                            </w:r>
                            <w:r w:rsidRPr="00624CCE">
                              <w:rPr>
                                <w:rFonts w:cs="Times New Roman"/>
                                <w:b/>
                                <w:color w:val="000000" w:themeColor="text1"/>
                                <w:sz w:val="20"/>
                                <w:szCs w:val="20"/>
                              </w:rPr>
                              <w:t>)</w:t>
                            </w:r>
                          </w:p>
                        </w:tc>
                        <w:tc>
                          <w:tcPr>
                            <w:tcW w:w="2970" w:type="dxa"/>
                            <w:shd w:val="clear" w:color="auto" w:fill="FFFFFF" w:themeFill="background1"/>
                          </w:tcPr>
                          <w:p w14:paraId="16DCC9EA" w14:textId="3C3212C1" w:rsidR="008616EE" w:rsidRPr="00624CCE" w:rsidRDefault="008616EE" w:rsidP="0074135E">
                            <w:pPr>
                              <w:rPr>
                                <w:rFonts w:cs="Times New Roman"/>
                                <w:b/>
                                <w:color w:val="000000" w:themeColor="text1"/>
                                <w:sz w:val="20"/>
                                <w:szCs w:val="20"/>
                              </w:rPr>
                            </w:pPr>
                            <w:r w:rsidRPr="00624CCE">
                              <w:rPr>
                                <w:rFonts w:cs="Times New Roman"/>
                                <w:b/>
                                <w:color w:val="000000" w:themeColor="text1"/>
                                <w:sz w:val="20"/>
                                <w:szCs w:val="20"/>
                              </w:rPr>
                              <w:t>1.</w:t>
                            </w:r>
                            <w:r w:rsidR="005164AF" w:rsidRPr="00624CCE">
                              <w:rPr>
                                <w:rFonts w:cs="Times New Roman"/>
                                <w:b/>
                                <w:color w:val="000000" w:themeColor="text1"/>
                                <w:sz w:val="20"/>
                                <w:szCs w:val="20"/>
                              </w:rPr>
                              <w:t>5</w:t>
                            </w:r>
                            <w:r w:rsidR="005164AF">
                              <w:rPr>
                                <w:rFonts w:cs="Times New Roman"/>
                                <w:b/>
                                <w:color w:val="000000" w:themeColor="text1"/>
                                <w:sz w:val="20"/>
                                <w:szCs w:val="20"/>
                              </w:rPr>
                              <w:t>4</w:t>
                            </w:r>
                            <w:r w:rsidR="005164AF" w:rsidRPr="00624CCE">
                              <w:rPr>
                                <w:rFonts w:cs="Times New Roman"/>
                                <w:b/>
                                <w:color w:val="000000" w:themeColor="text1"/>
                                <w:sz w:val="20"/>
                                <w:szCs w:val="20"/>
                              </w:rPr>
                              <w:t xml:space="preserve">3 </w:t>
                            </w:r>
                            <w:r w:rsidRPr="00624CCE">
                              <w:rPr>
                                <w:rFonts w:cs="Times New Roman"/>
                                <w:b/>
                                <w:color w:val="000000" w:themeColor="text1"/>
                                <w:sz w:val="20"/>
                                <w:szCs w:val="20"/>
                              </w:rPr>
                              <w:t>(1.</w:t>
                            </w:r>
                            <w:r w:rsidR="0074135E">
                              <w:rPr>
                                <w:rFonts w:cs="Times New Roman"/>
                                <w:b/>
                                <w:color w:val="000000" w:themeColor="text1"/>
                                <w:sz w:val="20"/>
                                <w:szCs w:val="20"/>
                              </w:rPr>
                              <w:t>480</w:t>
                            </w:r>
                            <w:r w:rsidRPr="00624CCE">
                              <w:rPr>
                                <w:rFonts w:cs="Times New Roman"/>
                                <w:b/>
                                <w:color w:val="000000" w:themeColor="text1"/>
                                <w:sz w:val="20"/>
                                <w:szCs w:val="20"/>
                              </w:rPr>
                              <w:t>—1.</w:t>
                            </w:r>
                            <w:r w:rsidR="0074135E" w:rsidRPr="00624CCE">
                              <w:rPr>
                                <w:rFonts w:cs="Times New Roman"/>
                                <w:b/>
                                <w:color w:val="000000" w:themeColor="text1"/>
                                <w:sz w:val="20"/>
                                <w:szCs w:val="20"/>
                              </w:rPr>
                              <w:t>6</w:t>
                            </w:r>
                            <w:r w:rsidR="0074135E">
                              <w:rPr>
                                <w:rFonts w:cs="Times New Roman"/>
                                <w:b/>
                                <w:color w:val="000000" w:themeColor="text1"/>
                                <w:sz w:val="20"/>
                                <w:szCs w:val="20"/>
                              </w:rPr>
                              <w:t>10</w:t>
                            </w:r>
                            <w:r w:rsidRPr="00624CCE">
                              <w:rPr>
                                <w:rFonts w:cs="Times New Roman"/>
                                <w:b/>
                                <w:color w:val="000000" w:themeColor="text1"/>
                                <w:sz w:val="20"/>
                                <w:szCs w:val="20"/>
                              </w:rPr>
                              <w:t>)</w:t>
                            </w:r>
                          </w:p>
                        </w:tc>
                      </w:tr>
                      <w:tr w:rsidR="008616EE" w:rsidRPr="00624CCE" w14:paraId="4763A9B2" w14:textId="77777777" w:rsidTr="008616EE">
                        <w:tc>
                          <w:tcPr>
                            <w:tcW w:w="2454" w:type="dxa"/>
                            <w:shd w:val="clear" w:color="auto" w:fill="FFFFFF" w:themeFill="background1"/>
                          </w:tcPr>
                          <w:p w14:paraId="0097C5F6" w14:textId="77777777" w:rsidR="008616EE" w:rsidRPr="00624CCE" w:rsidRDefault="008616EE" w:rsidP="008616EE">
                            <w:pPr>
                              <w:rPr>
                                <w:rFonts w:cs="Times New Roman"/>
                                <w:color w:val="000000" w:themeColor="text1"/>
                                <w:sz w:val="20"/>
                                <w:szCs w:val="20"/>
                              </w:rPr>
                            </w:pPr>
                            <w:r w:rsidRPr="00624CCE">
                              <w:rPr>
                                <w:rFonts w:cs="Times New Roman"/>
                                <w:color w:val="000000" w:themeColor="text1"/>
                                <w:sz w:val="20"/>
                                <w:szCs w:val="20"/>
                              </w:rPr>
                              <w:t>% Hispanic</w:t>
                            </w:r>
                          </w:p>
                        </w:tc>
                        <w:tc>
                          <w:tcPr>
                            <w:tcW w:w="1861" w:type="dxa"/>
                            <w:shd w:val="clear" w:color="auto" w:fill="FFFFFF" w:themeFill="background1"/>
                          </w:tcPr>
                          <w:p w14:paraId="5992134E" w14:textId="77777777" w:rsidR="008616EE" w:rsidRPr="00624CCE" w:rsidRDefault="008616EE" w:rsidP="008616EE">
                            <w:pPr>
                              <w:rPr>
                                <w:rFonts w:cs="Times New Roman"/>
                                <w:b/>
                                <w:color w:val="000000" w:themeColor="text1"/>
                                <w:sz w:val="20"/>
                                <w:szCs w:val="20"/>
                              </w:rPr>
                            </w:pPr>
                            <w:r w:rsidRPr="00624CCE">
                              <w:rPr>
                                <w:rFonts w:cs="Times New Roman"/>
                                <w:b/>
                                <w:color w:val="000000" w:themeColor="text1"/>
                                <w:sz w:val="20"/>
                                <w:szCs w:val="20"/>
                              </w:rPr>
                              <w:t>9.3% (13.86%)</w:t>
                            </w:r>
                          </w:p>
                        </w:tc>
                        <w:tc>
                          <w:tcPr>
                            <w:tcW w:w="2880" w:type="dxa"/>
                            <w:shd w:val="clear" w:color="auto" w:fill="FFFFFF" w:themeFill="background1"/>
                          </w:tcPr>
                          <w:p w14:paraId="53FB863B" w14:textId="797B4EBE" w:rsidR="008616EE" w:rsidRPr="00624CCE" w:rsidRDefault="008616EE" w:rsidP="00A31057">
                            <w:pPr>
                              <w:rPr>
                                <w:rFonts w:cs="Times New Roman"/>
                                <w:b/>
                                <w:color w:val="000000" w:themeColor="text1"/>
                                <w:sz w:val="20"/>
                                <w:szCs w:val="20"/>
                              </w:rPr>
                            </w:pPr>
                            <w:r w:rsidRPr="00624CCE">
                              <w:rPr>
                                <w:rFonts w:cs="Times New Roman"/>
                                <w:b/>
                                <w:color w:val="000000" w:themeColor="text1"/>
                                <w:sz w:val="20"/>
                                <w:szCs w:val="20"/>
                              </w:rPr>
                              <w:t>1.</w:t>
                            </w:r>
                            <w:r w:rsidR="00A31057" w:rsidRPr="00624CCE">
                              <w:rPr>
                                <w:rFonts w:cs="Times New Roman"/>
                                <w:b/>
                                <w:color w:val="000000" w:themeColor="text1"/>
                                <w:sz w:val="20"/>
                                <w:szCs w:val="20"/>
                              </w:rPr>
                              <w:t>3</w:t>
                            </w:r>
                            <w:r w:rsidR="00A31057">
                              <w:rPr>
                                <w:rFonts w:cs="Times New Roman"/>
                                <w:b/>
                                <w:color w:val="000000" w:themeColor="text1"/>
                                <w:sz w:val="20"/>
                                <w:szCs w:val="20"/>
                              </w:rPr>
                              <w:t>05</w:t>
                            </w:r>
                            <w:r w:rsidR="00A31057" w:rsidRPr="00624CCE">
                              <w:rPr>
                                <w:rFonts w:cs="Times New Roman"/>
                                <w:b/>
                                <w:color w:val="000000" w:themeColor="text1"/>
                                <w:sz w:val="20"/>
                                <w:szCs w:val="20"/>
                              </w:rPr>
                              <w:t xml:space="preserve"> </w:t>
                            </w:r>
                            <w:r w:rsidRPr="00624CCE">
                              <w:rPr>
                                <w:rFonts w:cs="Times New Roman"/>
                                <w:b/>
                                <w:color w:val="000000" w:themeColor="text1"/>
                                <w:sz w:val="20"/>
                                <w:szCs w:val="20"/>
                              </w:rPr>
                              <w:t>(1.2</w:t>
                            </w:r>
                            <w:r w:rsidR="008B1ACD">
                              <w:rPr>
                                <w:rFonts w:cs="Times New Roman"/>
                                <w:b/>
                                <w:color w:val="000000" w:themeColor="text1"/>
                                <w:sz w:val="20"/>
                                <w:szCs w:val="20"/>
                              </w:rPr>
                              <w:t>62</w:t>
                            </w:r>
                            <w:r w:rsidRPr="00624CCE">
                              <w:rPr>
                                <w:rFonts w:cs="Times New Roman"/>
                                <w:b/>
                                <w:color w:val="000000" w:themeColor="text1"/>
                                <w:sz w:val="20"/>
                                <w:szCs w:val="20"/>
                              </w:rPr>
                              <w:t>—1.3</w:t>
                            </w:r>
                            <w:r w:rsidR="008B1ACD">
                              <w:rPr>
                                <w:rFonts w:cs="Times New Roman"/>
                                <w:b/>
                                <w:color w:val="000000" w:themeColor="text1"/>
                                <w:sz w:val="20"/>
                                <w:szCs w:val="20"/>
                              </w:rPr>
                              <w:t>49</w:t>
                            </w:r>
                            <w:r w:rsidRPr="00624CCE">
                              <w:rPr>
                                <w:rFonts w:cs="Times New Roman"/>
                                <w:b/>
                                <w:color w:val="000000" w:themeColor="text1"/>
                                <w:sz w:val="20"/>
                                <w:szCs w:val="20"/>
                              </w:rPr>
                              <w:t>)</w:t>
                            </w:r>
                          </w:p>
                        </w:tc>
                        <w:tc>
                          <w:tcPr>
                            <w:tcW w:w="2970" w:type="dxa"/>
                            <w:shd w:val="clear" w:color="auto" w:fill="FFFFFF" w:themeFill="background1"/>
                          </w:tcPr>
                          <w:p w14:paraId="73596424" w14:textId="0FD1D2B9" w:rsidR="008616EE" w:rsidRPr="00624CCE" w:rsidRDefault="008616EE" w:rsidP="0074135E">
                            <w:pPr>
                              <w:rPr>
                                <w:rFonts w:cs="Times New Roman"/>
                                <w:b/>
                                <w:color w:val="000000" w:themeColor="text1"/>
                                <w:sz w:val="20"/>
                                <w:szCs w:val="20"/>
                              </w:rPr>
                            </w:pPr>
                            <w:r w:rsidRPr="00624CCE">
                              <w:rPr>
                                <w:rFonts w:cs="Times New Roman"/>
                                <w:b/>
                                <w:color w:val="000000" w:themeColor="text1"/>
                                <w:sz w:val="20"/>
                                <w:szCs w:val="20"/>
                              </w:rPr>
                              <w:t>1.</w:t>
                            </w:r>
                            <w:r w:rsidR="005164AF" w:rsidRPr="00624CCE">
                              <w:rPr>
                                <w:rFonts w:cs="Times New Roman"/>
                                <w:b/>
                                <w:color w:val="000000" w:themeColor="text1"/>
                                <w:sz w:val="20"/>
                                <w:szCs w:val="20"/>
                              </w:rPr>
                              <w:t>1</w:t>
                            </w:r>
                            <w:r w:rsidR="005164AF">
                              <w:rPr>
                                <w:rFonts w:cs="Times New Roman"/>
                                <w:b/>
                                <w:color w:val="000000" w:themeColor="text1"/>
                                <w:sz w:val="20"/>
                                <w:szCs w:val="20"/>
                              </w:rPr>
                              <w:t>75</w:t>
                            </w:r>
                            <w:r w:rsidR="005164AF" w:rsidRPr="00624CCE">
                              <w:rPr>
                                <w:rFonts w:cs="Times New Roman"/>
                                <w:b/>
                                <w:color w:val="000000" w:themeColor="text1"/>
                                <w:sz w:val="20"/>
                                <w:szCs w:val="20"/>
                              </w:rPr>
                              <w:t xml:space="preserve"> </w:t>
                            </w:r>
                            <w:r w:rsidRPr="00624CCE">
                              <w:rPr>
                                <w:rFonts w:cs="Times New Roman"/>
                                <w:b/>
                                <w:color w:val="000000" w:themeColor="text1"/>
                                <w:sz w:val="20"/>
                                <w:szCs w:val="20"/>
                              </w:rPr>
                              <w:t>(1.</w:t>
                            </w:r>
                            <w:r w:rsidR="0074135E" w:rsidRPr="00624CCE">
                              <w:rPr>
                                <w:rFonts w:cs="Times New Roman"/>
                                <w:b/>
                                <w:color w:val="000000" w:themeColor="text1"/>
                                <w:sz w:val="20"/>
                                <w:szCs w:val="20"/>
                              </w:rPr>
                              <w:t>1</w:t>
                            </w:r>
                            <w:r w:rsidR="0074135E">
                              <w:rPr>
                                <w:rFonts w:cs="Times New Roman"/>
                                <w:b/>
                                <w:color w:val="000000" w:themeColor="text1"/>
                                <w:sz w:val="20"/>
                                <w:szCs w:val="20"/>
                              </w:rPr>
                              <w:t>27</w:t>
                            </w:r>
                            <w:r w:rsidRPr="00624CCE">
                              <w:rPr>
                                <w:rFonts w:cs="Times New Roman"/>
                                <w:b/>
                                <w:color w:val="000000" w:themeColor="text1"/>
                                <w:sz w:val="20"/>
                                <w:szCs w:val="20"/>
                              </w:rPr>
                              <w:t>—1.</w:t>
                            </w:r>
                            <w:r w:rsidR="0074135E" w:rsidRPr="00624CCE">
                              <w:rPr>
                                <w:rFonts w:cs="Times New Roman"/>
                                <w:b/>
                                <w:color w:val="000000" w:themeColor="text1"/>
                                <w:sz w:val="20"/>
                                <w:szCs w:val="20"/>
                              </w:rPr>
                              <w:t>2</w:t>
                            </w:r>
                            <w:r w:rsidR="0074135E">
                              <w:rPr>
                                <w:rFonts w:cs="Times New Roman"/>
                                <w:b/>
                                <w:color w:val="000000" w:themeColor="text1"/>
                                <w:sz w:val="20"/>
                                <w:szCs w:val="20"/>
                              </w:rPr>
                              <w:t>25</w:t>
                            </w:r>
                            <w:r w:rsidRPr="00624CCE">
                              <w:rPr>
                                <w:rFonts w:cs="Times New Roman"/>
                                <w:b/>
                                <w:color w:val="000000" w:themeColor="text1"/>
                                <w:sz w:val="20"/>
                                <w:szCs w:val="20"/>
                              </w:rPr>
                              <w:t>)</w:t>
                            </w:r>
                          </w:p>
                        </w:tc>
                      </w:tr>
                      <w:tr w:rsidR="008616EE" w:rsidRPr="00624CCE" w14:paraId="1B39D77E" w14:textId="77777777" w:rsidTr="008616EE">
                        <w:tc>
                          <w:tcPr>
                            <w:tcW w:w="2454" w:type="dxa"/>
                            <w:shd w:val="clear" w:color="auto" w:fill="FFFFFF" w:themeFill="background1"/>
                          </w:tcPr>
                          <w:p w14:paraId="5571EBCD" w14:textId="77777777" w:rsidR="008616EE" w:rsidRPr="00624CCE" w:rsidRDefault="008616EE" w:rsidP="008616EE">
                            <w:pPr>
                              <w:rPr>
                                <w:rFonts w:cs="Times New Roman"/>
                                <w:color w:val="000000" w:themeColor="text1"/>
                                <w:sz w:val="20"/>
                                <w:szCs w:val="20"/>
                              </w:rPr>
                            </w:pPr>
                            <w:r w:rsidRPr="00624CCE">
                              <w:rPr>
                                <w:rFonts w:cs="Times New Roman"/>
                                <w:color w:val="000000" w:themeColor="text1"/>
                                <w:sz w:val="20"/>
                                <w:szCs w:val="20"/>
                              </w:rPr>
                              <w:t>% aged 35 to 64</w:t>
                            </w:r>
                          </w:p>
                        </w:tc>
                        <w:tc>
                          <w:tcPr>
                            <w:tcW w:w="1861" w:type="dxa"/>
                            <w:shd w:val="clear" w:color="auto" w:fill="FFFFFF" w:themeFill="background1"/>
                          </w:tcPr>
                          <w:p w14:paraId="0E700505" w14:textId="77777777" w:rsidR="008616EE" w:rsidRPr="00624CCE" w:rsidRDefault="008616EE" w:rsidP="008616EE">
                            <w:pPr>
                              <w:rPr>
                                <w:rFonts w:cs="Times New Roman"/>
                                <w:b/>
                                <w:color w:val="000000" w:themeColor="text1"/>
                                <w:sz w:val="20"/>
                                <w:szCs w:val="20"/>
                              </w:rPr>
                            </w:pPr>
                            <w:r w:rsidRPr="00624CCE">
                              <w:rPr>
                                <w:rFonts w:cs="Times New Roman"/>
                                <w:b/>
                                <w:color w:val="000000" w:themeColor="text1"/>
                                <w:sz w:val="20"/>
                                <w:szCs w:val="20"/>
                              </w:rPr>
                              <w:t>38.66% (2.98%)</w:t>
                            </w:r>
                          </w:p>
                        </w:tc>
                        <w:tc>
                          <w:tcPr>
                            <w:tcW w:w="2880" w:type="dxa"/>
                            <w:shd w:val="clear" w:color="auto" w:fill="FFFFFF" w:themeFill="background1"/>
                          </w:tcPr>
                          <w:p w14:paraId="7A7D59B8" w14:textId="7515776E" w:rsidR="008616EE" w:rsidRPr="00624CCE" w:rsidRDefault="008616EE" w:rsidP="0074135E">
                            <w:pPr>
                              <w:rPr>
                                <w:rFonts w:cs="Times New Roman"/>
                                <w:b/>
                                <w:color w:val="000000" w:themeColor="text1"/>
                                <w:sz w:val="20"/>
                                <w:szCs w:val="20"/>
                              </w:rPr>
                            </w:pPr>
                            <w:r w:rsidRPr="00624CCE">
                              <w:rPr>
                                <w:rFonts w:cs="Times New Roman"/>
                                <w:b/>
                                <w:color w:val="000000" w:themeColor="text1"/>
                                <w:sz w:val="20"/>
                                <w:szCs w:val="20"/>
                              </w:rPr>
                              <w:t>0.</w:t>
                            </w:r>
                            <w:r w:rsidR="00A31057" w:rsidRPr="00624CCE">
                              <w:rPr>
                                <w:rFonts w:cs="Times New Roman"/>
                                <w:b/>
                                <w:color w:val="000000" w:themeColor="text1"/>
                                <w:sz w:val="20"/>
                                <w:szCs w:val="20"/>
                              </w:rPr>
                              <w:t>9</w:t>
                            </w:r>
                            <w:r w:rsidR="00A31057">
                              <w:rPr>
                                <w:rFonts w:cs="Times New Roman"/>
                                <w:b/>
                                <w:color w:val="000000" w:themeColor="text1"/>
                                <w:sz w:val="20"/>
                                <w:szCs w:val="20"/>
                              </w:rPr>
                              <w:t>60</w:t>
                            </w:r>
                            <w:r w:rsidR="00A31057" w:rsidRPr="00624CCE">
                              <w:rPr>
                                <w:rFonts w:cs="Times New Roman"/>
                                <w:b/>
                                <w:color w:val="000000" w:themeColor="text1"/>
                                <w:sz w:val="20"/>
                                <w:szCs w:val="20"/>
                              </w:rPr>
                              <w:t xml:space="preserve"> </w:t>
                            </w:r>
                            <w:r w:rsidRPr="00624CCE">
                              <w:rPr>
                                <w:rFonts w:cs="Times New Roman"/>
                                <w:b/>
                                <w:color w:val="000000" w:themeColor="text1"/>
                                <w:sz w:val="20"/>
                                <w:szCs w:val="20"/>
                              </w:rPr>
                              <w:t>(0.</w:t>
                            </w:r>
                            <w:r w:rsidR="0074135E" w:rsidRPr="00624CCE">
                              <w:rPr>
                                <w:rFonts w:cs="Times New Roman"/>
                                <w:b/>
                                <w:color w:val="000000" w:themeColor="text1"/>
                                <w:sz w:val="20"/>
                                <w:szCs w:val="20"/>
                              </w:rPr>
                              <w:t>9</w:t>
                            </w:r>
                            <w:r w:rsidR="0074135E">
                              <w:rPr>
                                <w:rFonts w:cs="Times New Roman"/>
                                <w:b/>
                                <w:color w:val="000000" w:themeColor="text1"/>
                                <w:sz w:val="20"/>
                                <w:szCs w:val="20"/>
                              </w:rPr>
                              <w:t>43</w:t>
                            </w:r>
                            <w:r w:rsidRPr="00624CCE">
                              <w:rPr>
                                <w:rFonts w:cs="Times New Roman"/>
                                <w:b/>
                                <w:color w:val="000000" w:themeColor="text1"/>
                                <w:sz w:val="20"/>
                                <w:szCs w:val="20"/>
                              </w:rPr>
                              <w:t>—0.</w:t>
                            </w:r>
                            <w:r w:rsidR="0074135E" w:rsidRPr="00624CCE">
                              <w:rPr>
                                <w:rFonts w:cs="Times New Roman"/>
                                <w:b/>
                                <w:color w:val="000000" w:themeColor="text1"/>
                                <w:sz w:val="20"/>
                                <w:szCs w:val="20"/>
                              </w:rPr>
                              <w:t>97</w:t>
                            </w:r>
                            <w:r w:rsidR="0074135E">
                              <w:rPr>
                                <w:rFonts w:cs="Times New Roman"/>
                                <w:b/>
                                <w:color w:val="000000" w:themeColor="text1"/>
                                <w:sz w:val="20"/>
                                <w:szCs w:val="20"/>
                              </w:rPr>
                              <w:t>9</w:t>
                            </w:r>
                            <w:r w:rsidRPr="00624CCE">
                              <w:rPr>
                                <w:rFonts w:cs="Times New Roman"/>
                                <w:b/>
                                <w:color w:val="000000" w:themeColor="text1"/>
                                <w:sz w:val="20"/>
                                <w:szCs w:val="20"/>
                              </w:rPr>
                              <w:t>)</w:t>
                            </w:r>
                          </w:p>
                        </w:tc>
                        <w:tc>
                          <w:tcPr>
                            <w:tcW w:w="2970" w:type="dxa"/>
                            <w:shd w:val="clear" w:color="auto" w:fill="FFFFFF" w:themeFill="background1"/>
                          </w:tcPr>
                          <w:p w14:paraId="35E7DDEF" w14:textId="4EC3F455" w:rsidR="008616EE" w:rsidRPr="00624CCE" w:rsidRDefault="008616EE" w:rsidP="0074135E">
                            <w:pPr>
                              <w:rPr>
                                <w:rFonts w:cs="Times New Roman"/>
                                <w:b/>
                                <w:color w:val="000000" w:themeColor="text1"/>
                                <w:sz w:val="20"/>
                                <w:szCs w:val="20"/>
                              </w:rPr>
                            </w:pPr>
                            <w:r w:rsidRPr="00624CCE">
                              <w:rPr>
                                <w:rFonts w:cs="Times New Roman"/>
                                <w:b/>
                                <w:color w:val="000000" w:themeColor="text1"/>
                                <w:sz w:val="20"/>
                                <w:szCs w:val="20"/>
                              </w:rPr>
                              <w:t>1.</w:t>
                            </w:r>
                            <w:r w:rsidR="005164AF" w:rsidRPr="00624CCE">
                              <w:rPr>
                                <w:rFonts w:cs="Times New Roman"/>
                                <w:b/>
                                <w:color w:val="000000" w:themeColor="text1"/>
                                <w:sz w:val="20"/>
                                <w:szCs w:val="20"/>
                              </w:rPr>
                              <w:t>10</w:t>
                            </w:r>
                            <w:r w:rsidR="005164AF">
                              <w:rPr>
                                <w:rFonts w:cs="Times New Roman"/>
                                <w:b/>
                                <w:color w:val="000000" w:themeColor="text1"/>
                                <w:sz w:val="20"/>
                                <w:szCs w:val="20"/>
                              </w:rPr>
                              <w:t>2</w:t>
                            </w:r>
                            <w:r w:rsidR="005164AF" w:rsidRPr="00624CCE">
                              <w:rPr>
                                <w:rFonts w:cs="Times New Roman"/>
                                <w:b/>
                                <w:color w:val="000000" w:themeColor="text1"/>
                                <w:sz w:val="20"/>
                                <w:szCs w:val="20"/>
                              </w:rPr>
                              <w:t xml:space="preserve"> </w:t>
                            </w:r>
                            <w:r w:rsidRPr="00624CCE">
                              <w:rPr>
                                <w:rFonts w:cs="Times New Roman"/>
                                <w:b/>
                                <w:color w:val="000000" w:themeColor="text1"/>
                                <w:sz w:val="20"/>
                                <w:szCs w:val="20"/>
                              </w:rPr>
                              <w:t>(1.</w:t>
                            </w:r>
                            <w:r w:rsidR="0074135E" w:rsidRPr="00624CCE">
                              <w:rPr>
                                <w:rFonts w:cs="Times New Roman"/>
                                <w:b/>
                                <w:color w:val="000000" w:themeColor="text1"/>
                                <w:sz w:val="20"/>
                                <w:szCs w:val="20"/>
                              </w:rPr>
                              <w:t>07</w:t>
                            </w:r>
                            <w:r w:rsidR="0074135E">
                              <w:rPr>
                                <w:rFonts w:cs="Times New Roman"/>
                                <w:b/>
                                <w:color w:val="000000" w:themeColor="text1"/>
                                <w:sz w:val="20"/>
                                <w:szCs w:val="20"/>
                              </w:rPr>
                              <w:t>2</w:t>
                            </w:r>
                            <w:r w:rsidRPr="00624CCE">
                              <w:rPr>
                                <w:rFonts w:cs="Times New Roman"/>
                                <w:b/>
                                <w:color w:val="000000" w:themeColor="text1"/>
                                <w:sz w:val="20"/>
                                <w:szCs w:val="20"/>
                              </w:rPr>
                              <w:t>—1.</w:t>
                            </w:r>
                            <w:r w:rsidR="0074135E" w:rsidRPr="00624CCE">
                              <w:rPr>
                                <w:rFonts w:cs="Times New Roman"/>
                                <w:b/>
                                <w:color w:val="000000" w:themeColor="text1"/>
                                <w:sz w:val="20"/>
                                <w:szCs w:val="20"/>
                              </w:rPr>
                              <w:t>13</w:t>
                            </w:r>
                            <w:r w:rsidR="0074135E">
                              <w:rPr>
                                <w:rFonts w:cs="Times New Roman"/>
                                <w:b/>
                                <w:color w:val="000000" w:themeColor="text1"/>
                                <w:sz w:val="20"/>
                                <w:szCs w:val="20"/>
                              </w:rPr>
                              <w:t>3</w:t>
                            </w:r>
                            <w:r w:rsidRPr="00624CCE">
                              <w:rPr>
                                <w:rFonts w:cs="Times New Roman"/>
                                <w:b/>
                                <w:color w:val="000000" w:themeColor="text1"/>
                                <w:sz w:val="20"/>
                                <w:szCs w:val="20"/>
                              </w:rPr>
                              <w:t>)</w:t>
                            </w:r>
                          </w:p>
                        </w:tc>
                      </w:tr>
                      <w:tr w:rsidR="008616EE" w:rsidRPr="00624CCE" w14:paraId="124D1C92" w14:textId="77777777" w:rsidTr="008616EE">
                        <w:tc>
                          <w:tcPr>
                            <w:tcW w:w="2454" w:type="dxa"/>
                            <w:shd w:val="clear" w:color="auto" w:fill="FFFFFF" w:themeFill="background1"/>
                          </w:tcPr>
                          <w:p w14:paraId="150CC30F" w14:textId="77777777" w:rsidR="008616EE" w:rsidRPr="00624CCE" w:rsidRDefault="008616EE" w:rsidP="008616EE">
                            <w:pPr>
                              <w:rPr>
                                <w:rFonts w:cs="Times New Roman"/>
                                <w:color w:val="000000" w:themeColor="text1"/>
                                <w:sz w:val="20"/>
                                <w:szCs w:val="20"/>
                              </w:rPr>
                            </w:pPr>
                            <w:r w:rsidRPr="00624CCE">
                              <w:rPr>
                                <w:rFonts w:cs="Times New Roman"/>
                                <w:color w:val="000000" w:themeColor="text1"/>
                                <w:sz w:val="20"/>
                                <w:szCs w:val="20"/>
                              </w:rPr>
                              <w:t xml:space="preserve">Socioeconomic deprivation </w:t>
                            </w:r>
                            <w:r w:rsidRPr="00624CCE">
                              <w:rPr>
                                <w:rFonts w:cs="Times New Roman"/>
                                <w:color w:val="000000" w:themeColor="text1"/>
                                <w:sz w:val="20"/>
                                <w:szCs w:val="20"/>
                                <w:vertAlign w:val="superscript"/>
                              </w:rPr>
                              <w:t>a</w:t>
                            </w:r>
                          </w:p>
                        </w:tc>
                        <w:tc>
                          <w:tcPr>
                            <w:tcW w:w="1861" w:type="dxa"/>
                            <w:shd w:val="clear" w:color="auto" w:fill="FFFFFF" w:themeFill="background1"/>
                          </w:tcPr>
                          <w:p w14:paraId="25A3D877" w14:textId="77777777" w:rsidR="008616EE" w:rsidRPr="00624CCE" w:rsidRDefault="008616EE" w:rsidP="008616EE">
                            <w:pPr>
                              <w:rPr>
                                <w:rFonts w:cs="Times New Roman"/>
                                <w:b/>
                                <w:color w:val="000000" w:themeColor="text1"/>
                                <w:sz w:val="20"/>
                                <w:szCs w:val="20"/>
                              </w:rPr>
                            </w:pPr>
                            <w:r w:rsidRPr="00624CCE">
                              <w:rPr>
                                <w:rFonts w:cs="Times New Roman"/>
                                <w:b/>
                                <w:color w:val="000000" w:themeColor="text1"/>
                                <w:sz w:val="20"/>
                                <w:szCs w:val="20"/>
                              </w:rPr>
                              <w:t>-1.85 (0.46)</w:t>
                            </w:r>
                          </w:p>
                        </w:tc>
                        <w:tc>
                          <w:tcPr>
                            <w:tcW w:w="2880" w:type="dxa"/>
                            <w:shd w:val="clear" w:color="auto" w:fill="FFFFFF" w:themeFill="background1"/>
                          </w:tcPr>
                          <w:p w14:paraId="19B401AF" w14:textId="5009A741" w:rsidR="008616EE" w:rsidRPr="00624CCE" w:rsidRDefault="008616EE" w:rsidP="0074135E">
                            <w:pPr>
                              <w:rPr>
                                <w:rFonts w:cs="Times New Roman"/>
                                <w:color w:val="000000" w:themeColor="text1"/>
                                <w:sz w:val="20"/>
                                <w:szCs w:val="20"/>
                              </w:rPr>
                            </w:pPr>
                            <w:r w:rsidRPr="00624CCE">
                              <w:rPr>
                                <w:rFonts w:cs="Times New Roman"/>
                                <w:color w:val="000000" w:themeColor="text1"/>
                                <w:sz w:val="20"/>
                                <w:szCs w:val="20"/>
                              </w:rPr>
                              <w:t>1.022 (0.</w:t>
                            </w:r>
                            <w:r w:rsidR="0074135E" w:rsidRPr="00624CCE">
                              <w:rPr>
                                <w:rFonts w:cs="Times New Roman"/>
                                <w:color w:val="000000" w:themeColor="text1"/>
                                <w:sz w:val="20"/>
                                <w:szCs w:val="20"/>
                              </w:rPr>
                              <w:t>99</w:t>
                            </w:r>
                            <w:r w:rsidR="0074135E">
                              <w:rPr>
                                <w:rFonts w:cs="Times New Roman"/>
                                <w:color w:val="000000" w:themeColor="text1"/>
                                <w:sz w:val="20"/>
                                <w:szCs w:val="20"/>
                              </w:rPr>
                              <w:t>4</w:t>
                            </w:r>
                            <w:r w:rsidRPr="00624CCE">
                              <w:rPr>
                                <w:rFonts w:cs="Times New Roman"/>
                                <w:b/>
                                <w:color w:val="000000" w:themeColor="text1"/>
                                <w:sz w:val="20"/>
                                <w:szCs w:val="20"/>
                              </w:rPr>
                              <w:t>—</w:t>
                            </w:r>
                            <w:r w:rsidRPr="00624CCE">
                              <w:rPr>
                                <w:rFonts w:cs="Times New Roman"/>
                                <w:color w:val="000000" w:themeColor="text1"/>
                                <w:sz w:val="20"/>
                                <w:szCs w:val="20"/>
                              </w:rPr>
                              <w:t>1.</w:t>
                            </w:r>
                            <w:r w:rsidR="0074135E" w:rsidRPr="00624CCE">
                              <w:rPr>
                                <w:rFonts w:cs="Times New Roman"/>
                                <w:color w:val="000000" w:themeColor="text1"/>
                                <w:sz w:val="20"/>
                                <w:szCs w:val="20"/>
                              </w:rPr>
                              <w:t>05</w:t>
                            </w:r>
                            <w:r w:rsidR="0074135E">
                              <w:rPr>
                                <w:rFonts w:cs="Times New Roman"/>
                                <w:color w:val="000000" w:themeColor="text1"/>
                                <w:sz w:val="20"/>
                                <w:szCs w:val="20"/>
                              </w:rPr>
                              <w:t>2</w:t>
                            </w:r>
                            <w:r w:rsidRPr="00624CCE">
                              <w:rPr>
                                <w:rFonts w:cs="Times New Roman"/>
                                <w:color w:val="000000" w:themeColor="text1"/>
                                <w:sz w:val="20"/>
                                <w:szCs w:val="20"/>
                              </w:rPr>
                              <w:t>)</w:t>
                            </w:r>
                          </w:p>
                        </w:tc>
                        <w:tc>
                          <w:tcPr>
                            <w:tcW w:w="2970" w:type="dxa"/>
                            <w:shd w:val="clear" w:color="auto" w:fill="FFFFFF" w:themeFill="background1"/>
                          </w:tcPr>
                          <w:p w14:paraId="29B14FBF" w14:textId="37988C75" w:rsidR="008616EE" w:rsidRPr="00624CCE" w:rsidRDefault="008616EE" w:rsidP="0074135E">
                            <w:pPr>
                              <w:rPr>
                                <w:rFonts w:cs="Times New Roman"/>
                                <w:b/>
                                <w:color w:val="000000" w:themeColor="text1"/>
                                <w:sz w:val="20"/>
                                <w:szCs w:val="20"/>
                              </w:rPr>
                            </w:pPr>
                            <w:r w:rsidRPr="00624CCE">
                              <w:rPr>
                                <w:rFonts w:cs="Times New Roman"/>
                                <w:b/>
                                <w:color w:val="000000" w:themeColor="text1"/>
                                <w:sz w:val="20"/>
                                <w:szCs w:val="20"/>
                              </w:rPr>
                              <w:t>1.</w:t>
                            </w:r>
                            <w:r w:rsidR="005164AF" w:rsidRPr="00624CCE">
                              <w:rPr>
                                <w:rFonts w:cs="Times New Roman"/>
                                <w:b/>
                                <w:color w:val="000000" w:themeColor="text1"/>
                                <w:sz w:val="20"/>
                                <w:szCs w:val="20"/>
                              </w:rPr>
                              <w:t>06</w:t>
                            </w:r>
                            <w:r w:rsidR="005164AF">
                              <w:rPr>
                                <w:rFonts w:cs="Times New Roman"/>
                                <w:b/>
                                <w:color w:val="000000" w:themeColor="text1"/>
                                <w:sz w:val="20"/>
                                <w:szCs w:val="20"/>
                              </w:rPr>
                              <w:t>4</w:t>
                            </w:r>
                            <w:r w:rsidR="005164AF" w:rsidRPr="00624CCE">
                              <w:rPr>
                                <w:rFonts w:cs="Times New Roman"/>
                                <w:b/>
                                <w:color w:val="000000" w:themeColor="text1"/>
                                <w:sz w:val="20"/>
                                <w:szCs w:val="20"/>
                              </w:rPr>
                              <w:t xml:space="preserve"> </w:t>
                            </w:r>
                            <w:r w:rsidRPr="00624CCE">
                              <w:rPr>
                                <w:rFonts w:cs="Times New Roman"/>
                                <w:b/>
                                <w:color w:val="000000" w:themeColor="text1"/>
                                <w:sz w:val="20"/>
                                <w:szCs w:val="20"/>
                              </w:rPr>
                              <w:t>(1.</w:t>
                            </w:r>
                            <w:r w:rsidR="0074135E" w:rsidRPr="00624CCE">
                              <w:rPr>
                                <w:rFonts w:cs="Times New Roman"/>
                                <w:b/>
                                <w:color w:val="000000" w:themeColor="text1"/>
                                <w:sz w:val="20"/>
                                <w:szCs w:val="20"/>
                              </w:rPr>
                              <w:t>02</w:t>
                            </w:r>
                            <w:r w:rsidR="0074135E">
                              <w:rPr>
                                <w:rFonts w:cs="Times New Roman"/>
                                <w:b/>
                                <w:color w:val="000000" w:themeColor="text1"/>
                                <w:sz w:val="20"/>
                                <w:szCs w:val="20"/>
                              </w:rPr>
                              <w:t>4</w:t>
                            </w:r>
                            <w:r w:rsidRPr="00624CCE">
                              <w:rPr>
                                <w:rFonts w:cs="Times New Roman"/>
                                <w:b/>
                                <w:color w:val="000000" w:themeColor="text1"/>
                                <w:sz w:val="20"/>
                                <w:szCs w:val="20"/>
                              </w:rPr>
                              <w:t>—1.</w:t>
                            </w:r>
                            <w:r w:rsidR="0074135E" w:rsidRPr="00624CCE">
                              <w:rPr>
                                <w:rFonts w:cs="Times New Roman"/>
                                <w:b/>
                                <w:color w:val="000000" w:themeColor="text1"/>
                                <w:sz w:val="20"/>
                                <w:szCs w:val="20"/>
                              </w:rPr>
                              <w:t>10</w:t>
                            </w:r>
                            <w:r w:rsidR="0074135E">
                              <w:rPr>
                                <w:rFonts w:cs="Times New Roman"/>
                                <w:b/>
                                <w:color w:val="000000" w:themeColor="text1"/>
                                <w:sz w:val="20"/>
                                <w:szCs w:val="20"/>
                              </w:rPr>
                              <w:t>6</w:t>
                            </w:r>
                            <w:r w:rsidRPr="00624CCE">
                              <w:rPr>
                                <w:rFonts w:cs="Times New Roman"/>
                                <w:b/>
                                <w:color w:val="000000" w:themeColor="text1"/>
                                <w:sz w:val="20"/>
                                <w:szCs w:val="20"/>
                              </w:rPr>
                              <w:t>)</w:t>
                            </w:r>
                          </w:p>
                        </w:tc>
                      </w:tr>
                      <w:tr w:rsidR="008616EE" w:rsidRPr="00624CCE" w14:paraId="2937DF68" w14:textId="77777777" w:rsidTr="008616EE">
                        <w:tc>
                          <w:tcPr>
                            <w:tcW w:w="2454" w:type="dxa"/>
                            <w:shd w:val="clear" w:color="auto" w:fill="FFFFFF" w:themeFill="background1"/>
                          </w:tcPr>
                          <w:p w14:paraId="334DB9C6" w14:textId="77777777" w:rsidR="008616EE" w:rsidRPr="00624CCE" w:rsidRDefault="008616EE" w:rsidP="008616EE">
                            <w:pPr>
                              <w:rPr>
                                <w:rFonts w:cs="Times New Roman"/>
                                <w:color w:val="000000" w:themeColor="text1"/>
                                <w:sz w:val="20"/>
                                <w:szCs w:val="20"/>
                              </w:rPr>
                            </w:pPr>
                            <w:r w:rsidRPr="00624CCE">
                              <w:rPr>
                                <w:rFonts w:cs="Times New Roman"/>
                                <w:color w:val="000000" w:themeColor="text1"/>
                                <w:sz w:val="20"/>
                                <w:szCs w:val="20"/>
                              </w:rPr>
                              <w:t>Population density</w:t>
                            </w:r>
                          </w:p>
                        </w:tc>
                        <w:tc>
                          <w:tcPr>
                            <w:tcW w:w="1861" w:type="dxa"/>
                            <w:shd w:val="clear" w:color="auto" w:fill="FFFFFF" w:themeFill="background1"/>
                          </w:tcPr>
                          <w:p w14:paraId="47DCA544" w14:textId="77777777" w:rsidR="008616EE" w:rsidRPr="00624CCE" w:rsidRDefault="008616EE" w:rsidP="008616EE">
                            <w:pPr>
                              <w:rPr>
                                <w:rFonts w:cs="Times New Roman"/>
                                <w:b/>
                                <w:color w:val="000000" w:themeColor="text1"/>
                                <w:sz w:val="20"/>
                                <w:szCs w:val="20"/>
                              </w:rPr>
                            </w:pPr>
                            <w:r w:rsidRPr="00624CCE">
                              <w:rPr>
                                <w:rFonts w:cs="Times New Roman"/>
                                <w:b/>
                                <w:color w:val="000000" w:themeColor="text1"/>
                                <w:sz w:val="20"/>
                                <w:szCs w:val="20"/>
                              </w:rPr>
                              <w:t>272.94 (1812.99)</w:t>
                            </w:r>
                          </w:p>
                        </w:tc>
                        <w:tc>
                          <w:tcPr>
                            <w:tcW w:w="2880" w:type="dxa"/>
                            <w:shd w:val="clear" w:color="auto" w:fill="FFFFFF" w:themeFill="background1"/>
                          </w:tcPr>
                          <w:p w14:paraId="76BCEE5A" w14:textId="18E27B81" w:rsidR="008616EE" w:rsidRPr="00624CCE" w:rsidRDefault="008616EE" w:rsidP="0074135E">
                            <w:pPr>
                              <w:rPr>
                                <w:rFonts w:cs="Times New Roman"/>
                                <w:b/>
                                <w:color w:val="000000" w:themeColor="text1"/>
                                <w:sz w:val="20"/>
                                <w:szCs w:val="20"/>
                              </w:rPr>
                            </w:pPr>
                            <w:r w:rsidRPr="00624CCE">
                              <w:rPr>
                                <w:rFonts w:cs="Times New Roman"/>
                                <w:b/>
                                <w:color w:val="000000" w:themeColor="text1"/>
                                <w:sz w:val="20"/>
                                <w:szCs w:val="20"/>
                              </w:rPr>
                              <w:t>0.</w:t>
                            </w:r>
                            <w:r w:rsidR="00A31057" w:rsidRPr="00624CCE">
                              <w:rPr>
                                <w:rFonts w:cs="Times New Roman"/>
                                <w:b/>
                                <w:color w:val="000000" w:themeColor="text1"/>
                                <w:sz w:val="20"/>
                                <w:szCs w:val="20"/>
                              </w:rPr>
                              <w:t>97</w:t>
                            </w:r>
                            <w:r w:rsidR="00A31057">
                              <w:rPr>
                                <w:rFonts w:cs="Times New Roman"/>
                                <w:b/>
                                <w:color w:val="000000" w:themeColor="text1"/>
                                <w:sz w:val="20"/>
                                <w:szCs w:val="20"/>
                              </w:rPr>
                              <w:t>2</w:t>
                            </w:r>
                            <w:r w:rsidR="00A31057" w:rsidRPr="00624CCE">
                              <w:rPr>
                                <w:rFonts w:cs="Times New Roman"/>
                                <w:b/>
                                <w:color w:val="000000" w:themeColor="text1"/>
                                <w:sz w:val="20"/>
                                <w:szCs w:val="20"/>
                              </w:rPr>
                              <w:t xml:space="preserve"> </w:t>
                            </w:r>
                            <w:r w:rsidRPr="00624CCE">
                              <w:rPr>
                                <w:rFonts w:cs="Times New Roman"/>
                                <w:b/>
                                <w:color w:val="000000" w:themeColor="text1"/>
                                <w:sz w:val="20"/>
                                <w:szCs w:val="20"/>
                              </w:rPr>
                              <w:t>(0.</w:t>
                            </w:r>
                            <w:r w:rsidR="0074135E" w:rsidRPr="00624CCE">
                              <w:rPr>
                                <w:rFonts w:cs="Times New Roman"/>
                                <w:b/>
                                <w:color w:val="000000" w:themeColor="text1"/>
                                <w:sz w:val="20"/>
                                <w:szCs w:val="20"/>
                              </w:rPr>
                              <w:t>9</w:t>
                            </w:r>
                            <w:r w:rsidR="0074135E">
                              <w:rPr>
                                <w:rFonts w:cs="Times New Roman"/>
                                <w:b/>
                                <w:color w:val="000000" w:themeColor="text1"/>
                                <w:sz w:val="20"/>
                                <w:szCs w:val="20"/>
                              </w:rPr>
                              <w:t>50</w:t>
                            </w:r>
                            <w:r w:rsidRPr="00624CCE">
                              <w:rPr>
                                <w:rFonts w:cs="Times New Roman"/>
                                <w:b/>
                                <w:color w:val="000000" w:themeColor="text1"/>
                                <w:sz w:val="20"/>
                                <w:szCs w:val="20"/>
                              </w:rPr>
                              <w:t>—0.</w:t>
                            </w:r>
                            <w:r w:rsidR="0074135E" w:rsidRPr="00624CCE">
                              <w:rPr>
                                <w:rFonts w:cs="Times New Roman"/>
                                <w:b/>
                                <w:color w:val="000000" w:themeColor="text1"/>
                                <w:sz w:val="20"/>
                                <w:szCs w:val="20"/>
                              </w:rPr>
                              <w:t>99</w:t>
                            </w:r>
                            <w:r w:rsidR="0074135E">
                              <w:rPr>
                                <w:rFonts w:cs="Times New Roman"/>
                                <w:b/>
                                <w:color w:val="000000" w:themeColor="text1"/>
                                <w:sz w:val="20"/>
                                <w:szCs w:val="20"/>
                              </w:rPr>
                              <w:t>4</w:t>
                            </w:r>
                            <w:r w:rsidRPr="00624CCE">
                              <w:rPr>
                                <w:rFonts w:cs="Times New Roman"/>
                                <w:b/>
                                <w:color w:val="000000" w:themeColor="text1"/>
                                <w:sz w:val="20"/>
                                <w:szCs w:val="20"/>
                              </w:rPr>
                              <w:t>)</w:t>
                            </w:r>
                          </w:p>
                        </w:tc>
                        <w:tc>
                          <w:tcPr>
                            <w:tcW w:w="2970" w:type="dxa"/>
                            <w:shd w:val="clear" w:color="auto" w:fill="FFFFFF" w:themeFill="background1"/>
                          </w:tcPr>
                          <w:p w14:paraId="4910EBEE" w14:textId="34985F3C" w:rsidR="008616EE" w:rsidRPr="00624CCE" w:rsidRDefault="008616EE" w:rsidP="0074135E">
                            <w:pPr>
                              <w:rPr>
                                <w:rFonts w:cs="Times New Roman"/>
                                <w:b/>
                                <w:color w:val="000000" w:themeColor="text1"/>
                                <w:sz w:val="20"/>
                                <w:szCs w:val="20"/>
                              </w:rPr>
                            </w:pPr>
                            <w:r w:rsidRPr="00624CCE">
                              <w:rPr>
                                <w:rFonts w:cs="Times New Roman"/>
                                <w:b/>
                                <w:color w:val="000000" w:themeColor="text1"/>
                                <w:sz w:val="20"/>
                                <w:szCs w:val="20"/>
                              </w:rPr>
                              <w:t>1.05</w:t>
                            </w:r>
                            <w:r w:rsidR="005164AF">
                              <w:rPr>
                                <w:rFonts w:cs="Times New Roman"/>
                                <w:b/>
                                <w:color w:val="000000" w:themeColor="text1"/>
                                <w:sz w:val="20"/>
                                <w:szCs w:val="20"/>
                              </w:rPr>
                              <w:t>6</w:t>
                            </w:r>
                            <w:r w:rsidRPr="00624CCE">
                              <w:rPr>
                                <w:rFonts w:cs="Times New Roman"/>
                                <w:b/>
                                <w:color w:val="000000" w:themeColor="text1"/>
                                <w:sz w:val="20"/>
                                <w:szCs w:val="20"/>
                              </w:rPr>
                              <w:t xml:space="preserve"> (1.</w:t>
                            </w:r>
                            <w:r w:rsidR="0074135E" w:rsidRPr="00624CCE">
                              <w:rPr>
                                <w:rFonts w:cs="Times New Roman"/>
                                <w:b/>
                                <w:color w:val="000000" w:themeColor="text1"/>
                                <w:sz w:val="20"/>
                                <w:szCs w:val="20"/>
                              </w:rPr>
                              <w:t>02</w:t>
                            </w:r>
                            <w:r w:rsidR="0074135E">
                              <w:rPr>
                                <w:rFonts w:cs="Times New Roman"/>
                                <w:b/>
                                <w:color w:val="000000" w:themeColor="text1"/>
                                <w:sz w:val="20"/>
                                <w:szCs w:val="20"/>
                              </w:rPr>
                              <w:t>6</w:t>
                            </w:r>
                            <w:r w:rsidRPr="00624CCE">
                              <w:rPr>
                                <w:rFonts w:cs="Times New Roman"/>
                                <w:b/>
                                <w:color w:val="000000" w:themeColor="text1"/>
                                <w:sz w:val="20"/>
                                <w:szCs w:val="20"/>
                              </w:rPr>
                              <w:t>—1.</w:t>
                            </w:r>
                            <w:r w:rsidR="0074135E" w:rsidRPr="00624CCE">
                              <w:rPr>
                                <w:rFonts w:cs="Times New Roman"/>
                                <w:b/>
                                <w:color w:val="000000" w:themeColor="text1"/>
                                <w:sz w:val="20"/>
                                <w:szCs w:val="20"/>
                              </w:rPr>
                              <w:t>0</w:t>
                            </w:r>
                            <w:r w:rsidR="0074135E">
                              <w:rPr>
                                <w:rFonts w:cs="Times New Roman"/>
                                <w:b/>
                                <w:color w:val="000000" w:themeColor="text1"/>
                                <w:sz w:val="20"/>
                                <w:szCs w:val="20"/>
                              </w:rPr>
                              <w:t>84</w:t>
                            </w:r>
                            <w:r w:rsidRPr="00624CCE">
                              <w:rPr>
                                <w:rFonts w:cs="Times New Roman"/>
                                <w:b/>
                                <w:color w:val="000000" w:themeColor="text1"/>
                                <w:sz w:val="20"/>
                                <w:szCs w:val="20"/>
                              </w:rPr>
                              <w:t>)</w:t>
                            </w:r>
                          </w:p>
                        </w:tc>
                      </w:tr>
                      <w:tr w:rsidR="008616EE" w:rsidRPr="00624CCE" w14:paraId="67965827" w14:textId="77777777" w:rsidTr="008616EE">
                        <w:tc>
                          <w:tcPr>
                            <w:tcW w:w="2454" w:type="dxa"/>
                            <w:shd w:val="clear" w:color="auto" w:fill="FFFFFF" w:themeFill="background1"/>
                          </w:tcPr>
                          <w:p w14:paraId="5F82595E" w14:textId="77777777" w:rsidR="008616EE" w:rsidRPr="00624CCE" w:rsidRDefault="008616EE" w:rsidP="008616EE">
                            <w:pPr>
                              <w:rPr>
                                <w:rFonts w:cs="Times New Roman"/>
                                <w:color w:val="000000" w:themeColor="text1"/>
                                <w:sz w:val="20"/>
                                <w:szCs w:val="20"/>
                              </w:rPr>
                            </w:pPr>
                            <w:r w:rsidRPr="00624CCE">
                              <w:rPr>
                                <w:rFonts w:cs="Times New Roman"/>
                                <w:color w:val="000000" w:themeColor="text1"/>
                                <w:sz w:val="20"/>
                                <w:szCs w:val="20"/>
                              </w:rPr>
                              <w:t>Chlamydia rate</w:t>
                            </w:r>
                          </w:p>
                        </w:tc>
                        <w:tc>
                          <w:tcPr>
                            <w:tcW w:w="1861" w:type="dxa"/>
                            <w:shd w:val="clear" w:color="auto" w:fill="FFFFFF" w:themeFill="background1"/>
                          </w:tcPr>
                          <w:p w14:paraId="26AB5B05" w14:textId="77777777" w:rsidR="008616EE" w:rsidRPr="00624CCE" w:rsidRDefault="008616EE" w:rsidP="008616EE">
                            <w:pPr>
                              <w:rPr>
                                <w:rFonts w:cs="Times New Roman"/>
                                <w:b/>
                                <w:color w:val="000000" w:themeColor="text1"/>
                                <w:sz w:val="20"/>
                                <w:szCs w:val="20"/>
                              </w:rPr>
                            </w:pPr>
                            <w:r w:rsidRPr="00624CCE">
                              <w:rPr>
                                <w:rFonts w:cs="Times New Roman"/>
                                <w:b/>
                                <w:color w:val="000000" w:themeColor="text1"/>
                                <w:sz w:val="20"/>
                                <w:szCs w:val="20"/>
                              </w:rPr>
                              <w:t>391.85 (277.08)</w:t>
                            </w:r>
                          </w:p>
                        </w:tc>
                        <w:tc>
                          <w:tcPr>
                            <w:tcW w:w="2880" w:type="dxa"/>
                            <w:shd w:val="clear" w:color="auto" w:fill="FFFFFF" w:themeFill="background1"/>
                          </w:tcPr>
                          <w:p w14:paraId="16CF8990" w14:textId="57AD5D08" w:rsidR="008616EE" w:rsidRPr="00624CCE" w:rsidRDefault="008616EE" w:rsidP="0074135E">
                            <w:pPr>
                              <w:rPr>
                                <w:rFonts w:cs="Times New Roman"/>
                                <w:b/>
                                <w:color w:val="000000" w:themeColor="text1"/>
                                <w:sz w:val="20"/>
                                <w:szCs w:val="20"/>
                              </w:rPr>
                            </w:pPr>
                            <w:r w:rsidRPr="00624CCE">
                              <w:rPr>
                                <w:rFonts w:cs="Times New Roman"/>
                                <w:b/>
                                <w:color w:val="000000" w:themeColor="text1"/>
                                <w:sz w:val="20"/>
                                <w:szCs w:val="20"/>
                              </w:rPr>
                              <w:t>1.</w:t>
                            </w:r>
                            <w:r w:rsidR="00A31057" w:rsidRPr="00624CCE">
                              <w:rPr>
                                <w:rFonts w:cs="Times New Roman"/>
                                <w:b/>
                                <w:color w:val="000000" w:themeColor="text1"/>
                                <w:sz w:val="20"/>
                                <w:szCs w:val="20"/>
                              </w:rPr>
                              <w:t>06</w:t>
                            </w:r>
                            <w:r w:rsidR="00A31057">
                              <w:rPr>
                                <w:rFonts w:cs="Times New Roman"/>
                                <w:b/>
                                <w:color w:val="000000" w:themeColor="text1"/>
                                <w:sz w:val="20"/>
                                <w:szCs w:val="20"/>
                              </w:rPr>
                              <w:t>6</w:t>
                            </w:r>
                            <w:r w:rsidR="00A31057" w:rsidRPr="00624CCE">
                              <w:rPr>
                                <w:rFonts w:cs="Times New Roman"/>
                                <w:b/>
                                <w:color w:val="000000" w:themeColor="text1"/>
                                <w:sz w:val="20"/>
                                <w:szCs w:val="20"/>
                              </w:rPr>
                              <w:t xml:space="preserve"> </w:t>
                            </w:r>
                            <w:r w:rsidRPr="00624CCE">
                              <w:rPr>
                                <w:rFonts w:cs="Times New Roman"/>
                                <w:b/>
                                <w:color w:val="000000" w:themeColor="text1"/>
                                <w:sz w:val="20"/>
                                <w:szCs w:val="20"/>
                              </w:rPr>
                              <w:t>(1.</w:t>
                            </w:r>
                            <w:r w:rsidR="0074135E" w:rsidRPr="00624CCE">
                              <w:rPr>
                                <w:rFonts w:cs="Times New Roman"/>
                                <w:b/>
                                <w:color w:val="000000" w:themeColor="text1"/>
                                <w:sz w:val="20"/>
                                <w:szCs w:val="20"/>
                              </w:rPr>
                              <w:t>04</w:t>
                            </w:r>
                            <w:r w:rsidR="0074135E">
                              <w:rPr>
                                <w:rFonts w:cs="Times New Roman"/>
                                <w:b/>
                                <w:color w:val="000000" w:themeColor="text1"/>
                                <w:sz w:val="20"/>
                                <w:szCs w:val="20"/>
                              </w:rPr>
                              <w:t>3</w:t>
                            </w:r>
                            <w:r w:rsidRPr="00624CCE">
                              <w:rPr>
                                <w:rFonts w:cs="Times New Roman"/>
                                <w:b/>
                                <w:color w:val="000000" w:themeColor="text1"/>
                                <w:sz w:val="20"/>
                                <w:szCs w:val="20"/>
                              </w:rPr>
                              <w:t>—1.</w:t>
                            </w:r>
                            <w:r w:rsidR="0074135E" w:rsidRPr="00624CCE">
                              <w:rPr>
                                <w:rFonts w:cs="Times New Roman"/>
                                <w:b/>
                                <w:color w:val="000000" w:themeColor="text1"/>
                                <w:sz w:val="20"/>
                                <w:szCs w:val="20"/>
                              </w:rPr>
                              <w:t>08</w:t>
                            </w:r>
                            <w:r w:rsidR="0074135E">
                              <w:rPr>
                                <w:rFonts w:cs="Times New Roman"/>
                                <w:b/>
                                <w:color w:val="000000" w:themeColor="text1"/>
                                <w:sz w:val="20"/>
                                <w:szCs w:val="20"/>
                              </w:rPr>
                              <w:t>7</w:t>
                            </w:r>
                            <w:r w:rsidRPr="00624CCE">
                              <w:rPr>
                                <w:rFonts w:cs="Times New Roman"/>
                                <w:b/>
                                <w:color w:val="000000" w:themeColor="text1"/>
                                <w:sz w:val="20"/>
                                <w:szCs w:val="20"/>
                              </w:rPr>
                              <w:t>)</w:t>
                            </w:r>
                          </w:p>
                        </w:tc>
                        <w:tc>
                          <w:tcPr>
                            <w:tcW w:w="2970" w:type="dxa"/>
                            <w:shd w:val="clear" w:color="auto" w:fill="FFFFFF" w:themeFill="background1"/>
                          </w:tcPr>
                          <w:p w14:paraId="32DD1C60" w14:textId="451C29BE" w:rsidR="008616EE" w:rsidRPr="00624CCE" w:rsidRDefault="008616EE" w:rsidP="0074135E">
                            <w:pPr>
                              <w:rPr>
                                <w:rFonts w:cs="Times New Roman"/>
                                <w:b/>
                                <w:color w:val="000000" w:themeColor="text1"/>
                                <w:sz w:val="20"/>
                                <w:szCs w:val="20"/>
                              </w:rPr>
                            </w:pPr>
                            <w:r w:rsidRPr="00624CCE">
                              <w:rPr>
                                <w:rFonts w:cs="Times New Roman"/>
                                <w:b/>
                                <w:color w:val="000000" w:themeColor="text1"/>
                                <w:sz w:val="20"/>
                                <w:szCs w:val="20"/>
                              </w:rPr>
                              <w:t>1.</w:t>
                            </w:r>
                            <w:r w:rsidR="005164AF" w:rsidRPr="00624CCE">
                              <w:rPr>
                                <w:rFonts w:cs="Times New Roman"/>
                                <w:b/>
                                <w:color w:val="000000" w:themeColor="text1"/>
                                <w:sz w:val="20"/>
                                <w:szCs w:val="20"/>
                              </w:rPr>
                              <w:t>1</w:t>
                            </w:r>
                            <w:r w:rsidR="005164AF">
                              <w:rPr>
                                <w:rFonts w:cs="Times New Roman"/>
                                <w:b/>
                                <w:color w:val="000000" w:themeColor="text1"/>
                                <w:sz w:val="20"/>
                                <w:szCs w:val="20"/>
                              </w:rPr>
                              <w:t>70</w:t>
                            </w:r>
                            <w:r w:rsidR="005164AF" w:rsidRPr="00624CCE">
                              <w:rPr>
                                <w:rFonts w:cs="Times New Roman"/>
                                <w:b/>
                                <w:color w:val="000000" w:themeColor="text1"/>
                                <w:sz w:val="20"/>
                                <w:szCs w:val="20"/>
                              </w:rPr>
                              <w:t xml:space="preserve"> </w:t>
                            </w:r>
                            <w:r w:rsidRPr="00624CCE">
                              <w:rPr>
                                <w:rFonts w:cs="Times New Roman"/>
                                <w:b/>
                                <w:color w:val="000000" w:themeColor="text1"/>
                                <w:sz w:val="20"/>
                                <w:szCs w:val="20"/>
                              </w:rPr>
                              <w:t>(1.</w:t>
                            </w:r>
                            <w:r w:rsidR="0074135E" w:rsidRPr="00624CCE">
                              <w:rPr>
                                <w:rFonts w:cs="Times New Roman"/>
                                <w:b/>
                                <w:color w:val="000000" w:themeColor="text1"/>
                                <w:sz w:val="20"/>
                                <w:szCs w:val="20"/>
                              </w:rPr>
                              <w:t>1</w:t>
                            </w:r>
                            <w:r w:rsidR="0074135E">
                              <w:rPr>
                                <w:rFonts w:cs="Times New Roman"/>
                                <w:b/>
                                <w:color w:val="000000" w:themeColor="text1"/>
                                <w:sz w:val="20"/>
                                <w:szCs w:val="20"/>
                              </w:rPr>
                              <w:t>32</w:t>
                            </w:r>
                            <w:r w:rsidRPr="00624CCE">
                              <w:rPr>
                                <w:rFonts w:cs="Times New Roman"/>
                                <w:b/>
                                <w:color w:val="000000" w:themeColor="text1"/>
                                <w:sz w:val="20"/>
                                <w:szCs w:val="20"/>
                              </w:rPr>
                              <w:t>—1.</w:t>
                            </w:r>
                            <w:r w:rsidR="0074135E">
                              <w:rPr>
                                <w:rFonts w:cs="Times New Roman"/>
                                <w:b/>
                                <w:color w:val="000000" w:themeColor="text1"/>
                                <w:sz w:val="20"/>
                                <w:szCs w:val="20"/>
                              </w:rPr>
                              <w:t>20</w:t>
                            </w:r>
                            <w:r w:rsidR="0074135E" w:rsidRPr="00624CCE">
                              <w:rPr>
                                <w:rFonts w:cs="Times New Roman"/>
                                <w:b/>
                                <w:color w:val="000000" w:themeColor="text1"/>
                                <w:sz w:val="20"/>
                                <w:szCs w:val="20"/>
                              </w:rPr>
                              <w:t>9</w:t>
                            </w:r>
                            <w:r w:rsidRPr="00624CCE">
                              <w:rPr>
                                <w:rFonts w:cs="Times New Roman"/>
                                <w:b/>
                                <w:color w:val="000000" w:themeColor="text1"/>
                                <w:sz w:val="20"/>
                                <w:szCs w:val="20"/>
                              </w:rPr>
                              <w:t>)</w:t>
                            </w:r>
                          </w:p>
                        </w:tc>
                      </w:tr>
                      <w:tr w:rsidR="008616EE" w:rsidRPr="00624CCE" w14:paraId="5B9B8819" w14:textId="77777777" w:rsidTr="008616EE">
                        <w:tc>
                          <w:tcPr>
                            <w:tcW w:w="2454" w:type="dxa"/>
                            <w:shd w:val="clear" w:color="auto" w:fill="FFFFFF" w:themeFill="background1"/>
                          </w:tcPr>
                          <w:p w14:paraId="0DC0C2BD" w14:textId="77777777" w:rsidR="008616EE" w:rsidRPr="00624CCE" w:rsidRDefault="008616EE" w:rsidP="008616EE">
                            <w:pPr>
                              <w:rPr>
                                <w:rFonts w:cs="Times New Roman"/>
                                <w:color w:val="000000" w:themeColor="text1"/>
                                <w:sz w:val="20"/>
                                <w:szCs w:val="20"/>
                              </w:rPr>
                            </w:pPr>
                            <w:r w:rsidRPr="00624CCE">
                              <w:rPr>
                                <w:rFonts w:cs="Times New Roman"/>
                                <w:color w:val="000000" w:themeColor="text1"/>
                                <w:sz w:val="20"/>
                                <w:szCs w:val="20"/>
                              </w:rPr>
                              <w:t>% uninsured under 65</w:t>
                            </w:r>
                          </w:p>
                        </w:tc>
                        <w:tc>
                          <w:tcPr>
                            <w:tcW w:w="1861" w:type="dxa"/>
                            <w:shd w:val="clear" w:color="auto" w:fill="FFFFFF" w:themeFill="background1"/>
                          </w:tcPr>
                          <w:p w14:paraId="36FB75B9" w14:textId="77777777" w:rsidR="008616EE" w:rsidRPr="00624CCE" w:rsidRDefault="008616EE" w:rsidP="008616EE">
                            <w:pPr>
                              <w:rPr>
                                <w:rFonts w:cs="Times New Roman"/>
                                <w:b/>
                                <w:color w:val="000000" w:themeColor="text1"/>
                                <w:sz w:val="20"/>
                                <w:szCs w:val="20"/>
                              </w:rPr>
                            </w:pPr>
                            <w:r w:rsidRPr="00624CCE">
                              <w:rPr>
                                <w:rFonts w:cs="Times New Roman"/>
                                <w:b/>
                                <w:color w:val="000000" w:themeColor="text1"/>
                                <w:sz w:val="20"/>
                                <w:szCs w:val="20"/>
                              </w:rPr>
                              <w:t>14.19% (6.14%)</w:t>
                            </w:r>
                          </w:p>
                        </w:tc>
                        <w:tc>
                          <w:tcPr>
                            <w:tcW w:w="2880" w:type="dxa"/>
                            <w:shd w:val="clear" w:color="auto" w:fill="FFFFFF" w:themeFill="background1"/>
                          </w:tcPr>
                          <w:p w14:paraId="67E0025C" w14:textId="6843FFCB" w:rsidR="008616EE" w:rsidRPr="00624CCE" w:rsidRDefault="008616EE" w:rsidP="0074135E">
                            <w:pPr>
                              <w:rPr>
                                <w:rFonts w:cs="Times New Roman"/>
                                <w:b/>
                                <w:color w:val="000000" w:themeColor="text1"/>
                                <w:sz w:val="20"/>
                                <w:szCs w:val="20"/>
                              </w:rPr>
                            </w:pPr>
                            <w:r w:rsidRPr="00624CCE">
                              <w:rPr>
                                <w:rFonts w:cs="Times New Roman"/>
                                <w:b/>
                                <w:color w:val="000000" w:themeColor="text1"/>
                                <w:sz w:val="20"/>
                                <w:szCs w:val="20"/>
                              </w:rPr>
                              <w:t>1.</w:t>
                            </w:r>
                            <w:r w:rsidR="00A31057" w:rsidRPr="00624CCE">
                              <w:rPr>
                                <w:rFonts w:cs="Times New Roman"/>
                                <w:b/>
                                <w:color w:val="000000" w:themeColor="text1"/>
                                <w:sz w:val="20"/>
                                <w:szCs w:val="20"/>
                              </w:rPr>
                              <w:t>1</w:t>
                            </w:r>
                            <w:r w:rsidR="00A31057">
                              <w:rPr>
                                <w:rFonts w:cs="Times New Roman"/>
                                <w:b/>
                                <w:color w:val="000000" w:themeColor="text1"/>
                                <w:sz w:val="20"/>
                                <w:szCs w:val="20"/>
                              </w:rPr>
                              <w:t>12</w:t>
                            </w:r>
                            <w:r w:rsidR="00A31057" w:rsidRPr="00624CCE">
                              <w:rPr>
                                <w:rFonts w:cs="Times New Roman"/>
                                <w:b/>
                                <w:color w:val="000000" w:themeColor="text1"/>
                                <w:sz w:val="20"/>
                                <w:szCs w:val="20"/>
                              </w:rPr>
                              <w:t xml:space="preserve"> </w:t>
                            </w:r>
                            <w:r w:rsidRPr="00624CCE">
                              <w:rPr>
                                <w:rFonts w:cs="Times New Roman"/>
                                <w:b/>
                                <w:color w:val="000000" w:themeColor="text1"/>
                                <w:sz w:val="20"/>
                                <w:szCs w:val="20"/>
                              </w:rPr>
                              <w:t>(1.</w:t>
                            </w:r>
                            <w:r w:rsidR="0074135E" w:rsidRPr="00624CCE">
                              <w:rPr>
                                <w:rFonts w:cs="Times New Roman"/>
                                <w:b/>
                                <w:color w:val="000000" w:themeColor="text1"/>
                                <w:sz w:val="20"/>
                                <w:szCs w:val="20"/>
                              </w:rPr>
                              <w:t>0</w:t>
                            </w:r>
                            <w:r w:rsidR="0074135E">
                              <w:rPr>
                                <w:rFonts w:cs="Times New Roman"/>
                                <w:b/>
                                <w:color w:val="000000" w:themeColor="text1"/>
                                <w:sz w:val="20"/>
                                <w:szCs w:val="20"/>
                              </w:rPr>
                              <w:t>71</w:t>
                            </w:r>
                            <w:r w:rsidRPr="00624CCE">
                              <w:rPr>
                                <w:rFonts w:cs="Times New Roman"/>
                                <w:b/>
                                <w:color w:val="000000" w:themeColor="text1"/>
                                <w:sz w:val="20"/>
                                <w:szCs w:val="20"/>
                              </w:rPr>
                              <w:t>—1.</w:t>
                            </w:r>
                            <w:r w:rsidR="0074135E" w:rsidRPr="00624CCE">
                              <w:rPr>
                                <w:rFonts w:cs="Times New Roman"/>
                                <w:b/>
                                <w:color w:val="000000" w:themeColor="text1"/>
                                <w:sz w:val="20"/>
                                <w:szCs w:val="20"/>
                              </w:rPr>
                              <w:t>1</w:t>
                            </w:r>
                            <w:r w:rsidR="0074135E">
                              <w:rPr>
                                <w:rFonts w:cs="Times New Roman"/>
                                <w:b/>
                                <w:color w:val="000000" w:themeColor="text1"/>
                                <w:sz w:val="20"/>
                                <w:szCs w:val="20"/>
                              </w:rPr>
                              <w:t>53</w:t>
                            </w:r>
                            <w:r w:rsidRPr="00624CCE">
                              <w:rPr>
                                <w:rFonts w:cs="Times New Roman"/>
                                <w:b/>
                                <w:color w:val="000000" w:themeColor="text1"/>
                                <w:sz w:val="20"/>
                                <w:szCs w:val="20"/>
                              </w:rPr>
                              <w:t>)</w:t>
                            </w:r>
                          </w:p>
                        </w:tc>
                        <w:tc>
                          <w:tcPr>
                            <w:tcW w:w="2970" w:type="dxa"/>
                            <w:shd w:val="clear" w:color="auto" w:fill="FFFFFF" w:themeFill="background1"/>
                          </w:tcPr>
                          <w:p w14:paraId="17C7808E" w14:textId="66637EA5" w:rsidR="008616EE" w:rsidRPr="00624CCE" w:rsidRDefault="008616EE" w:rsidP="0074135E">
                            <w:pPr>
                              <w:rPr>
                                <w:rFonts w:cs="Times New Roman"/>
                                <w:color w:val="000000" w:themeColor="text1"/>
                                <w:sz w:val="20"/>
                                <w:szCs w:val="20"/>
                              </w:rPr>
                            </w:pPr>
                            <w:r w:rsidRPr="00624CCE">
                              <w:rPr>
                                <w:rFonts w:cs="Times New Roman"/>
                                <w:color w:val="000000" w:themeColor="text1"/>
                                <w:sz w:val="20"/>
                                <w:szCs w:val="20"/>
                              </w:rPr>
                              <w:t>1.</w:t>
                            </w:r>
                            <w:r w:rsidR="005164AF" w:rsidRPr="00624CCE">
                              <w:rPr>
                                <w:rFonts w:cs="Times New Roman"/>
                                <w:color w:val="000000" w:themeColor="text1"/>
                                <w:sz w:val="20"/>
                                <w:szCs w:val="20"/>
                              </w:rPr>
                              <w:t>0</w:t>
                            </w:r>
                            <w:r w:rsidR="005164AF">
                              <w:rPr>
                                <w:rFonts w:cs="Times New Roman"/>
                                <w:color w:val="000000" w:themeColor="text1"/>
                                <w:sz w:val="20"/>
                                <w:szCs w:val="20"/>
                              </w:rPr>
                              <w:t>31</w:t>
                            </w:r>
                            <w:r w:rsidR="005164AF" w:rsidRPr="00624CCE">
                              <w:rPr>
                                <w:rFonts w:cs="Times New Roman"/>
                                <w:color w:val="000000" w:themeColor="text1"/>
                                <w:sz w:val="20"/>
                                <w:szCs w:val="20"/>
                              </w:rPr>
                              <w:t xml:space="preserve"> </w:t>
                            </w:r>
                            <w:r w:rsidRPr="00624CCE">
                              <w:rPr>
                                <w:rFonts w:cs="Times New Roman"/>
                                <w:color w:val="000000" w:themeColor="text1"/>
                                <w:sz w:val="20"/>
                                <w:szCs w:val="20"/>
                              </w:rPr>
                              <w:t>(0.</w:t>
                            </w:r>
                            <w:r w:rsidR="0074135E" w:rsidRPr="00624CCE">
                              <w:rPr>
                                <w:rFonts w:cs="Times New Roman"/>
                                <w:color w:val="000000" w:themeColor="text1"/>
                                <w:sz w:val="20"/>
                                <w:szCs w:val="20"/>
                              </w:rPr>
                              <w:t>9</w:t>
                            </w:r>
                            <w:r w:rsidR="0074135E">
                              <w:rPr>
                                <w:rFonts w:cs="Times New Roman"/>
                                <w:color w:val="000000" w:themeColor="text1"/>
                                <w:sz w:val="20"/>
                                <w:szCs w:val="20"/>
                              </w:rPr>
                              <w:t>8</w:t>
                            </w:r>
                            <w:r w:rsidR="0074135E" w:rsidRPr="00624CCE">
                              <w:rPr>
                                <w:rFonts w:cs="Times New Roman"/>
                                <w:color w:val="000000" w:themeColor="text1"/>
                                <w:sz w:val="20"/>
                                <w:szCs w:val="20"/>
                              </w:rPr>
                              <w:t>2</w:t>
                            </w:r>
                            <w:r w:rsidRPr="00624CCE">
                              <w:rPr>
                                <w:rFonts w:cs="Times New Roman"/>
                                <w:b/>
                                <w:color w:val="000000" w:themeColor="text1"/>
                                <w:sz w:val="20"/>
                                <w:szCs w:val="20"/>
                              </w:rPr>
                              <w:t>—</w:t>
                            </w:r>
                            <w:r w:rsidRPr="00624CCE">
                              <w:rPr>
                                <w:rFonts w:cs="Times New Roman"/>
                                <w:color w:val="000000" w:themeColor="text1"/>
                                <w:sz w:val="20"/>
                                <w:szCs w:val="20"/>
                              </w:rPr>
                              <w:t>1.</w:t>
                            </w:r>
                            <w:r w:rsidR="0074135E" w:rsidRPr="00624CCE">
                              <w:rPr>
                                <w:rFonts w:cs="Times New Roman"/>
                                <w:color w:val="000000" w:themeColor="text1"/>
                                <w:sz w:val="20"/>
                                <w:szCs w:val="20"/>
                              </w:rPr>
                              <w:t>08</w:t>
                            </w:r>
                            <w:r w:rsidR="0074135E">
                              <w:rPr>
                                <w:rFonts w:cs="Times New Roman"/>
                                <w:color w:val="000000" w:themeColor="text1"/>
                                <w:sz w:val="20"/>
                                <w:szCs w:val="20"/>
                              </w:rPr>
                              <w:t>1</w:t>
                            </w:r>
                            <w:r w:rsidRPr="00624CCE">
                              <w:rPr>
                                <w:rFonts w:cs="Times New Roman"/>
                                <w:color w:val="000000" w:themeColor="text1"/>
                                <w:sz w:val="20"/>
                                <w:szCs w:val="20"/>
                              </w:rPr>
                              <w:t>)</w:t>
                            </w:r>
                          </w:p>
                        </w:tc>
                      </w:tr>
                      <w:tr w:rsidR="008616EE" w:rsidRPr="00624CCE" w14:paraId="3354866E" w14:textId="77777777" w:rsidTr="008616EE">
                        <w:tc>
                          <w:tcPr>
                            <w:tcW w:w="2454" w:type="dxa"/>
                            <w:shd w:val="clear" w:color="auto" w:fill="FFFFFF" w:themeFill="background1"/>
                          </w:tcPr>
                          <w:p w14:paraId="78C10FFA" w14:textId="77777777" w:rsidR="008616EE" w:rsidRPr="00624CCE" w:rsidRDefault="008616EE" w:rsidP="008616EE">
                            <w:pPr>
                              <w:rPr>
                                <w:rFonts w:cs="Times New Roman"/>
                                <w:color w:val="000000" w:themeColor="text1"/>
                                <w:sz w:val="20"/>
                                <w:szCs w:val="20"/>
                              </w:rPr>
                            </w:pPr>
                            <w:r w:rsidRPr="00624CCE">
                              <w:rPr>
                                <w:rFonts w:cs="Times New Roman"/>
                                <w:color w:val="000000" w:themeColor="text1"/>
                                <w:sz w:val="20"/>
                                <w:szCs w:val="20"/>
                              </w:rPr>
                              <w:t>Gini coefficient</w:t>
                            </w:r>
                          </w:p>
                        </w:tc>
                        <w:tc>
                          <w:tcPr>
                            <w:tcW w:w="1861" w:type="dxa"/>
                            <w:shd w:val="clear" w:color="auto" w:fill="FFFFFF" w:themeFill="background1"/>
                          </w:tcPr>
                          <w:p w14:paraId="218EF56A" w14:textId="77777777" w:rsidR="008616EE" w:rsidRPr="00624CCE" w:rsidRDefault="008616EE" w:rsidP="008616EE">
                            <w:pPr>
                              <w:rPr>
                                <w:rFonts w:cs="Times New Roman"/>
                                <w:b/>
                                <w:color w:val="000000" w:themeColor="text1"/>
                                <w:sz w:val="20"/>
                                <w:szCs w:val="20"/>
                              </w:rPr>
                            </w:pPr>
                            <w:r w:rsidRPr="00624CCE">
                              <w:rPr>
                                <w:rFonts w:cs="Times New Roman"/>
                                <w:b/>
                                <w:color w:val="000000" w:themeColor="text1"/>
                                <w:sz w:val="20"/>
                                <w:szCs w:val="20"/>
                              </w:rPr>
                              <w:t>0.43 (0.04)</w:t>
                            </w:r>
                          </w:p>
                        </w:tc>
                        <w:tc>
                          <w:tcPr>
                            <w:tcW w:w="2880" w:type="dxa"/>
                            <w:shd w:val="clear" w:color="auto" w:fill="FFFFFF" w:themeFill="background1"/>
                          </w:tcPr>
                          <w:p w14:paraId="0469A646" w14:textId="3DAA2BCD" w:rsidR="008616EE" w:rsidRPr="00624CCE" w:rsidRDefault="008616EE" w:rsidP="0074135E">
                            <w:pPr>
                              <w:rPr>
                                <w:rFonts w:cs="Times New Roman"/>
                                <w:b/>
                                <w:color w:val="000000" w:themeColor="text1"/>
                                <w:sz w:val="20"/>
                                <w:szCs w:val="20"/>
                              </w:rPr>
                            </w:pPr>
                            <w:r w:rsidRPr="00624CCE">
                              <w:rPr>
                                <w:rFonts w:cs="Times New Roman"/>
                                <w:b/>
                                <w:color w:val="000000" w:themeColor="text1"/>
                                <w:sz w:val="20"/>
                                <w:szCs w:val="20"/>
                              </w:rPr>
                              <w:t>1.</w:t>
                            </w:r>
                            <w:r w:rsidR="00A31057" w:rsidRPr="00624CCE">
                              <w:rPr>
                                <w:rFonts w:cs="Times New Roman"/>
                                <w:b/>
                                <w:color w:val="000000" w:themeColor="text1"/>
                                <w:sz w:val="20"/>
                                <w:szCs w:val="20"/>
                              </w:rPr>
                              <w:t>04</w:t>
                            </w:r>
                            <w:r w:rsidR="00A31057">
                              <w:rPr>
                                <w:rFonts w:cs="Times New Roman"/>
                                <w:b/>
                                <w:color w:val="000000" w:themeColor="text1"/>
                                <w:sz w:val="20"/>
                                <w:szCs w:val="20"/>
                              </w:rPr>
                              <w:t>3</w:t>
                            </w:r>
                            <w:r w:rsidR="00A31057" w:rsidRPr="00624CCE">
                              <w:rPr>
                                <w:rFonts w:cs="Times New Roman"/>
                                <w:b/>
                                <w:color w:val="000000" w:themeColor="text1"/>
                                <w:sz w:val="20"/>
                                <w:szCs w:val="20"/>
                              </w:rPr>
                              <w:t xml:space="preserve"> </w:t>
                            </w:r>
                            <w:r w:rsidRPr="00624CCE">
                              <w:rPr>
                                <w:rFonts w:cs="Times New Roman"/>
                                <w:b/>
                                <w:color w:val="000000" w:themeColor="text1"/>
                                <w:sz w:val="20"/>
                                <w:szCs w:val="20"/>
                              </w:rPr>
                              <w:t>(1.</w:t>
                            </w:r>
                            <w:r w:rsidR="0074135E" w:rsidRPr="00624CCE">
                              <w:rPr>
                                <w:rFonts w:cs="Times New Roman"/>
                                <w:b/>
                                <w:color w:val="000000" w:themeColor="text1"/>
                                <w:sz w:val="20"/>
                                <w:szCs w:val="20"/>
                              </w:rPr>
                              <w:t>02</w:t>
                            </w:r>
                            <w:r w:rsidR="0074135E">
                              <w:rPr>
                                <w:rFonts w:cs="Times New Roman"/>
                                <w:b/>
                                <w:color w:val="000000" w:themeColor="text1"/>
                                <w:sz w:val="20"/>
                                <w:szCs w:val="20"/>
                              </w:rPr>
                              <w:t>5</w:t>
                            </w:r>
                            <w:r w:rsidRPr="00624CCE">
                              <w:rPr>
                                <w:rFonts w:cs="Times New Roman"/>
                                <w:b/>
                                <w:color w:val="000000" w:themeColor="text1"/>
                                <w:sz w:val="20"/>
                                <w:szCs w:val="20"/>
                              </w:rPr>
                              <w:t>—1.</w:t>
                            </w:r>
                            <w:r w:rsidR="0074135E" w:rsidRPr="00624CCE">
                              <w:rPr>
                                <w:rFonts w:cs="Times New Roman"/>
                                <w:b/>
                                <w:color w:val="000000" w:themeColor="text1"/>
                                <w:sz w:val="20"/>
                                <w:szCs w:val="20"/>
                              </w:rPr>
                              <w:t>06</w:t>
                            </w:r>
                            <w:r w:rsidR="0074135E">
                              <w:rPr>
                                <w:rFonts w:cs="Times New Roman"/>
                                <w:b/>
                                <w:color w:val="000000" w:themeColor="text1"/>
                                <w:sz w:val="20"/>
                                <w:szCs w:val="20"/>
                              </w:rPr>
                              <w:t>2</w:t>
                            </w:r>
                            <w:r w:rsidRPr="00624CCE">
                              <w:rPr>
                                <w:rFonts w:cs="Times New Roman"/>
                                <w:b/>
                                <w:color w:val="000000" w:themeColor="text1"/>
                                <w:sz w:val="20"/>
                                <w:szCs w:val="20"/>
                              </w:rPr>
                              <w:t>)</w:t>
                            </w:r>
                          </w:p>
                        </w:tc>
                        <w:tc>
                          <w:tcPr>
                            <w:tcW w:w="2970" w:type="dxa"/>
                            <w:shd w:val="clear" w:color="auto" w:fill="FFFFFF" w:themeFill="background1"/>
                          </w:tcPr>
                          <w:p w14:paraId="641C78D6" w14:textId="154E15E7" w:rsidR="008616EE" w:rsidRPr="00624CCE" w:rsidRDefault="008616EE" w:rsidP="0074135E">
                            <w:pPr>
                              <w:rPr>
                                <w:rFonts w:cs="Times New Roman"/>
                                <w:b/>
                                <w:color w:val="000000" w:themeColor="text1"/>
                                <w:sz w:val="20"/>
                                <w:szCs w:val="20"/>
                              </w:rPr>
                            </w:pPr>
                            <w:r w:rsidRPr="00624CCE">
                              <w:rPr>
                                <w:rFonts w:cs="Times New Roman"/>
                                <w:b/>
                                <w:color w:val="000000" w:themeColor="text1"/>
                                <w:sz w:val="20"/>
                                <w:szCs w:val="20"/>
                              </w:rPr>
                              <w:t>1.</w:t>
                            </w:r>
                            <w:r w:rsidR="005164AF" w:rsidRPr="00624CCE">
                              <w:rPr>
                                <w:rFonts w:cs="Times New Roman"/>
                                <w:b/>
                                <w:color w:val="000000" w:themeColor="text1"/>
                                <w:sz w:val="20"/>
                                <w:szCs w:val="20"/>
                              </w:rPr>
                              <w:t>11</w:t>
                            </w:r>
                            <w:r w:rsidR="005164AF">
                              <w:rPr>
                                <w:rFonts w:cs="Times New Roman"/>
                                <w:b/>
                                <w:color w:val="000000" w:themeColor="text1"/>
                                <w:sz w:val="20"/>
                                <w:szCs w:val="20"/>
                              </w:rPr>
                              <w:t>4</w:t>
                            </w:r>
                            <w:r w:rsidR="005164AF" w:rsidRPr="00624CCE">
                              <w:rPr>
                                <w:rFonts w:cs="Times New Roman"/>
                                <w:b/>
                                <w:color w:val="000000" w:themeColor="text1"/>
                                <w:sz w:val="20"/>
                                <w:szCs w:val="20"/>
                              </w:rPr>
                              <w:t xml:space="preserve"> </w:t>
                            </w:r>
                            <w:r w:rsidRPr="00624CCE">
                              <w:rPr>
                                <w:rFonts w:cs="Times New Roman"/>
                                <w:b/>
                                <w:color w:val="000000" w:themeColor="text1"/>
                                <w:sz w:val="20"/>
                                <w:szCs w:val="20"/>
                              </w:rPr>
                              <w:t>(1.</w:t>
                            </w:r>
                            <w:r w:rsidR="0074135E" w:rsidRPr="00624CCE">
                              <w:rPr>
                                <w:rFonts w:cs="Times New Roman"/>
                                <w:b/>
                                <w:color w:val="000000" w:themeColor="text1"/>
                                <w:sz w:val="20"/>
                                <w:szCs w:val="20"/>
                              </w:rPr>
                              <w:t>0</w:t>
                            </w:r>
                            <w:r w:rsidR="0074135E">
                              <w:rPr>
                                <w:rFonts w:cs="Times New Roman"/>
                                <w:b/>
                                <w:color w:val="000000" w:themeColor="text1"/>
                                <w:sz w:val="20"/>
                                <w:szCs w:val="20"/>
                              </w:rPr>
                              <w:t>84</w:t>
                            </w:r>
                            <w:r w:rsidRPr="00624CCE">
                              <w:rPr>
                                <w:rFonts w:cs="Times New Roman"/>
                                <w:b/>
                                <w:color w:val="000000" w:themeColor="text1"/>
                                <w:sz w:val="20"/>
                                <w:szCs w:val="20"/>
                              </w:rPr>
                              <w:t>—1.</w:t>
                            </w:r>
                            <w:r w:rsidR="0074135E" w:rsidRPr="00624CCE">
                              <w:rPr>
                                <w:rFonts w:cs="Times New Roman"/>
                                <w:b/>
                                <w:color w:val="000000" w:themeColor="text1"/>
                                <w:sz w:val="20"/>
                                <w:szCs w:val="20"/>
                              </w:rPr>
                              <w:t>14</w:t>
                            </w:r>
                            <w:r w:rsidR="0074135E">
                              <w:rPr>
                                <w:rFonts w:cs="Times New Roman"/>
                                <w:b/>
                                <w:color w:val="000000" w:themeColor="text1"/>
                                <w:sz w:val="20"/>
                                <w:szCs w:val="20"/>
                              </w:rPr>
                              <w:t>5</w:t>
                            </w:r>
                            <w:r w:rsidRPr="00624CCE">
                              <w:rPr>
                                <w:rFonts w:cs="Times New Roman"/>
                                <w:b/>
                                <w:color w:val="000000" w:themeColor="text1"/>
                                <w:sz w:val="20"/>
                                <w:szCs w:val="20"/>
                              </w:rPr>
                              <w:t>)</w:t>
                            </w:r>
                          </w:p>
                        </w:tc>
                      </w:tr>
                      <w:tr w:rsidR="008616EE" w:rsidRPr="00624CCE" w14:paraId="76B4E021" w14:textId="77777777" w:rsidTr="008616EE">
                        <w:tc>
                          <w:tcPr>
                            <w:tcW w:w="2454" w:type="dxa"/>
                            <w:shd w:val="clear" w:color="auto" w:fill="FFFFFF" w:themeFill="background1"/>
                          </w:tcPr>
                          <w:p w14:paraId="4CB5F7E3" w14:textId="77777777" w:rsidR="008616EE" w:rsidRPr="00624CCE" w:rsidRDefault="008616EE" w:rsidP="008616EE">
                            <w:pPr>
                              <w:rPr>
                                <w:rFonts w:cs="Times New Roman"/>
                                <w:color w:val="000000" w:themeColor="text1"/>
                                <w:sz w:val="20"/>
                                <w:szCs w:val="20"/>
                              </w:rPr>
                            </w:pPr>
                            <w:r w:rsidRPr="00624CCE">
                              <w:rPr>
                                <w:rFonts w:cs="Times New Roman"/>
                                <w:color w:val="000000" w:themeColor="text1"/>
                                <w:sz w:val="20"/>
                                <w:szCs w:val="20"/>
                              </w:rPr>
                              <w:t>% binge drinking</w:t>
                            </w:r>
                          </w:p>
                        </w:tc>
                        <w:tc>
                          <w:tcPr>
                            <w:tcW w:w="1861" w:type="dxa"/>
                            <w:shd w:val="clear" w:color="auto" w:fill="FFFFFF" w:themeFill="background1"/>
                          </w:tcPr>
                          <w:p w14:paraId="7BF395B4" w14:textId="77777777" w:rsidR="008616EE" w:rsidRPr="00624CCE" w:rsidRDefault="008616EE" w:rsidP="008616EE">
                            <w:pPr>
                              <w:rPr>
                                <w:rFonts w:cs="Times New Roman"/>
                                <w:b/>
                                <w:color w:val="000000" w:themeColor="text1"/>
                                <w:sz w:val="20"/>
                                <w:szCs w:val="20"/>
                              </w:rPr>
                            </w:pPr>
                            <w:r w:rsidRPr="00624CCE">
                              <w:rPr>
                                <w:rFonts w:cs="Times New Roman"/>
                                <w:b/>
                                <w:color w:val="000000" w:themeColor="text1"/>
                                <w:sz w:val="20"/>
                                <w:szCs w:val="20"/>
                              </w:rPr>
                              <w:t>16.95% (2.98%)</w:t>
                            </w:r>
                          </w:p>
                        </w:tc>
                        <w:tc>
                          <w:tcPr>
                            <w:tcW w:w="2880" w:type="dxa"/>
                            <w:shd w:val="clear" w:color="auto" w:fill="FFFFFF" w:themeFill="background1"/>
                          </w:tcPr>
                          <w:p w14:paraId="4AC31D37" w14:textId="0894A84C" w:rsidR="008616EE" w:rsidRPr="00624CCE" w:rsidRDefault="008616EE" w:rsidP="0074135E">
                            <w:pPr>
                              <w:rPr>
                                <w:rFonts w:cs="Times New Roman"/>
                                <w:b/>
                                <w:color w:val="000000" w:themeColor="text1"/>
                                <w:sz w:val="20"/>
                                <w:szCs w:val="20"/>
                              </w:rPr>
                            </w:pPr>
                            <w:r w:rsidRPr="00624CCE">
                              <w:rPr>
                                <w:rFonts w:cs="Times New Roman"/>
                                <w:b/>
                                <w:color w:val="000000" w:themeColor="text1"/>
                                <w:sz w:val="20"/>
                                <w:szCs w:val="20"/>
                              </w:rPr>
                              <w:t>1.</w:t>
                            </w:r>
                            <w:r w:rsidR="00A31057" w:rsidRPr="00624CCE">
                              <w:rPr>
                                <w:rFonts w:cs="Times New Roman"/>
                                <w:b/>
                                <w:color w:val="000000" w:themeColor="text1"/>
                                <w:sz w:val="20"/>
                                <w:szCs w:val="20"/>
                              </w:rPr>
                              <w:t>1</w:t>
                            </w:r>
                            <w:r w:rsidR="00A31057">
                              <w:rPr>
                                <w:rFonts w:cs="Times New Roman"/>
                                <w:b/>
                                <w:color w:val="000000" w:themeColor="text1"/>
                                <w:sz w:val="20"/>
                                <w:szCs w:val="20"/>
                              </w:rPr>
                              <w:t>42</w:t>
                            </w:r>
                            <w:r w:rsidR="00A31057" w:rsidRPr="00624CCE">
                              <w:rPr>
                                <w:rFonts w:cs="Times New Roman"/>
                                <w:b/>
                                <w:color w:val="000000" w:themeColor="text1"/>
                                <w:sz w:val="20"/>
                                <w:szCs w:val="20"/>
                              </w:rPr>
                              <w:t xml:space="preserve"> </w:t>
                            </w:r>
                            <w:r w:rsidRPr="00624CCE">
                              <w:rPr>
                                <w:rFonts w:cs="Times New Roman"/>
                                <w:b/>
                                <w:color w:val="000000" w:themeColor="text1"/>
                                <w:sz w:val="20"/>
                                <w:szCs w:val="20"/>
                              </w:rPr>
                              <w:t>(1.</w:t>
                            </w:r>
                            <w:r w:rsidR="0074135E">
                              <w:rPr>
                                <w:rFonts w:cs="Times New Roman"/>
                                <w:b/>
                                <w:color w:val="000000" w:themeColor="text1"/>
                                <w:sz w:val="20"/>
                                <w:szCs w:val="20"/>
                              </w:rPr>
                              <w:t>106</w:t>
                            </w:r>
                            <w:r w:rsidRPr="00624CCE">
                              <w:rPr>
                                <w:rFonts w:cs="Times New Roman"/>
                                <w:b/>
                                <w:color w:val="000000" w:themeColor="text1"/>
                                <w:sz w:val="20"/>
                                <w:szCs w:val="20"/>
                              </w:rPr>
                              <w:t>—1.</w:t>
                            </w:r>
                            <w:r w:rsidR="0074135E" w:rsidRPr="00624CCE">
                              <w:rPr>
                                <w:rFonts w:cs="Times New Roman"/>
                                <w:b/>
                                <w:color w:val="000000" w:themeColor="text1"/>
                                <w:sz w:val="20"/>
                                <w:szCs w:val="20"/>
                              </w:rPr>
                              <w:t>1</w:t>
                            </w:r>
                            <w:r w:rsidR="0074135E">
                              <w:rPr>
                                <w:rFonts w:cs="Times New Roman"/>
                                <w:b/>
                                <w:color w:val="000000" w:themeColor="text1"/>
                                <w:sz w:val="20"/>
                                <w:szCs w:val="20"/>
                              </w:rPr>
                              <w:t>77</w:t>
                            </w:r>
                            <w:r w:rsidRPr="00624CCE">
                              <w:rPr>
                                <w:rFonts w:cs="Times New Roman"/>
                                <w:b/>
                                <w:color w:val="000000" w:themeColor="text1"/>
                                <w:sz w:val="20"/>
                                <w:szCs w:val="20"/>
                              </w:rPr>
                              <w:t>)</w:t>
                            </w:r>
                          </w:p>
                        </w:tc>
                        <w:tc>
                          <w:tcPr>
                            <w:tcW w:w="2970" w:type="dxa"/>
                            <w:shd w:val="clear" w:color="auto" w:fill="FFFFFF" w:themeFill="background1"/>
                          </w:tcPr>
                          <w:p w14:paraId="3A44A684" w14:textId="213A732A" w:rsidR="008616EE" w:rsidRPr="00624CCE" w:rsidRDefault="008616EE" w:rsidP="0074135E">
                            <w:pPr>
                              <w:rPr>
                                <w:rFonts w:cs="Times New Roman"/>
                                <w:b/>
                                <w:color w:val="000000" w:themeColor="text1"/>
                                <w:sz w:val="20"/>
                                <w:szCs w:val="20"/>
                              </w:rPr>
                            </w:pPr>
                            <w:r w:rsidRPr="00624CCE">
                              <w:rPr>
                                <w:rFonts w:cs="Times New Roman"/>
                                <w:b/>
                                <w:color w:val="000000" w:themeColor="text1"/>
                                <w:sz w:val="20"/>
                                <w:szCs w:val="20"/>
                              </w:rPr>
                              <w:t>1.</w:t>
                            </w:r>
                            <w:r w:rsidR="005164AF">
                              <w:rPr>
                                <w:rFonts w:cs="Times New Roman"/>
                                <w:b/>
                                <w:color w:val="000000" w:themeColor="text1"/>
                                <w:sz w:val="20"/>
                                <w:szCs w:val="20"/>
                              </w:rPr>
                              <w:t>097</w:t>
                            </w:r>
                            <w:r w:rsidR="005164AF" w:rsidRPr="00624CCE">
                              <w:rPr>
                                <w:rFonts w:cs="Times New Roman"/>
                                <w:b/>
                                <w:color w:val="000000" w:themeColor="text1"/>
                                <w:sz w:val="20"/>
                                <w:szCs w:val="20"/>
                              </w:rPr>
                              <w:t xml:space="preserve"> </w:t>
                            </w:r>
                            <w:r w:rsidRPr="00624CCE">
                              <w:rPr>
                                <w:rFonts w:cs="Times New Roman"/>
                                <w:b/>
                                <w:color w:val="000000" w:themeColor="text1"/>
                                <w:sz w:val="20"/>
                                <w:szCs w:val="20"/>
                              </w:rPr>
                              <w:t>(1.</w:t>
                            </w:r>
                            <w:r w:rsidR="0074135E" w:rsidRPr="00624CCE">
                              <w:rPr>
                                <w:rFonts w:cs="Times New Roman"/>
                                <w:b/>
                                <w:color w:val="000000" w:themeColor="text1"/>
                                <w:sz w:val="20"/>
                                <w:szCs w:val="20"/>
                              </w:rPr>
                              <w:t>0</w:t>
                            </w:r>
                            <w:r w:rsidR="0074135E">
                              <w:rPr>
                                <w:rFonts w:cs="Times New Roman"/>
                                <w:b/>
                                <w:color w:val="000000" w:themeColor="text1"/>
                                <w:sz w:val="20"/>
                                <w:szCs w:val="20"/>
                              </w:rPr>
                              <w:t>52</w:t>
                            </w:r>
                            <w:r w:rsidRPr="00624CCE">
                              <w:rPr>
                                <w:rFonts w:cs="Times New Roman"/>
                                <w:b/>
                                <w:color w:val="000000" w:themeColor="text1"/>
                                <w:sz w:val="20"/>
                                <w:szCs w:val="20"/>
                              </w:rPr>
                              <w:t>—1.</w:t>
                            </w:r>
                            <w:r w:rsidR="0074135E" w:rsidRPr="00624CCE">
                              <w:rPr>
                                <w:rFonts w:cs="Times New Roman"/>
                                <w:b/>
                                <w:color w:val="000000" w:themeColor="text1"/>
                                <w:sz w:val="20"/>
                                <w:szCs w:val="20"/>
                              </w:rPr>
                              <w:t>14</w:t>
                            </w:r>
                            <w:r w:rsidR="0074135E">
                              <w:rPr>
                                <w:rFonts w:cs="Times New Roman"/>
                                <w:b/>
                                <w:color w:val="000000" w:themeColor="text1"/>
                                <w:sz w:val="20"/>
                                <w:szCs w:val="20"/>
                              </w:rPr>
                              <w:t>4</w:t>
                            </w:r>
                            <w:r w:rsidRPr="00624CCE">
                              <w:rPr>
                                <w:rFonts w:cs="Times New Roman"/>
                                <w:b/>
                                <w:color w:val="000000" w:themeColor="text1"/>
                                <w:sz w:val="20"/>
                                <w:szCs w:val="20"/>
                              </w:rPr>
                              <w:t>)</w:t>
                            </w:r>
                          </w:p>
                        </w:tc>
                      </w:tr>
                    </w:tbl>
                    <w:p w14:paraId="14074B73" w14:textId="77777777" w:rsidR="008616EE" w:rsidRDefault="008616EE" w:rsidP="009176A7">
                      <w:pPr>
                        <w:shd w:val="clear" w:color="auto" w:fill="D9D9D9" w:themeFill="background1" w:themeFillShade="D9"/>
                        <w:ind w:firstLine="720"/>
                        <w:jc w:val="left"/>
                        <w:rPr>
                          <w:b/>
                          <w:bCs/>
                          <w:color w:val="000000" w:themeColor="text1"/>
                        </w:rPr>
                      </w:pPr>
                      <w:r w:rsidRPr="00AE4E1F">
                        <w:rPr>
                          <w:b/>
                          <w:bCs/>
                          <w:color w:val="000000" w:themeColor="text1"/>
                        </w:rPr>
                        <w:br/>
                      </w:r>
                      <w:r w:rsidRPr="00A75F82">
                        <w:rPr>
                          <w:color w:val="000000" w:themeColor="text1"/>
                          <w:sz w:val="18"/>
                          <w:szCs w:val="18"/>
                        </w:rPr>
                        <w:t xml:space="preserve"> </w:t>
                      </w:r>
                      <w:proofErr w:type="spellStart"/>
                      <w:r w:rsidRPr="001367C7">
                        <w:rPr>
                          <w:color w:val="000000" w:themeColor="text1"/>
                          <w:sz w:val="18"/>
                          <w:szCs w:val="18"/>
                          <w:vertAlign w:val="superscript"/>
                        </w:rPr>
                        <w:t>a</w:t>
                      </w:r>
                      <w:r>
                        <w:rPr>
                          <w:color w:val="000000" w:themeColor="text1"/>
                          <w:sz w:val="18"/>
                          <w:szCs w:val="18"/>
                        </w:rPr>
                        <w:t>A</w:t>
                      </w:r>
                      <w:proofErr w:type="spellEnd"/>
                      <w:r>
                        <w:rPr>
                          <w:color w:val="000000" w:themeColor="text1"/>
                          <w:sz w:val="18"/>
                          <w:szCs w:val="18"/>
                        </w:rPr>
                        <w:t xml:space="preserve"> p</w:t>
                      </w:r>
                      <w:r w:rsidRPr="00A75F82">
                        <w:rPr>
                          <w:color w:val="000000" w:themeColor="text1"/>
                          <w:sz w:val="18"/>
                          <w:szCs w:val="18"/>
                        </w:rPr>
                        <w:t xml:space="preserve">rincipal components index of percent of population under age 25 with less than a high school diploma; median household income; percent of population 16 years and older unemployed; percent of people </w:t>
                      </w:r>
                      <w:proofErr w:type="gramStart"/>
                      <w:r w:rsidRPr="00A75F82">
                        <w:rPr>
                          <w:color w:val="000000" w:themeColor="text1"/>
                          <w:sz w:val="18"/>
                          <w:szCs w:val="18"/>
                        </w:rPr>
                        <w:t>age</w:t>
                      </w:r>
                      <w:proofErr w:type="gramEnd"/>
                      <w:r w:rsidRPr="00A75F82">
                        <w:rPr>
                          <w:color w:val="000000" w:themeColor="text1"/>
                          <w:sz w:val="18"/>
                          <w:szCs w:val="18"/>
                        </w:rPr>
                        <w:t xml:space="preserve"> 18 to 64 living in poverty.</w:t>
                      </w:r>
                      <w:r w:rsidRPr="00C26077">
                        <w:rPr>
                          <w:b/>
                          <w:bCs/>
                          <w:color w:val="000000" w:themeColor="text1"/>
                        </w:rPr>
                        <w:t xml:space="preserve"> </w:t>
                      </w:r>
                    </w:p>
                    <w:p w14:paraId="7A12E80E" w14:textId="439D8485" w:rsidR="008616EE" w:rsidRDefault="008616EE" w:rsidP="009176A7">
                      <w:pPr>
                        <w:pBdr>
                          <w:top w:val="single" w:sz="4" w:space="1" w:color="auto"/>
                        </w:pBdr>
                        <w:shd w:val="clear" w:color="auto" w:fill="D9D9D9" w:themeFill="background1" w:themeFillShade="D9"/>
                        <w:jc w:val="left"/>
                      </w:pPr>
                      <w:r>
                        <w:rPr>
                          <w:b/>
                          <w:bCs/>
                          <w:i/>
                          <w:iCs/>
                          <w:color w:val="000000" w:themeColor="text1"/>
                          <w:sz w:val="20"/>
                          <w:szCs w:val="20"/>
                        </w:rPr>
                        <w:t>Appendix Table 2</w:t>
                      </w:r>
                      <w:r w:rsidRPr="00826CF7">
                        <w:rPr>
                          <w:b/>
                          <w:bCs/>
                          <w:color w:val="000000" w:themeColor="text1"/>
                          <w:sz w:val="20"/>
                          <w:szCs w:val="20"/>
                        </w:rPr>
                        <w:t>: Multivariate results from Bayesian spatial Poisson regression analysis for factors associated with COVID-19 and HIV infection</w:t>
                      </w:r>
                      <w:r>
                        <w:rPr>
                          <w:b/>
                          <w:bCs/>
                          <w:color w:val="000000" w:themeColor="text1"/>
                          <w:sz w:val="20"/>
                          <w:szCs w:val="20"/>
                        </w:rPr>
                        <w:t xml:space="preserve"> when implemented with a hierarchical model that accounts for potential clustering of counties within the 9 census regions. The Deviance Information Criterion (DIC) between this fitted model used for robustness check and the </w:t>
                      </w:r>
                      <w:r w:rsidR="008079BD">
                        <w:rPr>
                          <w:b/>
                          <w:bCs/>
                          <w:color w:val="000000" w:themeColor="text1"/>
                          <w:sz w:val="20"/>
                          <w:szCs w:val="20"/>
                        </w:rPr>
                        <w:t>result</w:t>
                      </w:r>
                      <w:r>
                        <w:rPr>
                          <w:b/>
                          <w:bCs/>
                          <w:color w:val="000000" w:themeColor="text1"/>
                          <w:sz w:val="20"/>
                          <w:szCs w:val="20"/>
                        </w:rPr>
                        <w:t xml:space="preserve"> without clustering </w:t>
                      </w:r>
                      <w:r w:rsidRPr="009176A7">
                        <w:rPr>
                          <w:b/>
                          <w:bCs/>
                          <w:color w:val="000000" w:themeColor="text1"/>
                          <w:sz w:val="20"/>
                          <w:szCs w:val="20"/>
                        </w:rPr>
                        <w:t>is smaller than 2 (49650.35 VS 49648.99), suggesting that the models fitted the data equally well</w:t>
                      </w:r>
                      <w:r>
                        <w:rPr>
                          <w:b/>
                          <w:bCs/>
                          <w:color w:val="000000" w:themeColor="text1"/>
                          <w:sz w:val="20"/>
                          <w:szCs w:val="20"/>
                        </w:rPr>
                        <w:t>.</w:t>
                      </w:r>
                      <w:r w:rsidR="00786475">
                        <w:rPr>
                          <w:b/>
                          <w:bCs/>
                          <w:color w:val="000000" w:themeColor="text1"/>
                          <w:sz w:val="20"/>
                          <w:szCs w:val="20"/>
                        </w:rPr>
                        <w:t xml:space="preserve"> </w:t>
                      </w:r>
                    </w:p>
                  </w:txbxContent>
                </v:textbox>
                <w10:wrap type="square"/>
              </v:rect>
            </w:pict>
          </mc:Fallback>
        </mc:AlternateContent>
      </w:r>
    </w:p>
    <w:p w14:paraId="5E96A5E9" w14:textId="77777777" w:rsidR="005C4211" w:rsidRDefault="005C4211" w:rsidP="00B16C88">
      <w:pPr>
        <w:widowControl w:val="0"/>
        <w:autoSpaceDE w:val="0"/>
        <w:autoSpaceDN w:val="0"/>
        <w:adjustRightInd w:val="0"/>
        <w:spacing w:line="240" w:lineRule="auto"/>
        <w:rPr>
          <w:b/>
        </w:rPr>
      </w:pPr>
    </w:p>
    <w:p w14:paraId="713A5FCB" w14:textId="30483E9C" w:rsidR="00B16C88" w:rsidRDefault="00B16C88" w:rsidP="00B16C88">
      <w:pPr>
        <w:widowControl w:val="0"/>
        <w:autoSpaceDE w:val="0"/>
        <w:autoSpaceDN w:val="0"/>
        <w:adjustRightInd w:val="0"/>
        <w:spacing w:line="240" w:lineRule="auto"/>
        <w:rPr>
          <w:b/>
        </w:rPr>
      </w:pPr>
      <w:r>
        <w:rPr>
          <w:b/>
        </w:rPr>
        <w:t>Notes</w:t>
      </w:r>
      <w:r w:rsidRPr="00EB1CE4">
        <w:rPr>
          <w:b/>
        </w:rPr>
        <w:t xml:space="preserve">. </w:t>
      </w:r>
      <w:r>
        <w:rPr>
          <w:b/>
        </w:rPr>
        <w:t>Details on B</w:t>
      </w:r>
      <w:r w:rsidRPr="00EB1CE4">
        <w:rPr>
          <w:b/>
        </w:rPr>
        <w:t>ayesian</w:t>
      </w:r>
      <w:r>
        <w:rPr>
          <w:b/>
        </w:rPr>
        <w:t xml:space="preserve"> multivariate</w:t>
      </w:r>
      <w:r w:rsidRPr="00EB1CE4">
        <w:rPr>
          <w:b/>
        </w:rPr>
        <w:t xml:space="preserve"> spatial statistical </w:t>
      </w:r>
      <w:r>
        <w:rPr>
          <w:b/>
        </w:rPr>
        <w:t>modeling</w:t>
      </w:r>
    </w:p>
    <w:p w14:paraId="322101B2" w14:textId="6C5DD6BC" w:rsidR="00056B94" w:rsidRDefault="00056B94" w:rsidP="00056B94">
      <w:pPr>
        <w:widowControl w:val="0"/>
        <w:autoSpaceDE w:val="0"/>
        <w:autoSpaceDN w:val="0"/>
        <w:adjustRightInd w:val="0"/>
        <w:spacing w:line="240" w:lineRule="auto"/>
      </w:pPr>
      <w:r w:rsidRPr="004D3355">
        <w:t xml:space="preserve">Let </w:t>
      </w:r>
      <w:proofErr w:type="spellStart"/>
      <w:r w:rsidRPr="00564895">
        <w:rPr>
          <w:b/>
          <w:i/>
        </w:rPr>
        <w:t>Y</w:t>
      </w:r>
      <w:r w:rsidRPr="00564895">
        <w:rPr>
          <w:b/>
          <w:i/>
          <w:vertAlign w:val="subscript"/>
        </w:rPr>
        <w:t>ik</w:t>
      </w:r>
      <w:proofErr w:type="spellEnd"/>
      <w:r>
        <w:t xml:space="preserve"> be the observed counts of COVID-19 (k=1) or HIV infection (k=2) at county </w:t>
      </w:r>
      <w:proofErr w:type="spellStart"/>
      <w:r>
        <w:t>i</w:t>
      </w:r>
      <w:proofErr w:type="spellEnd"/>
      <w:r>
        <w:t xml:space="preserve"> (</w:t>
      </w:r>
      <w:proofErr w:type="spellStart"/>
      <w:r>
        <w:t>i</w:t>
      </w:r>
      <w:proofErr w:type="spellEnd"/>
      <w:r>
        <w:t xml:space="preserve">=1, 2, 3…, 3108). </w:t>
      </w:r>
      <w:proofErr w:type="spellStart"/>
      <w:r w:rsidRPr="00564895">
        <w:rPr>
          <w:b/>
          <w:i/>
        </w:rPr>
        <w:t>Y</w:t>
      </w:r>
      <w:r w:rsidRPr="00564895">
        <w:rPr>
          <w:b/>
          <w:i/>
          <w:vertAlign w:val="subscript"/>
        </w:rPr>
        <w:t>ik</w:t>
      </w:r>
      <w:proofErr w:type="spellEnd"/>
      <w:r>
        <w:t xml:space="preserve"> is assumed to follow a Poisson distribution with expected mean </w:t>
      </w:r>
      <w:proofErr w:type="spellStart"/>
      <w:r w:rsidR="00B60B91" w:rsidRPr="00474BC3">
        <w:rPr>
          <w:rFonts w:cs="Times New Roman"/>
          <w:b/>
          <w:i/>
        </w:rPr>
        <w:t>m</w:t>
      </w:r>
      <w:r w:rsidRPr="00474BC3">
        <w:rPr>
          <w:b/>
          <w:i/>
          <w:vertAlign w:val="subscript"/>
        </w:rPr>
        <w:t>ik</w:t>
      </w:r>
      <w:proofErr w:type="spellEnd"/>
      <w:r w:rsidR="00B60B91" w:rsidRPr="00474BC3">
        <w:rPr>
          <w:b/>
          <w:i/>
        </w:rPr>
        <w:t>*</w:t>
      </w:r>
      <w:proofErr w:type="spellStart"/>
      <w:r w:rsidR="00B60B91" w:rsidRPr="00474BC3">
        <w:rPr>
          <w:b/>
          <w:i/>
        </w:rPr>
        <w:t>P</w:t>
      </w:r>
      <w:r w:rsidR="00B60B91" w:rsidRPr="00474BC3">
        <w:rPr>
          <w:b/>
          <w:i/>
          <w:vertAlign w:val="subscript"/>
        </w:rPr>
        <w:t>ik</w:t>
      </w:r>
      <w:proofErr w:type="spellEnd"/>
      <w:r>
        <w:t xml:space="preserve"> (Formula A1)</w:t>
      </w:r>
      <w:r w:rsidR="00B60B91">
        <w:t xml:space="preserve">, where </w:t>
      </w:r>
      <w:proofErr w:type="spellStart"/>
      <w:r w:rsidR="00B60B91" w:rsidRPr="002C4F20">
        <w:rPr>
          <w:b/>
          <w:i/>
        </w:rPr>
        <w:t>m</w:t>
      </w:r>
      <w:r w:rsidR="00B60B91" w:rsidRPr="002C4F20">
        <w:rPr>
          <w:b/>
          <w:i/>
          <w:vertAlign w:val="subscript"/>
        </w:rPr>
        <w:t>ik</w:t>
      </w:r>
      <w:proofErr w:type="spellEnd"/>
      <w:r w:rsidR="00B60B91">
        <w:t xml:space="preserve"> is the underlying infection rate and </w:t>
      </w:r>
      <w:proofErr w:type="spellStart"/>
      <w:r w:rsidR="00B60B91" w:rsidRPr="00F87434">
        <w:rPr>
          <w:b/>
          <w:i/>
        </w:rPr>
        <w:t>P</w:t>
      </w:r>
      <w:r w:rsidR="00B60B91" w:rsidRPr="00F87434">
        <w:rPr>
          <w:b/>
          <w:i/>
          <w:vertAlign w:val="subscript"/>
        </w:rPr>
        <w:t>ik</w:t>
      </w:r>
      <w:proofErr w:type="spellEnd"/>
      <w:r w:rsidR="00B60B91">
        <w:t xml:space="preserve"> is the total population at risk</w:t>
      </w:r>
      <w:r>
        <w:t>. If the HIV infection count is between 2 and 4</w:t>
      </w:r>
      <w:r w:rsidR="006F1ACB">
        <w:t xml:space="preserve"> thus is suppressed</w:t>
      </w:r>
      <w:r>
        <w:t xml:space="preserve">, a Poisson distribution truncated to the range [2, 4] is used. Via a log link function, </w:t>
      </w:r>
      <w:proofErr w:type="spellStart"/>
      <w:r w:rsidRPr="00D76E32">
        <w:rPr>
          <w:b/>
          <w:i/>
        </w:rPr>
        <w:t>m</w:t>
      </w:r>
      <w:r w:rsidRPr="00D76E32">
        <w:rPr>
          <w:b/>
          <w:i/>
          <w:vertAlign w:val="subscript"/>
        </w:rPr>
        <w:t>ik</w:t>
      </w:r>
      <w:proofErr w:type="spellEnd"/>
      <w:r>
        <w:t xml:space="preserve"> is further decomposed into (</w:t>
      </w:r>
      <w:r w:rsidR="00B60B91">
        <w:t>Formula A2</w:t>
      </w:r>
      <w:r>
        <w:t xml:space="preserve">): 1) </w:t>
      </w:r>
      <w:r w:rsidRPr="004A6702">
        <w:rPr>
          <w:rFonts w:cs="Times New Roman"/>
          <w:b/>
          <w:i/>
        </w:rPr>
        <w:t>α</w:t>
      </w:r>
      <w:r w:rsidRPr="004A6702">
        <w:rPr>
          <w:b/>
          <w:i/>
          <w:vertAlign w:val="subscript"/>
        </w:rPr>
        <w:t>k</w:t>
      </w:r>
      <w:r w:rsidRPr="00EA2807">
        <w:t xml:space="preserve"> that </w:t>
      </w:r>
      <w:r>
        <w:t xml:space="preserve">represents the underlying average infection rate over the whole country for outcome </w:t>
      </w:r>
      <w:r w:rsidRPr="004A6702">
        <w:rPr>
          <w:b/>
          <w:i/>
        </w:rPr>
        <w:t>k</w:t>
      </w:r>
      <w:r>
        <w:t xml:space="preserve">; 2) </w:t>
      </w:r>
      <w:r w:rsidRPr="00DF6480">
        <w:rPr>
          <w:rFonts w:cs="Times New Roman"/>
          <w:b/>
          <w:i/>
        </w:rPr>
        <w:t>β</w:t>
      </w:r>
      <w:r w:rsidRPr="00DF6480">
        <w:rPr>
          <w:b/>
          <w:i/>
          <w:vertAlign w:val="subscript"/>
        </w:rPr>
        <w:t>m</w:t>
      </w:r>
      <w:r w:rsidRPr="00DF6480">
        <w:rPr>
          <w:b/>
          <w:i/>
        </w:rPr>
        <w:t>*</w:t>
      </w:r>
      <w:proofErr w:type="spellStart"/>
      <w:r w:rsidRPr="00DF6480">
        <w:rPr>
          <w:b/>
          <w:i/>
        </w:rPr>
        <w:t>X</w:t>
      </w:r>
      <w:r w:rsidRPr="00DF6480">
        <w:rPr>
          <w:b/>
          <w:i/>
          <w:vertAlign w:val="subscript"/>
        </w:rPr>
        <w:t>im</w:t>
      </w:r>
      <w:proofErr w:type="spellEnd"/>
      <w:r w:rsidRPr="00D068FC">
        <w:t>,</w:t>
      </w:r>
      <w:r>
        <w:rPr>
          <w:vertAlign w:val="subscript"/>
        </w:rPr>
        <w:t xml:space="preserve"> </w:t>
      </w:r>
      <w:r w:rsidRPr="00EA2807">
        <w:t>where</w:t>
      </w:r>
      <w:r>
        <w:t xml:space="preserve"> </w:t>
      </w:r>
      <w:proofErr w:type="spellStart"/>
      <w:r w:rsidRPr="00DF6480">
        <w:rPr>
          <w:b/>
          <w:i/>
        </w:rPr>
        <w:t>X</w:t>
      </w:r>
      <w:r w:rsidRPr="00DF6480">
        <w:rPr>
          <w:b/>
          <w:i/>
          <w:vertAlign w:val="subscript"/>
        </w:rPr>
        <w:t>im</w:t>
      </w:r>
      <w:proofErr w:type="spellEnd"/>
      <w:r>
        <w:t xml:space="preserve"> is the </w:t>
      </w:r>
      <w:proofErr w:type="spellStart"/>
      <w:r w:rsidRPr="00382B3A">
        <w:rPr>
          <w:i/>
        </w:rPr>
        <w:t>m</w:t>
      </w:r>
      <w:r w:rsidRPr="00382B3A">
        <w:rPr>
          <w:i/>
          <w:vertAlign w:val="superscript"/>
        </w:rPr>
        <w:t>th</w:t>
      </w:r>
      <w:proofErr w:type="spellEnd"/>
      <w:r>
        <w:t xml:space="preserve"> </w:t>
      </w:r>
      <w:r w:rsidR="00D93C31">
        <w:t xml:space="preserve">(m=1,2,3,…,9) </w:t>
      </w:r>
      <w:r>
        <w:t xml:space="preserve">social, economic, behavioral, or clinical determinant at the </w:t>
      </w:r>
      <w:proofErr w:type="spellStart"/>
      <w:r w:rsidRPr="005B52AC">
        <w:rPr>
          <w:i/>
        </w:rPr>
        <w:t>i</w:t>
      </w:r>
      <w:r w:rsidRPr="005B52AC">
        <w:rPr>
          <w:i/>
          <w:vertAlign w:val="superscript"/>
        </w:rPr>
        <w:t>th</w:t>
      </w:r>
      <w:proofErr w:type="spellEnd"/>
      <w:r>
        <w:t xml:space="preserve"> county with a corresponding coefficient </w:t>
      </w:r>
      <w:r w:rsidRPr="007452A3">
        <w:rPr>
          <w:rFonts w:cs="Times New Roman"/>
          <w:b/>
          <w:i/>
        </w:rPr>
        <w:t>β</w:t>
      </w:r>
      <w:r w:rsidRPr="007452A3">
        <w:rPr>
          <w:b/>
          <w:i/>
          <w:vertAlign w:val="subscript"/>
        </w:rPr>
        <w:t>m</w:t>
      </w:r>
      <w:r>
        <w:t xml:space="preserve">, and 3) </w:t>
      </w:r>
      <w:proofErr w:type="spellStart"/>
      <w:r w:rsidRPr="00C220A9">
        <w:rPr>
          <w:b/>
          <w:i/>
        </w:rPr>
        <w:t>s</w:t>
      </w:r>
      <w:r w:rsidRPr="00C220A9">
        <w:rPr>
          <w:b/>
          <w:i/>
          <w:vertAlign w:val="subscript"/>
        </w:rPr>
        <w:t>ik</w:t>
      </w:r>
      <w:proofErr w:type="spellEnd"/>
      <w:r w:rsidRPr="00D068FC">
        <w:t>,</w:t>
      </w:r>
      <w:r w:rsidRPr="00EA2807">
        <w:t xml:space="preserve"> which</w:t>
      </w:r>
      <w:r>
        <w:t xml:space="preserve"> is the spatial random effects term, representing spatial variations of the infection rates that are not captured by the covariates. </w:t>
      </w:r>
      <w:r w:rsidR="00005131">
        <w:t>In the case when census-region level variations are accounted for, Formula A2.1 with an additional random effects</w:t>
      </w:r>
      <w:r w:rsidR="00B30FE3">
        <w:t xml:space="preserve"> term</w:t>
      </w:r>
      <w:r w:rsidR="00005131">
        <w:t xml:space="preserve">, </w:t>
      </w:r>
      <w:r w:rsidR="00005131" w:rsidRPr="00AC3A75">
        <w:rPr>
          <w:position w:val="-10"/>
        </w:rPr>
        <w:object w:dxaOrig="1420" w:dyaOrig="320" w14:anchorId="44171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pt;height:16.2pt" o:ole="">
            <v:imagedata r:id="rId13" o:title=""/>
          </v:shape>
          <o:OLEObject Type="Embed" ProgID="Equation.DSMT4" ShapeID="_x0000_i1025" DrawAspect="Content" ObjectID="_1684830589" r:id="rId14"/>
        </w:object>
      </w:r>
      <w:r w:rsidR="00005131">
        <w:t>, is used instead, where census[</w:t>
      </w:r>
      <w:proofErr w:type="spellStart"/>
      <w:r w:rsidR="00005131">
        <w:t>i</w:t>
      </w:r>
      <w:proofErr w:type="spellEnd"/>
      <w:r w:rsidR="00005131">
        <w:t xml:space="preserve">] is the census region the </w:t>
      </w:r>
      <w:proofErr w:type="spellStart"/>
      <w:r w:rsidR="00005131">
        <w:t>i</w:t>
      </w:r>
      <w:r w:rsidR="00005131" w:rsidRPr="008079BD">
        <w:rPr>
          <w:vertAlign w:val="superscript"/>
        </w:rPr>
        <w:t>th</w:t>
      </w:r>
      <w:proofErr w:type="spellEnd"/>
      <w:r w:rsidR="00005131">
        <w:t xml:space="preserve"> county belongs to. </w:t>
      </w:r>
      <w:r>
        <w:t xml:space="preserve">A non-informative flat prior was assigned to </w:t>
      </w:r>
      <w:r w:rsidRPr="00C220A9">
        <w:rPr>
          <w:rFonts w:cs="Times New Roman"/>
          <w:b/>
          <w:i/>
        </w:rPr>
        <w:t>α</w:t>
      </w:r>
      <w:r w:rsidRPr="00C220A9">
        <w:rPr>
          <w:b/>
          <w:i/>
          <w:vertAlign w:val="subscript"/>
        </w:rPr>
        <w:t>k</w:t>
      </w:r>
      <w:r w:rsidR="00B60B91">
        <w:rPr>
          <w:vertAlign w:val="subscript"/>
        </w:rPr>
        <w:t xml:space="preserve"> </w:t>
      </w:r>
      <w:r w:rsidR="00B60B91">
        <w:t>(Formula A3)</w:t>
      </w:r>
      <w:r>
        <w:t xml:space="preserve">. The prior for the coefficient </w:t>
      </w:r>
      <w:r w:rsidRPr="00F47814">
        <w:rPr>
          <w:rFonts w:cs="Times New Roman"/>
          <w:b/>
          <w:i/>
        </w:rPr>
        <w:t>β</w:t>
      </w:r>
      <w:r w:rsidRPr="00F47814">
        <w:rPr>
          <w:b/>
          <w:i/>
          <w:vertAlign w:val="subscript"/>
        </w:rPr>
        <w:t>m</w:t>
      </w:r>
      <w:r>
        <w:t xml:space="preserve"> was a vague Normal distribution with mean zero and variance 1000</w:t>
      </w:r>
      <w:r w:rsidR="00B60B91">
        <w:t xml:space="preserve"> (Formula A4)</w:t>
      </w:r>
      <w:r>
        <w:t>. A multivariate Leroux prior</w:t>
      </w:r>
      <w:r w:rsidR="006A0432">
        <w:t xml:space="preserve"> </w:t>
      </w:r>
      <w:r>
        <w:t>was specified to</w:t>
      </w:r>
      <w:r w:rsidR="00B70C8B">
        <w:t xml:space="preserve"> the spatial random effects term</w:t>
      </w:r>
      <w:r>
        <w:t xml:space="preserve"> </w:t>
      </w:r>
      <w:r w:rsidR="00B70C8B" w:rsidRPr="00B70C8B">
        <w:rPr>
          <w:b/>
        </w:rPr>
        <w:t>s</w:t>
      </w:r>
      <w:r w:rsidR="00F4485B">
        <w:t xml:space="preserve"> (Formula A5), where </w:t>
      </w:r>
      <w:r w:rsidR="008668D7" w:rsidRPr="00F11282">
        <w:rPr>
          <w:b/>
          <w:i/>
        </w:rPr>
        <w:t>J</w:t>
      </w:r>
      <w:r w:rsidR="008668D7">
        <w:t xml:space="preserve"> is the total number of neighbors of county </w:t>
      </w:r>
      <w:proofErr w:type="spellStart"/>
      <w:r w:rsidR="008668D7" w:rsidRPr="00476130">
        <w:rPr>
          <w:b/>
          <w:i/>
        </w:rPr>
        <w:t>i</w:t>
      </w:r>
      <w:proofErr w:type="spellEnd"/>
      <w:r w:rsidR="008668D7">
        <w:t xml:space="preserve">. Two counties sharing at least one vertex are considered as neighbors (a.k.a., first-order queen-based contiguity), a commonly used approach to define neighborhoods. </w:t>
      </w:r>
      <w:proofErr w:type="spellStart"/>
      <w:r w:rsidR="008668D7" w:rsidRPr="0072590F">
        <w:rPr>
          <w:rFonts w:cs="Times New Roman"/>
          <w:b/>
          <w:i/>
        </w:rPr>
        <w:t>wij</w:t>
      </w:r>
      <w:proofErr w:type="spellEnd"/>
      <w:r w:rsidR="008668D7" w:rsidRPr="008668D7">
        <w:rPr>
          <w:rFonts w:cs="Times New Roman"/>
        </w:rPr>
        <w:t>=1</w:t>
      </w:r>
      <w:r w:rsidR="008668D7">
        <w:t xml:space="preserve"> if two counties </w:t>
      </w:r>
      <w:proofErr w:type="spellStart"/>
      <w:r w:rsidR="008668D7" w:rsidRPr="0072590F">
        <w:rPr>
          <w:b/>
          <w:i/>
        </w:rPr>
        <w:t>i</w:t>
      </w:r>
      <w:proofErr w:type="spellEnd"/>
      <w:r w:rsidR="008668D7">
        <w:t xml:space="preserve"> and </w:t>
      </w:r>
      <w:r w:rsidR="008668D7" w:rsidRPr="0072590F">
        <w:rPr>
          <w:b/>
          <w:i/>
          <w:u w:val="single"/>
        </w:rPr>
        <w:t>j</w:t>
      </w:r>
      <w:r w:rsidR="008668D7">
        <w:t xml:space="preserve"> are neighbors, otherwise </w:t>
      </w:r>
      <w:proofErr w:type="spellStart"/>
      <w:r w:rsidR="008668D7" w:rsidRPr="006777D8">
        <w:rPr>
          <w:b/>
          <w:i/>
        </w:rPr>
        <w:t>wij</w:t>
      </w:r>
      <w:proofErr w:type="spellEnd"/>
      <w:r w:rsidR="008668D7">
        <w:t xml:space="preserve">=0. </w:t>
      </w:r>
      <w:r w:rsidR="00E51E89" w:rsidRPr="006A0432">
        <w:rPr>
          <w:rFonts w:cs="Times New Roman"/>
          <w:b/>
        </w:rPr>
        <w:t>Ω</w:t>
      </w:r>
      <w:r w:rsidR="008668D7">
        <w:t xml:space="preserve"> represents </w:t>
      </w:r>
      <w:r w:rsidR="00E51E89">
        <w:t>a 2*2</w:t>
      </w:r>
      <w:r w:rsidR="008668D7">
        <w:t xml:space="preserve"> covariance matrix, which was assigned an inverse Wishart prior with </w:t>
      </w:r>
      <w:r w:rsidR="00E51E89">
        <w:t xml:space="preserve">a matrix parameter </w:t>
      </w:r>
      <w:r w:rsidR="00E51E89" w:rsidRPr="005F4AE5">
        <w:rPr>
          <w:b/>
          <w:i/>
        </w:rPr>
        <w:t>R</w:t>
      </w:r>
      <w:r w:rsidR="00E51E89">
        <w:t xml:space="preserve"> (=</w:t>
      </w:r>
      <w:r w:rsidR="00E51E89" w:rsidRPr="003C077E">
        <w:rPr>
          <w:b/>
        </w:rPr>
        <w:t>I</w:t>
      </w:r>
      <w:r w:rsidR="00E51E89" w:rsidRPr="003C077E">
        <w:rPr>
          <w:b/>
          <w:vertAlign w:val="subscript"/>
        </w:rPr>
        <w:t>2</w:t>
      </w:r>
      <w:r w:rsidR="00E51E89">
        <w:t xml:space="preserve">, a </w:t>
      </w:r>
      <w:r w:rsidR="00E51E89">
        <w:lastRenderedPageBreak/>
        <w:t xml:space="preserve">2*2 identity matrix) and degree of freedom </w:t>
      </w:r>
      <w:r w:rsidR="00E51E89" w:rsidRPr="00591458">
        <w:rPr>
          <w:b/>
          <w:i/>
        </w:rPr>
        <w:t>df</w:t>
      </w:r>
      <w:r w:rsidR="00E51E89">
        <w:t xml:space="preserve"> (=2) (Formula A6)</w:t>
      </w:r>
      <w:r w:rsidR="00CC4757">
        <w:t xml:space="preserve"> </w:t>
      </w:r>
      <w:r w:rsidR="00CC4757">
        <w:fldChar w:fldCharType="begin" w:fldLock="1"/>
      </w:r>
      <w:r w:rsidR="005C4211">
        <w:instrText>ADDIN CSL_CITATION {"citationItems":[{"id":"ITEM-1","itemData":{"ISBN":"9781439898208","author":[{"dropping-particle":"","family":"Gelman","given":"Andrew","non-dropping-particle":"","parse-names":false,"suffix":""},{"dropping-particle":"","family":"Carlin","given":"John B.","non-dropping-particle":"","parse-names":false,"suffix":""},{"dropping-particle":"","family":"Stern","given":"Hal S.","non-dropping-particle":"","parse-names":false,"suffix":""},{"dropping-particle":"","family":"Rubin","given":"Donald B.","non-dropping-particle":"","parse-names":false,"suffix":""}],"id":"ITEM-1","issued":{"date-parts":[["2014"]]},"number-of-pages":"656","title":"Bayesian Data Analysis","type":"book"},"uris":["http://www.mendeley.com/documents/?uuid=21c434d7-7d6e-499c-a83b-715877c8c131"]}],"mendeley":{"formattedCitation":"&lt;sup&gt;1&lt;/sup&gt;","plainTextFormattedCitation":"1","previouslyFormattedCitation":"&lt;sup&gt;1&lt;/sup&gt;"},"properties":{"noteIndex":0},"schema":"https://github.com/citation-style-language/schema/raw/master/csl-citation.json"}</w:instrText>
      </w:r>
      <w:r w:rsidR="00CC4757">
        <w:fldChar w:fldCharType="separate"/>
      </w:r>
      <w:r w:rsidR="00CC4757" w:rsidRPr="00CC4757">
        <w:rPr>
          <w:noProof/>
          <w:vertAlign w:val="superscript"/>
        </w:rPr>
        <w:t>1</w:t>
      </w:r>
      <w:r w:rsidR="00CC4757">
        <w:fldChar w:fldCharType="end"/>
      </w:r>
      <w:r w:rsidR="00E51E89">
        <w:t xml:space="preserve">. A uniform prior restricted between 0 and 1 was specified to the spatial correlation parameter </w:t>
      </w:r>
      <w:r w:rsidR="00E51E89" w:rsidRPr="004D2CA5">
        <w:rPr>
          <w:rFonts w:cs="Times New Roman"/>
          <w:b/>
          <w:i/>
        </w:rPr>
        <w:t>ρ</w:t>
      </w:r>
      <w:r w:rsidR="00E51E89">
        <w:t xml:space="preserve">. An alternative, less informative prior was assigned to </w:t>
      </w:r>
      <w:r w:rsidR="00E51E89" w:rsidRPr="00DF56DF">
        <w:rPr>
          <w:rFonts w:cs="Times New Roman"/>
          <w:b/>
        </w:rPr>
        <w:t>Ω</w:t>
      </w:r>
      <w:r w:rsidR="00E51E89">
        <w:t xml:space="preserve"> with </w:t>
      </w:r>
      <w:r w:rsidR="00E51E89" w:rsidRPr="005F4AE5">
        <w:rPr>
          <w:b/>
          <w:i/>
        </w:rPr>
        <w:t>R</w:t>
      </w:r>
      <w:r w:rsidR="00E51E89">
        <w:t>=0.01*</w:t>
      </w:r>
      <w:r w:rsidR="00E51E89" w:rsidRPr="005F4AE5">
        <w:rPr>
          <w:b/>
        </w:rPr>
        <w:t>I</w:t>
      </w:r>
      <w:r w:rsidR="00E51E89" w:rsidRPr="005F4AE5">
        <w:rPr>
          <w:b/>
          <w:vertAlign w:val="subscript"/>
        </w:rPr>
        <w:t>2</w:t>
      </w:r>
      <w:r w:rsidR="00CC4757">
        <w:rPr>
          <w:b/>
          <w:vertAlign w:val="subscript"/>
        </w:rPr>
        <w:t xml:space="preserve"> </w:t>
      </w:r>
      <w:r w:rsidR="005C4211">
        <w:rPr>
          <w:b/>
          <w:vertAlign w:val="subscript"/>
        </w:rPr>
        <w:fldChar w:fldCharType="begin" w:fldLock="1"/>
      </w:r>
      <w:r w:rsidR="005C4211">
        <w:rPr>
          <w:b/>
          <w:vertAlign w:val="subscript"/>
        </w:rPr>
        <w:instrText>ADDIN CSL_CITATION {"citationItems":[{"id":"ITEM-1","itemData":{"author":[{"dropping-particle":"","family":"Martinez-Beneito","given":"Miguel A.","non-dropping-particle":"","parse-names":false,"suffix":""},{"dropping-particle":"","family":"Botella-Rocamora","given":"Paloma","non-dropping-particle":"","parse-names":false,"suffix":""}],"id":"ITEM-1","issued":{"date-parts":[["2019"]]},"number-of-pages":"432","publisher":"CRC Press","title":"Diesease mapping: From Foundations to Multidimensional Modeling","type":"book"},"uris":["http://www.mendeley.com/documents/?uuid=ffc3e0d0-33e7-4108-9642-5890b0a44f80"]}],"mendeley":{"formattedCitation":"&lt;sup&gt;2&lt;/sup&gt;","plainTextFormattedCitation":"2","previouslyFormattedCitation":"&lt;sup&gt;2&lt;/sup&gt;"},"properties":{"noteIndex":0},"schema":"https://github.com/citation-style-language/schema/raw/master/csl-citation.json"}</w:instrText>
      </w:r>
      <w:r w:rsidR="005C4211">
        <w:rPr>
          <w:b/>
          <w:vertAlign w:val="subscript"/>
        </w:rPr>
        <w:fldChar w:fldCharType="separate"/>
      </w:r>
      <w:r w:rsidR="005C4211" w:rsidRPr="005C4211">
        <w:rPr>
          <w:noProof/>
          <w:vertAlign w:val="superscript"/>
        </w:rPr>
        <w:t>2</w:t>
      </w:r>
      <w:r w:rsidR="005C4211">
        <w:rPr>
          <w:b/>
          <w:vertAlign w:val="subscript"/>
        </w:rPr>
        <w:fldChar w:fldCharType="end"/>
      </w:r>
      <w:r w:rsidR="00E51E89">
        <w:t xml:space="preserve">. Almost identical results were obtained, suggesting that the results are not sensitive to hyperparameter </w:t>
      </w:r>
      <w:r w:rsidR="00236B2A">
        <w:t xml:space="preserve">prior </w:t>
      </w:r>
      <w:r w:rsidR="00E51E89">
        <w:t>specifications.</w:t>
      </w:r>
    </w:p>
    <w:p w14:paraId="53BCC51A" w14:textId="1B64B420" w:rsidR="00E51E89" w:rsidRPr="00E51E89" w:rsidRDefault="00E51E89" w:rsidP="00D93C31">
      <w:pPr>
        <w:widowControl w:val="0"/>
        <w:autoSpaceDE w:val="0"/>
        <w:autoSpaceDN w:val="0"/>
        <w:adjustRightInd w:val="0"/>
        <w:spacing w:line="240" w:lineRule="auto"/>
        <w:ind w:firstLine="720"/>
      </w:pPr>
      <w:r>
        <w:t xml:space="preserve">The models were fitted using </w:t>
      </w:r>
      <w:proofErr w:type="spellStart"/>
      <w:r>
        <w:t>WinBUGS</w:t>
      </w:r>
      <w:proofErr w:type="spellEnd"/>
      <w:r>
        <w:t xml:space="preserve"> v.1.4.3</w:t>
      </w:r>
      <w:r w:rsidR="005C4211">
        <w:t xml:space="preserve"> </w:t>
      </w:r>
      <w:r w:rsidR="005C4211">
        <w:fldChar w:fldCharType="begin" w:fldLock="1"/>
      </w:r>
      <w:r w:rsidR="009200FF">
        <w:instrText>ADDIN CSL_CITATION {"citationItems":[{"id":"ITEM-1","itemData":{"DOI":"10.1007/s13398-014-0173-7.2","ISBN":"9780874216561","ISSN":"13514180","PMID":"15991970","abstract":"Mycotoxins are small (MW approximately 700), toxic chemical products formed as secondary metabolites by a few fungal species that readily colonise crops and contaminate them with toxins in the field or after harvest. Ochratoxins and Aflatoxins are mycotoxins of major significance and hence there has been significant research on broad range of analytical and detection techniques that could be useful and practical. Due to the variety of structures of these toxins, it is impossible to use one standard technique for analysis and/or detection. Practical requirements for high-sensitivity analysis and the need for a specialist laboratory setting create challenges for routine analysis. Several existing analytical techniques, which offer flexible and broad-based methods of analysis and in some cases detection, have been discussed in this manuscript. There are a number of methods used, of which many are lab-based, but to our knowledge there seems to be no single technique that stands out above the rest, although analytical liquid chromatography, commonly linked with mass spectroscopy is likely to be popular. This review manuscript discusses (a) sample pre-treatment methods such as liquid-liquid extraction (LLE), supercritical fluid extraction (SFE), solid phase extraction (SPE), (b) separation methods such as (TLC), high performance liquid chromatography (HPLC), gas chromatography (GC), and capillary electrophoresis (CE) and (c) others such as ELISA. Further currents trends, advantages and disadvantages and future prospects of these methods have been discussed.","author":[{"dropping-particle":"","family":"Lunn","given":"David J.","non-dropping-particle":"","parse-names":false,"suffix":""},{"dropping-particle":"","family":"Thomas","given":"Andrew","non-dropping-particle":"","parse-names":false,"suffix":""},{"dropping-particle":"","family":"Best","given":"Nicky","non-dropping-particle":"","parse-names":false,"suffix":""},{"dropping-particle":"","family":"Spiegelhalter","given":"David","non-dropping-particle":"","parse-names":false,"suffix":""}],"container-title":"Statistics and Computing","id":"ITEM-1","issued":{"date-parts":[["2000"]]},"page":"325-337","title":"WinBUGS - A Bayesian modelling framework: Concepts, structure, and extensibility","type":"article-journal","volume":"10"},"uris":["http://www.mendeley.com/documents/?uuid=5d846274-4512-4ad8-9a98-d8b796b041b4"]}],"mendeley":{"formattedCitation":"&lt;sup&gt;3&lt;/sup&gt;","plainTextFormattedCitation":"3","previouslyFormattedCitation":"&lt;sup&gt;3&lt;/sup&gt;"},"properties":{"noteIndex":0},"schema":"https://github.com/citation-style-language/schema/raw/master/csl-citation.json"}</w:instrText>
      </w:r>
      <w:r w:rsidR="005C4211">
        <w:fldChar w:fldCharType="separate"/>
      </w:r>
      <w:r w:rsidR="005C4211" w:rsidRPr="005C4211">
        <w:rPr>
          <w:noProof/>
          <w:vertAlign w:val="superscript"/>
        </w:rPr>
        <w:t>3</w:t>
      </w:r>
      <w:r w:rsidR="005C4211">
        <w:fldChar w:fldCharType="end"/>
      </w:r>
      <w:r>
        <w:t xml:space="preserve"> via the R package </w:t>
      </w:r>
      <w:r w:rsidRPr="00385248">
        <w:rPr>
          <w:i/>
        </w:rPr>
        <w:t>R2WinBUGS</w:t>
      </w:r>
      <w:r>
        <w:t xml:space="preserve">. Two chains with diverging initial values were generated. Model convergence was assessed by visually checking the history and tract </w:t>
      </w:r>
      <w:proofErr w:type="gramStart"/>
      <w:r>
        <w:t>plots, and</w:t>
      </w:r>
      <w:proofErr w:type="gramEnd"/>
      <w:r>
        <w:t xml:space="preserve"> examining the Brooks-Gelman-Rubin (BGR) diagnostics. The model converges with a BGR value close to 1.0. The first 50,000 iterations, where the model converges, were discarded as burn-ins. We ran the model for another 50,000 iterations, resulting in a total of 100,000 samples for posterior inferences. </w:t>
      </w:r>
      <w:r w:rsidR="00D93C31">
        <w:t xml:space="preserve">The Deviance Information Criterion (DIC) was used to compare model-fitting. A model with a lower DIC or WAIC value fits the data better. </w:t>
      </w:r>
      <w:r>
        <w:t xml:space="preserve">Posterior predictive checks were used to evaluate model performance, that is, how well the fitted model predicts the observed data. </w:t>
      </w:r>
      <w:r w:rsidR="004D6F62">
        <w:t xml:space="preserve">A posterior predictive p-value close to 0.5 suggests that the replicated data is comparable to the observed data. </w:t>
      </w:r>
    </w:p>
    <w:p w14:paraId="44C8DFD5" w14:textId="25CF42D0" w:rsidR="00B60B91" w:rsidRDefault="00B60B91" w:rsidP="00B60B91">
      <w:pPr>
        <w:widowControl w:val="0"/>
        <w:autoSpaceDE w:val="0"/>
        <w:autoSpaceDN w:val="0"/>
        <w:adjustRightInd w:val="0"/>
        <w:spacing w:line="240" w:lineRule="auto"/>
        <w:ind w:left="2160"/>
        <w:jc w:val="left"/>
      </w:pPr>
      <w:r w:rsidRPr="00B60B91">
        <w:rPr>
          <w:position w:val="-32"/>
        </w:rPr>
        <w:object w:dxaOrig="5720" w:dyaOrig="760" w14:anchorId="00AABEEB">
          <v:shape id="_x0000_i1026" type="#_x0000_t75" style="width:285pt;height:38.4pt" o:ole="">
            <v:imagedata r:id="rId15" o:title=""/>
          </v:shape>
          <o:OLEObject Type="Embed" ProgID="Equation.DSMT4" ShapeID="_x0000_i1026" DrawAspect="Content" ObjectID="_1684830590" r:id="rId16"/>
        </w:object>
      </w:r>
      <w:r>
        <w:tab/>
        <w:t>(A1)</w:t>
      </w:r>
    </w:p>
    <w:p w14:paraId="708E14B1" w14:textId="42622FE5" w:rsidR="00056B94" w:rsidRDefault="00791DEF" w:rsidP="00B60B91">
      <w:pPr>
        <w:widowControl w:val="0"/>
        <w:autoSpaceDE w:val="0"/>
        <w:autoSpaceDN w:val="0"/>
        <w:adjustRightInd w:val="0"/>
        <w:spacing w:line="240" w:lineRule="auto"/>
        <w:ind w:left="1440" w:firstLine="720"/>
        <w:jc w:val="left"/>
      </w:pPr>
      <w:r w:rsidRPr="00725938">
        <w:rPr>
          <w:position w:val="-28"/>
        </w:rPr>
        <w:object w:dxaOrig="2960" w:dyaOrig="680" w14:anchorId="547FBFD8">
          <v:shape id="_x0000_i1027" type="#_x0000_t75" style="width:126.6pt;height:29.4pt" o:ole="">
            <v:imagedata r:id="rId17" o:title=""/>
          </v:shape>
          <o:OLEObject Type="Embed" ProgID="Equation.DSMT4" ShapeID="_x0000_i1027" DrawAspect="Content" ObjectID="_1684830591" r:id="rId18"/>
        </w:object>
      </w:r>
      <w:r w:rsidR="00E51E89">
        <w:tab/>
      </w:r>
      <w:r w:rsidR="00B60B91">
        <w:tab/>
      </w:r>
      <w:r w:rsidR="00B60B91">
        <w:tab/>
      </w:r>
      <w:r w:rsidR="00B60B91">
        <w:tab/>
      </w:r>
      <w:r w:rsidR="00B60B91">
        <w:tab/>
      </w:r>
      <w:r w:rsidR="00056B94">
        <w:t>(</w:t>
      </w:r>
      <w:r w:rsidR="00B60B91">
        <w:t>A2</w:t>
      </w:r>
      <w:r w:rsidR="00056B94">
        <w:t>)</w:t>
      </w:r>
    </w:p>
    <w:p w14:paraId="4BD43976" w14:textId="671E8848" w:rsidR="004A1420" w:rsidRDefault="004A1420" w:rsidP="00B60B91">
      <w:pPr>
        <w:widowControl w:val="0"/>
        <w:autoSpaceDE w:val="0"/>
        <w:autoSpaceDN w:val="0"/>
        <w:adjustRightInd w:val="0"/>
        <w:spacing w:line="240" w:lineRule="auto"/>
        <w:ind w:left="1440" w:firstLine="720"/>
        <w:jc w:val="left"/>
      </w:pPr>
      <w:r w:rsidRPr="00725938">
        <w:rPr>
          <w:position w:val="-28"/>
        </w:rPr>
        <w:object w:dxaOrig="4520" w:dyaOrig="680" w14:anchorId="7F35F5CD">
          <v:shape id="_x0000_i1028" type="#_x0000_t75" style="width:192.6pt;height:29.4pt" o:ole="">
            <v:imagedata r:id="rId19" o:title=""/>
          </v:shape>
          <o:OLEObject Type="Embed" ProgID="Equation.DSMT4" ShapeID="_x0000_i1028" DrawAspect="Content" ObjectID="_1684830592" r:id="rId20"/>
        </w:object>
      </w:r>
      <w:r>
        <w:tab/>
      </w:r>
      <w:r>
        <w:tab/>
      </w:r>
      <w:r>
        <w:tab/>
      </w:r>
      <w:r>
        <w:rPr>
          <w:rFonts w:hint="eastAsia"/>
        </w:rPr>
        <w:t>(</w:t>
      </w:r>
      <w:r>
        <w:t>A2.1)</w:t>
      </w:r>
    </w:p>
    <w:p w14:paraId="1638A82D" w14:textId="77777777" w:rsidR="00B60B91" w:rsidRDefault="00B60B91" w:rsidP="00B60B91">
      <w:pPr>
        <w:widowControl w:val="0"/>
        <w:autoSpaceDE w:val="0"/>
        <w:autoSpaceDN w:val="0"/>
        <w:adjustRightInd w:val="0"/>
        <w:spacing w:line="240" w:lineRule="auto"/>
        <w:ind w:left="1440" w:firstLine="720"/>
        <w:jc w:val="left"/>
      </w:pPr>
      <w:r w:rsidRPr="00B60B91">
        <w:rPr>
          <w:position w:val="-12"/>
        </w:rPr>
        <w:object w:dxaOrig="2240" w:dyaOrig="360" w14:anchorId="4DFEF6CB">
          <v:shape id="_x0000_i1029" type="#_x0000_t75" style="width:111.6pt;height:19.2pt" o:ole="">
            <v:imagedata r:id="rId21" o:title=""/>
          </v:shape>
          <o:OLEObject Type="Embed" ProgID="Equation.DSMT4" ShapeID="_x0000_i1029" DrawAspect="Content" ObjectID="_1684830593" r:id="rId22"/>
        </w:object>
      </w:r>
      <w:r>
        <w:tab/>
      </w:r>
      <w:r>
        <w:tab/>
      </w:r>
      <w:r>
        <w:tab/>
      </w:r>
      <w:r>
        <w:tab/>
      </w:r>
      <w:r>
        <w:tab/>
        <w:t>(A3)</w:t>
      </w:r>
      <w:r>
        <w:tab/>
      </w:r>
    </w:p>
    <w:p w14:paraId="10E65FF5" w14:textId="04AB429A" w:rsidR="00B60B91" w:rsidRDefault="00B60B91" w:rsidP="00B60B91">
      <w:pPr>
        <w:widowControl w:val="0"/>
        <w:autoSpaceDE w:val="0"/>
        <w:autoSpaceDN w:val="0"/>
        <w:adjustRightInd w:val="0"/>
        <w:spacing w:line="240" w:lineRule="auto"/>
        <w:ind w:left="1440" w:firstLine="720"/>
        <w:jc w:val="left"/>
      </w:pPr>
      <w:r w:rsidRPr="00B60B91">
        <w:rPr>
          <w:position w:val="-12"/>
        </w:rPr>
        <w:object w:dxaOrig="2180" w:dyaOrig="360" w14:anchorId="1A45F7C5">
          <v:shape id="_x0000_i1030" type="#_x0000_t75" style="width:109.2pt;height:19.2pt" o:ole="">
            <v:imagedata r:id="rId23" o:title=""/>
          </v:shape>
          <o:OLEObject Type="Embed" ProgID="Equation.DSMT4" ShapeID="_x0000_i1030" DrawAspect="Content" ObjectID="_1684830594" r:id="rId24"/>
        </w:object>
      </w:r>
      <w:r>
        <w:tab/>
      </w:r>
      <w:r>
        <w:tab/>
      </w:r>
      <w:r>
        <w:tab/>
      </w:r>
      <w:r>
        <w:tab/>
      </w:r>
      <w:r>
        <w:tab/>
        <w:t>(A4)</w:t>
      </w:r>
      <w:r>
        <w:tab/>
      </w:r>
      <w:r>
        <w:tab/>
      </w:r>
    </w:p>
    <w:p w14:paraId="13C2E231" w14:textId="29BB1288" w:rsidR="00B16C88" w:rsidRDefault="00E51E89" w:rsidP="00CC721F">
      <w:pPr>
        <w:widowControl w:val="0"/>
        <w:autoSpaceDE w:val="0"/>
        <w:autoSpaceDN w:val="0"/>
        <w:adjustRightInd w:val="0"/>
        <w:spacing w:line="240" w:lineRule="auto"/>
        <w:ind w:left="2160"/>
        <w:jc w:val="left"/>
        <w:rPr>
          <w:szCs w:val="24"/>
        </w:rPr>
      </w:pPr>
      <w:r w:rsidRPr="00CC721F">
        <w:rPr>
          <w:position w:val="-62"/>
          <w:szCs w:val="24"/>
        </w:rPr>
        <w:object w:dxaOrig="4580" w:dyaOrig="1359" w14:anchorId="16CD655D">
          <v:shape id="_x0000_i1031" type="#_x0000_t75" style="width:228.6pt;height:67.8pt" o:ole="">
            <v:imagedata r:id="rId25" o:title=""/>
          </v:shape>
          <o:OLEObject Type="Embed" ProgID="Equation.DSMT4" ShapeID="_x0000_i1031" DrawAspect="Content" ObjectID="_1684830595" r:id="rId26"/>
        </w:object>
      </w:r>
      <w:r w:rsidR="00B60B91">
        <w:rPr>
          <w:szCs w:val="24"/>
        </w:rPr>
        <w:tab/>
      </w:r>
      <w:r w:rsidR="00B60B91">
        <w:rPr>
          <w:szCs w:val="24"/>
        </w:rPr>
        <w:tab/>
        <w:t>(A5)</w:t>
      </w:r>
    </w:p>
    <w:p w14:paraId="45D345CC" w14:textId="5C6C954C" w:rsidR="00F4485B" w:rsidRDefault="00E51E89" w:rsidP="00CC721F">
      <w:pPr>
        <w:widowControl w:val="0"/>
        <w:autoSpaceDE w:val="0"/>
        <w:autoSpaceDN w:val="0"/>
        <w:adjustRightInd w:val="0"/>
        <w:spacing w:line="240" w:lineRule="auto"/>
        <w:ind w:left="2160"/>
        <w:jc w:val="left"/>
        <w:rPr>
          <w:szCs w:val="24"/>
        </w:rPr>
      </w:pPr>
      <w:r w:rsidRPr="00F4485B">
        <w:rPr>
          <w:position w:val="-10"/>
          <w:szCs w:val="24"/>
        </w:rPr>
        <w:object w:dxaOrig="2840" w:dyaOrig="320" w14:anchorId="5E5146B8">
          <v:shape id="_x0000_i1032" type="#_x0000_t75" style="width:141.6pt;height:16.2pt" o:ole="">
            <v:imagedata r:id="rId27" o:title=""/>
          </v:shape>
          <o:OLEObject Type="Embed" ProgID="Equation.DSMT4" ShapeID="_x0000_i1032" DrawAspect="Content" ObjectID="_1684830596" r:id="rId28"/>
        </w:object>
      </w:r>
      <w:r w:rsidR="00123387">
        <w:rPr>
          <w:szCs w:val="24"/>
        </w:rPr>
        <w:tab/>
      </w:r>
      <w:r w:rsidR="00123387">
        <w:rPr>
          <w:szCs w:val="24"/>
        </w:rPr>
        <w:tab/>
      </w:r>
      <w:r w:rsidR="00123387">
        <w:rPr>
          <w:szCs w:val="24"/>
        </w:rPr>
        <w:tab/>
      </w:r>
      <w:r w:rsidR="00123387">
        <w:rPr>
          <w:szCs w:val="24"/>
        </w:rPr>
        <w:tab/>
      </w:r>
      <w:r w:rsidR="00123387">
        <w:rPr>
          <w:szCs w:val="24"/>
        </w:rPr>
        <w:tab/>
        <w:t>(A6)</w:t>
      </w:r>
    </w:p>
    <w:p w14:paraId="2145EEF5" w14:textId="5467C12C" w:rsidR="00123387" w:rsidRDefault="00123387" w:rsidP="00CC721F">
      <w:pPr>
        <w:widowControl w:val="0"/>
        <w:autoSpaceDE w:val="0"/>
        <w:autoSpaceDN w:val="0"/>
        <w:adjustRightInd w:val="0"/>
        <w:spacing w:line="240" w:lineRule="auto"/>
        <w:ind w:left="2160"/>
        <w:jc w:val="left"/>
        <w:rPr>
          <w:szCs w:val="24"/>
        </w:rPr>
      </w:pPr>
      <w:r w:rsidRPr="00123387">
        <w:rPr>
          <w:position w:val="-10"/>
          <w:szCs w:val="24"/>
        </w:rPr>
        <w:object w:dxaOrig="1719" w:dyaOrig="320" w14:anchorId="494EAA27">
          <v:shape id="_x0000_i1033" type="#_x0000_t75" style="width:85.8pt;height:16.2pt" o:ole="">
            <v:imagedata r:id="rId29" o:title=""/>
          </v:shape>
          <o:OLEObject Type="Embed" ProgID="Equation.DSMT4" ShapeID="_x0000_i1033" DrawAspect="Content" ObjectID="_1684830597" r:id="rId30"/>
        </w:object>
      </w:r>
      <w:r>
        <w:rPr>
          <w:szCs w:val="24"/>
        </w:rPr>
        <w:tab/>
      </w:r>
      <w:r>
        <w:rPr>
          <w:szCs w:val="24"/>
        </w:rPr>
        <w:tab/>
      </w:r>
      <w:r>
        <w:rPr>
          <w:szCs w:val="24"/>
        </w:rPr>
        <w:tab/>
      </w:r>
      <w:r>
        <w:rPr>
          <w:szCs w:val="24"/>
        </w:rPr>
        <w:tab/>
      </w:r>
      <w:r>
        <w:rPr>
          <w:szCs w:val="24"/>
        </w:rPr>
        <w:tab/>
      </w:r>
      <w:r>
        <w:rPr>
          <w:szCs w:val="24"/>
        </w:rPr>
        <w:tab/>
        <w:t>(A7)</w:t>
      </w:r>
    </w:p>
    <w:p w14:paraId="2B6A938C" w14:textId="20B0A2DB" w:rsidR="005C4211" w:rsidRPr="005C4211" w:rsidRDefault="005C4211" w:rsidP="005C4211">
      <w:pPr>
        <w:widowControl w:val="0"/>
        <w:autoSpaceDE w:val="0"/>
        <w:autoSpaceDN w:val="0"/>
        <w:adjustRightInd w:val="0"/>
        <w:spacing w:line="240" w:lineRule="auto"/>
        <w:jc w:val="left"/>
        <w:rPr>
          <w:b/>
          <w:szCs w:val="24"/>
        </w:rPr>
      </w:pPr>
      <w:r w:rsidRPr="005C4211">
        <w:rPr>
          <w:b/>
          <w:szCs w:val="24"/>
        </w:rPr>
        <w:t>References</w:t>
      </w:r>
    </w:p>
    <w:p w14:paraId="600A471D" w14:textId="50EF30CA" w:rsidR="009200FF" w:rsidRPr="009200FF" w:rsidRDefault="009200FF" w:rsidP="009200FF">
      <w:pPr>
        <w:widowControl w:val="0"/>
        <w:autoSpaceDE w:val="0"/>
        <w:autoSpaceDN w:val="0"/>
        <w:adjustRightInd w:val="0"/>
        <w:spacing w:line="240" w:lineRule="auto"/>
        <w:ind w:left="640" w:hanging="640"/>
        <w:rPr>
          <w:rFonts w:cs="Times New Roman"/>
          <w:noProof/>
          <w:szCs w:val="24"/>
        </w:rPr>
      </w:pPr>
      <w:r>
        <w:rPr>
          <w:szCs w:val="24"/>
        </w:rPr>
        <w:fldChar w:fldCharType="begin" w:fldLock="1"/>
      </w:r>
      <w:r>
        <w:rPr>
          <w:szCs w:val="24"/>
        </w:rPr>
        <w:instrText xml:space="preserve">ADDIN Mendeley Bibliography CSL_BIBLIOGRAPHY </w:instrText>
      </w:r>
      <w:r>
        <w:rPr>
          <w:szCs w:val="24"/>
        </w:rPr>
        <w:fldChar w:fldCharType="separate"/>
      </w:r>
      <w:r w:rsidRPr="009200FF">
        <w:rPr>
          <w:rFonts w:cs="Times New Roman"/>
          <w:noProof/>
          <w:szCs w:val="24"/>
        </w:rPr>
        <w:t>1</w:t>
      </w:r>
      <w:r w:rsidRPr="009200FF">
        <w:rPr>
          <w:rFonts w:cs="Times New Roman"/>
          <w:noProof/>
          <w:szCs w:val="24"/>
        </w:rPr>
        <w:tab/>
        <w:t>Gelman A, Carlin JB, Stern HS, Rubin DB. Bayesian Data Analysis. 2014.</w:t>
      </w:r>
    </w:p>
    <w:p w14:paraId="05570BC4" w14:textId="77777777" w:rsidR="009200FF" w:rsidRPr="009200FF" w:rsidRDefault="009200FF" w:rsidP="009200FF">
      <w:pPr>
        <w:widowControl w:val="0"/>
        <w:autoSpaceDE w:val="0"/>
        <w:autoSpaceDN w:val="0"/>
        <w:adjustRightInd w:val="0"/>
        <w:spacing w:line="240" w:lineRule="auto"/>
        <w:ind w:left="640" w:hanging="640"/>
        <w:rPr>
          <w:rFonts w:cs="Times New Roman"/>
          <w:noProof/>
          <w:szCs w:val="24"/>
        </w:rPr>
      </w:pPr>
      <w:r w:rsidRPr="009200FF">
        <w:rPr>
          <w:rFonts w:cs="Times New Roman"/>
          <w:noProof/>
          <w:szCs w:val="24"/>
        </w:rPr>
        <w:t>2</w:t>
      </w:r>
      <w:r w:rsidRPr="009200FF">
        <w:rPr>
          <w:rFonts w:cs="Times New Roman"/>
          <w:noProof/>
          <w:szCs w:val="24"/>
        </w:rPr>
        <w:tab/>
        <w:t>Martinez-Beneito MA, Botella-Rocamora P. Diesease mapping: From Foundations to Multidimensional Modeling. CRC Press, 2019.</w:t>
      </w:r>
    </w:p>
    <w:p w14:paraId="33646794" w14:textId="2BEE1127" w:rsidR="005C4211" w:rsidRPr="001C46BC" w:rsidRDefault="009200FF" w:rsidP="00192FB3">
      <w:pPr>
        <w:widowControl w:val="0"/>
        <w:autoSpaceDE w:val="0"/>
        <w:autoSpaceDN w:val="0"/>
        <w:adjustRightInd w:val="0"/>
        <w:spacing w:line="240" w:lineRule="auto"/>
        <w:ind w:left="640" w:hanging="640"/>
        <w:rPr>
          <w:szCs w:val="24"/>
        </w:rPr>
      </w:pPr>
      <w:r w:rsidRPr="009200FF">
        <w:rPr>
          <w:rFonts w:cs="Times New Roman"/>
          <w:noProof/>
          <w:szCs w:val="24"/>
        </w:rPr>
        <w:t>3</w:t>
      </w:r>
      <w:r w:rsidRPr="009200FF">
        <w:rPr>
          <w:rFonts w:cs="Times New Roman"/>
          <w:noProof/>
          <w:szCs w:val="24"/>
        </w:rPr>
        <w:tab/>
        <w:t xml:space="preserve">Lunn DJ, Thomas A, Best N, Spiegelhalter D. WinBUGS - A Bayesian modelling framework: Concepts, structure, and extensibility. </w:t>
      </w:r>
      <w:r w:rsidRPr="009200FF">
        <w:rPr>
          <w:rFonts w:cs="Times New Roman"/>
          <w:i/>
          <w:iCs/>
          <w:noProof/>
          <w:szCs w:val="24"/>
        </w:rPr>
        <w:t>Stat Comput</w:t>
      </w:r>
      <w:r w:rsidRPr="009200FF">
        <w:rPr>
          <w:rFonts w:cs="Times New Roman"/>
          <w:noProof/>
          <w:szCs w:val="24"/>
        </w:rPr>
        <w:t xml:space="preserve"> 2000; </w:t>
      </w:r>
      <w:r w:rsidRPr="009200FF">
        <w:rPr>
          <w:rFonts w:cs="Times New Roman"/>
          <w:b/>
          <w:bCs/>
          <w:noProof/>
          <w:szCs w:val="24"/>
        </w:rPr>
        <w:t>10</w:t>
      </w:r>
      <w:r w:rsidRPr="009200FF">
        <w:rPr>
          <w:rFonts w:cs="Times New Roman"/>
          <w:noProof/>
          <w:szCs w:val="24"/>
        </w:rPr>
        <w:t>: 325–37.</w:t>
      </w:r>
      <w:r>
        <w:rPr>
          <w:szCs w:val="24"/>
        </w:rPr>
        <w:fldChar w:fldCharType="end"/>
      </w:r>
    </w:p>
    <w:sectPr w:rsidR="005C4211" w:rsidRPr="001C46BC" w:rsidSect="008504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2195" w14:textId="77777777" w:rsidR="002A76AC" w:rsidRDefault="002A76AC" w:rsidP="009B7081">
      <w:pPr>
        <w:spacing w:after="0" w:line="240" w:lineRule="auto"/>
      </w:pPr>
      <w:r>
        <w:separator/>
      </w:r>
    </w:p>
  </w:endnote>
  <w:endnote w:type="continuationSeparator" w:id="0">
    <w:p w14:paraId="3D97F31B" w14:textId="77777777" w:rsidR="002A76AC" w:rsidRDefault="002A76AC" w:rsidP="009B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70F7E" w14:textId="77777777" w:rsidR="002A76AC" w:rsidRDefault="002A76AC" w:rsidP="009B7081">
      <w:pPr>
        <w:spacing w:after="0" w:line="240" w:lineRule="auto"/>
      </w:pPr>
      <w:r>
        <w:separator/>
      </w:r>
    </w:p>
  </w:footnote>
  <w:footnote w:type="continuationSeparator" w:id="0">
    <w:p w14:paraId="71429EEE" w14:textId="77777777" w:rsidR="002A76AC" w:rsidRDefault="002A76AC" w:rsidP="009B7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DD0"/>
    <w:multiLevelType w:val="hybridMultilevel"/>
    <w:tmpl w:val="1A907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67D0C"/>
    <w:multiLevelType w:val="hybridMultilevel"/>
    <w:tmpl w:val="A6720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90BD0"/>
    <w:multiLevelType w:val="hybridMultilevel"/>
    <w:tmpl w:val="3BCA4562"/>
    <w:lvl w:ilvl="0" w:tplc="101C5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33732"/>
    <w:multiLevelType w:val="hybridMultilevel"/>
    <w:tmpl w:val="62DE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B302F"/>
    <w:multiLevelType w:val="hybridMultilevel"/>
    <w:tmpl w:val="3F005DFE"/>
    <w:lvl w:ilvl="0" w:tplc="5B369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F4091"/>
    <w:multiLevelType w:val="hybridMultilevel"/>
    <w:tmpl w:val="1EBEC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3152B"/>
    <w:multiLevelType w:val="hybridMultilevel"/>
    <w:tmpl w:val="3A7AA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D75A7"/>
    <w:multiLevelType w:val="hybridMultilevel"/>
    <w:tmpl w:val="773245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E2426B1"/>
    <w:multiLevelType w:val="hybridMultilevel"/>
    <w:tmpl w:val="3BCA4562"/>
    <w:lvl w:ilvl="0" w:tplc="101C5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6B015E"/>
    <w:multiLevelType w:val="hybridMultilevel"/>
    <w:tmpl w:val="AFD6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DB59F9"/>
    <w:multiLevelType w:val="hybridMultilevel"/>
    <w:tmpl w:val="CD9C75B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9FB5748"/>
    <w:multiLevelType w:val="hybridMultilevel"/>
    <w:tmpl w:val="65C82378"/>
    <w:lvl w:ilvl="0" w:tplc="E788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112F6"/>
    <w:multiLevelType w:val="hybridMultilevel"/>
    <w:tmpl w:val="2A3C9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E82A09"/>
    <w:multiLevelType w:val="hybridMultilevel"/>
    <w:tmpl w:val="3FA405B0"/>
    <w:lvl w:ilvl="0" w:tplc="A7EC9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0"/>
  </w:num>
  <w:num w:numId="5">
    <w:abstractNumId w:val="3"/>
  </w:num>
  <w:num w:numId="6">
    <w:abstractNumId w:val="5"/>
  </w:num>
  <w:num w:numId="7">
    <w:abstractNumId w:val="13"/>
  </w:num>
  <w:num w:numId="8">
    <w:abstractNumId w:val="11"/>
  </w:num>
  <w:num w:numId="9">
    <w:abstractNumId w:val="8"/>
  </w:num>
  <w:num w:numId="10">
    <w:abstractNumId w:val="2"/>
  </w:num>
  <w:num w:numId="11">
    <w:abstractNumId w:val="12"/>
  </w:num>
  <w:num w:numId="12">
    <w:abstractNumId w:val="6"/>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NzUyNDEwNDc1NTRU0lEKTi0uzszPAykwqwUAWKkdPywAAAA="/>
  </w:docVars>
  <w:rsids>
    <w:rsidRoot w:val="00D9769A"/>
    <w:rsid w:val="0000175A"/>
    <w:rsid w:val="000021A2"/>
    <w:rsid w:val="00003303"/>
    <w:rsid w:val="00005131"/>
    <w:rsid w:val="00011BD5"/>
    <w:rsid w:val="0001651E"/>
    <w:rsid w:val="00017A2E"/>
    <w:rsid w:val="00024A51"/>
    <w:rsid w:val="00030958"/>
    <w:rsid w:val="00033DD8"/>
    <w:rsid w:val="00035256"/>
    <w:rsid w:val="00035375"/>
    <w:rsid w:val="00036650"/>
    <w:rsid w:val="000428FD"/>
    <w:rsid w:val="00042E1B"/>
    <w:rsid w:val="00047889"/>
    <w:rsid w:val="0004791D"/>
    <w:rsid w:val="00047F9F"/>
    <w:rsid w:val="000505E2"/>
    <w:rsid w:val="00051580"/>
    <w:rsid w:val="00052334"/>
    <w:rsid w:val="00052338"/>
    <w:rsid w:val="00054F69"/>
    <w:rsid w:val="00056B94"/>
    <w:rsid w:val="0006113C"/>
    <w:rsid w:val="00064596"/>
    <w:rsid w:val="000706B5"/>
    <w:rsid w:val="00071120"/>
    <w:rsid w:val="0007125D"/>
    <w:rsid w:val="00072B19"/>
    <w:rsid w:val="00075BE5"/>
    <w:rsid w:val="00080219"/>
    <w:rsid w:val="000803B9"/>
    <w:rsid w:val="0008200D"/>
    <w:rsid w:val="00083281"/>
    <w:rsid w:val="00086D92"/>
    <w:rsid w:val="00091B38"/>
    <w:rsid w:val="00091E45"/>
    <w:rsid w:val="00093EBE"/>
    <w:rsid w:val="000979E9"/>
    <w:rsid w:val="00097B73"/>
    <w:rsid w:val="000A4E33"/>
    <w:rsid w:val="000B0E1A"/>
    <w:rsid w:val="000B2358"/>
    <w:rsid w:val="000B6663"/>
    <w:rsid w:val="000B7E6C"/>
    <w:rsid w:val="000C2DAF"/>
    <w:rsid w:val="000C37D4"/>
    <w:rsid w:val="000C40BF"/>
    <w:rsid w:val="000C5856"/>
    <w:rsid w:val="000C77A0"/>
    <w:rsid w:val="000D5557"/>
    <w:rsid w:val="000D695F"/>
    <w:rsid w:val="000D7606"/>
    <w:rsid w:val="000E5994"/>
    <w:rsid w:val="000E6D29"/>
    <w:rsid w:val="000F0C35"/>
    <w:rsid w:val="000F0CF4"/>
    <w:rsid w:val="000F18EB"/>
    <w:rsid w:val="000F1A7B"/>
    <w:rsid w:val="000F2888"/>
    <w:rsid w:val="000F2DE4"/>
    <w:rsid w:val="000F3668"/>
    <w:rsid w:val="000F5051"/>
    <w:rsid w:val="00102DE7"/>
    <w:rsid w:val="0010431C"/>
    <w:rsid w:val="001054AF"/>
    <w:rsid w:val="0011388E"/>
    <w:rsid w:val="00113A4D"/>
    <w:rsid w:val="00123387"/>
    <w:rsid w:val="00127A8B"/>
    <w:rsid w:val="0014028D"/>
    <w:rsid w:val="00143ECA"/>
    <w:rsid w:val="00150922"/>
    <w:rsid w:val="00152EDA"/>
    <w:rsid w:val="00155E8E"/>
    <w:rsid w:val="001657AE"/>
    <w:rsid w:val="001666EE"/>
    <w:rsid w:val="00171694"/>
    <w:rsid w:val="0017565B"/>
    <w:rsid w:val="001804BC"/>
    <w:rsid w:val="00187637"/>
    <w:rsid w:val="00192FB3"/>
    <w:rsid w:val="00194392"/>
    <w:rsid w:val="001951B5"/>
    <w:rsid w:val="0019536C"/>
    <w:rsid w:val="001A1FD5"/>
    <w:rsid w:val="001A3354"/>
    <w:rsid w:val="001A458C"/>
    <w:rsid w:val="001A4D7B"/>
    <w:rsid w:val="001A70D6"/>
    <w:rsid w:val="001A731C"/>
    <w:rsid w:val="001B04DC"/>
    <w:rsid w:val="001B654B"/>
    <w:rsid w:val="001C2D00"/>
    <w:rsid w:val="001C46BC"/>
    <w:rsid w:val="001C5A13"/>
    <w:rsid w:val="001D2C07"/>
    <w:rsid w:val="001D3CE4"/>
    <w:rsid w:val="001D52D3"/>
    <w:rsid w:val="001D55E2"/>
    <w:rsid w:val="001E33BC"/>
    <w:rsid w:val="001E61A7"/>
    <w:rsid w:val="001F1999"/>
    <w:rsid w:val="001F434E"/>
    <w:rsid w:val="001F461E"/>
    <w:rsid w:val="001F552C"/>
    <w:rsid w:val="001F5B3A"/>
    <w:rsid w:val="002007B5"/>
    <w:rsid w:val="00201B7A"/>
    <w:rsid w:val="002022F4"/>
    <w:rsid w:val="00205CBD"/>
    <w:rsid w:val="0020605B"/>
    <w:rsid w:val="00206432"/>
    <w:rsid w:val="00206BED"/>
    <w:rsid w:val="00207BB3"/>
    <w:rsid w:val="00214EFB"/>
    <w:rsid w:val="00214F2B"/>
    <w:rsid w:val="00220B68"/>
    <w:rsid w:val="0022483A"/>
    <w:rsid w:val="00232BC9"/>
    <w:rsid w:val="00234DB8"/>
    <w:rsid w:val="0023652B"/>
    <w:rsid w:val="00236B2A"/>
    <w:rsid w:val="00242E66"/>
    <w:rsid w:val="00243EA1"/>
    <w:rsid w:val="00245FB3"/>
    <w:rsid w:val="00252824"/>
    <w:rsid w:val="002545CA"/>
    <w:rsid w:val="0025737E"/>
    <w:rsid w:val="00260DDE"/>
    <w:rsid w:val="0026644A"/>
    <w:rsid w:val="00266C84"/>
    <w:rsid w:val="00267A1B"/>
    <w:rsid w:val="00272CB7"/>
    <w:rsid w:val="00274DAD"/>
    <w:rsid w:val="002765C9"/>
    <w:rsid w:val="00280C27"/>
    <w:rsid w:val="00281FC4"/>
    <w:rsid w:val="0028283D"/>
    <w:rsid w:val="00287B52"/>
    <w:rsid w:val="00292BDA"/>
    <w:rsid w:val="002945A8"/>
    <w:rsid w:val="002A4DF0"/>
    <w:rsid w:val="002A643D"/>
    <w:rsid w:val="002A6921"/>
    <w:rsid w:val="002A76AC"/>
    <w:rsid w:val="002A7D86"/>
    <w:rsid w:val="002B1B27"/>
    <w:rsid w:val="002B5840"/>
    <w:rsid w:val="002B6396"/>
    <w:rsid w:val="002B7021"/>
    <w:rsid w:val="002C0486"/>
    <w:rsid w:val="002C358C"/>
    <w:rsid w:val="002C4F20"/>
    <w:rsid w:val="002C7AE3"/>
    <w:rsid w:val="002D0EFC"/>
    <w:rsid w:val="002D19E5"/>
    <w:rsid w:val="002D6D8D"/>
    <w:rsid w:val="002E2A99"/>
    <w:rsid w:val="002E53D8"/>
    <w:rsid w:val="002F0215"/>
    <w:rsid w:val="002F0729"/>
    <w:rsid w:val="002F4A44"/>
    <w:rsid w:val="002F581C"/>
    <w:rsid w:val="002F7DFF"/>
    <w:rsid w:val="00303F4D"/>
    <w:rsid w:val="00304A0B"/>
    <w:rsid w:val="00304F30"/>
    <w:rsid w:val="003061AF"/>
    <w:rsid w:val="00307353"/>
    <w:rsid w:val="00311396"/>
    <w:rsid w:val="00311481"/>
    <w:rsid w:val="00311B68"/>
    <w:rsid w:val="00317392"/>
    <w:rsid w:val="00325A7E"/>
    <w:rsid w:val="00335124"/>
    <w:rsid w:val="0033613F"/>
    <w:rsid w:val="00340BCD"/>
    <w:rsid w:val="00340E09"/>
    <w:rsid w:val="00340ED7"/>
    <w:rsid w:val="00347F73"/>
    <w:rsid w:val="00356903"/>
    <w:rsid w:val="003631D7"/>
    <w:rsid w:val="003668AB"/>
    <w:rsid w:val="00366D5B"/>
    <w:rsid w:val="003733AF"/>
    <w:rsid w:val="00373708"/>
    <w:rsid w:val="00376627"/>
    <w:rsid w:val="00377A5C"/>
    <w:rsid w:val="003802B6"/>
    <w:rsid w:val="00382B3A"/>
    <w:rsid w:val="00385248"/>
    <w:rsid w:val="003859E9"/>
    <w:rsid w:val="00386295"/>
    <w:rsid w:val="003901BE"/>
    <w:rsid w:val="00390523"/>
    <w:rsid w:val="00391675"/>
    <w:rsid w:val="0039784E"/>
    <w:rsid w:val="003A134D"/>
    <w:rsid w:val="003A16C0"/>
    <w:rsid w:val="003A2323"/>
    <w:rsid w:val="003A4D14"/>
    <w:rsid w:val="003A6E1B"/>
    <w:rsid w:val="003A7B62"/>
    <w:rsid w:val="003B0968"/>
    <w:rsid w:val="003B2094"/>
    <w:rsid w:val="003B2850"/>
    <w:rsid w:val="003B2ACA"/>
    <w:rsid w:val="003B3140"/>
    <w:rsid w:val="003C077E"/>
    <w:rsid w:val="003C3737"/>
    <w:rsid w:val="003D17A2"/>
    <w:rsid w:val="003D4C84"/>
    <w:rsid w:val="003D6605"/>
    <w:rsid w:val="003E4FC7"/>
    <w:rsid w:val="003F5C0C"/>
    <w:rsid w:val="004008B4"/>
    <w:rsid w:val="00404378"/>
    <w:rsid w:val="00404A0B"/>
    <w:rsid w:val="00405167"/>
    <w:rsid w:val="00411BB0"/>
    <w:rsid w:val="004122BD"/>
    <w:rsid w:val="00421C38"/>
    <w:rsid w:val="004220FA"/>
    <w:rsid w:val="004224A6"/>
    <w:rsid w:val="00422E44"/>
    <w:rsid w:val="00424123"/>
    <w:rsid w:val="004247AD"/>
    <w:rsid w:val="004258B3"/>
    <w:rsid w:val="00426DE8"/>
    <w:rsid w:val="00432938"/>
    <w:rsid w:val="00435803"/>
    <w:rsid w:val="004410F2"/>
    <w:rsid w:val="00441155"/>
    <w:rsid w:val="00444642"/>
    <w:rsid w:val="00447D87"/>
    <w:rsid w:val="0045074C"/>
    <w:rsid w:val="0045367B"/>
    <w:rsid w:val="00454217"/>
    <w:rsid w:val="0045792A"/>
    <w:rsid w:val="00461825"/>
    <w:rsid w:val="00462CE1"/>
    <w:rsid w:val="00463163"/>
    <w:rsid w:val="004631BE"/>
    <w:rsid w:val="004638DF"/>
    <w:rsid w:val="00466491"/>
    <w:rsid w:val="00471278"/>
    <w:rsid w:val="004730B7"/>
    <w:rsid w:val="00474BC3"/>
    <w:rsid w:val="00476130"/>
    <w:rsid w:val="004832B7"/>
    <w:rsid w:val="004854A8"/>
    <w:rsid w:val="00487985"/>
    <w:rsid w:val="004907E2"/>
    <w:rsid w:val="00491D30"/>
    <w:rsid w:val="0049421A"/>
    <w:rsid w:val="004949E0"/>
    <w:rsid w:val="004973A9"/>
    <w:rsid w:val="004A1420"/>
    <w:rsid w:val="004A4005"/>
    <w:rsid w:val="004A4949"/>
    <w:rsid w:val="004A6702"/>
    <w:rsid w:val="004B0143"/>
    <w:rsid w:val="004B17A6"/>
    <w:rsid w:val="004B4CBF"/>
    <w:rsid w:val="004B53BC"/>
    <w:rsid w:val="004B6D6B"/>
    <w:rsid w:val="004B6E7B"/>
    <w:rsid w:val="004B7525"/>
    <w:rsid w:val="004B761B"/>
    <w:rsid w:val="004B7EB2"/>
    <w:rsid w:val="004C5B51"/>
    <w:rsid w:val="004D1F02"/>
    <w:rsid w:val="004D2186"/>
    <w:rsid w:val="004D2CA5"/>
    <w:rsid w:val="004D3F30"/>
    <w:rsid w:val="004D486F"/>
    <w:rsid w:val="004D6F62"/>
    <w:rsid w:val="004D7534"/>
    <w:rsid w:val="004D7F05"/>
    <w:rsid w:val="004E1ED0"/>
    <w:rsid w:val="004E1F59"/>
    <w:rsid w:val="004F0B67"/>
    <w:rsid w:val="004F2C01"/>
    <w:rsid w:val="004F41B5"/>
    <w:rsid w:val="004F49F3"/>
    <w:rsid w:val="004F50FE"/>
    <w:rsid w:val="004F5F78"/>
    <w:rsid w:val="004F6D64"/>
    <w:rsid w:val="004F6E4B"/>
    <w:rsid w:val="0050639E"/>
    <w:rsid w:val="005104DE"/>
    <w:rsid w:val="00513C3B"/>
    <w:rsid w:val="005164AF"/>
    <w:rsid w:val="00520AEC"/>
    <w:rsid w:val="00526364"/>
    <w:rsid w:val="00526E00"/>
    <w:rsid w:val="00527245"/>
    <w:rsid w:val="0053195E"/>
    <w:rsid w:val="00540498"/>
    <w:rsid w:val="00553F24"/>
    <w:rsid w:val="0055543C"/>
    <w:rsid w:val="00555673"/>
    <w:rsid w:val="00560287"/>
    <w:rsid w:val="00560527"/>
    <w:rsid w:val="00560DAB"/>
    <w:rsid w:val="00562345"/>
    <w:rsid w:val="005636AA"/>
    <w:rsid w:val="00563E6A"/>
    <w:rsid w:val="00564094"/>
    <w:rsid w:val="00564895"/>
    <w:rsid w:val="0056525F"/>
    <w:rsid w:val="00570885"/>
    <w:rsid w:val="00572EDD"/>
    <w:rsid w:val="005742A6"/>
    <w:rsid w:val="005750DC"/>
    <w:rsid w:val="00575764"/>
    <w:rsid w:val="0057632D"/>
    <w:rsid w:val="00577553"/>
    <w:rsid w:val="00577A7F"/>
    <w:rsid w:val="00586933"/>
    <w:rsid w:val="00587F40"/>
    <w:rsid w:val="0059066D"/>
    <w:rsid w:val="00591458"/>
    <w:rsid w:val="005A1275"/>
    <w:rsid w:val="005A368E"/>
    <w:rsid w:val="005B2AA7"/>
    <w:rsid w:val="005B52AC"/>
    <w:rsid w:val="005B57D9"/>
    <w:rsid w:val="005B796C"/>
    <w:rsid w:val="005C0C36"/>
    <w:rsid w:val="005C2672"/>
    <w:rsid w:val="005C4211"/>
    <w:rsid w:val="005C4FBA"/>
    <w:rsid w:val="005C6096"/>
    <w:rsid w:val="005C64B1"/>
    <w:rsid w:val="005D1D43"/>
    <w:rsid w:val="005D63B4"/>
    <w:rsid w:val="005E1732"/>
    <w:rsid w:val="005E1FD5"/>
    <w:rsid w:val="005E26B4"/>
    <w:rsid w:val="005E597A"/>
    <w:rsid w:val="005F3829"/>
    <w:rsid w:val="005F4AE5"/>
    <w:rsid w:val="005F4EFB"/>
    <w:rsid w:val="005F5E41"/>
    <w:rsid w:val="005F72E4"/>
    <w:rsid w:val="00603C71"/>
    <w:rsid w:val="006177C4"/>
    <w:rsid w:val="00617829"/>
    <w:rsid w:val="006268FD"/>
    <w:rsid w:val="0063167C"/>
    <w:rsid w:val="006411A3"/>
    <w:rsid w:val="006411ED"/>
    <w:rsid w:val="00643C9B"/>
    <w:rsid w:val="00652021"/>
    <w:rsid w:val="00667300"/>
    <w:rsid w:val="006736FA"/>
    <w:rsid w:val="0067577B"/>
    <w:rsid w:val="006777D8"/>
    <w:rsid w:val="00682021"/>
    <w:rsid w:val="0068217C"/>
    <w:rsid w:val="006A0432"/>
    <w:rsid w:val="006A084E"/>
    <w:rsid w:val="006A0915"/>
    <w:rsid w:val="006A46E3"/>
    <w:rsid w:val="006B0383"/>
    <w:rsid w:val="006B0D61"/>
    <w:rsid w:val="006B29DD"/>
    <w:rsid w:val="006B4317"/>
    <w:rsid w:val="006B61AF"/>
    <w:rsid w:val="006B7DC7"/>
    <w:rsid w:val="006C1E29"/>
    <w:rsid w:val="006C2143"/>
    <w:rsid w:val="006C22D2"/>
    <w:rsid w:val="006C79DB"/>
    <w:rsid w:val="006D1902"/>
    <w:rsid w:val="006D4B4C"/>
    <w:rsid w:val="006D6878"/>
    <w:rsid w:val="006D7947"/>
    <w:rsid w:val="006E2284"/>
    <w:rsid w:val="006F0641"/>
    <w:rsid w:val="006F1ACB"/>
    <w:rsid w:val="006F2F3E"/>
    <w:rsid w:val="006F4B8C"/>
    <w:rsid w:val="006F6D17"/>
    <w:rsid w:val="00702D4A"/>
    <w:rsid w:val="0070652F"/>
    <w:rsid w:val="0071298B"/>
    <w:rsid w:val="00713874"/>
    <w:rsid w:val="00713B26"/>
    <w:rsid w:val="007167B5"/>
    <w:rsid w:val="00717EDD"/>
    <w:rsid w:val="0072029D"/>
    <w:rsid w:val="007220E8"/>
    <w:rsid w:val="0072590F"/>
    <w:rsid w:val="0073073D"/>
    <w:rsid w:val="007311B9"/>
    <w:rsid w:val="00734E8E"/>
    <w:rsid w:val="007357C0"/>
    <w:rsid w:val="007366E8"/>
    <w:rsid w:val="0074135E"/>
    <w:rsid w:val="007452A3"/>
    <w:rsid w:val="007531FA"/>
    <w:rsid w:val="00753E54"/>
    <w:rsid w:val="007557C2"/>
    <w:rsid w:val="00756AC4"/>
    <w:rsid w:val="00760837"/>
    <w:rsid w:val="007704DC"/>
    <w:rsid w:val="0077136D"/>
    <w:rsid w:val="00772097"/>
    <w:rsid w:val="007736FF"/>
    <w:rsid w:val="007815B0"/>
    <w:rsid w:val="00781E5D"/>
    <w:rsid w:val="00782C6B"/>
    <w:rsid w:val="00782C7E"/>
    <w:rsid w:val="00786475"/>
    <w:rsid w:val="00790537"/>
    <w:rsid w:val="00790F23"/>
    <w:rsid w:val="0079111B"/>
    <w:rsid w:val="00791DEF"/>
    <w:rsid w:val="00797147"/>
    <w:rsid w:val="007A0251"/>
    <w:rsid w:val="007A4B10"/>
    <w:rsid w:val="007A67EB"/>
    <w:rsid w:val="007B0444"/>
    <w:rsid w:val="007B3CBE"/>
    <w:rsid w:val="007B4D25"/>
    <w:rsid w:val="007B5DF3"/>
    <w:rsid w:val="007C12B9"/>
    <w:rsid w:val="007C15C7"/>
    <w:rsid w:val="007C1E17"/>
    <w:rsid w:val="007D0DDF"/>
    <w:rsid w:val="007D1D2D"/>
    <w:rsid w:val="007D5F0E"/>
    <w:rsid w:val="007E3B12"/>
    <w:rsid w:val="007E4C6B"/>
    <w:rsid w:val="007E5AAD"/>
    <w:rsid w:val="007E5BB1"/>
    <w:rsid w:val="007F1F7A"/>
    <w:rsid w:val="007F3643"/>
    <w:rsid w:val="007F4691"/>
    <w:rsid w:val="00806613"/>
    <w:rsid w:val="008079BD"/>
    <w:rsid w:val="0081055D"/>
    <w:rsid w:val="00810731"/>
    <w:rsid w:val="00810A10"/>
    <w:rsid w:val="0081134C"/>
    <w:rsid w:val="00811AC1"/>
    <w:rsid w:val="008151FD"/>
    <w:rsid w:val="00816952"/>
    <w:rsid w:val="00817232"/>
    <w:rsid w:val="008209E5"/>
    <w:rsid w:val="008247DF"/>
    <w:rsid w:val="0082602F"/>
    <w:rsid w:val="00831CF9"/>
    <w:rsid w:val="00840590"/>
    <w:rsid w:val="0084059E"/>
    <w:rsid w:val="00840604"/>
    <w:rsid w:val="00840923"/>
    <w:rsid w:val="0084107A"/>
    <w:rsid w:val="008447CF"/>
    <w:rsid w:val="00846E57"/>
    <w:rsid w:val="00850422"/>
    <w:rsid w:val="00851F75"/>
    <w:rsid w:val="00852305"/>
    <w:rsid w:val="00856293"/>
    <w:rsid w:val="00857CB8"/>
    <w:rsid w:val="0086075D"/>
    <w:rsid w:val="008616EE"/>
    <w:rsid w:val="00863092"/>
    <w:rsid w:val="00863763"/>
    <w:rsid w:val="008646A1"/>
    <w:rsid w:val="00864D7A"/>
    <w:rsid w:val="00865D2C"/>
    <w:rsid w:val="008668D7"/>
    <w:rsid w:val="00870674"/>
    <w:rsid w:val="0087473A"/>
    <w:rsid w:val="008771E5"/>
    <w:rsid w:val="00890645"/>
    <w:rsid w:val="00891071"/>
    <w:rsid w:val="008910F4"/>
    <w:rsid w:val="00892058"/>
    <w:rsid w:val="00893CE7"/>
    <w:rsid w:val="008953BB"/>
    <w:rsid w:val="008A1C20"/>
    <w:rsid w:val="008A231A"/>
    <w:rsid w:val="008A40D7"/>
    <w:rsid w:val="008A4E8B"/>
    <w:rsid w:val="008A5EEB"/>
    <w:rsid w:val="008A78D9"/>
    <w:rsid w:val="008A7921"/>
    <w:rsid w:val="008A7E8D"/>
    <w:rsid w:val="008B16C1"/>
    <w:rsid w:val="008B1ACD"/>
    <w:rsid w:val="008B6927"/>
    <w:rsid w:val="008C2B89"/>
    <w:rsid w:val="008C5BD8"/>
    <w:rsid w:val="008C5E77"/>
    <w:rsid w:val="008C7307"/>
    <w:rsid w:val="008D0425"/>
    <w:rsid w:val="008D31EF"/>
    <w:rsid w:val="008D6CBD"/>
    <w:rsid w:val="008E4BAF"/>
    <w:rsid w:val="008E5A89"/>
    <w:rsid w:val="008E6BB3"/>
    <w:rsid w:val="008E7150"/>
    <w:rsid w:val="008F0B74"/>
    <w:rsid w:val="008F5BAE"/>
    <w:rsid w:val="008F793C"/>
    <w:rsid w:val="009011D9"/>
    <w:rsid w:val="00903EB8"/>
    <w:rsid w:val="0090489A"/>
    <w:rsid w:val="00905C0B"/>
    <w:rsid w:val="00906336"/>
    <w:rsid w:val="00907BB9"/>
    <w:rsid w:val="0091069E"/>
    <w:rsid w:val="00916F33"/>
    <w:rsid w:val="009176A7"/>
    <w:rsid w:val="009176FC"/>
    <w:rsid w:val="009200FF"/>
    <w:rsid w:val="009207D1"/>
    <w:rsid w:val="00927E30"/>
    <w:rsid w:val="00927F75"/>
    <w:rsid w:val="00933A4D"/>
    <w:rsid w:val="00946A1C"/>
    <w:rsid w:val="00952AA3"/>
    <w:rsid w:val="00954914"/>
    <w:rsid w:val="00961986"/>
    <w:rsid w:val="00961B54"/>
    <w:rsid w:val="009634F0"/>
    <w:rsid w:val="00967C62"/>
    <w:rsid w:val="00967D7E"/>
    <w:rsid w:val="009722F2"/>
    <w:rsid w:val="00976D14"/>
    <w:rsid w:val="009776B5"/>
    <w:rsid w:val="00977FA0"/>
    <w:rsid w:val="00977FF5"/>
    <w:rsid w:val="009837E6"/>
    <w:rsid w:val="00983EFA"/>
    <w:rsid w:val="00985A33"/>
    <w:rsid w:val="00987A39"/>
    <w:rsid w:val="0099079B"/>
    <w:rsid w:val="009939FB"/>
    <w:rsid w:val="009945AE"/>
    <w:rsid w:val="009A3970"/>
    <w:rsid w:val="009A53CC"/>
    <w:rsid w:val="009B0C0C"/>
    <w:rsid w:val="009B0C57"/>
    <w:rsid w:val="009B1EB7"/>
    <w:rsid w:val="009B7081"/>
    <w:rsid w:val="009C335A"/>
    <w:rsid w:val="009C5C6F"/>
    <w:rsid w:val="009C5ECB"/>
    <w:rsid w:val="009C70E6"/>
    <w:rsid w:val="009D41E8"/>
    <w:rsid w:val="009D4466"/>
    <w:rsid w:val="009D51AD"/>
    <w:rsid w:val="009D68F7"/>
    <w:rsid w:val="009D727B"/>
    <w:rsid w:val="009E0108"/>
    <w:rsid w:val="009E01A9"/>
    <w:rsid w:val="009E07C2"/>
    <w:rsid w:val="009E3A28"/>
    <w:rsid w:val="009E3AB4"/>
    <w:rsid w:val="009E3F80"/>
    <w:rsid w:val="009E6B45"/>
    <w:rsid w:val="009F007A"/>
    <w:rsid w:val="00A00827"/>
    <w:rsid w:val="00A00CB0"/>
    <w:rsid w:val="00A0215F"/>
    <w:rsid w:val="00A0487B"/>
    <w:rsid w:val="00A05A96"/>
    <w:rsid w:val="00A1426D"/>
    <w:rsid w:val="00A14A56"/>
    <w:rsid w:val="00A2025F"/>
    <w:rsid w:val="00A22E09"/>
    <w:rsid w:val="00A23B84"/>
    <w:rsid w:val="00A308E6"/>
    <w:rsid w:val="00A31057"/>
    <w:rsid w:val="00A321DE"/>
    <w:rsid w:val="00A33352"/>
    <w:rsid w:val="00A33B8A"/>
    <w:rsid w:val="00A35F47"/>
    <w:rsid w:val="00A36937"/>
    <w:rsid w:val="00A44D77"/>
    <w:rsid w:val="00A4566A"/>
    <w:rsid w:val="00A4649E"/>
    <w:rsid w:val="00A478F6"/>
    <w:rsid w:val="00A51ED6"/>
    <w:rsid w:val="00A55114"/>
    <w:rsid w:val="00A56587"/>
    <w:rsid w:val="00A5694B"/>
    <w:rsid w:val="00A56B4C"/>
    <w:rsid w:val="00A57AE0"/>
    <w:rsid w:val="00A63731"/>
    <w:rsid w:val="00A640D0"/>
    <w:rsid w:val="00A655B8"/>
    <w:rsid w:val="00A6739A"/>
    <w:rsid w:val="00A675AE"/>
    <w:rsid w:val="00A6784E"/>
    <w:rsid w:val="00A71043"/>
    <w:rsid w:val="00A7320B"/>
    <w:rsid w:val="00A7643C"/>
    <w:rsid w:val="00A80DB6"/>
    <w:rsid w:val="00A8195F"/>
    <w:rsid w:val="00A84BF2"/>
    <w:rsid w:val="00A864BC"/>
    <w:rsid w:val="00A87166"/>
    <w:rsid w:val="00A9022E"/>
    <w:rsid w:val="00A91753"/>
    <w:rsid w:val="00A9330C"/>
    <w:rsid w:val="00A97B8C"/>
    <w:rsid w:val="00AA0241"/>
    <w:rsid w:val="00AA2920"/>
    <w:rsid w:val="00AB0362"/>
    <w:rsid w:val="00AB2393"/>
    <w:rsid w:val="00AC088D"/>
    <w:rsid w:val="00AC0D1D"/>
    <w:rsid w:val="00AC1F55"/>
    <w:rsid w:val="00AC569F"/>
    <w:rsid w:val="00AC63BA"/>
    <w:rsid w:val="00AD1DAF"/>
    <w:rsid w:val="00AD2B18"/>
    <w:rsid w:val="00AE16CA"/>
    <w:rsid w:val="00AE1CBE"/>
    <w:rsid w:val="00AE2875"/>
    <w:rsid w:val="00AE3CB2"/>
    <w:rsid w:val="00AE4B5B"/>
    <w:rsid w:val="00AF1F27"/>
    <w:rsid w:val="00AF7845"/>
    <w:rsid w:val="00B00D61"/>
    <w:rsid w:val="00B00FF0"/>
    <w:rsid w:val="00B01F00"/>
    <w:rsid w:val="00B02FA7"/>
    <w:rsid w:val="00B04C27"/>
    <w:rsid w:val="00B053E7"/>
    <w:rsid w:val="00B103C2"/>
    <w:rsid w:val="00B11900"/>
    <w:rsid w:val="00B13C41"/>
    <w:rsid w:val="00B16C88"/>
    <w:rsid w:val="00B16D1A"/>
    <w:rsid w:val="00B20770"/>
    <w:rsid w:val="00B21C0A"/>
    <w:rsid w:val="00B27669"/>
    <w:rsid w:val="00B30636"/>
    <w:rsid w:val="00B30FE3"/>
    <w:rsid w:val="00B31EAD"/>
    <w:rsid w:val="00B336F3"/>
    <w:rsid w:val="00B413F7"/>
    <w:rsid w:val="00B43C08"/>
    <w:rsid w:val="00B44D52"/>
    <w:rsid w:val="00B465F5"/>
    <w:rsid w:val="00B5285F"/>
    <w:rsid w:val="00B52DF3"/>
    <w:rsid w:val="00B53A59"/>
    <w:rsid w:val="00B551CF"/>
    <w:rsid w:val="00B560ED"/>
    <w:rsid w:val="00B603F7"/>
    <w:rsid w:val="00B60B91"/>
    <w:rsid w:val="00B658C8"/>
    <w:rsid w:val="00B65E2F"/>
    <w:rsid w:val="00B70C8B"/>
    <w:rsid w:val="00B74269"/>
    <w:rsid w:val="00B77CAB"/>
    <w:rsid w:val="00B82E98"/>
    <w:rsid w:val="00B87195"/>
    <w:rsid w:val="00B9015B"/>
    <w:rsid w:val="00B90187"/>
    <w:rsid w:val="00B907E3"/>
    <w:rsid w:val="00B91C2B"/>
    <w:rsid w:val="00B92655"/>
    <w:rsid w:val="00B94BC5"/>
    <w:rsid w:val="00B94DCD"/>
    <w:rsid w:val="00B96B59"/>
    <w:rsid w:val="00BA20A6"/>
    <w:rsid w:val="00BA37C1"/>
    <w:rsid w:val="00BA3D4A"/>
    <w:rsid w:val="00BB0E32"/>
    <w:rsid w:val="00BB34D0"/>
    <w:rsid w:val="00BC0539"/>
    <w:rsid w:val="00BC1BF6"/>
    <w:rsid w:val="00BC3E2A"/>
    <w:rsid w:val="00BC44B2"/>
    <w:rsid w:val="00BC4D6F"/>
    <w:rsid w:val="00BC5317"/>
    <w:rsid w:val="00BC6AEA"/>
    <w:rsid w:val="00BD24F3"/>
    <w:rsid w:val="00BD388B"/>
    <w:rsid w:val="00BD4F48"/>
    <w:rsid w:val="00BD5B84"/>
    <w:rsid w:val="00BD6657"/>
    <w:rsid w:val="00BE3222"/>
    <w:rsid w:val="00BE327E"/>
    <w:rsid w:val="00BE713C"/>
    <w:rsid w:val="00BE7F76"/>
    <w:rsid w:val="00BF0421"/>
    <w:rsid w:val="00BF7897"/>
    <w:rsid w:val="00C0065C"/>
    <w:rsid w:val="00C00896"/>
    <w:rsid w:val="00C00DDA"/>
    <w:rsid w:val="00C04647"/>
    <w:rsid w:val="00C10393"/>
    <w:rsid w:val="00C1080A"/>
    <w:rsid w:val="00C10F7F"/>
    <w:rsid w:val="00C1230D"/>
    <w:rsid w:val="00C14BAE"/>
    <w:rsid w:val="00C155CB"/>
    <w:rsid w:val="00C216F4"/>
    <w:rsid w:val="00C220A9"/>
    <w:rsid w:val="00C23ECF"/>
    <w:rsid w:val="00C27EF7"/>
    <w:rsid w:val="00C27FBA"/>
    <w:rsid w:val="00C30D8D"/>
    <w:rsid w:val="00C31B37"/>
    <w:rsid w:val="00C33C0E"/>
    <w:rsid w:val="00C416E3"/>
    <w:rsid w:val="00C442B5"/>
    <w:rsid w:val="00C45196"/>
    <w:rsid w:val="00C5159D"/>
    <w:rsid w:val="00C525C3"/>
    <w:rsid w:val="00C60782"/>
    <w:rsid w:val="00C614D4"/>
    <w:rsid w:val="00C61CB0"/>
    <w:rsid w:val="00C620E5"/>
    <w:rsid w:val="00C629A2"/>
    <w:rsid w:val="00C654C4"/>
    <w:rsid w:val="00C66ED7"/>
    <w:rsid w:val="00C671BB"/>
    <w:rsid w:val="00C67972"/>
    <w:rsid w:val="00C745E2"/>
    <w:rsid w:val="00C75260"/>
    <w:rsid w:val="00C8140D"/>
    <w:rsid w:val="00C81EB1"/>
    <w:rsid w:val="00C86947"/>
    <w:rsid w:val="00C90D39"/>
    <w:rsid w:val="00C946DF"/>
    <w:rsid w:val="00C95A1E"/>
    <w:rsid w:val="00CA1BFF"/>
    <w:rsid w:val="00CA3F77"/>
    <w:rsid w:val="00CA4018"/>
    <w:rsid w:val="00CA4FE8"/>
    <w:rsid w:val="00CA58B9"/>
    <w:rsid w:val="00CB1596"/>
    <w:rsid w:val="00CB596D"/>
    <w:rsid w:val="00CC460F"/>
    <w:rsid w:val="00CC4757"/>
    <w:rsid w:val="00CC5E27"/>
    <w:rsid w:val="00CC6EF0"/>
    <w:rsid w:val="00CC721F"/>
    <w:rsid w:val="00CD1CD6"/>
    <w:rsid w:val="00CD28AB"/>
    <w:rsid w:val="00CD47DF"/>
    <w:rsid w:val="00CD7776"/>
    <w:rsid w:val="00CE0FFF"/>
    <w:rsid w:val="00CF110C"/>
    <w:rsid w:val="00CF145C"/>
    <w:rsid w:val="00CF17B2"/>
    <w:rsid w:val="00CF78A0"/>
    <w:rsid w:val="00D0252F"/>
    <w:rsid w:val="00D031FE"/>
    <w:rsid w:val="00D04540"/>
    <w:rsid w:val="00D04D3D"/>
    <w:rsid w:val="00D05489"/>
    <w:rsid w:val="00D1440A"/>
    <w:rsid w:val="00D17EC6"/>
    <w:rsid w:val="00D210E5"/>
    <w:rsid w:val="00D238D2"/>
    <w:rsid w:val="00D252BF"/>
    <w:rsid w:val="00D3397B"/>
    <w:rsid w:val="00D33D62"/>
    <w:rsid w:val="00D370AF"/>
    <w:rsid w:val="00D408B0"/>
    <w:rsid w:val="00D44344"/>
    <w:rsid w:val="00D44DCE"/>
    <w:rsid w:val="00D472A4"/>
    <w:rsid w:val="00D505C0"/>
    <w:rsid w:val="00D600C2"/>
    <w:rsid w:val="00D61C9A"/>
    <w:rsid w:val="00D66197"/>
    <w:rsid w:val="00D700C7"/>
    <w:rsid w:val="00D73CC2"/>
    <w:rsid w:val="00D75251"/>
    <w:rsid w:val="00D76E32"/>
    <w:rsid w:val="00D82431"/>
    <w:rsid w:val="00D86070"/>
    <w:rsid w:val="00D8653D"/>
    <w:rsid w:val="00D902E0"/>
    <w:rsid w:val="00D91CEA"/>
    <w:rsid w:val="00D92893"/>
    <w:rsid w:val="00D93C31"/>
    <w:rsid w:val="00D94527"/>
    <w:rsid w:val="00D95B29"/>
    <w:rsid w:val="00D9769A"/>
    <w:rsid w:val="00DA6C1B"/>
    <w:rsid w:val="00DA79C5"/>
    <w:rsid w:val="00DB3B3B"/>
    <w:rsid w:val="00DC1DC5"/>
    <w:rsid w:val="00DC3FC8"/>
    <w:rsid w:val="00DC4BAD"/>
    <w:rsid w:val="00DC6083"/>
    <w:rsid w:val="00DC7371"/>
    <w:rsid w:val="00DC77AD"/>
    <w:rsid w:val="00DD1EBB"/>
    <w:rsid w:val="00DD7628"/>
    <w:rsid w:val="00DD7EA3"/>
    <w:rsid w:val="00DE45BC"/>
    <w:rsid w:val="00DE50B3"/>
    <w:rsid w:val="00DE6A70"/>
    <w:rsid w:val="00DE70EE"/>
    <w:rsid w:val="00DF0829"/>
    <w:rsid w:val="00DF14E9"/>
    <w:rsid w:val="00DF56DF"/>
    <w:rsid w:val="00DF6480"/>
    <w:rsid w:val="00E0203B"/>
    <w:rsid w:val="00E03121"/>
    <w:rsid w:val="00E115AB"/>
    <w:rsid w:val="00E164D8"/>
    <w:rsid w:val="00E20A09"/>
    <w:rsid w:val="00E21C1F"/>
    <w:rsid w:val="00E231EA"/>
    <w:rsid w:val="00E23B3D"/>
    <w:rsid w:val="00E325C4"/>
    <w:rsid w:val="00E440B0"/>
    <w:rsid w:val="00E45413"/>
    <w:rsid w:val="00E51E89"/>
    <w:rsid w:val="00E56381"/>
    <w:rsid w:val="00E5735D"/>
    <w:rsid w:val="00E672A5"/>
    <w:rsid w:val="00E717E9"/>
    <w:rsid w:val="00E748C5"/>
    <w:rsid w:val="00E75E28"/>
    <w:rsid w:val="00E801FE"/>
    <w:rsid w:val="00E81BA6"/>
    <w:rsid w:val="00E82715"/>
    <w:rsid w:val="00E848B0"/>
    <w:rsid w:val="00E84D85"/>
    <w:rsid w:val="00E907CF"/>
    <w:rsid w:val="00E91FEE"/>
    <w:rsid w:val="00E95A97"/>
    <w:rsid w:val="00EA0342"/>
    <w:rsid w:val="00EA08AF"/>
    <w:rsid w:val="00EA51B8"/>
    <w:rsid w:val="00EA59DE"/>
    <w:rsid w:val="00EB07EE"/>
    <w:rsid w:val="00EB1CE4"/>
    <w:rsid w:val="00EB5E7B"/>
    <w:rsid w:val="00EC0861"/>
    <w:rsid w:val="00EC154F"/>
    <w:rsid w:val="00EC36A6"/>
    <w:rsid w:val="00ED1A5A"/>
    <w:rsid w:val="00ED29DF"/>
    <w:rsid w:val="00ED2FFE"/>
    <w:rsid w:val="00EF0141"/>
    <w:rsid w:val="00EF627D"/>
    <w:rsid w:val="00EF6947"/>
    <w:rsid w:val="00EF7A2F"/>
    <w:rsid w:val="00F00436"/>
    <w:rsid w:val="00F03906"/>
    <w:rsid w:val="00F05098"/>
    <w:rsid w:val="00F0662E"/>
    <w:rsid w:val="00F07134"/>
    <w:rsid w:val="00F07D01"/>
    <w:rsid w:val="00F11282"/>
    <w:rsid w:val="00F12430"/>
    <w:rsid w:val="00F124A9"/>
    <w:rsid w:val="00F13D4F"/>
    <w:rsid w:val="00F16441"/>
    <w:rsid w:val="00F17AA4"/>
    <w:rsid w:val="00F22CB7"/>
    <w:rsid w:val="00F23023"/>
    <w:rsid w:val="00F303A9"/>
    <w:rsid w:val="00F31D81"/>
    <w:rsid w:val="00F33055"/>
    <w:rsid w:val="00F337F8"/>
    <w:rsid w:val="00F41621"/>
    <w:rsid w:val="00F4485B"/>
    <w:rsid w:val="00F47814"/>
    <w:rsid w:val="00F52144"/>
    <w:rsid w:val="00F53C8E"/>
    <w:rsid w:val="00F63315"/>
    <w:rsid w:val="00F63A56"/>
    <w:rsid w:val="00F713F8"/>
    <w:rsid w:val="00F72F07"/>
    <w:rsid w:val="00F74A54"/>
    <w:rsid w:val="00F83B1D"/>
    <w:rsid w:val="00F85FEE"/>
    <w:rsid w:val="00F87434"/>
    <w:rsid w:val="00F9398C"/>
    <w:rsid w:val="00F94DC7"/>
    <w:rsid w:val="00F94F2A"/>
    <w:rsid w:val="00F96B4C"/>
    <w:rsid w:val="00F97939"/>
    <w:rsid w:val="00FA193E"/>
    <w:rsid w:val="00FA45D4"/>
    <w:rsid w:val="00FA6F38"/>
    <w:rsid w:val="00FA7838"/>
    <w:rsid w:val="00FB1814"/>
    <w:rsid w:val="00FB191B"/>
    <w:rsid w:val="00FB2B40"/>
    <w:rsid w:val="00FC0B6F"/>
    <w:rsid w:val="00FC0C25"/>
    <w:rsid w:val="00FC3FB1"/>
    <w:rsid w:val="00FC7F33"/>
    <w:rsid w:val="00FD15D1"/>
    <w:rsid w:val="00FD32C7"/>
    <w:rsid w:val="00FD66A1"/>
    <w:rsid w:val="00FE095C"/>
    <w:rsid w:val="00FE318E"/>
    <w:rsid w:val="00FE3A4B"/>
    <w:rsid w:val="00FE69F5"/>
    <w:rsid w:val="00FF3EC2"/>
    <w:rsid w:val="00FF5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1035F"/>
  <w15:chartTrackingRefBased/>
  <w15:docId w15:val="{6BA4A121-0F92-4017-A889-7BF0AC6E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C2"/>
    <w:pPr>
      <w:jc w:val="both"/>
    </w:pPr>
    <w:rPr>
      <w:rFonts w:ascii="Times New Roman" w:hAnsi="Times New Roman"/>
      <w:sz w:val="24"/>
    </w:rPr>
  </w:style>
  <w:style w:type="paragraph" w:styleId="Heading1">
    <w:name w:val="heading 1"/>
    <w:basedOn w:val="Normal"/>
    <w:next w:val="Normal"/>
    <w:link w:val="Heading1Char"/>
    <w:uiPriority w:val="9"/>
    <w:qFormat/>
    <w:rsid w:val="00E45413"/>
    <w:pPr>
      <w:keepNext/>
      <w:keepLines/>
      <w:spacing w:before="240" w:after="120"/>
      <w:jc w:val="left"/>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E53D8"/>
    <w:pPr>
      <w:keepNext/>
      <w:keepLines/>
      <w:spacing w:before="40" w:after="12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303F4D"/>
    <w:pPr>
      <w:keepNext/>
      <w:keepLines/>
      <w:spacing w:before="40" w:after="0"/>
      <w:outlineLvl w:val="2"/>
    </w:pPr>
    <w:rPr>
      <w:rFonts w:eastAsiaTheme="majorEastAsia" w:cstheme="majorBidi"/>
      <w:b/>
      <w:i/>
      <w:color w:val="000000" w:themeColor="text1"/>
      <w:szCs w:val="24"/>
    </w:rPr>
  </w:style>
  <w:style w:type="paragraph" w:styleId="Heading4">
    <w:name w:val="heading 4"/>
    <w:basedOn w:val="Normal"/>
    <w:next w:val="Normal"/>
    <w:link w:val="Heading4Char"/>
    <w:uiPriority w:val="9"/>
    <w:unhideWhenUsed/>
    <w:qFormat/>
    <w:rsid w:val="00E4541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413"/>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2E53D8"/>
    <w:rPr>
      <w:rFonts w:ascii="Times New Roman" w:eastAsiaTheme="majorEastAsia" w:hAnsi="Times New Roman" w:cstheme="majorBidi"/>
      <w:b/>
      <w:color w:val="000000" w:themeColor="text1"/>
      <w:sz w:val="26"/>
      <w:szCs w:val="26"/>
    </w:rPr>
  </w:style>
  <w:style w:type="character" w:customStyle="1" w:styleId="Heading3Char">
    <w:name w:val="Heading 3 Char"/>
    <w:basedOn w:val="DefaultParagraphFont"/>
    <w:link w:val="Heading3"/>
    <w:uiPriority w:val="9"/>
    <w:rsid w:val="00303F4D"/>
    <w:rPr>
      <w:rFonts w:ascii="Times New Roman" w:eastAsiaTheme="majorEastAsia" w:hAnsi="Times New Roman" w:cstheme="majorBidi"/>
      <w:b/>
      <w:i/>
      <w:color w:val="000000" w:themeColor="text1"/>
      <w:sz w:val="24"/>
      <w:szCs w:val="24"/>
    </w:rPr>
  </w:style>
  <w:style w:type="character" w:customStyle="1" w:styleId="Heading4Char">
    <w:name w:val="Heading 4 Char"/>
    <w:basedOn w:val="DefaultParagraphFont"/>
    <w:link w:val="Heading4"/>
    <w:uiPriority w:val="9"/>
    <w:rsid w:val="00E45413"/>
    <w:rPr>
      <w:rFonts w:asciiTheme="majorHAnsi" w:eastAsiaTheme="majorEastAsia" w:hAnsiTheme="majorHAnsi" w:cstheme="majorBidi"/>
      <w:i/>
      <w:iCs/>
      <w:color w:val="2E74B5" w:themeColor="accent1" w:themeShade="BF"/>
      <w:sz w:val="24"/>
    </w:rPr>
  </w:style>
  <w:style w:type="table" w:styleId="TableGrid">
    <w:name w:val="Table Grid"/>
    <w:basedOn w:val="TableNormal"/>
    <w:uiPriority w:val="39"/>
    <w:rsid w:val="00AC0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3D8"/>
    <w:pPr>
      <w:ind w:left="720"/>
      <w:contextualSpacing/>
    </w:pPr>
  </w:style>
  <w:style w:type="paragraph" w:styleId="FootnoteText">
    <w:name w:val="footnote text"/>
    <w:basedOn w:val="Normal"/>
    <w:link w:val="FootnoteTextChar"/>
    <w:uiPriority w:val="99"/>
    <w:semiHidden/>
    <w:unhideWhenUsed/>
    <w:rsid w:val="009B70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7081"/>
    <w:rPr>
      <w:rFonts w:ascii="Times New Roman" w:hAnsi="Times New Roman"/>
      <w:sz w:val="20"/>
      <w:szCs w:val="20"/>
    </w:rPr>
  </w:style>
  <w:style w:type="character" w:styleId="FootnoteReference">
    <w:name w:val="footnote reference"/>
    <w:basedOn w:val="DefaultParagraphFont"/>
    <w:uiPriority w:val="99"/>
    <w:semiHidden/>
    <w:unhideWhenUsed/>
    <w:rsid w:val="009B7081"/>
    <w:rPr>
      <w:vertAlign w:val="superscript"/>
    </w:rPr>
  </w:style>
  <w:style w:type="character" w:styleId="CommentReference">
    <w:name w:val="annotation reference"/>
    <w:basedOn w:val="DefaultParagraphFont"/>
    <w:uiPriority w:val="99"/>
    <w:semiHidden/>
    <w:unhideWhenUsed/>
    <w:rsid w:val="00B603F7"/>
    <w:rPr>
      <w:sz w:val="16"/>
      <w:szCs w:val="16"/>
    </w:rPr>
  </w:style>
  <w:style w:type="paragraph" w:styleId="CommentText">
    <w:name w:val="annotation text"/>
    <w:basedOn w:val="Normal"/>
    <w:link w:val="CommentTextChar"/>
    <w:uiPriority w:val="99"/>
    <w:semiHidden/>
    <w:unhideWhenUsed/>
    <w:rsid w:val="00B603F7"/>
    <w:pPr>
      <w:spacing w:line="240" w:lineRule="auto"/>
    </w:pPr>
    <w:rPr>
      <w:sz w:val="20"/>
      <w:szCs w:val="20"/>
    </w:rPr>
  </w:style>
  <w:style w:type="character" w:customStyle="1" w:styleId="CommentTextChar">
    <w:name w:val="Comment Text Char"/>
    <w:basedOn w:val="DefaultParagraphFont"/>
    <w:link w:val="CommentText"/>
    <w:uiPriority w:val="99"/>
    <w:semiHidden/>
    <w:rsid w:val="00B603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03F7"/>
    <w:rPr>
      <w:b/>
      <w:bCs/>
    </w:rPr>
  </w:style>
  <w:style w:type="character" w:customStyle="1" w:styleId="CommentSubjectChar">
    <w:name w:val="Comment Subject Char"/>
    <w:basedOn w:val="CommentTextChar"/>
    <w:link w:val="CommentSubject"/>
    <w:uiPriority w:val="99"/>
    <w:semiHidden/>
    <w:rsid w:val="00B603F7"/>
    <w:rPr>
      <w:rFonts w:ascii="Times New Roman" w:hAnsi="Times New Roman"/>
      <w:b/>
      <w:bCs/>
      <w:sz w:val="20"/>
      <w:szCs w:val="20"/>
    </w:rPr>
  </w:style>
  <w:style w:type="paragraph" w:styleId="BalloonText">
    <w:name w:val="Balloon Text"/>
    <w:basedOn w:val="Normal"/>
    <w:link w:val="BalloonTextChar"/>
    <w:uiPriority w:val="99"/>
    <w:semiHidden/>
    <w:unhideWhenUsed/>
    <w:rsid w:val="00B60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3F7"/>
    <w:rPr>
      <w:rFonts w:ascii="Segoe UI" w:hAnsi="Segoe UI" w:cs="Segoe UI"/>
      <w:sz w:val="18"/>
      <w:szCs w:val="18"/>
    </w:rPr>
  </w:style>
  <w:style w:type="paragraph" w:styleId="Header">
    <w:name w:val="header"/>
    <w:basedOn w:val="Normal"/>
    <w:link w:val="HeaderChar"/>
    <w:uiPriority w:val="99"/>
    <w:unhideWhenUsed/>
    <w:rsid w:val="00F07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134"/>
    <w:rPr>
      <w:rFonts w:ascii="Times New Roman" w:hAnsi="Times New Roman"/>
      <w:sz w:val="24"/>
    </w:rPr>
  </w:style>
  <w:style w:type="paragraph" w:styleId="Footer">
    <w:name w:val="footer"/>
    <w:basedOn w:val="Normal"/>
    <w:link w:val="FooterChar"/>
    <w:uiPriority w:val="99"/>
    <w:unhideWhenUsed/>
    <w:rsid w:val="00F07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13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8930">
      <w:bodyDiv w:val="1"/>
      <w:marLeft w:val="0"/>
      <w:marRight w:val="0"/>
      <w:marTop w:val="0"/>
      <w:marBottom w:val="0"/>
      <w:divBdr>
        <w:top w:val="none" w:sz="0" w:space="0" w:color="auto"/>
        <w:left w:val="none" w:sz="0" w:space="0" w:color="auto"/>
        <w:bottom w:val="none" w:sz="0" w:space="0" w:color="auto"/>
        <w:right w:val="none" w:sz="0" w:space="0" w:color="auto"/>
      </w:divBdr>
    </w:div>
    <w:div w:id="1542933746">
      <w:bodyDiv w:val="1"/>
      <w:marLeft w:val="0"/>
      <w:marRight w:val="0"/>
      <w:marTop w:val="0"/>
      <w:marBottom w:val="0"/>
      <w:divBdr>
        <w:top w:val="none" w:sz="0" w:space="0" w:color="auto"/>
        <w:left w:val="none" w:sz="0" w:space="0" w:color="auto"/>
        <w:bottom w:val="none" w:sz="0" w:space="0" w:color="auto"/>
        <w:right w:val="none" w:sz="0" w:space="0" w:color="auto"/>
      </w:divBdr>
    </w:div>
    <w:div w:id="1598445668">
      <w:bodyDiv w:val="1"/>
      <w:marLeft w:val="0"/>
      <w:marRight w:val="0"/>
      <w:marTop w:val="0"/>
      <w:marBottom w:val="0"/>
      <w:divBdr>
        <w:top w:val="none" w:sz="0" w:space="0" w:color="auto"/>
        <w:left w:val="none" w:sz="0" w:space="0" w:color="auto"/>
        <w:bottom w:val="none" w:sz="0" w:space="0" w:color="auto"/>
        <w:right w:val="none" w:sz="0" w:space="0" w:color="auto"/>
      </w:divBdr>
    </w:div>
    <w:div w:id="1739014228">
      <w:bodyDiv w:val="1"/>
      <w:marLeft w:val="0"/>
      <w:marRight w:val="0"/>
      <w:marTop w:val="0"/>
      <w:marBottom w:val="0"/>
      <w:divBdr>
        <w:top w:val="none" w:sz="0" w:space="0" w:color="auto"/>
        <w:left w:val="none" w:sz="0" w:space="0" w:color="auto"/>
        <w:bottom w:val="none" w:sz="0" w:space="0" w:color="auto"/>
        <w:right w:val="none" w:sz="0" w:space="0" w:color="auto"/>
      </w:divBdr>
    </w:div>
    <w:div w:id="208256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3.xml"/><Relationship Id="rId21" Type="http://schemas.openxmlformats.org/officeDocument/2006/relationships/image" Target="media/image7.w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12856C4-7D9B-2E4B-8034-00CA6A503E86}">
  <we:reference id="f78a3046-9e99-4300-aa2b-5814002b01a2" version="1.7.0.0" store="EXCatalog" storeType="EXCatalog"/>
  <we:alternateReferences>
    <we:reference id="WA104382081" version="1.7.0.0" store="en-US"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F4EF6348D06C4ABE18D6E221296228" ma:contentTypeVersion="9" ma:contentTypeDescription="Create a new document." ma:contentTypeScope="" ma:versionID="8b84b7b94ac9ffb515429bb1db728557">
  <xsd:schema xmlns:xsd="http://www.w3.org/2001/XMLSchema" xmlns:xs="http://www.w3.org/2001/XMLSchema" xmlns:p="http://schemas.microsoft.com/office/2006/metadata/properties" xmlns:ns3="6b165e34-c7f5-4eda-978a-55bf53caa4b9" targetNamespace="http://schemas.microsoft.com/office/2006/metadata/properties" ma:root="true" ma:fieldsID="4f91c78664fcb4e64741dd6dfa90b77c" ns3:_="">
    <xsd:import namespace="6b165e34-c7f5-4eda-978a-55bf53caa4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65e34-c7f5-4eda-978a-55bf53caa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645A0-F06C-4C0E-B819-9AC8CEB8A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65e34-c7f5-4eda-978a-55bf53caa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F8919-8908-4981-B2E8-2DAE0238DBC2}">
  <ds:schemaRefs>
    <ds:schemaRef ds:uri="http://schemas.microsoft.com/sharepoint/v3/contenttype/forms"/>
  </ds:schemaRefs>
</ds:datastoreItem>
</file>

<file path=customXml/itemProps3.xml><?xml version="1.0" encoding="utf-8"?>
<ds:datastoreItem xmlns:ds="http://schemas.openxmlformats.org/officeDocument/2006/customXml" ds:itemID="{92C86CD9-5AE5-4439-8C9E-37B1E6A0D2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16FBCF-80CC-463D-BE0D-B97BF3FC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Luan</dc:creator>
  <cp:keywords/>
  <dc:description/>
  <cp:lastModifiedBy>Ransome, Yusuf</cp:lastModifiedBy>
  <cp:revision>2</cp:revision>
  <dcterms:created xsi:type="dcterms:W3CDTF">2021-06-10T15:43:00Z</dcterms:created>
  <dcterms:modified xsi:type="dcterms:W3CDTF">2021-06-10T15:43:00Z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0x010100A6F4EF6348D06C4ABE18D6E221296228</vt:lpwstr>
  </property>
  <property fmtid="{D5CDD505-2E9C-101B-9397-08002B2CF9AE}" pid="3" name="MTWinEqns">
    <vt:bool>true</vt:bool>
  </property>
  <property fmtid="{D5CDD505-2E9C-101B-9397-08002B2CF9AE}" pid="4" name="Mendeley Document_1">
    <vt:lpwstr>True</vt:lpwstr>
  </property>
  <property fmtid="{D5CDD505-2E9C-101B-9397-08002B2CF9AE}" pid="5" name="Mendeley Unique User Id_1">
    <vt:lpwstr>e666b573-3b02-38ca-9f3a-c135ac7eadae</vt:lpwstr>
  </property>
  <property fmtid="{D5CDD505-2E9C-101B-9397-08002B2CF9AE}" pid="6" name="Mendeley Citation Style_1">
    <vt:lpwstr>http://www.zotero.org/styles/the-lancet-infectious-diseases</vt:lpwstr>
  </property>
  <property fmtid="{D5CDD505-2E9C-101B-9397-08002B2CF9AE}" pid="7" name="Mendeley Recent Style Id 0_1">
    <vt:lpwstr>http://www.zotero.org/styles/apa</vt:lpwstr>
  </property>
  <property fmtid="{D5CDD505-2E9C-101B-9397-08002B2CF9AE}" pid="8" name="Mendeley Recent Style Name 0_1">
    <vt:lpwstr>American Psychological Association 6th edition</vt:lpwstr>
  </property>
  <property fmtid="{D5CDD505-2E9C-101B-9397-08002B2CF9AE}" pid="9" name="Mendeley Recent Style Id 1_1">
    <vt:lpwstr>http://www.zotero.org/styles/harvard-cite-them-right</vt:lpwstr>
  </property>
  <property fmtid="{D5CDD505-2E9C-101B-9397-08002B2CF9AE}" pid="10" name="Mendeley Recent Style Name 1_1">
    <vt:lpwstr>Cite Them Right 10th edition - Harvard</vt:lpwstr>
  </property>
  <property fmtid="{D5CDD505-2E9C-101B-9397-08002B2CF9AE}" pid="11" name="Mendeley Recent Style Id 2_1">
    <vt:lpwstr>http://www.zotero.org/styles/computers-environment-and-urban-systems</vt:lpwstr>
  </property>
  <property fmtid="{D5CDD505-2E9C-101B-9397-08002B2CF9AE}" pid="12" name="Mendeley Recent Style Name 2_1">
    <vt:lpwstr>Computers, Environment and Urban Systems</vt:lpwstr>
  </property>
  <property fmtid="{D5CDD505-2E9C-101B-9397-08002B2CF9AE}" pid="13" name="Mendeley Recent Style Id 3_1">
    <vt:lpwstr>http://www.zotero.org/styles/health-and-place</vt:lpwstr>
  </property>
  <property fmtid="{D5CDD505-2E9C-101B-9397-08002B2CF9AE}" pid="14" name="Mendeley Recent Style Name 3_1">
    <vt:lpwstr>Health and Place</vt:lpwstr>
  </property>
  <property fmtid="{D5CDD505-2E9C-101B-9397-08002B2CF9AE}" pid="15" name="Mendeley Recent Style Id 4_1">
    <vt:lpwstr>http://www.zotero.org/styles/international-journal-of-health-geographics</vt:lpwstr>
  </property>
  <property fmtid="{D5CDD505-2E9C-101B-9397-08002B2CF9AE}" pid="16" name="Mendeley Recent Style Name 4_1">
    <vt:lpwstr>International Journal of Health Geographics</vt:lpwstr>
  </property>
  <property fmtid="{D5CDD505-2E9C-101B-9397-08002B2CF9AE}" pid="17" name="Mendeley Recent Style Id 5_1">
    <vt:lpwstr>http://www.zotero.org/styles/modern-humanities-research-association</vt:lpwstr>
  </property>
  <property fmtid="{D5CDD505-2E9C-101B-9397-08002B2CF9AE}" pid="18" name="Mendeley Recent Style Name 5_1">
    <vt:lpwstr>Modern Humanities Research Association 3rd edition (note with bibliography)</vt:lpwstr>
  </property>
  <property fmtid="{D5CDD505-2E9C-101B-9397-08002B2CF9AE}" pid="19" name="Mendeley Recent Style Id 6_1">
    <vt:lpwstr>http://www.zotero.org/styles/modern-language-association</vt:lpwstr>
  </property>
  <property fmtid="{D5CDD505-2E9C-101B-9397-08002B2CF9AE}" pid="20" name="Mendeley Recent Style Name 6_1">
    <vt:lpwstr>Modern Language Association 8th edition</vt:lpwstr>
  </property>
  <property fmtid="{D5CDD505-2E9C-101B-9397-08002B2CF9AE}" pid="21" name="Mendeley Recent Style Id 7_1">
    <vt:lpwstr>http://www.zotero.org/styles/nature</vt:lpwstr>
  </property>
  <property fmtid="{D5CDD505-2E9C-101B-9397-08002B2CF9AE}" pid="22" name="Mendeley Recent Style Name 7_1">
    <vt:lpwstr>Nature</vt:lpwstr>
  </property>
  <property fmtid="{D5CDD505-2E9C-101B-9397-08002B2CF9AE}" pid="23" name="Mendeley Recent Style Id 8_1">
    <vt:lpwstr>http://www.zotero.org/styles/the-lancet-infectious-diseases</vt:lpwstr>
  </property>
  <property fmtid="{D5CDD505-2E9C-101B-9397-08002B2CF9AE}" pid="24" name="Mendeley Recent Style Name 8_1">
    <vt:lpwstr>The Lancet Infectious Diseases</vt:lpwstr>
  </property>
  <property fmtid="{D5CDD505-2E9C-101B-9397-08002B2CF9AE}" pid="25" name="Mendeley Recent Style Id 9_1">
    <vt:lpwstr>http://www.zotero.org/styles/urban-studies</vt:lpwstr>
  </property>
  <property fmtid="{D5CDD505-2E9C-101B-9397-08002B2CF9AE}" pid="26" name="Mendeley Recent Style Name 9_1">
    <vt:lpwstr>Urban Studies</vt:lpwstr>
  </property>
</Properties>
</file>