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CE" w:rsidRPr="000F272A" w:rsidRDefault="00D328CE" w:rsidP="00D328CE">
      <w:pPr>
        <w:spacing w:line="360" w:lineRule="auto"/>
        <w:rPr>
          <w:rFonts w:ascii="Geneva" w:hAnsi="Geneva" w:cs="Times New Roman"/>
          <w:sz w:val="22"/>
          <w:szCs w:val="22"/>
          <w:lang w:val="en-GB"/>
        </w:rPr>
      </w:pPr>
      <w:r w:rsidRPr="000F272A">
        <w:rPr>
          <w:rFonts w:ascii="Geneva" w:hAnsi="Geneva" w:cs="Arial"/>
          <w:b/>
          <w:bCs/>
          <w:color w:val="000000"/>
          <w:sz w:val="22"/>
          <w:szCs w:val="22"/>
        </w:rPr>
        <w:t xml:space="preserve">Supplemental Digital Content </w:t>
      </w:r>
      <w:r w:rsidRPr="000F272A">
        <w:rPr>
          <w:rFonts w:ascii="Geneva" w:hAnsi="Geneva" w:cs="Times New Roman"/>
          <w:b/>
          <w:bCs/>
          <w:sz w:val="22"/>
          <w:szCs w:val="22"/>
          <w:lang w:val="en-GB"/>
        </w:rPr>
        <w:t>3:</w:t>
      </w:r>
      <w:r w:rsidR="00216B6F">
        <w:rPr>
          <w:rFonts w:ascii="Geneva" w:hAnsi="Geneva" w:cs="Times New Roman"/>
          <w:sz w:val="22"/>
          <w:szCs w:val="22"/>
          <w:lang w:val="en-GB"/>
        </w:rPr>
        <w:t xml:space="preserve"> Therapies prior to r</w:t>
      </w:r>
      <w:r w:rsidRPr="000F272A">
        <w:rPr>
          <w:rFonts w:ascii="Geneva" w:hAnsi="Geneva" w:cs="Times New Roman"/>
          <w:sz w:val="22"/>
          <w:szCs w:val="22"/>
          <w:lang w:val="en-GB"/>
        </w:rPr>
        <w:t>ituximab</w:t>
      </w:r>
    </w:p>
    <w:tbl>
      <w:tblPr>
        <w:tblW w:w="353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5"/>
        <w:gridCol w:w="1843"/>
      </w:tblGrid>
      <w:tr w:rsidR="00D328CE" w:rsidRPr="000F272A">
        <w:tc>
          <w:tcPr>
            <w:tcW w:w="3506" w:type="pct"/>
            <w:tcBorders>
              <w:left w:val="nil"/>
              <w:right w:val="nil"/>
            </w:tcBorders>
          </w:tcPr>
          <w:p w:rsidR="00D328CE" w:rsidRPr="000F272A" w:rsidRDefault="00D328CE" w:rsidP="00A61D31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b/>
                <w:bCs/>
                <w:szCs w:val="20"/>
                <w:lang w:val="en-GB"/>
              </w:rPr>
            </w:pPr>
          </w:p>
        </w:tc>
        <w:tc>
          <w:tcPr>
            <w:tcW w:w="1494" w:type="pct"/>
            <w:tcBorders>
              <w:left w:val="nil"/>
              <w:right w:val="nil"/>
            </w:tcBorders>
          </w:tcPr>
          <w:p w:rsidR="00D328CE" w:rsidRPr="000F272A" w:rsidRDefault="00D328CE" w:rsidP="00A61D31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b/>
                <w:bCs/>
                <w:szCs w:val="20"/>
                <w:lang w:val="en-GB"/>
              </w:rPr>
              <w:t>N (%)</w:t>
            </w:r>
          </w:p>
        </w:tc>
      </w:tr>
      <w:tr w:rsidR="00D328CE" w:rsidRPr="000F272A">
        <w:tc>
          <w:tcPr>
            <w:tcW w:w="3506" w:type="pct"/>
            <w:tcBorders>
              <w:left w:val="nil"/>
              <w:bottom w:val="nil"/>
              <w:right w:val="nil"/>
            </w:tcBorders>
          </w:tcPr>
          <w:p w:rsidR="00D328CE" w:rsidRPr="000F272A" w:rsidRDefault="00D328CE" w:rsidP="00A61D31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b/>
                <w:bCs/>
                <w:szCs w:val="20"/>
                <w:lang w:val="en-GB"/>
              </w:rPr>
            </w:pPr>
            <w:r w:rsidRPr="000F272A">
              <w:rPr>
                <w:rFonts w:ascii="Geneva" w:hAnsi="Geneva" w:cs="Arial"/>
                <w:b/>
                <w:bCs/>
                <w:szCs w:val="20"/>
                <w:lang w:val="en-GB"/>
              </w:rPr>
              <w:t>Biological DMARDS</w:t>
            </w:r>
          </w:p>
        </w:tc>
        <w:tc>
          <w:tcPr>
            <w:tcW w:w="1494" w:type="pct"/>
            <w:tcBorders>
              <w:left w:val="nil"/>
              <w:bottom w:val="nil"/>
              <w:right w:val="nil"/>
            </w:tcBorders>
          </w:tcPr>
          <w:p w:rsidR="00D328CE" w:rsidRPr="000F272A" w:rsidRDefault="00D328CE" w:rsidP="00A61D31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b/>
                <w:bCs/>
                <w:szCs w:val="20"/>
                <w:lang w:val="en-GB"/>
              </w:rPr>
            </w:pPr>
            <w:r w:rsidRPr="000F272A">
              <w:rPr>
                <w:rFonts w:ascii="Geneva" w:hAnsi="Geneva" w:cs="Arial"/>
                <w:b/>
                <w:bCs/>
                <w:szCs w:val="20"/>
                <w:lang w:val="en-GB"/>
              </w:rPr>
              <w:t>92 (80.7%)</w:t>
            </w:r>
          </w:p>
        </w:tc>
      </w:tr>
      <w:tr w:rsidR="00D328CE" w:rsidRPr="000F272A">
        <w:tc>
          <w:tcPr>
            <w:tcW w:w="3506" w:type="pct"/>
            <w:tcBorders>
              <w:top w:val="nil"/>
              <w:left w:val="nil"/>
              <w:bottom w:val="nil"/>
              <w:right w:val="nil"/>
            </w:tcBorders>
          </w:tcPr>
          <w:p w:rsidR="00D328CE" w:rsidRPr="000F272A" w:rsidRDefault="00D328CE" w:rsidP="00A61D31">
            <w:pPr>
              <w:pStyle w:val="Normal1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TNF inhibitors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</w:tcPr>
          <w:p w:rsidR="00D328CE" w:rsidRPr="000F272A" w:rsidRDefault="00D328CE" w:rsidP="00A61D31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87 (76.3%)</w:t>
            </w:r>
          </w:p>
        </w:tc>
      </w:tr>
      <w:tr w:rsidR="00D328CE" w:rsidRPr="000F272A">
        <w:tc>
          <w:tcPr>
            <w:tcW w:w="3506" w:type="pct"/>
            <w:tcBorders>
              <w:top w:val="nil"/>
              <w:left w:val="nil"/>
              <w:bottom w:val="nil"/>
              <w:right w:val="nil"/>
            </w:tcBorders>
          </w:tcPr>
          <w:p w:rsidR="00D328CE" w:rsidRPr="000F272A" w:rsidRDefault="00D328CE" w:rsidP="00A61D31">
            <w:pPr>
              <w:pStyle w:val="Normal1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abatacept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</w:tcPr>
          <w:p w:rsidR="00D328CE" w:rsidRPr="000F272A" w:rsidRDefault="00D328CE" w:rsidP="00A61D31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5 (4.4%)</w:t>
            </w:r>
          </w:p>
        </w:tc>
      </w:tr>
      <w:tr w:rsidR="00D328CE" w:rsidRPr="000F272A">
        <w:tc>
          <w:tcPr>
            <w:tcW w:w="3506" w:type="pct"/>
            <w:tcBorders>
              <w:top w:val="nil"/>
              <w:left w:val="nil"/>
              <w:bottom w:val="nil"/>
              <w:right w:val="nil"/>
            </w:tcBorders>
          </w:tcPr>
          <w:p w:rsidR="00D328CE" w:rsidRPr="000F272A" w:rsidRDefault="00D328CE" w:rsidP="00A61D31">
            <w:pPr>
              <w:pStyle w:val="Normal1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tocilizumab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</w:tcPr>
          <w:p w:rsidR="00D328CE" w:rsidRPr="000F272A" w:rsidRDefault="00D328CE" w:rsidP="00A61D31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4 (3.5%)</w:t>
            </w:r>
          </w:p>
        </w:tc>
      </w:tr>
      <w:tr w:rsidR="00D328CE" w:rsidRPr="000F272A">
        <w:tc>
          <w:tcPr>
            <w:tcW w:w="3506" w:type="pct"/>
            <w:tcBorders>
              <w:top w:val="nil"/>
              <w:left w:val="nil"/>
              <w:bottom w:val="nil"/>
              <w:right w:val="nil"/>
            </w:tcBorders>
          </w:tcPr>
          <w:p w:rsidR="00D328CE" w:rsidRPr="00751FE2" w:rsidRDefault="00751FE2" w:rsidP="009A6964">
            <w:pPr>
              <w:pStyle w:val="Normal1"/>
              <w:widowControl w:val="0"/>
              <w:spacing w:after="0"/>
              <w:jc w:val="right"/>
              <w:rPr>
                <w:rFonts w:ascii="Geneva" w:hAnsi="Geneva" w:cs="Arial"/>
                <w:b/>
                <w:szCs w:val="20"/>
                <w:lang w:val="en-GB"/>
              </w:rPr>
            </w:pPr>
            <w:r>
              <w:rPr>
                <w:rFonts w:ascii="Geneva" w:hAnsi="Geneva" w:cs="Arial"/>
                <w:b/>
                <w:szCs w:val="20"/>
                <w:lang w:val="en-GB"/>
              </w:rPr>
              <w:t>Reason</w:t>
            </w:r>
            <w:r w:rsidR="00D328CE" w:rsidRPr="00751FE2">
              <w:rPr>
                <w:rFonts w:ascii="Geneva" w:hAnsi="Geneva" w:cs="Arial"/>
                <w:b/>
                <w:szCs w:val="20"/>
                <w:lang w:val="en-GB"/>
              </w:rPr>
              <w:t xml:space="preserve"> for discontinuation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</w:tcPr>
          <w:p w:rsidR="00D328CE" w:rsidRPr="000F272A" w:rsidRDefault="00D328CE" w:rsidP="00A61D31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</w:p>
        </w:tc>
      </w:tr>
      <w:tr w:rsidR="00D328CE" w:rsidRPr="000F272A">
        <w:tc>
          <w:tcPr>
            <w:tcW w:w="3506" w:type="pct"/>
            <w:tcBorders>
              <w:top w:val="nil"/>
              <w:left w:val="nil"/>
              <w:bottom w:val="nil"/>
              <w:right w:val="nil"/>
            </w:tcBorders>
          </w:tcPr>
          <w:p w:rsidR="00D328CE" w:rsidRPr="000F272A" w:rsidRDefault="00D328CE" w:rsidP="009A6964">
            <w:pPr>
              <w:pStyle w:val="Normal1"/>
              <w:widowControl w:val="0"/>
              <w:spacing w:after="0"/>
              <w:jc w:val="right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lack of effectiveness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</w:tcPr>
          <w:p w:rsidR="00D328CE" w:rsidRPr="000F272A" w:rsidRDefault="00D328CE" w:rsidP="009A6964">
            <w:pPr>
              <w:pStyle w:val="Normal1"/>
              <w:widowControl w:val="0"/>
              <w:spacing w:after="0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88 (77.5%)</w:t>
            </w:r>
          </w:p>
        </w:tc>
      </w:tr>
      <w:tr w:rsidR="00D328CE" w:rsidRPr="000F272A">
        <w:tc>
          <w:tcPr>
            <w:tcW w:w="3506" w:type="pct"/>
            <w:tcBorders>
              <w:top w:val="nil"/>
              <w:left w:val="nil"/>
              <w:bottom w:val="nil"/>
              <w:right w:val="nil"/>
            </w:tcBorders>
          </w:tcPr>
          <w:p w:rsidR="00D328CE" w:rsidRPr="000F272A" w:rsidRDefault="00D328CE" w:rsidP="009A6964">
            <w:pPr>
              <w:pStyle w:val="Normal1"/>
              <w:widowControl w:val="0"/>
              <w:spacing w:after="0"/>
              <w:jc w:val="right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adverse reaction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</w:tcPr>
          <w:p w:rsidR="00D328CE" w:rsidRPr="000F272A" w:rsidRDefault="00D328CE" w:rsidP="009A6964">
            <w:pPr>
              <w:pStyle w:val="Normal1"/>
              <w:widowControl w:val="0"/>
              <w:spacing w:after="0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17 (14.8%)</w:t>
            </w:r>
          </w:p>
        </w:tc>
      </w:tr>
      <w:tr w:rsidR="00D328CE" w:rsidRPr="000F272A">
        <w:tc>
          <w:tcPr>
            <w:tcW w:w="3506" w:type="pct"/>
            <w:tcBorders>
              <w:top w:val="nil"/>
              <w:left w:val="nil"/>
              <w:bottom w:val="nil"/>
              <w:right w:val="nil"/>
            </w:tcBorders>
          </w:tcPr>
          <w:p w:rsidR="00D328CE" w:rsidRPr="000F272A" w:rsidRDefault="00D328CE" w:rsidP="009A6964">
            <w:pPr>
              <w:pStyle w:val="Normal1"/>
              <w:widowControl w:val="0"/>
              <w:spacing w:after="0"/>
              <w:jc w:val="right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other reason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</w:tcPr>
          <w:p w:rsidR="00D328CE" w:rsidRPr="000F272A" w:rsidRDefault="00D328CE" w:rsidP="009A6964">
            <w:pPr>
              <w:pStyle w:val="Normal1"/>
              <w:widowControl w:val="0"/>
              <w:spacing w:after="0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8 (7.7%)</w:t>
            </w:r>
          </w:p>
        </w:tc>
      </w:tr>
      <w:tr w:rsidR="00D328CE" w:rsidRPr="000F272A">
        <w:tc>
          <w:tcPr>
            <w:tcW w:w="3506" w:type="pct"/>
            <w:tcBorders>
              <w:top w:val="nil"/>
              <w:left w:val="nil"/>
              <w:bottom w:val="nil"/>
              <w:right w:val="nil"/>
            </w:tcBorders>
          </w:tcPr>
          <w:p w:rsidR="00D328CE" w:rsidRPr="000F272A" w:rsidRDefault="00D328CE" w:rsidP="00A61D31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b/>
                <w:bCs/>
                <w:szCs w:val="20"/>
                <w:lang w:val="en-GB"/>
              </w:rPr>
            </w:pPr>
            <w:r w:rsidRPr="000F272A">
              <w:rPr>
                <w:rFonts w:ascii="Geneva" w:hAnsi="Geneva" w:cs="Arial"/>
                <w:b/>
                <w:bCs/>
                <w:szCs w:val="20"/>
                <w:lang w:val="en-GB"/>
              </w:rPr>
              <w:t>Non biological DMARDS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</w:tcPr>
          <w:p w:rsidR="00D328CE" w:rsidRPr="000F272A" w:rsidRDefault="00D328CE" w:rsidP="00A61D31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b/>
                <w:bCs/>
                <w:szCs w:val="20"/>
                <w:lang w:val="en-GB"/>
              </w:rPr>
            </w:pPr>
            <w:r w:rsidRPr="000F272A">
              <w:rPr>
                <w:rFonts w:ascii="Geneva" w:hAnsi="Geneva" w:cs="Arial"/>
                <w:b/>
                <w:bCs/>
                <w:szCs w:val="20"/>
                <w:lang w:val="en-GB"/>
              </w:rPr>
              <w:t>102 (89.5%)</w:t>
            </w:r>
          </w:p>
        </w:tc>
      </w:tr>
      <w:tr w:rsidR="00D328CE" w:rsidRPr="000F272A">
        <w:tc>
          <w:tcPr>
            <w:tcW w:w="3506" w:type="pct"/>
            <w:tcBorders>
              <w:top w:val="nil"/>
              <w:left w:val="nil"/>
              <w:bottom w:val="nil"/>
              <w:right w:val="nil"/>
            </w:tcBorders>
          </w:tcPr>
          <w:p w:rsidR="00D328CE" w:rsidRPr="000F272A" w:rsidRDefault="00D328CE" w:rsidP="00A61D31">
            <w:pPr>
              <w:pStyle w:val="Normal1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methotrexate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</w:tcPr>
          <w:p w:rsidR="00D328CE" w:rsidRPr="000F272A" w:rsidRDefault="00D328CE" w:rsidP="00A61D31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55 (48.3%)</w:t>
            </w:r>
          </w:p>
        </w:tc>
      </w:tr>
      <w:tr w:rsidR="00D328CE" w:rsidRPr="000F272A">
        <w:tc>
          <w:tcPr>
            <w:tcW w:w="3506" w:type="pct"/>
            <w:tcBorders>
              <w:top w:val="nil"/>
              <w:left w:val="nil"/>
              <w:bottom w:val="nil"/>
              <w:right w:val="nil"/>
            </w:tcBorders>
          </w:tcPr>
          <w:p w:rsidR="00D328CE" w:rsidRPr="000F272A" w:rsidRDefault="00D328CE" w:rsidP="00A61D31">
            <w:pPr>
              <w:pStyle w:val="Normal1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leflunomide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</w:tcPr>
          <w:p w:rsidR="00D328CE" w:rsidRPr="000F272A" w:rsidRDefault="00D328CE" w:rsidP="00A61D31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59 (51.8%)</w:t>
            </w:r>
          </w:p>
        </w:tc>
      </w:tr>
      <w:tr w:rsidR="00D328CE" w:rsidRPr="000F272A">
        <w:tc>
          <w:tcPr>
            <w:tcW w:w="3506" w:type="pct"/>
            <w:tcBorders>
              <w:top w:val="nil"/>
              <w:left w:val="nil"/>
              <w:bottom w:val="nil"/>
              <w:right w:val="nil"/>
            </w:tcBorders>
          </w:tcPr>
          <w:p w:rsidR="00D328CE" w:rsidRPr="000F272A" w:rsidRDefault="00D328CE" w:rsidP="00A61D31">
            <w:pPr>
              <w:pStyle w:val="Normal1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hydroxychloroquine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</w:tcPr>
          <w:p w:rsidR="00D328CE" w:rsidRPr="000F272A" w:rsidRDefault="00D328CE" w:rsidP="00A61D31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41 (36.0%)</w:t>
            </w:r>
          </w:p>
        </w:tc>
      </w:tr>
      <w:tr w:rsidR="00D328CE" w:rsidRPr="000F272A">
        <w:tc>
          <w:tcPr>
            <w:tcW w:w="3506" w:type="pct"/>
            <w:tcBorders>
              <w:top w:val="nil"/>
              <w:left w:val="nil"/>
              <w:bottom w:val="nil"/>
              <w:right w:val="nil"/>
            </w:tcBorders>
          </w:tcPr>
          <w:p w:rsidR="00D328CE" w:rsidRPr="000F272A" w:rsidRDefault="00D328CE" w:rsidP="00A61D31">
            <w:pPr>
              <w:pStyle w:val="Normal1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sulfasalazine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</w:tcPr>
          <w:p w:rsidR="00D328CE" w:rsidRPr="000F272A" w:rsidRDefault="00D328CE" w:rsidP="00A61D31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35 (30.7%)</w:t>
            </w:r>
          </w:p>
        </w:tc>
      </w:tr>
      <w:tr w:rsidR="00D328CE" w:rsidRPr="000F272A">
        <w:tc>
          <w:tcPr>
            <w:tcW w:w="3506" w:type="pct"/>
            <w:tcBorders>
              <w:top w:val="nil"/>
              <w:left w:val="nil"/>
              <w:bottom w:val="nil"/>
              <w:right w:val="nil"/>
            </w:tcBorders>
          </w:tcPr>
          <w:p w:rsidR="00D328CE" w:rsidRPr="000F272A" w:rsidRDefault="00D328CE" w:rsidP="00A61D31">
            <w:pPr>
              <w:pStyle w:val="Normal1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cyclosporin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</w:tcPr>
          <w:p w:rsidR="00D328CE" w:rsidRPr="000F272A" w:rsidRDefault="00D328CE" w:rsidP="00A61D31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14 (12.3%)</w:t>
            </w:r>
          </w:p>
        </w:tc>
      </w:tr>
      <w:tr w:rsidR="00D328CE" w:rsidRPr="000F272A">
        <w:tc>
          <w:tcPr>
            <w:tcW w:w="3506" w:type="pct"/>
            <w:tcBorders>
              <w:top w:val="nil"/>
              <w:left w:val="nil"/>
              <w:right w:val="nil"/>
            </w:tcBorders>
          </w:tcPr>
          <w:p w:rsidR="00D328CE" w:rsidRPr="000F272A" w:rsidRDefault="00D328CE" w:rsidP="00A61D31">
            <w:pPr>
              <w:pStyle w:val="Normal1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azathioprine</w:t>
            </w:r>
          </w:p>
        </w:tc>
        <w:tc>
          <w:tcPr>
            <w:tcW w:w="1494" w:type="pct"/>
            <w:tcBorders>
              <w:top w:val="nil"/>
              <w:left w:val="nil"/>
              <w:right w:val="nil"/>
            </w:tcBorders>
          </w:tcPr>
          <w:p w:rsidR="00D328CE" w:rsidRPr="000F272A" w:rsidRDefault="00D328CE" w:rsidP="00A61D31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4 (3.5%)</w:t>
            </w:r>
          </w:p>
        </w:tc>
      </w:tr>
    </w:tbl>
    <w:p w:rsidR="002E23A0" w:rsidRDefault="00D328CE">
      <w:r w:rsidRPr="00D328CE">
        <w:t>Abbreviations: DMARDS: disease-modifying anti-rheumatic drugs.</w:t>
      </w:r>
    </w:p>
    <w:sectPr w:rsidR="002E23A0" w:rsidSect="002E23A0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834AC"/>
    <w:multiLevelType w:val="hybridMultilevel"/>
    <w:tmpl w:val="FF10C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28CE"/>
    <w:rsid w:val="00216B6F"/>
    <w:rsid w:val="00751FE2"/>
    <w:rsid w:val="00D328CE"/>
    <w:rsid w:val="00F8223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328CE"/>
    <w:pPr>
      <w:spacing w:line="480" w:lineRule="auto"/>
    </w:pPr>
    <w:rPr>
      <w:rFonts w:ascii="Calibri" w:eastAsia="Times New Roman" w:hAnsi="Calibri" w:cs="Calibri"/>
      <w:lang w:val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Normal1">
    <w:name w:val="Normal1"/>
    <w:uiPriority w:val="99"/>
    <w:rsid w:val="00D328C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Macintosh Word</Application>
  <DocSecurity>0</DocSecurity>
  <Lines>3</Lines>
  <Paragraphs>1</Paragraphs>
  <ScaleCrop>false</ScaleCrop>
  <Company>ICO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Iciar Cañamares</dc:creator>
  <cp:keywords/>
  <cp:lastModifiedBy>Iciar Cañamares</cp:lastModifiedBy>
  <cp:revision>3</cp:revision>
  <dcterms:created xsi:type="dcterms:W3CDTF">2018-01-16T22:58:00Z</dcterms:created>
  <dcterms:modified xsi:type="dcterms:W3CDTF">2018-01-17T20:52:00Z</dcterms:modified>
</cp:coreProperties>
</file>