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F2" w:rsidRPr="00285EF2" w:rsidRDefault="00285EF2" w:rsidP="00F978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85EF2">
        <w:rPr>
          <w:rFonts w:ascii="Arial" w:hAnsi="Arial"/>
          <w:b/>
          <w:sz w:val="18"/>
          <w:szCs w:val="20"/>
          <w:highlight w:val="lightGray"/>
          <w:lang w:eastAsia="zh-CN"/>
        </w:rPr>
        <w:t>Supplementary Appendix</w:t>
      </w:r>
      <w:r w:rsidRPr="00285EF2">
        <w:rPr>
          <w:rFonts w:ascii="Arial" w:hAnsi="Arial" w:cs="Arial"/>
          <w:b/>
          <w:sz w:val="18"/>
          <w:szCs w:val="18"/>
          <w:highlight w:val="lightGray"/>
        </w:rPr>
        <w:t xml:space="preserve"> Table 1.</w:t>
      </w:r>
      <w:proofErr w:type="gramEnd"/>
      <w:r w:rsidRPr="00285EF2">
        <w:rPr>
          <w:rFonts w:ascii="Arial" w:hAnsi="Arial" w:cs="Arial"/>
          <w:b/>
          <w:sz w:val="18"/>
          <w:szCs w:val="18"/>
        </w:rPr>
        <w:t xml:space="preserve"> </w:t>
      </w:r>
    </w:p>
    <w:p w:rsidR="00F97880" w:rsidRPr="00285EF2" w:rsidRDefault="00F97880" w:rsidP="00F978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2"/>
        </w:rPr>
      </w:pPr>
      <w:r w:rsidRPr="00285EF2">
        <w:rPr>
          <w:rFonts w:ascii="Arial" w:hAnsi="Arial" w:cs="Arial"/>
          <w:sz w:val="18"/>
          <w:szCs w:val="18"/>
        </w:rPr>
        <w:t xml:space="preserve">Previous reports on the use of RTX in thrombocytopenia related to SLE and/or primary </w:t>
      </w:r>
      <w:r w:rsidRPr="00285EF2">
        <w:rPr>
          <w:rFonts w:ascii="Arial" w:hAnsi="Arial" w:cs="Arial"/>
          <w:sz w:val="18"/>
          <w:szCs w:val="22"/>
        </w:rPr>
        <w:t>SS.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0BF" w:firstRow="1" w:lastRow="0" w:firstColumn="1" w:lastColumn="0" w:noHBand="0" w:noVBand="0"/>
      </w:tblPr>
      <w:tblGrid>
        <w:gridCol w:w="661"/>
        <w:gridCol w:w="2325"/>
        <w:gridCol w:w="830"/>
        <w:gridCol w:w="1017"/>
        <w:gridCol w:w="1006"/>
        <w:gridCol w:w="963"/>
        <w:gridCol w:w="969"/>
        <w:gridCol w:w="745"/>
      </w:tblGrid>
      <w:tr w:rsidR="00F97880" w:rsidRPr="00AA1378">
        <w:tc>
          <w:tcPr>
            <w:tcW w:w="675" w:type="dxa"/>
            <w:tcBorders>
              <w:bottom w:val="single" w:sz="6" w:space="0" w:color="auto"/>
            </w:tcBorders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6" w:space="0" w:color="auto"/>
            </w:tcBorders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81" w:type="dxa"/>
            <w:gridSpan w:val="4"/>
            <w:tcBorders>
              <w:bottom w:val="single" w:sz="6" w:space="0" w:color="auto"/>
            </w:tcBorders>
          </w:tcPr>
          <w:p w:rsidR="00F97880" w:rsidRPr="00AA1378" w:rsidRDefault="00F97880" w:rsidP="00DE6290">
            <w:pPr>
              <w:pStyle w:val="A"/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AA1378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Response to treatment, N (%)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7880" w:rsidRPr="00AA1378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proofErr w:type="spellStart"/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Author,Y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patients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Complete, &gt;100*10</w:t>
            </w:r>
            <w:r w:rsidRPr="00AA1378">
              <w:rPr>
                <w:rFonts w:ascii="Arial" w:hAnsi="Arial"/>
                <w:b/>
                <w:bCs/>
                <w:kern w:val="24"/>
                <w:position w:val="7"/>
                <w:sz w:val="16"/>
                <w:szCs w:val="24"/>
                <w:vertAlign w:val="superscript"/>
              </w:rPr>
              <w:t>9</w:t>
            </w: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 xml:space="preserve">/l </w:t>
            </w: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Partial,30-100*10</w:t>
            </w:r>
            <w:r w:rsidRPr="00AA1378">
              <w:rPr>
                <w:rFonts w:ascii="Arial" w:hAnsi="Arial"/>
                <w:b/>
                <w:bCs/>
                <w:kern w:val="24"/>
                <w:position w:val="7"/>
                <w:sz w:val="16"/>
                <w:szCs w:val="24"/>
                <w:vertAlign w:val="superscript"/>
              </w:rPr>
              <w:t>9</w:t>
            </w: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/l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sz w:val="16"/>
                <w:szCs w:val="36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None,</w:t>
            </w:r>
          </w:p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&lt;30*10</w:t>
            </w:r>
            <w:r w:rsidRPr="00AA1378">
              <w:rPr>
                <w:rFonts w:ascii="Arial" w:hAnsi="Arial"/>
                <w:b/>
                <w:bCs/>
                <w:kern w:val="24"/>
                <w:position w:val="7"/>
                <w:sz w:val="16"/>
                <w:szCs w:val="24"/>
                <w:vertAlign w:val="superscript"/>
              </w:rPr>
              <w:t>9</w:t>
            </w: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/l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Total N response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b/>
                <w:bCs/>
                <w:kern w:val="24"/>
                <w:sz w:val="16"/>
                <w:szCs w:val="24"/>
              </w:rPr>
              <w:t>DIE OR AE</w:t>
            </w:r>
          </w:p>
        </w:tc>
      </w:tr>
      <w:tr w:rsidR="00F97880" w:rsidRPr="00AA1378">
        <w:tc>
          <w:tcPr>
            <w:tcW w:w="6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/>
                <w:bCs/>
                <w:kern w:val="24"/>
                <w:position w:val="22"/>
                <w:szCs w:val="72"/>
                <w:vertAlign w:val="superscript"/>
              </w:rPr>
            </w:pPr>
            <w:r w:rsidRPr="00AA1378">
              <w:rPr>
                <w:rFonts w:ascii="Arial" w:hAnsi="Arial"/>
                <w:b/>
                <w:bCs/>
                <w:kern w:val="24"/>
                <w:position w:val="22"/>
                <w:szCs w:val="72"/>
                <w:vertAlign w:val="superscript"/>
              </w:rPr>
              <w:t>SLE</w:t>
            </w:r>
          </w:p>
        </w:tc>
        <w:tc>
          <w:tcPr>
            <w:tcW w:w="2347" w:type="dxa"/>
            <w:tcBorders>
              <w:top w:val="single" w:sz="6" w:space="0" w:color="auto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Kenitz,2002 </w:t>
            </w:r>
            <w:r w:rsidR="003F05A2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Tomietto,2004 </w:t>
            </w:r>
            <w:r w:rsidR="00DE6290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Van den Bergh,2005</w:t>
            </w:r>
            <w:r w:rsidRPr="00AA13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 xml:space="preserve">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Ahn,2005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Paran,2006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5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Anandacoomarasamy,2006</w:t>
            </w:r>
            <w:r w:rsidR="00796178">
              <w:rPr>
                <w:rFonts w:ascii="Arial" w:hAnsi="Arial"/>
                <w:kern w:val="24"/>
                <w:sz w:val="16"/>
                <w:szCs w:val="24"/>
              </w:rPr>
              <w:t xml:space="preserve">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6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6"/>
                <w:sz w:val="16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Niewold,2006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Ng,2007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Lima,2007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9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Fukushima,2008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796178" w:rsidRPr="00AA1378" w:rsidRDefault="00F97880" w:rsidP="002022CD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Kittaka,2008</w:t>
            </w:r>
            <w:r w:rsidR="002022CD">
              <w:rPr>
                <w:rFonts w:ascii="Arial" w:hAnsi="Arial"/>
                <w:kern w:val="24"/>
                <w:sz w:val="16"/>
                <w:szCs w:val="24"/>
              </w:rPr>
              <w:t xml:space="preserve">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11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2022CD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Hundae,2008</w:t>
            </w:r>
            <w:r w:rsidR="002022CD">
              <w:rPr>
                <w:rFonts w:ascii="Arial" w:hAnsi="Arial"/>
                <w:kern w:val="24"/>
                <w:sz w:val="16"/>
                <w:szCs w:val="24"/>
              </w:rPr>
              <w:t xml:space="preserve">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12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Nadri,2009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13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Reis,2009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Mardjuardi,2009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15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Letchumanan,2009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16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Lateef,2010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17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Zheng,2009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Lee,2010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19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Terrier,2010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20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Niaz,2010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GarcıÅ-Carrasco,2010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22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Chen,2011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23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Gupta,2011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Pinto,2011</w:t>
            </w:r>
            <w:r w:rsidRPr="00AA13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 xml:space="preserve">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25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single" w:sz="6" w:space="0" w:color="auto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sz w:val="16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B Jovancevic,2013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26</w:t>
            </w:r>
          </w:p>
        </w:tc>
        <w:tc>
          <w:tcPr>
            <w:tcW w:w="830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16</w:t>
            </w:r>
          </w:p>
        </w:tc>
        <w:tc>
          <w:tcPr>
            <w:tcW w:w="1021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9</w:t>
            </w:r>
          </w:p>
        </w:tc>
        <w:tc>
          <w:tcPr>
            <w:tcW w:w="1009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szCs w:val="36"/>
              </w:rPr>
            </w:pPr>
            <w:r w:rsidRPr="00AA1378">
              <w:rPr>
                <w:rFonts w:ascii="Arial" w:hAnsi="Arial"/>
                <w:b/>
                <w:bCs/>
                <w:kern w:val="24"/>
                <w:position w:val="22"/>
                <w:szCs w:val="72"/>
                <w:vertAlign w:val="superscript"/>
              </w:rPr>
              <w:t>SS</w:t>
            </w:r>
          </w:p>
        </w:tc>
        <w:tc>
          <w:tcPr>
            <w:tcW w:w="2347" w:type="dxa"/>
            <w:tcBorders>
              <w:top w:val="single" w:sz="6" w:space="0" w:color="auto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proofErr w:type="spellStart"/>
            <w:r w:rsidRPr="00AA1378">
              <w:rPr>
                <w:rFonts w:ascii="Arial" w:hAnsi="Arial"/>
                <w:kern w:val="24"/>
                <w:sz w:val="16"/>
                <w:szCs w:val="24"/>
              </w:rPr>
              <w:t>Raphae</w:t>
            </w:r>
            <w:proofErr w:type="spellEnd"/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` le Seror,2007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27</w:t>
            </w:r>
          </w:p>
        </w:tc>
        <w:tc>
          <w:tcPr>
            <w:tcW w:w="830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Zhou L,</w:t>
            </w:r>
            <w:r w:rsidRPr="004B6603">
              <w:rPr>
                <w:rFonts w:ascii="Arial" w:hAnsi="Arial"/>
                <w:kern w:val="24"/>
                <w:sz w:val="16"/>
                <w:szCs w:val="24"/>
              </w:rPr>
              <w:t xml:space="preserve">2012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4 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</w:tr>
      <w:tr w:rsidR="00F97880" w:rsidRPr="00AA1378">
        <w:tc>
          <w:tcPr>
            <w:tcW w:w="675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A"/>
              <w:widowControl w:val="0"/>
              <w:spacing w:line="48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347" w:type="dxa"/>
            <w:tcBorders>
              <w:top w:val="nil"/>
              <w:bottom w:val="single" w:sz="6" w:space="0" w:color="auto"/>
            </w:tcBorders>
          </w:tcPr>
          <w:p w:rsidR="00F97880" w:rsidRPr="00AA1378" w:rsidRDefault="00F97880" w:rsidP="00796178">
            <w:pPr>
              <w:pStyle w:val="NormalWeb"/>
              <w:spacing w:beforeLines="0" w:afterLines="0"/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</w:pPr>
            <w:proofErr w:type="spellStart"/>
            <w:r w:rsidRPr="00AA1378">
              <w:rPr>
                <w:rFonts w:ascii="Arial" w:hAnsi="Arial"/>
                <w:kern w:val="24"/>
                <w:sz w:val="16"/>
                <w:szCs w:val="24"/>
              </w:rPr>
              <w:t>Toumeh</w:t>
            </w:r>
            <w:proofErr w:type="spellEnd"/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 A, 2014 </w:t>
            </w:r>
            <w:r w:rsidR="00796178">
              <w:rPr>
                <w:rFonts w:ascii="Arial" w:hAnsi="Arial"/>
                <w:kern w:val="24"/>
                <w:position w:val="7"/>
                <w:sz w:val="16"/>
                <w:szCs w:val="24"/>
                <w:vertAlign w:val="superscript"/>
              </w:rPr>
              <w:t>29</w:t>
            </w:r>
          </w:p>
        </w:tc>
        <w:tc>
          <w:tcPr>
            <w:tcW w:w="830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 xml:space="preserve"> 0</w:t>
            </w:r>
          </w:p>
        </w:tc>
      </w:tr>
      <w:tr w:rsidR="00F97880" w:rsidRPr="00AA1378">
        <w:tc>
          <w:tcPr>
            <w:tcW w:w="675" w:type="dxa"/>
            <w:tcBorders>
              <w:top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bCs/>
                <w:kern w:val="24"/>
                <w:sz w:val="18"/>
                <w:szCs w:val="36"/>
              </w:rPr>
            </w:pPr>
            <w:r w:rsidRPr="00AA1378">
              <w:rPr>
                <w:rFonts w:ascii="Arial" w:hAnsi="Arial"/>
                <w:bCs/>
                <w:kern w:val="24"/>
                <w:sz w:val="18"/>
                <w:szCs w:val="36"/>
              </w:rPr>
              <w:t>total</w:t>
            </w:r>
          </w:p>
        </w:tc>
        <w:tc>
          <w:tcPr>
            <w:tcW w:w="2347" w:type="dxa"/>
            <w:tcBorders>
              <w:top w:val="single" w:sz="6" w:space="0" w:color="auto"/>
            </w:tcBorders>
          </w:tcPr>
          <w:p w:rsidR="00F97880" w:rsidRPr="00AA1378" w:rsidRDefault="00F97880">
            <w:pPr>
              <w:pStyle w:val="NormalWeb"/>
              <w:spacing w:beforeLines="0" w:afterLines="0"/>
              <w:rPr>
                <w:rFonts w:ascii="Arial" w:hAnsi="Arial"/>
                <w:b/>
                <w:bCs/>
                <w:kern w:val="24"/>
                <w:sz w:val="18"/>
                <w:szCs w:val="36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66</w:t>
            </w:r>
          </w:p>
        </w:tc>
        <w:tc>
          <w:tcPr>
            <w:tcW w:w="1009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77</w:t>
            </w:r>
          </w:p>
        </w:tc>
        <w:tc>
          <w:tcPr>
            <w:tcW w:w="782" w:type="dxa"/>
            <w:tcBorders>
              <w:top w:val="single" w:sz="6" w:space="0" w:color="auto"/>
            </w:tcBorders>
            <w:vAlign w:val="center"/>
          </w:tcPr>
          <w:p w:rsidR="00F97880" w:rsidRPr="00AA1378" w:rsidRDefault="00F97880">
            <w:pPr>
              <w:pStyle w:val="NormalWeb"/>
              <w:spacing w:beforeLines="0" w:afterLines="0"/>
              <w:jc w:val="center"/>
              <w:rPr>
                <w:rFonts w:ascii="Arial" w:hAnsi="Arial"/>
                <w:kern w:val="24"/>
                <w:sz w:val="16"/>
                <w:szCs w:val="24"/>
              </w:rPr>
            </w:pPr>
            <w:r w:rsidRPr="00AA1378">
              <w:rPr>
                <w:rFonts w:ascii="Arial" w:hAnsi="Arial"/>
                <w:kern w:val="24"/>
                <w:sz w:val="16"/>
                <w:szCs w:val="24"/>
              </w:rPr>
              <w:t>4</w:t>
            </w:r>
          </w:p>
        </w:tc>
      </w:tr>
    </w:tbl>
    <w:p w:rsidR="007F09E3" w:rsidRDefault="007F09E3" w:rsidP="007F09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color="231F20"/>
          <w:lang w:eastAsia="zh-CN"/>
        </w:rPr>
      </w:pPr>
    </w:p>
    <w:p w:rsidR="00285EF2" w:rsidRPr="00285EF2" w:rsidRDefault="00285EF2" w:rsidP="00285E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85EF2">
        <w:rPr>
          <w:rFonts w:ascii="Arial" w:hAnsi="Arial"/>
          <w:b/>
          <w:sz w:val="18"/>
          <w:szCs w:val="20"/>
          <w:highlight w:val="lightGray"/>
          <w:lang w:eastAsia="zh-CN"/>
        </w:rPr>
        <w:t>Supplementary Appendix</w:t>
      </w:r>
      <w:r w:rsidRPr="00285EF2">
        <w:rPr>
          <w:rFonts w:ascii="Arial" w:hAnsi="Arial" w:cs="Arial"/>
          <w:b/>
          <w:sz w:val="18"/>
          <w:szCs w:val="18"/>
          <w:highlight w:val="lightGray"/>
        </w:rPr>
        <w:t xml:space="preserve"> Table 1.</w:t>
      </w:r>
      <w:proofErr w:type="gramEnd"/>
      <w:r w:rsidRPr="00285EF2">
        <w:rPr>
          <w:rFonts w:ascii="Arial" w:hAnsi="Arial" w:cs="Arial"/>
          <w:b/>
          <w:sz w:val="18"/>
          <w:szCs w:val="18"/>
        </w:rPr>
        <w:t xml:space="preserve"> </w:t>
      </w:r>
    </w:p>
    <w:p w:rsidR="007F09E3" w:rsidRPr="007F09E3" w:rsidRDefault="007F09E3" w:rsidP="007F09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7F09E3">
        <w:rPr>
          <w:rFonts w:ascii="Arial" w:hAnsi="Arial" w:cs="Arial"/>
          <w:sz w:val="18"/>
          <w:szCs w:val="18"/>
        </w:rPr>
        <w:t xml:space="preserve">Previous reports on the use of RTX in thrombocytopenia related to SLE and/or primary </w:t>
      </w:r>
      <w:r w:rsidRPr="007F09E3">
        <w:rPr>
          <w:rFonts w:ascii="Arial" w:hAnsi="Arial" w:cs="Arial"/>
          <w:sz w:val="18"/>
          <w:szCs w:val="22"/>
        </w:rPr>
        <w:t xml:space="preserve">SS. </w:t>
      </w:r>
      <w:r w:rsidRPr="007F09E3">
        <w:rPr>
          <w:rFonts w:ascii="Arial" w:hAnsi="Arial" w:cs="Arial"/>
          <w:sz w:val="18"/>
          <w:szCs w:val="16"/>
        </w:rPr>
        <w:t>CR: complete response; PR: partial response; NR: no response; AE: adverse effects.</w:t>
      </w:r>
    </w:p>
    <w:p w:rsidR="00F97880" w:rsidRDefault="00F97880" w:rsidP="00F97880">
      <w:pPr>
        <w:pStyle w:val="1"/>
        <w:widowControl w:val="0"/>
        <w:spacing w:line="480" w:lineRule="auto"/>
        <w:rPr>
          <w:rFonts w:ascii="Arial" w:hAnsi="Arial" w:cs="Arial"/>
          <w:color w:val="auto"/>
          <w:sz w:val="18"/>
          <w:szCs w:val="18"/>
          <w:u w:color="231F20"/>
        </w:rPr>
      </w:pPr>
    </w:p>
    <w:p w:rsidR="00040FC2" w:rsidRPr="00040FC2" w:rsidRDefault="00040FC2" w:rsidP="00F97880">
      <w:pPr>
        <w:pStyle w:val="1"/>
        <w:widowControl w:val="0"/>
        <w:spacing w:line="480" w:lineRule="auto"/>
        <w:rPr>
          <w:rFonts w:ascii="Arial" w:hAnsi="Arial" w:cs="Arial"/>
          <w:b/>
          <w:color w:val="auto"/>
          <w:sz w:val="18"/>
          <w:szCs w:val="18"/>
          <w:u w:color="231F20"/>
        </w:rPr>
      </w:pPr>
      <w:bookmarkStart w:id="0" w:name="_GoBack"/>
      <w:r w:rsidRPr="00040FC2">
        <w:rPr>
          <w:rFonts w:ascii="AdvTT9a62c830" w:eastAsiaTheme="minorHAnsi" w:hAnsi="AdvTT9a62c830" w:cs="AdvTT9a62c830"/>
          <w:b/>
          <w:sz w:val="18"/>
          <w:szCs w:val="18"/>
        </w:rPr>
        <w:t>REFERENCES</w:t>
      </w:r>
    </w:p>
    <w:bookmarkEnd w:id="0"/>
    <w:p w:rsidR="00796178" w:rsidRDefault="00796178" w:rsidP="00796178">
      <w:pPr>
        <w:rPr>
          <w:rFonts w:ascii="Arial" w:hAnsi="Arial" w:cs="Arial"/>
          <w:sz w:val="16"/>
          <w:szCs w:val="16"/>
        </w:rPr>
      </w:pPr>
      <w:r w:rsidRPr="005028E0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5028E0">
        <w:rPr>
          <w:rFonts w:ascii="Arial" w:hAnsi="Arial" w:cs="Arial"/>
          <w:sz w:val="16"/>
          <w:szCs w:val="16"/>
        </w:rPr>
        <w:t>Kneitz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C, Wilhelm M, Tony HP. Effective B cell depletion with rituximab in the treatment of autoimmune diseases. </w:t>
      </w:r>
      <w:proofErr w:type="spellStart"/>
      <w:proofErr w:type="gramStart"/>
      <w:r w:rsidRPr="005028E0">
        <w:rPr>
          <w:rFonts w:ascii="Arial" w:hAnsi="Arial" w:cs="Arial"/>
          <w:i/>
          <w:sz w:val="16"/>
          <w:szCs w:val="16"/>
        </w:rPr>
        <w:t>Immunobiology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2002</w:t>
      </w:r>
      <w:proofErr w:type="gramStart"/>
      <w:r w:rsidRPr="005028E0">
        <w:rPr>
          <w:rFonts w:ascii="Arial" w:hAnsi="Arial" w:cs="Arial"/>
          <w:sz w:val="16"/>
          <w:szCs w:val="16"/>
        </w:rPr>
        <w:t>;206:519</w:t>
      </w:r>
      <w:proofErr w:type="gramEnd"/>
      <w:r w:rsidRPr="005028E0">
        <w:rPr>
          <w:rFonts w:ascii="Arial" w:hAnsi="Arial" w:cs="Arial"/>
          <w:sz w:val="16"/>
          <w:szCs w:val="16"/>
        </w:rPr>
        <w:t>–527.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 w:rsidRPr="005028E0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5028E0">
        <w:rPr>
          <w:rFonts w:ascii="Arial" w:hAnsi="Arial" w:cs="Arial"/>
          <w:sz w:val="16"/>
          <w:szCs w:val="16"/>
        </w:rPr>
        <w:t>Tomietto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P, </w:t>
      </w:r>
      <w:proofErr w:type="spellStart"/>
      <w:r w:rsidRPr="005028E0">
        <w:rPr>
          <w:rFonts w:ascii="Arial" w:hAnsi="Arial" w:cs="Arial"/>
          <w:sz w:val="16"/>
          <w:szCs w:val="16"/>
        </w:rPr>
        <w:t>Gremese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E, </w:t>
      </w:r>
      <w:proofErr w:type="spellStart"/>
      <w:r w:rsidRPr="005028E0">
        <w:rPr>
          <w:rFonts w:ascii="Arial" w:hAnsi="Arial" w:cs="Arial"/>
          <w:sz w:val="16"/>
          <w:szCs w:val="16"/>
        </w:rPr>
        <w:t>Tolusso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B, et al. B cell depletion may lead to normalization of antiplatelet, anti-erythrocyte and antiphospholipid antibodies in systemic lupus erythematosus. </w:t>
      </w:r>
      <w:proofErr w:type="spellStart"/>
      <w:r w:rsidRPr="005028E0">
        <w:rPr>
          <w:rFonts w:ascii="Arial" w:hAnsi="Arial" w:cs="Arial"/>
          <w:i/>
          <w:sz w:val="16"/>
          <w:szCs w:val="16"/>
        </w:rPr>
        <w:t>Thromb</w:t>
      </w:r>
      <w:proofErr w:type="spellEnd"/>
      <w:r w:rsidRPr="005028E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028E0">
        <w:rPr>
          <w:rFonts w:ascii="Arial" w:hAnsi="Arial" w:cs="Arial"/>
          <w:i/>
          <w:sz w:val="16"/>
          <w:szCs w:val="16"/>
        </w:rPr>
        <w:t>Haemost</w:t>
      </w:r>
      <w:proofErr w:type="spellEnd"/>
      <w:r w:rsidRPr="005028E0">
        <w:rPr>
          <w:rFonts w:ascii="Arial" w:hAnsi="Arial" w:cs="Arial"/>
          <w:sz w:val="16"/>
          <w:szCs w:val="16"/>
        </w:rPr>
        <w:t>. 2004</w:t>
      </w:r>
      <w:proofErr w:type="gramStart"/>
      <w:r w:rsidRPr="005028E0">
        <w:rPr>
          <w:rFonts w:ascii="Arial" w:hAnsi="Arial" w:cs="Arial"/>
          <w:sz w:val="16"/>
          <w:szCs w:val="16"/>
        </w:rPr>
        <w:t>;92:150</w:t>
      </w:r>
      <w:proofErr w:type="gramEnd"/>
      <w:r w:rsidRPr="005028E0">
        <w:rPr>
          <w:rFonts w:ascii="Arial" w:hAnsi="Arial" w:cs="Arial"/>
          <w:sz w:val="16"/>
          <w:szCs w:val="16"/>
        </w:rPr>
        <w:t>–1153.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5028E0">
        <w:rPr>
          <w:rFonts w:ascii="Arial" w:hAnsi="Arial" w:cs="Arial"/>
          <w:sz w:val="16"/>
          <w:szCs w:val="16"/>
        </w:rPr>
        <w:t xml:space="preserve">. van den Bergh B, </w:t>
      </w:r>
      <w:proofErr w:type="spellStart"/>
      <w:r w:rsidRPr="005028E0">
        <w:rPr>
          <w:rFonts w:ascii="Arial" w:hAnsi="Arial" w:cs="Arial"/>
          <w:sz w:val="16"/>
          <w:szCs w:val="16"/>
        </w:rPr>
        <w:t>Selleslag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D, </w:t>
      </w:r>
      <w:proofErr w:type="spellStart"/>
      <w:r w:rsidRPr="005028E0">
        <w:rPr>
          <w:rFonts w:ascii="Arial" w:hAnsi="Arial" w:cs="Arial"/>
          <w:sz w:val="16"/>
          <w:szCs w:val="16"/>
        </w:rPr>
        <w:t>Boelaert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JR, et al. Management of therapy-resistant systemic lupus erythematosus with rituximab: report of a case and review of the literature. </w:t>
      </w:r>
      <w:proofErr w:type="spellStart"/>
      <w:r w:rsidRPr="005028E0">
        <w:rPr>
          <w:rFonts w:ascii="Arial" w:hAnsi="Arial" w:cs="Arial"/>
          <w:i/>
          <w:sz w:val="16"/>
          <w:szCs w:val="16"/>
        </w:rPr>
        <w:t>Acta</w:t>
      </w:r>
      <w:proofErr w:type="spellEnd"/>
      <w:r w:rsidRPr="005028E0">
        <w:rPr>
          <w:rFonts w:ascii="Arial" w:hAnsi="Arial" w:cs="Arial"/>
          <w:i/>
          <w:sz w:val="16"/>
          <w:szCs w:val="16"/>
        </w:rPr>
        <w:t xml:space="preserve"> Clin Belg</w:t>
      </w:r>
      <w:r w:rsidRPr="005028E0">
        <w:rPr>
          <w:rFonts w:ascii="Arial" w:hAnsi="Arial" w:cs="Arial"/>
          <w:sz w:val="16"/>
          <w:szCs w:val="16"/>
        </w:rPr>
        <w:t>. 2005</w:t>
      </w:r>
      <w:proofErr w:type="gramStart"/>
      <w:r w:rsidRPr="005028E0">
        <w:rPr>
          <w:rFonts w:ascii="Arial" w:hAnsi="Arial" w:cs="Arial"/>
          <w:sz w:val="16"/>
          <w:szCs w:val="16"/>
        </w:rPr>
        <w:t>;60:102</w:t>
      </w:r>
      <w:proofErr w:type="gramEnd"/>
      <w:r w:rsidRPr="005028E0">
        <w:rPr>
          <w:rFonts w:ascii="Arial" w:hAnsi="Arial" w:cs="Arial"/>
          <w:sz w:val="16"/>
          <w:szCs w:val="16"/>
        </w:rPr>
        <w:t>–105.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Ahn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ER, Lander G, </w:t>
      </w:r>
      <w:proofErr w:type="spellStart"/>
      <w:r w:rsidRPr="005028E0">
        <w:rPr>
          <w:rFonts w:ascii="Arial" w:hAnsi="Arial" w:cs="Arial"/>
          <w:sz w:val="16"/>
          <w:szCs w:val="16"/>
        </w:rPr>
        <w:t>Bidot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CJ, et al. Long-term remission from life-threatening </w:t>
      </w:r>
      <w:proofErr w:type="spellStart"/>
      <w:r w:rsidRPr="005028E0">
        <w:rPr>
          <w:rFonts w:ascii="Arial" w:hAnsi="Arial" w:cs="Arial"/>
          <w:sz w:val="16"/>
          <w:szCs w:val="16"/>
        </w:rPr>
        <w:t>hypercoagulable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state associated with lupus anticoagulant (LA) following rituximab therapy. </w:t>
      </w:r>
      <w:proofErr w:type="gramStart"/>
      <w:r w:rsidRPr="005028E0">
        <w:rPr>
          <w:rFonts w:ascii="Arial" w:hAnsi="Arial" w:cs="Arial"/>
          <w:i/>
          <w:sz w:val="16"/>
          <w:szCs w:val="16"/>
        </w:rPr>
        <w:t xml:space="preserve">Am J </w:t>
      </w:r>
      <w:proofErr w:type="spellStart"/>
      <w:r w:rsidRPr="005028E0">
        <w:rPr>
          <w:rFonts w:ascii="Arial" w:hAnsi="Arial" w:cs="Arial"/>
          <w:i/>
          <w:sz w:val="16"/>
          <w:szCs w:val="16"/>
        </w:rPr>
        <w:t>Hematol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2005</w:t>
      </w:r>
      <w:proofErr w:type="gramStart"/>
      <w:r w:rsidRPr="005028E0">
        <w:rPr>
          <w:rFonts w:ascii="Arial" w:hAnsi="Arial" w:cs="Arial"/>
          <w:sz w:val="16"/>
          <w:szCs w:val="16"/>
        </w:rPr>
        <w:t>;78:127</w:t>
      </w:r>
      <w:proofErr w:type="gramEnd"/>
      <w:r w:rsidRPr="005028E0">
        <w:rPr>
          <w:rFonts w:ascii="Arial" w:hAnsi="Arial" w:cs="Arial"/>
          <w:sz w:val="16"/>
          <w:szCs w:val="16"/>
        </w:rPr>
        <w:t>–129.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Paran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D, </w:t>
      </w:r>
      <w:proofErr w:type="spellStart"/>
      <w:r w:rsidRPr="005028E0">
        <w:rPr>
          <w:rFonts w:ascii="Arial" w:hAnsi="Arial" w:cs="Arial"/>
          <w:sz w:val="16"/>
          <w:szCs w:val="16"/>
        </w:rPr>
        <w:t>Trej’o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L, </w:t>
      </w:r>
      <w:proofErr w:type="spellStart"/>
      <w:r w:rsidRPr="005028E0">
        <w:rPr>
          <w:rFonts w:ascii="Arial" w:hAnsi="Arial" w:cs="Arial"/>
          <w:sz w:val="16"/>
          <w:szCs w:val="16"/>
        </w:rPr>
        <w:t>Caspi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D. Clinical images: B cell depletion in the appendix following rituximab treatment. </w:t>
      </w:r>
      <w:proofErr w:type="gramStart"/>
      <w:r w:rsidRPr="005028E0">
        <w:rPr>
          <w:rFonts w:ascii="Arial" w:hAnsi="Arial" w:cs="Arial"/>
          <w:i/>
          <w:sz w:val="16"/>
          <w:szCs w:val="16"/>
        </w:rPr>
        <w:t>Arthritis Rheum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2006</w:t>
      </w:r>
      <w:proofErr w:type="gramStart"/>
      <w:r w:rsidRPr="005028E0">
        <w:rPr>
          <w:rFonts w:ascii="Arial" w:hAnsi="Arial" w:cs="Arial"/>
          <w:sz w:val="16"/>
          <w:szCs w:val="16"/>
        </w:rPr>
        <w:t>;54:2151</w:t>
      </w:r>
      <w:proofErr w:type="gramEnd"/>
      <w:r w:rsidRPr="005028E0">
        <w:rPr>
          <w:rFonts w:ascii="Arial" w:hAnsi="Arial" w:cs="Arial"/>
          <w:sz w:val="16"/>
          <w:szCs w:val="16"/>
        </w:rPr>
        <w:t>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6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Anandacoomarasamy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A, Gibson J, McGill N. ‘Cure’ of life-threatening antiphospholipid syndrome with rituximab. </w:t>
      </w:r>
      <w:r w:rsidRPr="005028E0">
        <w:rPr>
          <w:rFonts w:ascii="Arial" w:hAnsi="Arial" w:cs="Arial"/>
          <w:i/>
          <w:sz w:val="16"/>
          <w:szCs w:val="16"/>
        </w:rPr>
        <w:t>Intern Med J</w:t>
      </w:r>
      <w:r w:rsidRPr="005028E0">
        <w:rPr>
          <w:rFonts w:ascii="Arial" w:hAnsi="Arial" w:cs="Arial"/>
          <w:sz w:val="16"/>
          <w:szCs w:val="16"/>
        </w:rPr>
        <w:t>. 2006</w:t>
      </w:r>
      <w:proofErr w:type="gramStart"/>
      <w:r w:rsidRPr="005028E0">
        <w:rPr>
          <w:rFonts w:ascii="Arial" w:hAnsi="Arial" w:cs="Arial"/>
          <w:sz w:val="16"/>
          <w:szCs w:val="16"/>
        </w:rPr>
        <w:t>;36:474</w:t>
      </w:r>
      <w:proofErr w:type="gramEnd"/>
      <w:r w:rsidRPr="005028E0">
        <w:rPr>
          <w:rFonts w:ascii="Arial" w:hAnsi="Arial" w:cs="Arial"/>
          <w:sz w:val="16"/>
          <w:szCs w:val="16"/>
        </w:rPr>
        <w:t>–475.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Niewold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TB, Alpert D, </w:t>
      </w:r>
      <w:proofErr w:type="spellStart"/>
      <w:r w:rsidRPr="005028E0">
        <w:rPr>
          <w:rFonts w:ascii="Arial" w:hAnsi="Arial" w:cs="Arial"/>
          <w:sz w:val="16"/>
          <w:szCs w:val="16"/>
        </w:rPr>
        <w:t>Scanzello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CR, et al. Rituximab treatment of thrombotic thrombocytopenic purpura in the setting of connective tissue disease. </w:t>
      </w:r>
      <w:proofErr w:type="gramStart"/>
      <w:r w:rsidRPr="005028E0">
        <w:rPr>
          <w:rFonts w:ascii="Arial" w:hAnsi="Arial" w:cs="Arial"/>
          <w:i/>
          <w:sz w:val="16"/>
          <w:szCs w:val="16"/>
        </w:rPr>
        <w:t xml:space="preserve">J </w:t>
      </w:r>
      <w:proofErr w:type="spellStart"/>
      <w:r w:rsidRPr="005028E0">
        <w:rPr>
          <w:rFonts w:ascii="Arial" w:hAnsi="Arial" w:cs="Arial"/>
          <w:i/>
          <w:sz w:val="16"/>
          <w:szCs w:val="16"/>
        </w:rPr>
        <w:t>Rheumatol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2006</w:t>
      </w:r>
      <w:proofErr w:type="gramStart"/>
      <w:r w:rsidRPr="005028E0">
        <w:rPr>
          <w:rFonts w:ascii="Arial" w:hAnsi="Arial" w:cs="Arial"/>
          <w:sz w:val="16"/>
          <w:szCs w:val="16"/>
        </w:rPr>
        <w:t>;33:1194</w:t>
      </w:r>
      <w:proofErr w:type="gramEnd"/>
      <w:r w:rsidRPr="005028E0">
        <w:rPr>
          <w:rFonts w:ascii="Arial" w:hAnsi="Arial" w:cs="Arial"/>
          <w:sz w:val="16"/>
          <w:szCs w:val="16"/>
        </w:rPr>
        <w:t>–1196.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5028E0">
        <w:rPr>
          <w:rFonts w:ascii="Arial" w:hAnsi="Arial" w:cs="Arial"/>
          <w:sz w:val="16"/>
          <w:szCs w:val="16"/>
        </w:rPr>
        <w:t xml:space="preserve">. Ng KP, Cambridge G, Leandro MJ, et al. B cell depletion therapy in systemic lupus erythematosus: long-term follow-up and predictors of response. </w:t>
      </w:r>
      <w:r w:rsidRPr="005028E0">
        <w:rPr>
          <w:rFonts w:ascii="Arial" w:hAnsi="Arial" w:cs="Arial"/>
          <w:i/>
          <w:sz w:val="16"/>
          <w:szCs w:val="16"/>
        </w:rPr>
        <w:t>Ann</w:t>
      </w:r>
      <w:r w:rsidRPr="005028E0">
        <w:rPr>
          <w:rFonts w:ascii="Arial" w:hAnsi="Arial" w:cs="Arial"/>
          <w:sz w:val="16"/>
          <w:szCs w:val="16"/>
        </w:rPr>
        <w:t xml:space="preserve"> </w:t>
      </w:r>
      <w:r w:rsidRPr="005028E0">
        <w:rPr>
          <w:rFonts w:ascii="Arial" w:hAnsi="Arial" w:cs="Arial"/>
          <w:i/>
          <w:sz w:val="16"/>
          <w:szCs w:val="16"/>
        </w:rPr>
        <w:t>Rheum</w:t>
      </w:r>
      <w:r w:rsidRPr="005028E0">
        <w:rPr>
          <w:rFonts w:ascii="Arial" w:hAnsi="Arial" w:cs="Arial"/>
          <w:sz w:val="16"/>
          <w:szCs w:val="16"/>
        </w:rPr>
        <w:t xml:space="preserve"> </w:t>
      </w:r>
      <w:r w:rsidRPr="005028E0">
        <w:rPr>
          <w:rFonts w:ascii="Arial" w:hAnsi="Arial" w:cs="Arial"/>
          <w:i/>
          <w:sz w:val="16"/>
          <w:szCs w:val="16"/>
        </w:rPr>
        <w:t>Dis</w:t>
      </w:r>
      <w:r w:rsidRPr="005028E0">
        <w:rPr>
          <w:rFonts w:ascii="Arial" w:hAnsi="Arial" w:cs="Arial"/>
          <w:sz w:val="16"/>
          <w:szCs w:val="16"/>
        </w:rPr>
        <w:t>. 2007</w:t>
      </w:r>
      <w:proofErr w:type="gramStart"/>
      <w:r w:rsidRPr="005028E0">
        <w:rPr>
          <w:rFonts w:ascii="Arial" w:hAnsi="Arial" w:cs="Arial"/>
          <w:sz w:val="16"/>
          <w:szCs w:val="16"/>
        </w:rPr>
        <w:t>;66:1259</w:t>
      </w:r>
      <w:proofErr w:type="gramEnd"/>
      <w:r w:rsidRPr="005028E0">
        <w:rPr>
          <w:rFonts w:ascii="Arial" w:hAnsi="Arial" w:cs="Arial"/>
          <w:sz w:val="16"/>
          <w:szCs w:val="16"/>
        </w:rPr>
        <w:t>–1262.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Limal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N, </w:t>
      </w:r>
      <w:proofErr w:type="spellStart"/>
      <w:r w:rsidRPr="005028E0">
        <w:rPr>
          <w:rFonts w:ascii="Arial" w:hAnsi="Arial" w:cs="Arial"/>
          <w:sz w:val="16"/>
          <w:szCs w:val="16"/>
        </w:rPr>
        <w:t>Cacoub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P, </w:t>
      </w:r>
      <w:proofErr w:type="spellStart"/>
      <w:r w:rsidRPr="005028E0">
        <w:rPr>
          <w:rFonts w:ascii="Arial" w:hAnsi="Arial" w:cs="Arial"/>
          <w:sz w:val="16"/>
          <w:szCs w:val="16"/>
        </w:rPr>
        <w:t>SèneD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, et al. Rituximab for the treatment of thrombotic thrombocytopenic purpura in systemic lupus erythematosus.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2008</w:t>
      </w:r>
      <w:proofErr w:type="gramStart"/>
      <w:r w:rsidRPr="005028E0">
        <w:rPr>
          <w:rFonts w:ascii="Arial" w:hAnsi="Arial" w:cs="Arial"/>
          <w:sz w:val="16"/>
          <w:szCs w:val="16"/>
        </w:rPr>
        <w:t>;17:69</w:t>
      </w:r>
      <w:proofErr w:type="gramEnd"/>
      <w:r w:rsidRPr="005028E0">
        <w:rPr>
          <w:rFonts w:ascii="Arial" w:hAnsi="Arial" w:cs="Arial"/>
          <w:sz w:val="16"/>
          <w:szCs w:val="16"/>
        </w:rPr>
        <w:t>–71.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Pr="005028E0">
        <w:rPr>
          <w:rFonts w:ascii="Arial" w:hAnsi="Arial" w:cs="Arial"/>
          <w:sz w:val="16"/>
          <w:szCs w:val="16"/>
        </w:rPr>
        <w:t xml:space="preserve">. Fukushima T, Dong L, Sakai T, et al. Successful treatment of </w:t>
      </w:r>
      <w:proofErr w:type="spellStart"/>
      <w:r w:rsidRPr="005028E0">
        <w:rPr>
          <w:rFonts w:ascii="Arial" w:hAnsi="Arial" w:cs="Arial"/>
          <w:sz w:val="16"/>
          <w:szCs w:val="16"/>
        </w:rPr>
        <w:t>amegakaryocytic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thrombocytopenia with anti-CD20 antibody (rituximab) in a patient with systemic lupus erythematosus.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2008</w:t>
      </w:r>
      <w:proofErr w:type="gramStart"/>
      <w:r w:rsidRPr="005028E0">
        <w:rPr>
          <w:rFonts w:ascii="Arial" w:hAnsi="Arial" w:cs="Arial"/>
          <w:sz w:val="16"/>
          <w:szCs w:val="16"/>
        </w:rPr>
        <w:t>;17:210</w:t>
      </w:r>
      <w:proofErr w:type="gramEnd"/>
      <w:r w:rsidRPr="005028E0">
        <w:rPr>
          <w:rFonts w:ascii="Arial" w:hAnsi="Arial" w:cs="Arial"/>
          <w:sz w:val="16"/>
          <w:szCs w:val="16"/>
        </w:rPr>
        <w:t>–214.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Pr="005028E0">
        <w:rPr>
          <w:rFonts w:ascii="Arial" w:hAnsi="Arial" w:cs="Arial"/>
          <w:sz w:val="16"/>
          <w:szCs w:val="16"/>
        </w:rPr>
        <w:t xml:space="preserve">. Kittaka K, </w:t>
      </w:r>
      <w:proofErr w:type="spellStart"/>
      <w:r w:rsidRPr="005028E0">
        <w:rPr>
          <w:rFonts w:ascii="Arial" w:hAnsi="Arial" w:cs="Arial"/>
          <w:sz w:val="16"/>
          <w:szCs w:val="16"/>
        </w:rPr>
        <w:t>Dobashi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H, Baba N, et al. A case of Evans syndrome combined with systemic lupus erythematosus successfully treated with rituximab.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Scand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J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Rheumatol</w:t>
      </w:r>
      <w:proofErr w:type="spellEnd"/>
      <w:r w:rsidRPr="005028E0">
        <w:rPr>
          <w:rFonts w:ascii="Arial" w:hAnsi="Arial" w:cs="Arial"/>
          <w:sz w:val="16"/>
          <w:szCs w:val="16"/>
        </w:rPr>
        <w:t>. 2008</w:t>
      </w:r>
      <w:proofErr w:type="gramStart"/>
      <w:r w:rsidRPr="005028E0">
        <w:rPr>
          <w:rFonts w:ascii="Arial" w:hAnsi="Arial" w:cs="Arial"/>
          <w:sz w:val="16"/>
          <w:szCs w:val="16"/>
        </w:rPr>
        <w:t>;37:390</w:t>
      </w:r>
      <w:proofErr w:type="gramEnd"/>
      <w:r w:rsidRPr="005028E0">
        <w:rPr>
          <w:rFonts w:ascii="Arial" w:hAnsi="Arial" w:cs="Arial"/>
          <w:sz w:val="16"/>
          <w:szCs w:val="16"/>
        </w:rPr>
        <w:t>–393.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Hundae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A, </w:t>
      </w:r>
      <w:proofErr w:type="spellStart"/>
      <w:r w:rsidRPr="005028E0">
        <w:rPr>
          <w:rFonts w:ascii="Arial" w:hAnsi="Arial" w:cs="Arial"/>
          <w:sz w:val="16"/>
          <w:szCs w:val="16"/>
        </w:rPr>
        <w:t>Peskoe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S, </w:t>
      </w:r>
      <w:proofErr w:type="spellStart"/>
      <w:r w:rsidRPr="005028E0">
        <w:rPr>
          <w:rFonts w:ascii="Arial" w:hAnsi="Arial" w:cs="Arial"/>
          <w:sz w:val="16"/>
          <w:szCs w:val="16"/>
        </w:rPr>
        <w:t>Grimsley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E, Patel S. Rituximab therapy for refractory thrombotic thrombocytopenic purpura and autoimmune-mediated thrombocytopenia in systemic lupus erythematosus. </w:t>
      </w:r>
      <w:r w:rsidRPr="000C17A5">
        <w:rPr>
          <w:rFonts w:ascii="Arial" w:hAnsi="Arial" w:cs="Arial"/>
          <w:i/>
          <w:sz w:val="16"/>
          <w:szCs w:val="16"/>
        </w:rPr>
        <w:t>South Med J</w:t>
      </w:r>
      <w:r w:rsidRPr="005028E0">
        <w:rPr>
          <w:rFonts w:ascii="Arial" w:hAnsi="Arial" w:cs="Arial"/>
          <w:sz w:val="16"/>
          <w:szCs w:val="16"/>
        </w:rPr>
        <w:t>. 2008</w:t>
      </w:r>
      <w:proofErr w:type="gramStart"/>
      <w:r w:rsidRPr="005028E0">
        <w:rPr>
          <w:rFonts w:ascii="Arial" w:hAnsi="Arial" w:cs="Arial"/>
          <w:sz w:val="16"/>
          <w:szCs w:val="16"/>
        </w:rPr>
        <w:t>;101:943</w:t>
      </w:r>
      <w:proofErr w:type="gramEnd"/>
      <w:r w:rsidRPr="005028E0">
        <w:rPr>
          <w:rFonts w:ascii="Arial" w:hAnsi="Arial" w:cs="Arial"/>
          <w:sz w:val="16"/>
          <w:szCs w:val="16"/>
        </w:rPr>
        <w:t>–944.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Nadri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QJ. </w:t>
      </w:r>
      <w:proofErr w:type="gramStart"/>
      <w:r w:rsidRPr="005028E0">
        <w:rPr>
          <w:rFonts w:ascii="Arial" w:hAnsi="Arial" w:cs="Arial"/>
          <w:sz w:val="16"/>
          <w:szCs w:val="16"/>
        </w:rPr>
        <w:t>Rituximab to treat active SLE in a hemodialysis patient.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 xml:space="preserve">Saudi J Kidney Dis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Transpl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2009</w:t>
      </w:r>
      <w:proofErr w:type="gramStart"/>
      <w:r w:rsidRPr="005028E0">
        <w:rPr>
          <w:rFonts w:ascii="Arial" w:hAnsi="Arial" w:cs="Arial"/>
          <w:sz w:val="16"/>
          <w:szCs w:val="16"/>
        </w:rPr>
        <w:t>;20:1085</w:t>
      </w:r>
      <w:proofErr w:type="gramEnd"/>
      <w:r w:rsidRPr="005028E0">
        <w:rPr>
          <w:rFonts w:ascii="Arial" w:hAnsi="Arial" w:cs="Arial"/>
          <w:sz w:val="16"/>
          <w:szCs w:val="16"/>
        </w:rPr>
        <w:t>–1086.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Pr="005028E0">
        <w:rPr>
          <w:rFonts w:ascii="Arial" w:hAnsi="Arial" w:cs="Arial"/>
          <w:sz w:val="16"/>
          <w:szCs w:val="16"/>
        </w:rPr>
        <w:t xml:space="preserve">. Reis EA, </w:t>
      </w:r>
      <w:proofErr w:type="spellStart"/>
      <w:r w:rsidRPr="005028E0">
        <w:rPr>
          <w:rFonts w:ascii="Arial" w:hAnsi="Arial" w:cs="Arial"/>
          <w:sz w:val="16"/>
          <w:szCs w:val="16"/>
        </w:rPr>
        <w:t>Athanazio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DA, Lima I, et al. NK and NKT cell dynamics after rituximab therapy for systemic lupus erythematosus and rheumatoid arthritis.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Rheumatol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Int</w:t>
      </w:r>
      <w:r w:rsidRPr="005028E0">
        <w:rPr>
          <w:rFonts w:ascii="Arial" w:hAnsi="Arial" w:cs="Arial"/>
          <w:sz w:val="16"/>
          <w:szCs w:val="16"/>
        </w:rPr>
        <w:t>. 2009</w:t>
      </w:r>
      <w:proofErr w:type="gramStart"/>
      <w:r w:rsidRPr="005028E0">
        <w:rPr>
          <w:rFonts w:ascii="Arial" w:hAnsi="Arial" w:cs="Arial"/>
          <w:sz w:val="16"/>
          <w:szCs w:val="16"/>
        </w:rPr>
        <w:t>;29:469</w:t>
      </w:r>
      <w:proofErr w:type="gramEnd"/>
      <w:r w:rsidRPr="005028E0">
        <w:rPr>
          <w:rFonts w:ascii="Arial" w:hAnsi="Arial" w:cs="Arial"/>
          <w:sz w:val="16"/>
          <w:szCs w:val="16"/>
        </w:rPr>
        <w:t>–475.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Mardjuadi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A, </w:t>
      </w:r>
      <w:proofErr w:type="spellStart"/>
      <w:r w:rsidRPr="005028E0">
        <w:rPr>
          <w:rFonts w:ascii="Arial" w:hAnsi="Arial" w:cs="Arial"/>
          <w:sz w:val="16"/>
          <w:szCs w:val="16"/>
        </w:rPr>
        <w:t>Soedirman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M, </w:t>
      </w:r>
      <w:proofErr w:type="spellStart"/>
      <w:r w:rsidRPr="005028E0">
        <w:rPr>
          <w:rFonts w:ascii="Arial" w:hAnsi="Arial" w:cs="Arial"/>
          <w:sz w:val="16"/>
          <w:szCs w:val="16"/>
        </w:rPr>
        <w:t>Utoyo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B, et al. Prompt remission of severe SLE with only three doses of rituximab infusion and low dose steroid: the first case report from Indonesia. </w:t>
      </w:r>
      <w:r w:rsidRPr="000C17A5">
        <w:rPr>
          <w:rFonts w:ascii="Arial" w:hAnsi="Arial" w:cs="Arial"/>
          <w:i/>
          <w:sz w:val="16"/>
          <w:szCs w:val="16"/>
        </w:rPr>
        <w:t xml:space="preserve">Clin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Rheumatol</w:t>
      </w:r>
      <w:proofErr w:type="spellEnd"/>
      <w:r w:rsidRPr="005028E0">
        <w:rPr>
          <w:rFonts w:ascii="Arial" w:hAnsi="Arial" w:cs="Arial"/>
          <w:sz w:val="16"/>
          <w:szCs w:val="16"/>
        </w:rPr>
        <w:t>. 2009</w:t>
      </w:r>
      <w:proofErr w:type="gramStart"/>
      <w:r w:rsidRPr="005028E0">
        <w:rPr>
          <w:rFonts w:ascii="Arial" w:hAnsi="Arial" w:cs="Arial"/>
          <w:sz w:val="16"/>
          <w:szCs w:val="16"/>
        </w:rPr>
        <w:t>;28</w:t>
      </w:r>
      <w:proofErr w:type="gramEnd"/>
      <w:r w:rsidRPr="005028E0">
        <w:rPr>
          <w:rFonts w:ascii="Arial" w:hAnsi="Arial" w:cs="Arial"/>
          <w:sz w:val="16"/>
          <w:szCs w:val="16"/>
        </w:rPr>
        <w:t>(</w:t>
      </w:r>
      <w:proofErr w:type="spellStart"/>
      <w:r w:rsidRPr="005028E0">
        <w:rPr>
          <w:rFonts w:ascii="Arial" w:hAnsi="Arial" w:cs="Arial"/>
          <w:sz w:val="16"/>
          <w:szCs w:val="16"/>
        </w:rPr>
        <w:t>Suppl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1):S27–S30.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Letchumanan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P, Ng HJ, Lee LH, et al. </w:t>
      </w:r>
      <w:proofErr w:type="gramStart"/>
      <w:r w:rsidRPr="005028E0">
        <w:rPr>
          <w:rFonts w:ascii="Arial" w:hAnsi="Arial" w:cs="Arial"/>
          <w:sz w:val="16"/>
          <w:szCs w:val="16"/>
        </w:rPr>
        <w:t>A comparison of thrombotic thrombocytopenic purpura in an inception cohort</w:t>
      </w:r>
      <w:r>
        <w:rPr>
          <w:rFonts w:ascii="Arial" w:hAnsi="Arial" w:cs="Arial"/>
          <w:sz w:val="16"/>
          <w:szCs w:val="16"/>
        </w:rPr>
        <w:t xml:space="preserve"> </w:t>
      </w:r>
      <w:r w:rsidRPr="005028E0">
        <w:rPr>
          <w:rFonts w:ascii="Arial" w:hAnsi="Arial" w:cs="Arial"/>
          <w:sz w:val="16"/>
          <w:szCs w:val="16"/>
        </w:rPr>
        <w:t>of patients with and without systemic lupus erythematosus.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Rheumatology (Oxford).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2009</w:t>
      </w:r>
      <w:proofErr w:type="gramStart"/>
      <w:r w:rsidRPr="005028E0">
        <w:rPr>
          <w:rFonts w:ascii="Arial" w:hAnsi="Arial" w:cs="Arial"/>
          <w:sz w:val="16"/>
          <w:szCs w:val="16"/>
        </w:rPr>
        <w:t>;48:399</w:t>
      </w:r>
      <w:proofErr w:type="gramEnd"/>
      <w:r w:rsidRPr="005028E0">
        <w:rPr>
          <w:rFonts w:ascii="Arial" w:hAnsi="Arial" w:cs="Arial"/>
          <w:sz w:val="16"/>
          <w:szCs w:val="16"/>
        </w:rPr>
        <w:t>–403.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Pr="005028E0">
        <w:rPr>
          <w:rFonts w:ascii="Arial" w:hAnsi="Arial" w:cs="Arial"/>
          <w:sz w:val="16"/>
          <w:szCs w:val="16"/>
        </w:rPr>
        <w:t xml:space="preserve">. Lateef A, </w:t>
      </w:r>
      <w:proofErr w:type="spellStart"/>
      <w:r w:rsidRPr="005028E0">
        <w:rPr>
          <w:rFonts w:ascii="Arial" w:hAnsi="Arial" w:cs="Arial"/>
          <w:sz w:val="16"/>
          <w:szCs w:val="16"/>
        </w:rPr>
        <w:t>Lahiri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M, </w:t>
      </w:r>
      <w:proofErr w:type="spellStart"/>
      <w:r w:rsidRPr="005028E0">
        <w:rPr>
          <w:rFonts w:ascii="Arial" w:hAnsi="Arial" w:cs="Arial"/>
          <w:sz w:val="16"/>
          <w:szCs w:val="16"/>
        </w:rPr>
        <w:t>Teng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GG, et al. Use of rituximab in the treatment of refractory systemic lupus erythematosus: Singapore experience.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2010</w:t>
      </w:r>
      <w:proofErr w:type="gramStart"/>
      <w:r w:rsidRPr="005028E0">
        <w:rPr>
          <w:rFonts w:ascii="Arial" w:hAnsi="Arial" w:cs="Arial"/>
          <w:sz w:val="16"/>
          <w:szCs w:val="16"/>
        </w:rPr>
        <w:t>;19:765</w:t>
      </w:r>
      <w:proofErr w:type="gramEnd"/>
      <w:r w:rsidRPr="005028E0">
        <w:rPr>
          <w:rFonts w:ascii="Arial" w:hAnsi="Arial" w:cs="Arial"/>
          <w:sz w:val="16"/>
          <w:szCs w:val="16"/>
        </w:rPr>
        <w:t>–770.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</w:t>
      </w:r>
      <w:r w:rsidRPr="005028E0">
        <w:rPr>
          <w:rFonts w:ascii="Arial" w:hAnsi="Arial" w:cs="Arial"/>
          <w:sz w:val="16"/>
          <w:szCs w:val="16"/>
        </w:rPr>
        <w:t xml:space="preserve">. Zheng WJ, Zhang X, Wang Q, et al. Refractory severe connective tissue disease thrombocytopenia: is rituximab treatment effective and safe? </w:t>
      </w:r>
      <w:r w:rsidRPr="000C17A5">
        <w:rPr>
          <w:rFonts w:ascii="Arial" w:hAnsi="Arial" w:cs="Arial"/>
          <w:i/>
          <w:sz w:val="16"/>
          <w:szCs w:val="16"/>
        </w:rPr>
        <w:t>Ann Rheum Dis</w:t>
      </w:r>
      <w:r w:rsidRPr="005028E0">
        <w:rPr>
          <w:rFonts w:ascii="Arial" w:hAnsi="Arial" w:cs="Arial"/>
          <w:sz w:val="16"/>
          <w:szCs w:val="16"/>
        </w:rPr>
        <w:t>. 2009</w:t>
      </w:r>
      <w:proofErr w:type="gramStart"/>
      <w:r w:rsidRPr="005028E0">
        <w:rPr>
          <w:rFonts w:ascii="Arial" w:hAnsi="Arial" w:cs="Arial"/>
          <w:sz w:val="16"/>
          <w:szCs w:val="16"/>
        </w:rPr>
        <w:t>;68:1077</w:t>
      </w:r>
      <w:proofErr w:type="gramEnd"/>
      <w:r w:rsidRPr="005028E0">
        <w:rPr>
          <w:rFonts w:ascii="Arial" w:hAnsi="Arial" w:cs="Arial"/>
          <w:sz w:val="16"/>
          <w:szCs w:val="16"/>
        </w:rPr>
        <w:t>–1078.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Pr="005028E0">
        <w:rPr>
          <w:rFonts w:ascii="Arial" w:hAnsi="Arial" w:cs="Arial"/>
          <w:sz w:val="16"/>
          <w:szCs w:val="16"/>
        </w:rPr>
        <w:t xml:space="preserve">. Lee SY, Hsu PY, Juan KC, et al. Successful treatment of autoimmune thrombocytopenic purpura with rituximab in a dialysis patient with systemic lupus erythematosus.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Int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Immunopharmacol</w:t>
      </w:r>
      <w:proofErr w:type="spellEnd"/>
      <w:r w:rsidRPr="005028E0">
        <w:rPr>
          <w:rFonts w:ascii="Arial" w:hAnsi="Arial" w:cs="Arial"/>
          <w:sz w:val="16"/>
          <w:szCs w:val="16"/>
        </w:rPr>
        <w:t>. 2010</w:t>
      </w:r>
      <w:proofErr w:type="gramStart"/>
      <w:r w:rsidRPr="005028E0">
        <w:rPr>
          <w:rFonts w:ascii="Arial" w:hAnsi="Arial" w:cs="Arial"/>
          <w:sz w:val="16"/>
          <w:szCs w:val="16"/>
        </w:rPr>
        <w:t>;10:632</w:t>
      </w:r>
      <w:proofErr w:type="gramEnd"/>
      <w:r w:rsidRPr="005028E0">
        <w:rPr>
          <w:rFonts w:ascii="Arial" w:hAnsi="Arial" w:cs="Arial"/>
          <w:sz w:val="16"/>
          <w:szCs w:val="16"/>
        </w:rPr>
        <w:t>–634.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Pr="005028E0">
        <w:rPr>
          <w:rFonts w:ascii="Arial" w:hAnsi="Arial" w:cs="Arial"/>
          <w:sz w:val="16"/>
          <w:szCs w:val="16"/>
        </w:rPr>
        <w:t xml:space="preserve">. Terrier B, </w:t>
      </w:r>
      <w:proofErr w:type="spellStart"/>
      <w:r w:rsidRPr="005028E0">
        <w:rPr>
          <w:rFonts w:ascii="Arial" w:hAnsi="Arial" w:cs="Arial"/>
          <w:sz w:val="16"/>
          <w:szCs w:val="16"/>
        </w:rPr>
        <w:t>Amoura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Z, </w:t>
      </w:r>
      <w:proofErr w:type="spellStart"/>
      <w:r w:rsidRPr="005028E0">
        <w:rPr>
          <w:rFonts w:ascii="Arial" w:hAnsi="Arial" w:cs="Arial"/>
          <w:sz w:val="16"/>
          <w:szCs w:val="16"/>
        </w:rPr>
        <w:t>Ravaud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P, et al. Safety and efficacy of rituximab in systemic lupus erythematosus: results from 136 patients from the French </w:t>
      </w:r>
      <w:proofErr w:type="spellStart"/>
      <w:r w:rsidRPr="005028E0">
        <w:rPr>
          <w:rFonts w:ascii="Arial" w:hAnsi="Arial" w:cs="Arial"/>
          <w:sz w:val="16"/>
          <w:szCs w:val="16"/>
        </w:rPr>
        <w:t>AutoImmunity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and Rituximab registry.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Arthritis Rheum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2010</w:t>
      </w:r>
      <w:proofErr w:type="gramStart"/>
      <w:r w:rsidRPr="005028E0">
        <w:rPr>
          <w:rFonts w:ascii="Arial" w:hAnsi="Arial" w:cs="Arial"/>
          <w:sz w:val="16"/>
          <w:szCs w:val="16"/>
        </w:rPr>
        <w:t>;62:2458</w:t>
      </w:r>
      <w:proofErr w:type="gramEnd"/>
      <w:r w:rsidRPr="005028E0">
        <w:rPr>
          <w:rFonts w:ascii="Arial" w:hAnsi="Arial" w:cs="Arial"/>
          <w:sz w:val="16"/>
          <w:szCs w:val="16"/>
        </w:rPr>
        <w:t>–2466.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Niaz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FA, </w:t>
      </w:r>
      <w:proofErr w:type="spellStart"/>
      <w:r w:rsidRPr="005028E0">
        <w:rPr>
          <w:rFonts w:ascii="Arial" w:hAnsi="Arial" w:cs="Arial"/>
          <w:sz w:val="16"/>
          <w:szCs w:val="16"/>
        </w:rPr>
        <w:t>Aleem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A. Response to rituximab in a refractory case of thrombotic thrombocytopenic purpura associated with systemic lupus erythematosus.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 xml:space="preserve">Saudi J Kidney Dis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Transpl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2010</w:t>
      </w:r>
      <w:proofErr w:type="gramStart"/>
      <w:r w:rsidRPr="005028E0">
        <w:rPr>
          <w:rFonts w:ascii="Arial" w:hAnsi="Arial" w:cs="Arial"/>
          <w:sz w:val="16"/>
          <w:szCs w:val="16"/>
        </w:rPr>
        <w:t>;21:109</w:t>
      </w:r>
      <w:proofErr w:type="gramEnd"/>
      <w:r w:rsidRPr="005028E0">
        <w:rPr>
          <w:rFonts w:ascii="Arial" w:hAnsi="Arial" w:cs="Arial"/>
          <w:sz w:val="16"/>
          <w:szCs w:val="16"/>
        </w:rPr>
        <w:t>–112.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</w:t>
      </w:r>
      <w:r w:rsidRPr="005028E0">
        <w:rPr>
          <w:rFonts w:ascii="Arial" w:hAnsi="Arial" w:cs="Arial"/>
          <w:sz w:val="16"/>
          <w:szCs w:val="16"/>
        </w:rPr>
        <w:t xml:space="preserve">. Garcia-Carrasco M, Mendoza-Pinto C, Sandoval-Cruz M, et al. Anti-CD20 therapy in patients with refractory systemic lupus erythematosus: a longitudinal analysis of 52 Hispanic patients.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5028E0">
        <w:rPr>
          <w:rFonts w:ascii="Arial" w:hAnsi="Arial" w:cs="Arial"/>
          <w:sz w:val="16"/>
          <w:szCs w:val="16"/>
        </w:rPr>
        <w:t>2010</w:t>
      </w:r>
      <w:proofErr w:type="gramStart"/>
      <w:r w:rsidRPr="005028E0">
        <w:rPr>
          <w:rFonts w:ascii="Arial" w:hAnsi="Arial" w:cs="Arial"/>
          <w:sz w:val="16"/>
          <w:szCs w:val="16"/>
        </w:rPr>
        <w:t>;19:213</w:t>
      </w:r>
      <w:proofErr w:type="gramEnd"/>
      <w:r w:rsidRPr="005028E0">
        <w:rPr>
          <w:rFonts w:ascii="Arial" w:hAnsi="Arial" w:cs="Arial"/>
          <w:sz w:val="16"/>
          <w:szCs w:val="16"/>
        </w:rPr>
        <w:t>–219.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</w:t>
      </w:r>
      <w:r w:rsidRPr="005028E0">
        <w:rPr>
          <w:rFonts w:ascii="Arial" w:hAnsi="Arial" w:cs="Arial"/>
          <w:sz w:val="16"/>
          <w:szCs w:val="16"/>
        </w:rPr>
        <w:t xml:space="preserve">. Chen H, Zheng W, Su J, et al. Low-dose rituximab therapy for refractory thrombocytopenia in patients with systemic lupus erythematosus—a prospective pilot study.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Rheumatology (Oxford)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2011</w:t>
      </w:r>
      <w:proofErr w:type="gramStart"/>
      <w:r w:rsidRPr="005028E0">
        <w:rPr>
          <w:rFonts w:ascii="Arial" w:hAnsi="Arial" w:cs="Arial"/>
          <w:sz w:val="16"/>
          <w:szCs w:val="16"/>
        </w:rPr>
        <w:t>;50:1640</w:t>
      </w:r>
      <w:proofErr w:type="gramEnd"/>
      <w:r w:rsidRPr="005028E0">
        <w:rPr>
          <w:rFonts w:ascii="Arial" w:hAnsi="Arial" w:cs="Arial"/>
          <w:sz w:val="16"/>
          <w:szCs w:val="16"/>
        </w:rPr>
        <w:t>–1644.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24</w:t>
      </w:r>
      <w:r w:rsidRPr="005028E0">
        <w:rPr>
          <w:rFonts w:ascii="Arial" w:hAnsi="Arial" w:cs="Arial"/>
          <w:sz w:val="16"/>
          <w:szCs w:val="16"/>
        </w:rPr>
        <w:t xml:space="preserve">. Gupta RK, </w:t>
      </w:r>
      <w:proofErr w:type="spellStart"/>
      <w:r w:rsidRPr="005028E0">
        <w:rPr>
          <w:rFonts w:ascii="Arial" w:hAnsi="Arial" w:cs="Arial"/>
          <w:sz w:val="16"/>
          <w:szCs w:val="16"/>
        </w:rPr>
        <w:t>Ezeonyeji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AN, Thomas AS, et al.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A case of pure red cell aplasia and immune thrombocytopenia complicating systemic lupus erythematosus: response to rituximab and cyclophosphamide.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2011</w:t>
      </w:r>
      <w:proofErr w:type="gramStart"/>
      <w:r w:rsidRPr="005028E0">
        <w:rPr>
          <w:rFonts w:ascii="Arial" w:hAnsi="Arial" w:cs="Arial"/>
          <w:sz w:val="16"/>
          <w:szCs w:val="16"/>
        </w:rPr>
        <w:t>;20:1547</w:t>
      </w:r>
      <w:proofErr w:type="gramEnd"/>
      <w:r w:rsidRPr="005028E0">
        <w:rPr>
          <w:rFonts w:ascii="Arial" w:hAnsi="Arial" w:cs="Arial"/>
          <w:sz w:val="16"/>
          <w:szCs w:val="16"/>
        </w:rPr>
        <w:t>–1550.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Pr="005028E0">
        <w:rPr>
          <w:rFonts w:ascii="Arial" w:hAnsi="Arial" w:cs="Arial"/>
          <w:sz w:val="16"/>
          <w:szCs w:val="16"/>
        </w:rPr>
        <w:t xml:space="preserve">. Pinto LF, </w:t>
      </w:r>
      <w:proofErr w:type="spellStart"/>
      <w:r w:rsidRPr="005028E0">
        <w:rPr>
          <w:rFonts w:ascii="Arial" w:hAnsi="Arial" w:cs="Arial"/>
          <w:sz w:val="16"/>
          <w:szCs w:val="16"/>
        </w:rPr>
        <w:t>Velásquez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CJ, Prieto C, et al. Rituximab induces a rapid and sustained remission in Colombian patients with severe and refractory systemic lupus erythematosus.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2011</w:t>
      </w:r>
      <w:proofErr w:type="gramStart"/>
      <w:r w:rsidRPr="005028E0">
        <w:rPr>
          <w:rFonts w:ascii="Arial" w:hAnsi="Arial" w:cs="Arial"/>
          <w:sz w:val="16"/>
          <w:szCs w:val="16"/>
        </w:rPr>
        <w:t>;20:1219</w:t>
      </w:r>
      <w:proofErr w:type="gramEnd"/>
      <w:r w:rsidRPr="005028E0">
        <w:rPr>
          <w:rFonts w:ascii="Arial" w:hAnsi="Arial" w:cs="Arial"/>
          <w:sz w:val="16"/>
          <w:szCs w:val="16"/>
        </w:rPr>
        <w:t>–1226.</w:t>
      </w: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Jovancevic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B, </w:t>
      </w:r>
      <w:proofErr w:type="spellStart"/>
      <w:r w:rsidRPr="005028E0">
        <w:rPr>
          <w:rFonts w:ascii="Arial" w:hAnsi="Arial" w:cs="Arial"/>
          <w:sz w:val="16"/>
          <w:szCs w:val="16"/>
        </w:rPr>
        <w:t>Lindholm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C, </w:t>
      </w:r>
      <w:proofErr w:type="spellStart"/>
      <w:r w:rsidRPr="005028E0">
        <w:rPr>
          <w:rFonts w:ascii="Arial" w:hAnsi="Arial" w:cs="Arial"/>
          <w:sz w:val="16"/>
          <w:szCs w:val="16"/>
        </w:rPr>
        <w:t>Pulleritis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R. Anti B cell-therapy against refractory thrombocytopenia in SLE and MCTD patients: long-term follow-up and review of the literature.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>Lupus</w:t>
      </w:r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2013</w:t>
      </w:r>
      <w:proofErr w:type="gramStart"/>
      <w:r w:rsidRPr="005028E0">
        <w:rPr>
          <w:rFonts w:ascii="Arial" w:hAnsi="Arial" w:cs="Arial"/>
          <w:sz w:val="16"/>
          <w:szCs w:val="16"/>
        </w:rPr>
        <w:t>;22:664</w:t>
      </w:r>
      <w:proofErr w:type="gramEnd"/>
      <w:r w:rsidRPr="005028E0">
        <w:rPr>
          <w:rFonts w:ascii="Arial" w:hAnsi="Arial" w:cs="Arial"/>
          <w:sz w:val="16"/>
          <w:szCs w:val="16"/>
        </w:rPr>
        <w:t>–674.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Seror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R, </w:t>
      </w:r>
      <w:proofErr w:type="spellStart"/>
      <w:r w:rsidRPr="005028E0">
        <w:rPr>
          <w:rFonts w:ascii="Arial" w:hAnsi="Arial" w:cs="Arial"/>
          <w:sz w:val="16"/>
          <w:szCs w:val="16"/>
        </w:rPr>
        <w:t>Sordet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C, </w:t>
      </w:r>
      <w:proofErr w:type="spellStart"/>
      <w:r w:rsidRPr="005028E0">
        <w:rPr>
          <w:rFonts w:ascii="Arial" w:hAnsi="Arial" w:cs="Arial"/>
          <w:sz w:val="16"/>
          <w:szCs w:val="16"/>
        </w:rPr>
        <w:t>Guillevin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L, et al. Tolerance and efficacy of rituximab and changes in serum B cell biomarkers in patients with systemic complications of primary </w:t>
      </w:r>
      <w:proofErr w:type="spellStart"/>
      <w:r w:rsidRPr="005028E0">
        <w:rPr>
          <w:rFonts w:ascii="Arial" w:hAnsi="Arial" w:cs="Arial"/>
          <w:sz w:val="16"/>
          <w:szCs w:val="16"/>
        </w:rPr>
        <w:t>Sjogren’s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syndrome. </w:t>
      </w:r>
      <w:r w:rsidRPr="000C17A5">
        <w:rPr>
          <w:rFonts w:ascii="Arial" w:hAnsi="Arial" w:cs="Arial"/>
          <w:i/>
          <w:sz w:val="16"/>
          <w:szCs w:val="16"/>
        </w:rPr>
        <w:t>Ann Rheum Dis</w:t>
      </w:r>
      <w:r w:rsidRPr="005028E0">
        <w:rPr>
          <w:rFonts w:ascii="Arial" w:hAnsi="Arial" w:cs="Arial"/>
          <w:sz w:val="16"/>
          <w:szCs w:val="16"/>
        </w:rPr>
        <w:t>. 2007</w:t>
      </w:r>
      <w:proofErr w:type="gramStart"/>
      <w:r w:rsidRPr="005028E0">
        <w:rPr>
          <w:rFonts w:ascii="Arial" w:hAnsi="Arial" w:cs="Arial"/>
          <w:sz w:val="16"/>
          <w:szCs w:val="16"/>
        </w:rPr>
        <w:t>;66</w:t>
      </w:r>
      <w:proofErr w:type="gramEnd"/>
      <w:r w:rsidRPr="005028E0">
        <w:rPr>
          <w:rFonts w:ascii="Arial" w:hAnsi="Arial" w:cs="Arial"/>
          <w:sz w:val="16"/>
          <w:szCs w:val="16"/>
        </w:rPr>
        <w:t>: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proofErr w:type="gramStart"/>
      <w:r w:rsidRPr="005028E0">
        <w:rPr>
          <w:rFonts w:ascii="Arial" w:hAnsi="Arial" w:cs="Arial"/>
          <w:sz w:val="16"/>
          <w:szCs w:val="16"/>
        </w:rPr>
        <w:t>351–357.</w:t>
      </w:r>
      <w:proofErr w:type="gramEnd"/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Pr="005028E0">
        <w:rPr>
          <w:rFonts w:ascii="Arial" w:hAnsi="Arial" w:cs="Arial"/>
          <w:sz w:val="16"/>
          <w:szCs w:val="16"/>
        </w:rPr>
        <w:t xml:space="preserve">. Zhou L, Xin </w:t>
      </w:r>
      <w:proofErr w:type="spellStart"/>
      <w:r w:rsidRPr="005028E0">
        <w:rPr>
          <w:rFonts w:ascii="Arial" w:hAnsi="Arial" w:cs="Arial"/>
          <w:sz w:val="16"/>
          <w:szCs w:val="16"/>
        </w:rPr>
        <w:t>XF</w:t>
      </w:r>
      <w:proofErr w:type="gramStart"/>
      <w:r w:rsidRPr="005028E0">
        <w:rPr>
          <w:rFonts w:ascii="Arial" w:hAnsi="Arial" w:cs="Arial"/>
          <w:sz w:val="16"/>
          <w:szCs w:val="16"/>
        </w:rPr>
        <w:t>,Wu</w:t>
      </w:r>
      <w:proofErr w:type="spellEnd"/>
      <w:proofErr w:type="gramEnd"/>
      <w:r w:rsidRPr="005028E0">
        <w:rPr>
          <w:rFonts w:ascii="Arial" w:hAnsi="Arial" w:cs="Arial"/>
          <w:sz w:val="16"/>
          <w:szCs w:val="16"/>
        </w:rPr>
        <w:t xml:space="preserve"> HX. </w:t>
      </w:r>
      <w:proofErr w:type="gramStart"/>
      <w:r w:rsidRPr="005028E0">
        <w:rPr>
          <w:rFonts w:ascii="Arial" w:hAnsi="Arial" w:cs="Arial"/>
          <w:sz w:val="16"/>
          <w:szCs w:val="16"/>
        </w:rPr>
        <w:t xml:space="preserve">The efficacy and safety of low-dose rituximab in treatment of primary </w:t>
      </w:r>
      <w:proofErr w:type="spellStart"/>
      <w:r w:rsidRPr="005028E0">
        <w:rPr>
          <w:rFonts w:ascii="Arial" w:hAnsi="Arial" w:cs="Arial"/>
          <w:sz w:val="16"/>
          <w:szCs w:val="16"/>
        </w:rPr>
        <w:t>Sjogren’s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syndrome with thrombocytopenia.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Zhonghua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Nei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Ke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Za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Zhi</w:t>
      </w:r>
      <w:proofErr w:type="spellEnd"/>
      <w:r w:rsidRPr="000C17A5">
        <w:rPr>
          <w:rFonts w:ascii="Arial" w:hAnsi="Arial" w:cs="Arial"/>
          <w:i/>
          <w:sz w:val="16"/>
          <w:szCs w:val="16"/>
        </w:rPr>
        <w:t>.</w:t>
      </w:r>
      <w:r w:rsidRPr="005028E0">
        <w:rPr>
          <w:rFonts w:ascii="Arial" w:hAnsi="Arial" w:cs="Arial"/>
          <w:sz w:val="16"/>
          <w:szCs w:val="16"/>
        </w:rPr>
        <w:t xml:space="preserve"> 2012</w:t>
      </w:r>
      <w:proofErr w:type="gramStart"/>
      <w:r w:rsidRPr="005028E0">
        <w:rPr>
          <w:rFonts w:ascii="Arial" w:hAnsi="Arial" w:cs="Arial"/>
          <w:sz w:val="16"/>
          <w:szCs w:val="16"/>
        </w:rPr>
        <w:t>;51:37</w:t>
      </w:r>
      <w:proofErr w:type="gramEnd"/>
      <w:r w:rsidRPr="005028E0">
        <w:rPr>
          <w:rFonts w:ascii="Arial" w:hAnsi="Arial" w:cs="Arial"/>
          <w:sz w:val="16"/>
          <w:szCs w:val="16"/>
        </w:rPr>
        <w:t>–41.</w:t>
      </w: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</w:p>
    <w:p w:rsidR="00796178" w:rsidRPr="005028E0" w:rsidRDefault="00796178" w:rsidP="00796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Pr="005028E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028E0">
        <w:rPr>
          <w:rFonts w:ascii="Arial" w:hAnsi="Arial" w:cs="Arial"/>
          <w:sz w:val="16"/>
          <w:szCs w:val="16"/>
        </w:rPr>
        <w:t>Toumeh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A, Josh N, </w:t>
      </w:r>
      <w:proofErr w:type="spellStart"/>
      <w:r w:rsidRPr="005028E0">
        <w:rPr>
          <w:rFonts w:ascii="Arial" w:hAnsi="Arial" w:cs="Arial"/>
          <w:sz w:val="16"/>
          <w:szCs w:val="16"/>
        </w:rPr>
        <w:t>Narwal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R, et al. Refractory thrombotic thrombocytopenic purpura associated with primary </w:t>
      </w:r>
      <w:proofErr w:type="spellStart"/>
      <w:r w:rsidRPr="005028E0">
        <w:rPr>
          <w:rFonts w:ascii="Arial" w:hAnsi="Arial" w:cs="Arial"/>
          <w:sz w:val="16"/>
          <w:szCs w:val="16"/>
        </w:rPr>
        <w:t>Sjogren</w:t>
      </w:r>
      <w:proofErr w:type="spellEnd"/>
      <w:r w:rsidRPr="005028E0">
        <w:rPr>
          <w:rFonts w:ascii="Arial" w:hAnsi="Arial" w:cs="Arial"/>
          <w:sz w:val="16"/>
          <w:szCs w:val="16"/>
        </w:rPr>
        <w:t xml:space="preserve"> syndrome treated with rituximab: a case report. </w:t>
      </w:r>
      <w:proofErr w:type="gramStart"/>
      <w:r w:rsidRPr="000C17A5">
        <w:rPr>
          <w:rFonts w:ascii="Arial" w:hAnsi="Arial" w:cs="Arial"/>
          <w:i/>
          <w:sz w:val="16"/>
          <w:szCs w:val="16"/>
        </w:rPr>
        <w:t xml:space="preserve">Am J </w:t>
      </w:r>
      <w:proofErr w:type="spellStart"/>
      <w:r w:rsidRPr="000C17A5">
        <w:rPr>
          <w:rFonts w:ascii="Arial" w:hAnsi="Arial" w:cs="Arial"/>
          <w:i/>
          <w:sz w:val="16"/>
          <w:szCs w:val="16"/>
        </w:rPr>
        <w:t>Ther</w:t>
      </w:r>
      <w:proofErr w:type="spellEnd"/>
      <w:r w:rsidRPr="005028E0">
        <w:rPr>
          <w:rFonts w:ascii="Arial" w:hAnsi="Arial" w:cs="Arial"/>
          <w:sz w:val="16"/>
          <w:szCs w:val="16"/>
        </w:rPr>
        <w:t>.</w:t>
      </w:r>
      <w:proofErr w:type="gramEnd"/>
      <w:r w:rsidRPr="005028E0">
        <w:rPr>
          <w:rFonts w:ascii="Arial" w:hAnsi="Arial" w:cs="Arial"/>
          <w:sz w:val="16"/>
          <w:szCs w:val="16"/>
        </w:rPr>
        <w:t xml:space="preserve"> 2014</w:t>
      </w:r>
      <w:proofErr w:type="gramStart"/>
      <w:r w:rsidRPr="005028E0">
        <w:rPr>
          <w:rFonts w:ascii="Arial" w:hAnsi="Arial" w:cs="Arial"/>
          <w:sz w:val="16"/>
          <w:szCs w:val="16"/>
        </w:rPr>
        <w:t>;21:e56</w:t>
      </w:r>
      <w:proofErr w:type="gramEnd"/>
      <w:r w:rsidRPr="005028E0">
        <w:rPr>
          <w:rFonts w:ascii="Arial" w:hAnsi="Arial" w:cs="Arial"/>
          <w:sz w:val="16"/>
          <w:szCs w:val="16"/>
        </w:rPr>
        <w:t>–e60.</w:t>
      </w:r>
    </w:p>
    <w:p w:rsidR="00796178" w:rsidRDefault="00796178" w:rsidP="00796178"/>
    <w:p w:rsidR="00DE6290" w:rsidRPr="005028E0" w:rsidRDefault="00DE6290" w:rsidP="00796178">
      <w:pPr>
        <w:rPr>
          <w:rFonts w:ascii="Arial" w:hAnsi="Arial" w:cs="Arial"/>
          <w:sz w:val="16"/>
          <w:szCs w:val="16"/>
        </w:rPr>
      </w:pPr>
    </w:p>
    <w:sectPr w:rsidR="00DE6290" w:rsidRPr="005028E0" w:rsidSect="00DE629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TT9a62c83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40FC2"/>
    <w:rsid w:val="000C17A5"/>
    <w:rsid w:val="002022CD"/>
    <w:rsid w:val="00285EF2"/>
    <w:rsid w:val="003F05A2"/>
    <w:rsid w:val="004817D5"/>
    <w:rsid w:val="00486C42"/>
    <w:rsid w:val="004B6603"/>
    <w:rsid w:val="005028E0"/>
    <w:rsid w:val="005C2193"/>
    <w:rsid w:val="00796178"/>
    <w:rsid w:val="007F09E3"/>
    <w:rsid w:val="00986C2C"/>
    <w:rsid w:val="00AD63EB"/>
    <w:rsid w:val="00C058C3"/>
    <w:rsid w:val="00DE6290"/>
    <w:rsid w:val="00E524EE"/>
    <w:rsid w:val="00F9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788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rsid w:val="00F97880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F97880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F97880"/>
    <w:rPr>
      <w:rFonts w:ascii="Lucida Grande" w:eastAsia="SimSun" w:hAnsi="Lucida Grande" w:cs="Times New Roman"/>
      <w:sz w:val="18"/>
      <w:szCs w:val="18"/>
    </w:rPr>
  </w:style>
  <w:style w:type="paragraph" w:customStyle="1" w:styleId="A">
    <w:name w:val="正文 A"/>
    <w:rsid w:val="00F97880"/>
    <w:rPr>
      <w:rFonts w:ascii="Cambria" w:eastAsia="Cambria" w:hAnsi="Cambria" w:cs="Cambria"/>
      <w:color w:val="000000"/>
      <w:u w:color="000000"/>
      <w:lang w:eastAsia="zh-CN"/>
    </w:rPr>
  </w:style>
  <w:style w:type="paragraph" w:styleId="NormalWeb">
    <w:name w:val="Normal (Web)"/>
    <w:basedOn w:val="Normal"/>
    <w:uiPriority w:val="99"/>
    <w:rsid w:val="00F9788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1">
    <w:name w:val="正文1"/>
    <w:rsid w:val="00F97880"/>
    <w:rPr>
      <w:rFonts w:ascii="Times New Roman" w:eastAsia="SimSun" w:hAnsi="Arial Unicode MS" w:cs="Arial Unicode MS"/>
      <w:color w:val="000000"/>
      <w:u w:color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788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rsid w:val="00F97880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F97880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F97880"/>
    <w:rPr>
      <w:rFonts w:ascii="Lucida Grande" w:eastAsia="SimSun" w:hAnsi="Lucida Grande" w:cs="Times New Roman"/>
      <w:sz w:val="18"/>
      <w:szCs w:val="18"/>
    </w:rPr>
  </w:style>
  <w:style w:type="paragraph" w:customStyle="1" w:styleId="A">
    <w:name w:val="正文 A"/>
    <w:rsid w:val="00F97880"/>
    <w:rPr>
      <w:rFonts w:ascii="Cambria" w:eastAsia="Cambria" w:hAnsi="Cambria" w:cs="Cambria"/>
      <w:color w:val="000000"/>
      <w:u w:color="000000"/>
      <w:lang w:eastAsia="zh-CN"/>
    </w:rPr>
  </w:style>
  <w:style w:type="paragraph" w:styleId="NormalWeb">
    <w:name w:val="Normal (Web)"/>
    <w:basedOn w:val="Normal"/>
    <w:uiPriority w:val="99"/>
    <w:rsid w:val="00F9788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1">
    <w:name w:val="正文1"/>
    <w:rsid w:val="00F97880"/>
    <w:rPr>
      <w:rFonts w:ascii="Times New Roman" w:eastAsia="SimSun" w:hAnsi="Arial Unicode MS" w:cs="Arial Unicode MS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2F71-D8D9-44F0-997E-402744CA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Shanghai Jiaotong University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jiang</dc:creator>
  <cp:keywords/>
  <cp:lastModifiedBy>Regacho, Geraldine</cp:lastModifiedBy>
  <cp:revision>32</cp:revision>
  <dcterms:created xsi:type="dcterms:W3CDTF">2015-07-07T16:03:00Z</dcterms:created>
  <dcterms:modified xsi:type="dcterms:W3CDTF">2015-07-07T16:53:00Z</dcterms:modified>
</cp:coreProperties>
</file>