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32BF" w14:textId="6CC30323" w:rsidR="00CC5543" w:rsidRPr="00936770" w:rsidRDefault="00063A65" w:rsidP="00074C50">
      <w:pPr>
        <w:pStyle w:val="Titre1"/>
        <w:rPr>
          <w:lang w:val="en-US"/>
        </w:rPr>
      </w:pPr>
      <w:r w:rsidRPr="00936770">
        <w:rPr>
          <w:lang w:val="en-US"/>
        </w:rPr>
        <w:t>Supplemental Digital Content</w:t>
      </w:r>
    </w:p>
    <w:p w14:paraId="105C4609" w14:textId="2BD1EB4B" w:rsidR="00074C50" w:rsidRPr="00936770" w:rsidRDefault="00074C50" w:rsidP="00074C50">
      <w:pPr>
        <w:rPr>
          <w:lang w:val="en-US"/>
        </w:rPr>
      </w:pPr>
    </w:p>
    <w:p w14:paraId="3DC19935" w14:textId="69B431EE" w:rsidR="00F4573B" w:rsidRDefault="00F4573B" w:rsidP="00F4573B">
      <w:pPr>
        <w:pStyle w:val="Titre2"/>
        <w:rPr>
          <w:lang w:val="en-US"/>
        </w:rPr>
      </w:pPr>
      <w:r>
        <w:rPr>
          <w:lang w:val="en-US"/>
        </w:rPr>
        <w:t>Table</w:t>
      </w:r>
      <w:r w:rsidRPr="005252BC">
        <w:rPr>
          <w:lang w:val="en-US"/>
        </w:rPr>
        <w:t xml:space="preserve"> </w:t>
      </w:r>
      <w:r>
        <w:rPr>
          <w:lang w:val="en-US"/>
        </w:rPr>
        <w:t>1</w:t>
      </w:r>
    </w:p>
    <w:p w14:paraId="40EC7544" w14:textId="4A5B8A91" w:rsidR="00D5121A" w:rsidRPr="00D5121A" w:rsidRDefault="00D5121A" w:rsidP="00D5121A">
      <w:pPr>
        <w:rPr>
          <w:lang w:val="en-US"/>
        </w:rPr>
      </w:pPr>
      <w:r>
        <w:rPr>
          <w:lang w:val="en-US"/>
        </w:rPr>
        <w:t>Gd extraction yield values for the cortex samples from the untreated animals spiked with GBCA standards.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240"/>
        <w:gridCol w:w="1540"/>
        <w:gridCol w:w="1540"/>
        <w:gridCol w:w="1540"/>
      </w:tblGrid>
      <w:tr w:rsidR="00F4573B" w:rsidRPr="0090148D" w14:paraId="6CA4B354" w14:textId="77777777" w:rsidTr="003F4996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71F5E12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  <w:t>Type of protocol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68ADE3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  <w:t>Sample type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FE38CAB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  <w:t>Brain zone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37986698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Extraction efficiency (%)</w:t>
            </w:r>
          </w:p>
        </w:tc>
      </w:tr>
      <w:tr w:rsidR="00F4573B" w:rsidRPr="0090148D" w14:paraId="4FA43FC3" w14:textId="77777777" w:rsidTr="003F4996">
        <w:trPr>
          <w:trHeight w:val="288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07CC1" w14:textId="77777777" w:rsidR="00F4573B" w:rsidRPr="0090148D" w:rsidRDefault="00F4573B" w:rsidP="003F499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3EA67F" w14:textId="77777777" w:rsidR="00F4573B" w:rsidRPr="0090148D" w:rsidRDefault="00F4573B" w:rsidP="003F499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61A52" w14:textId="77777777" w:rsidR="00F4573B" w:rsidRPr="0090148D" w:rsidRDefault="00F4573B" w:rsidP="003F499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4EACA0DE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Spiked blanks (untreated animals)</w:t>
            </w:r>
          </w:p>
        </w:tc>
      </w:tr>
      <w:tr w:rsidR="00F4573B" w:rsidRPr="0090148D" w14:paraId="1CEF0787" w14:textId="77777777" w:rsidTr="003F4996">
        <w:trPr>
          <w:trHeight w:val="504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EF0E2" w14:textId="77777777" w:rsidR="00F4573B" w:rsidRPr="0090148D" w:rsidRDefault="00F4573B" w:rsidP="003F499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DBEE2A" w14:textId="77777777" w:rsidR="00F4573B" w:rsidRPr="0090148D" w:rsidRDefault="00F4573B" w:rsidP="003F499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C6FA3" w14:textId="77777777" w:rsidR="00F4573B" w:rsidRPr="0090148D" w:rsidRDefault="00F4573B" w:rsidP="003F499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63AAC3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  <w:t>Gadoterate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9AF6ED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fr-FR"/>
              </w:rPr>
              <w:t>Gadobenate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EFF8DC8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fr-FR"/>
              </w:rPr>
              <w:t>Gadodiamide</w:t>
            </w:r>
          </w:p>
        </w:tc>
      </w:tr>
      <w:tr w:rsidR="00F4573B" w:rsidRPr="0090148D" w14:paraId="0A5982E7" w14:textId="77777777" w:rsidTr="003F4996">
        <w:trPr>
          <w:trHeight w:val="5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7FAA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Water extraction</w:t>
            </w:r>
            <w:r w:rsidRPr="0090148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A62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W1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1255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cortex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3D4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72</w:t>
            </w:r>
            <w:r w:rsidRPr="00901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±</w:t>
            </w:r>
            <w:r w:rsidRPr="0090148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38A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65±6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8F76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64±3</w:t>
            </w:r>
          </w:p>
        </w:tc>
      </w:tr>
      <w:tr w:rsidR="00F4573B" w:rsidRPr="0090148D" w14:paraId="4DD506DF" w14:textId="77777777" w:rsidTr="003F4996">
        <w:trPr>
          <w:trHeight w:val="5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9403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FR"/>
              </w:rPr>
              <w:t>Urea extraction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47E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W1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219A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cortex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3E4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96±9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E97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85±8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3BC1" w14:textId="77777777" w:rsidR="00F4573B" w:rsidRPr="0090148D" w:rsidRDefault="00F4573B" w:rsidP="003F49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9014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85±9</w:t>
            </w:r>
          </w:p>
        </w:tc>
      </w:tr>
    </w:tbl>
    <w:p w14:paraId="007575DA" w14:textId="77777777" w:rsidR="00F4573B" w:rsidRDefault="00F4573B" w:rsidP="00F4573B">
      <w:pPr>
        <w:rPr>
          <w:lang w:val="en-US"/>
        </w:rPr>
      </w:pPr>
    </w:p>
    <w:p w14:paraId="3536E1B2" w14:textId="57EB12BB" w:rsidR="00F4573B" w:rsidRDefault="00F4573B" w:rsidP="00F4573B">
      <w:pPr>
        <w:pStyle w:val="Titre2"/>
        <w:rPr>
          <w:lang w:val="en-US"/>
        </w:rPr>
      </w:pPr>
      <w:r>
        <w:rPr>
          <w:lang w:val="en-US"/>
        </w:rPr>
        <w:t>Fig. 1</w:t>
      </w:r>
    </w:p>
    <w:p w14:paraId="703A687F" w14:textId="0BC7C4CE" w:rsidR="00011295" w:rsidRPr="00011295" w:rsidRDefault="00011295" w:rsidP="00011295">
      <w:pPr>
        <w:rPr>
          <w:lang w:val="en-US"/>
        </w:rPr>
      </w:pPr>
      <w:r w:rsidRPr="00011295">
        <w:rPr>
          <w:lang w:val="en-US"/>
        </w:rPr>
        <w:t xml:space="preserve">Control of the stability of the intact GBCA form during sample processing and the analysis. </w:t>
      </w:r>
      <w:r>
        <w:rPr>
          <w:lang w:val="en-US"/>
        </w:rPr>
        <w:t>SEC-ICP-MS chromatograms of water and urea-soluble fractions of the samples from untreated animals spiked with GBCAs standards.</w:t>
      </w:r>
    </w:p>
    <w:p w14:paraId="157D37AB" w14:textId="77777777" w:rsidR="00F4573B" w:rsidRDefault="00F4573B" w:rsidP="00F4573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616DF5" wp14:editId="31C426C6">
            <wp:extent cx="5325689" cy="4436110"/>
            <wp:effectExtent l="0" t="0" r="889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09" cy="4441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D5D77" w14:textId="77777777" w:rsidR="00F4573B" w:rsidRDefault="00F4573B" w:rsidP="00F4573B">
      <w:pPr>
        <w:rPr>
          <w:lang w:val="en-US"/>
        </w:rPr>
      </w:pPr>
    </w:p>
    <w:p w14:paraId="1AA04B4B" w14:textId="2F20B1D0" w:rsidR="00074C50" w:rsidRPr="00F4573B" w:rsidRDefault="005D7AA0" w:rsidP="00074C50">
      <w:pPr>
        <w:pStyle w:val="Titre2"/>
        <w:rPr>
          <w:rStyle w:val="Titre2Car"/>
          <w:lang w:val="en-US"/>
        </w:rPr>
      </w:pPr>
      <w:r w:rsidRPr="00F4573B">
        <w:rPr>
          <w:rStyle w:val="Titre2Car"/>
          <w:lang w:val="en-US"/>
        </w:rPr>
        <w:lastRenderedPageBreak/>
        <w:t>Fig</w:t>
      </w:r>
      <w:r w:rsidR="00D812FD" w:rsidRPr="00F4573B">
        <w:rPr>
          <w:rStyle w:val="Titre2Car"/>
          <w:lang w:val="en-US"/>
        </w:rPr>
        <w:t>.</w:t>
      </w:r>
      <w:r w:rsidRPr="00F4573B">
        <w:rPr>
          <w:rStyle w:val="Titre2Car"/>
          <w:lang w:val="en-US"/>
        </w:rPr>
        <w:t xml:space="preserve"> </w:t>
      </w:r>
      <w:r w:rsidR="00F4573B" w:rsidRPr="00F4573B">
        <w:rPr>
          <w:rStyle w:val="Titre2Car"/>
          <w:lang w:val="en-US"/>
        </w:rPr>
        <w:t>2</w:t>
      </w:r>
    </w:p>
    <w:p w14:paraId="1916D7A0" w14:textId="0C85F2D9" w:rsidR="00F47387" w:rsidRPr="005252BC" w:rsidRDefault="005252BC">
      <w:pPr>
        <w:rPr>
          <w:lang w:val="en-US"/>
        </w:rPr>
      </w:pPr>
      <w:r w:rsidRPr="005252BC">
        <w:rPr>
          <w:lang w:val="en-US"/>
        </w:rPr>
        <w:t>Calibration of Superdex 75 c</w:t>
      </w:r>
      <w:r>
        <w:rPr>
          <w:lang w:val="en-US"/>
        </w:rPr>
        <w:t>olumn</w:t>
      </w:r>
      <w:r w:rsidR="00505E91">
        <w:rPr>
          <w:lang w:val="en-US"/>
        </w:rPr>
        <w:t>.</w:t>
      </w:r>
    </w:p>
    <w:p w14:paraId="1C5ADE1C" w14:textId="072C6EAD" w:rsidR="005D7AA0" w:rsidRDefault="005D7AA0">
      <w:r>
        <w:rPr>
          <w:noProof/>
        </w:rPr>
        <w:drawing>
          <wp:inline distT="0" distB="0" distL="0" distR="0" wp14:anchorId="63ED0A1E" wp14:editId="5133C69A">
            <wp:extent cx="3032264" cy="303649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23" cy="3054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E8D08" w14:textId="77777777" w:rsidR="00074C50" w:rsidRDefault="00074C50"/>
    <w:p w14:paraId="6C8750CD" w14:textId="34DF8EB6" w:rsidR="00074C50" w:rsidRDefault="00066D0B" w:rsidP="00074C50">
      <w:pPr>
        <w:pStyle w:val="Titre2"/>
        <w:rPr>
          <w:lang w:val="en-US"/>
        </w:rPr>
      </w:pPr>
      <w:r w:rsidRPr="00DE12FA">
        <w:rPr>
          <w:lang w:val="en-US"/>
        </w:rPr>
        <w:t>Fig</w:t>
      </w:r>
      <w:r w:rsidR="00D812FD">
        <w:rPr>
          <w:lang w:val="en-US"/>
        </w:rPr>
        <w:t xml:space="preserve">. </w:t>
      </w:r>
      <w:r w:rsidR="00F4573B">
        <w:rPr>
          <w:lang w:val="en-US"/>
        </w:rPr>
        <w:t>3</w:t>
      </w:r>
    </w:p>
    <w:p w14:paraId="0E399582" w14:textId="791A7A58" w:rsidR="00066D0B" w:rsidRPr="00DE12FA" w:rsidRDefault="00066D0B">
      <w:pPr>
        <w:rPr>
          <w:lang w:val="en-US"/>
        </w:rPr>
      </w:pPr>
      <w:r w:rsidRPr="00DE12FA">
        <w:rPr>
          <w:lang w:val="en-US"/>
        </w:rPr>
        <w:t>Calibration of Superdex 200 column</w:t>
      </w:r>
      <w:r w:rsidR="000B5446">
        <w:rPr>
          <w:lang w:val="en-US"/>
        </w:rPr>
        <w:t>.</w:t>
      </w:r>
    </w:p>
    <w:p w14:paraId="2B39CA8F" w14:textId="1AB91D51" w:rsidR="00455498" w:rsidRDefault="009E38E0">
      <w:r>
        <w:rPr>
          <w:noProof/>
        </w:rPr>
        <w:drawing>
          <wp:inline distT="0" distB="0" distL="0" distR="0" wp14:anchorId="207CED0F" wp14:editId="0C7532D9">
            <wp:extent cx="3035252" cy="332117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16" cy="333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AE452" w14:textId="77777777" w:rsidR="009E53B3" w:rsidRDefault="009E53B3" w:rsidP="00323301">
      <w:pPr>
        <w:pStyle w:val="Default"/>
        <w:spacing w:beforeLines="20" w:before="48" w:afterLines="20" w:after="48" w:line="276" w:lineRule="auto"/>
        <w:jc w:val="both"/>
      </w:pPr>
    </w:p>
    <w:p w14:paraId="6DA19F5E" w14:textId="6A73DFC3" w:rsidR="000E098C" w:rsidRDefault="00DE12FA" w:rsidP="00E13D14">
      <w:pPr>
        <w:pStyle w:val="Titre2"/>
        <w:rPr>
          <w:lang w:val="en-US"/>
        </w:rPr>
      </w:pPr>
      <w:r w:rsidRPr="00505E91">
        <w:rPr>
          <w:lang w:val="en-US"/>
        </w:rPr>
        <w:lastRenderedPageBreak/>
        <w:t xml:space="preserve">Fig. </w:t>
      </w:r>
      <w:r w:rsidR="00936770">
        <w:rPr>
          <w:lang w:val="en-US"/>
        </w:rPr>
        <w:t>4</w:t>
      </w:r>
    </w:p>
    <w:p w14:paraId="008DA15C" w14:textId="77777777" w:rsidR="00E13D14" w:rsidRDefault="00E13D14" w:rsidP="00E13D14">
      <w:pPr>
        <w:pStyle w:val="Default"/>
        <w:spacing w:beforeLines="20" w:before="48" w:afterLines="20" w:after="48" w:line="276" w:lineRule="auto"/>
        <w:jc w:val="both"/>
        <w:rPr>
          <w:lang w:val="en-US"/>
        </w:rPr>
      </w:pPr>
      <w:r w:rsidRPr="00037C7E">
        <w:rPr>
          <w:lang w:val="en-US"/>
        </w:rPr>
        <w:t xml:space="preserve">Column Superdex </w:t>
      </w:r>
      <w:r>
        <w:rPr>
          <w:lang w:val="en-US"/>
        </w:rPr>
        <w:t>200</w:t>
      </w:r>
      <w:r w:rsidRPr="00037C7E">
        <w:rPr>
          <w:lang w:val="en-US"/>
        </w:rPr>
        <w:t xml:space="preserve"> recovery obtained for </w:t>
      </w:r>
      <w:r>
        <w:rPr>
          <w:lang w:val="en-US"/>
        </w:rPr>
        <w:t xml:space="preserve">water-soluble and urea-soluble fractions of </w:t>
      </w:r>
      <w:r w:rsidRPr="00037C7E">
        <w:rPr>
          <w:lang w:val="en-US"/>
        </w:rPr>
        <w:t>real sample</w:t>
      </w:r>
      <w:r>
        <w:rPr>
          <w:lang w:val="en-US"/>
        </w:rPr>
        <w:t>s of cortex and cerebellum obtained</w:t>
      </w:r>
      <w:r w:rsidRPr="00037C7E">
        <w:rPr>
          <w:lang w:val="en-US"/>
        </w:rPr>
        <w:t xml:space="preserve"> using </w:t>
      </w:r>
      <w:r>
        <w:rPr>
          <w:lang w:val="en-US"/>
        </w:rPr>
        <w:t>sequential extraction</w:t>
      </w:r>
      <w:r w:rsidRPr="00037C7E">
        <w:rPr>
          <w:lang w:val="en-US"/>
        </w:rPr>
        <w:t>. Data points for each group are n=2.</w:t>
      </w:r>
    </w:p>
    <w:p w14:paraId="5473F7A6" w14:textId="77777777" w:rsidR="00E13D14" w:rsidRDefault="00E13D14" w:rsidP="00E13D14">
      <w:pPr>
        <w:pStyle w:val="Default"/>
        <w:spacing w:beforeLines="20" w:before="48" w:afterLines="20" w:after="48" w:line="276" w:lineRule="auto"/>
        <w:jc w:val="both"/>
        <w:rPr>
          <w:rFonts w:asciiTheme="minorHAnsi" w:hAnsiTheme="minorHAnsi" w:cstheme="minorHAnsi"/>
          <w:bCs/>
          <w:iCs/>
          <w:color w:val="auto"/>
          <w:u w:val="single"/>
          <w:lang w:val="en-US"/>
        </w:rPr>
      </w:pPr>
      <w:r w:rsidRPr="003E6ED1">
        <w:rPr>
          <w:rFonts w:asciiTheme="minorHAnsi" w:hAnsiTheme="minorHAnsi" w:cstheme="minorHAnsi"/>
          <w:bCs/>
          <w:iCs/>
          <w:noProof/>
          <w:color w:val="auto"/>
          <w:lang w:val="en-US"/>
        </w:rPr>
        <w:drawing>
          <wp:inline distT="0" distB="0" distL="0" distR="0" wp14:anchorId="48BC3334" wp14:editId="77053338">
            <wp:extent cx="5760720" cy="3207507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0821B" w14:textId="77777777" w:rsidR="00E13D14" w:rsidRDefault="00E13D14" w:rsidP="00E13D14">
      <w:pPr>
        <w:pStyle w:val="Titre2"/>
        <w:rPr>
          <w:lang w:val="en-US"/>
        </w:rPr>
      </w:pPr>
    </w:p>
    <w:p w14:paraId="51713F13" w14:textId="1D8AE9AD" w:rsidR="00E13D14" w:rsidRDefault="00E13D14">
      <w:pPr>
        <w:rPr>
          <w:lang w:val="en-US"/>
        </w:rPr>
      </w:pPr>
      <w:r>
        <w:rPr>
          <w:lang w:val="en-US"/>
        </w:rPr>
        <w:br w:type="page"/>
      </w:r>
    </w:p>
    <w:p w14:paraId="6EE0ADB5" w14:textId="3F5E64D5" w:rsidR="00074C50" w:rsidRDefault="00F67944" w:rsidP="00074C50">
      <w:pPr>
        <w:pStyle w:val="Titre2"/>
        <w:rPr>
          <w:lang w:val="en-US"/>
        </w:rPr>
      </w:pPr>
      <w:r>
        <w:rPr>
          <w:lang w:val="en-US"/>
        </w:rPr>
        <w:lastRenderedPageBreak/>
        <w:t xml:space="preserve">Fig. </w:t>
      </w:r>
      <w:r w:rsidR="00936770">
        <w:rPr>
          <w:lang w:val="en-US"/>
        </w:rPr>
        <w:t>5</w:t>
      </w:r>
      <w:bookmarkStart w:id="0" w:name="_GoBack"/>
      <w:bookmarkEnd w:id="0"/>
    </w:p>
    <w:p w14:paraId="4722CA01" w14:textId="77777777" w:rsidR="00E13D14" w:rsidRDefault="00E13D14" w:rsidP="00E13D14">
      <w:pPr>
        <w:spacing w:after="180" w:line="360" w:lineRule="auto"/>
        <w:rPr>
          <w:lang w:val="en-US"/>
        </w:rPr>
      </w:pPr>
      <w:r w:rsidRPr="00500AB6">
        <w:rPr>
          <w:lang w:val="en-US"/>
        </w:rPr>
        <w:t xml:space="preserve">SEC-ICP-MS chromatogram of </w:t>
      </w:r>
      <w:r w:rsidRPr="00500AB6">
        <w:rPr>
          <w:vertAlign w:val="superscript"/>
          <w:lang w:val="en-US"/>
        </w:rPr>
        <w:t>158</w:t>
      </w:r>
      <w:r w:rsidRPr="00500AB6">
        <w:rPr>
          <w:lang w:val="en-US"/>
        </w:rPr>
        <w:t xml:space="preserve">Gd and </w:t>
      </w:r>
      <w:r w:rsidRPr="00500AB6">
        <w:rPr>
          <w:vertAlign w:val="superscript"/>
          <w:lang w:val="en-US"/>
        </w:rPr>
        <w:t>54</w:t>
      </w:r>
      <w:r w:rsidRPr="00500AB6">
        <w:rPr>
          <w:lang w:val="en-US"/>
        </w:rPr>
        <w:t>Fe of urea-soluble fraction of the cerebellum after treatment with a) gadoterate, b) gadobenate and c) gadodiamide.</w:t>
      </w:r>
    </w:p>
    <w:p w14:paraId="1CAC72C4" w14:textId="77777777" w:rsidR="00E13D14" w:rsidRDefault="00E13D14" w:rsidP="00E13D14">
      <w:pPr>
        <w:spacing w:after="180" w:line="360" w:lineRule="auto"/>
        <w:rPr>
          <w:lang w:val="en-US"/>
        </w:rPr>
      </w:pPr>
      <w:r w:rsidRPr="00C43033">
        <w:rPr>
          <w:noProof/>
          <w:lang w:val="en-US"/>
        </w:rPr>
        <w:drawing>
          <wp:inline distT="0" distB="0" distL="0" distR="0" wp14:anchorId="74B0D177" wp14:editId="3E60C176">
            <wp:extent cx="4948542" cy="6737350"/>
            <wp:effectExtent l="0" t="0" r="5080" b="635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88" cy="6783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B79FC" w14:textId="77777777" w:rsidR="00E13D14" w:rsidRPr="006B0C83" w:rsidRDefault="00E13D14" w:rsidP="00E13D14">
      <w:pPr>
        <w:rPr>
          <w:lang w:val="en-US"/>
        </w:rPr>
      </w:pPr>
    </w:p>
    <w:p w14:paraId="1943758B" w14:textId="77777777" w:rsidR="00E13D14" w:rsidRDefault="00E13D14" w:rsidP="00E13D14">
      <w:pPr>
        <w:pStyle w:val="Default"/>
        <w:spacing w:beforeLines="20" w:before="48" w:afterLines="20" w:after="48" w:line="276" w:lineRule="auto"/>
        <w:jc w:val="both"/>
        <w:rPr>
          <w:rFonts w:asciiTheme="minorHAnsi" w:hAnsiTheme="minorHAnsi" w:cstheme="minorHAnsi"/>
          <w:bCs/>
          <w:iCs/>
          <w:color w:val="auto"/>
          <w:u w:val="single"/>
          <w:lang w:val="en-US"/>
        </w:rPr>
      </w:pPr>
    </w:p>
    <w:p w14:paraId="4C01036D" w14:textId="77777777" w:rsidR="00E13D14" w:rsidRDefault="00E13D14" w:rsidP="00E13D14">
      <w:pPr>
        <w:pStyle w:val="Default"/>
        <w:spacing w:beforeLines="20" w:before="48" w:afterLines="20" w:after="48" w:line="276" w:lineRule="auto"/>
        <w:jc w:val="both"/>
        <w:rPr>
          <w:rFonts w:asciiTheme="minorHAnsi" w:hAnsiTheme="minorHAnsi" w:cstheme="minorHAnsi"/>
          <w:bCs/>
          <w:iCs/>
          <w:color w:val="auto"/>
          <w:u w:val="single"/>
          <w:lang w:val="en-US"/>
        </w:rPr>
      </w:pPr>
      <w:r w:rsidRPr="003313DE">
        <w:rPr>
          <w:rFonts w:asciiTheme="minorHAnsi" w:hAnsiTheme="minorHAnsi" w:cstheme="minorHAnsi"/>
          <w:bCs/>
          <w:iCs/>
          <w:color w:val="auto"/>
          <w:u w:val="single"/>
          <w:lang w:val="en-US"/>
        </w:rPr>
        <w:t xml:space="preserve"> </w:t>
      </w:r>
    </w:p>
    <w:p w14:paraId="4AA66D2A" w14:textId="19637CCB" w:rsidR="00DE12FA" w:rsidRPr="00A96514" w:rsidRDefault="00DE12FA">
      <w:pPr>
        <w:rPr>
          <w:rFonts w:cstheme="minorHAnsi"/>
          <w:bCs/>
          <w:iCs/>
          <w:sz w:val="24"/>
          <w:szCs w:val="24"/>
          <w:u w:val="single"/>
          <w:lang w:val="en-US"/>
        </w:rPr>
      </w:pPr>
    </w:p>
    <w:sectPr w:rsidR="00DE12FA" w:rsidRPr="00A9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65"/>
    <w:rsid w:val="00011295"/>
    <w:rsid w:val="00063A65"/>
    <w:rsid w:val="00066D0B"/>
    <w:rsid w:val="000725E0"/>
    <w:rsid w:val="00074C50"/>
    <w:rsid w:val="00077ECD"/>
    <w:rsid w:val="000B5446"/>
    <w:rsid w:val="000E098C"/>
    <w:rsid w:val="00114EC1"/>
    <w:rsid w:val="00323301"/>
    <w:rsid w:val="003C038A"/>
    <w:rsid w:val="00404DEF"/>
    <w:rsid w:val="00455498"/>
    <w:rsid w:val="00505E91"/>
    <w:rsid w:val="005063B8"/>
    <w:rsid w:val="005252BC"/>
    <w:rsid w:val="005D7AA0"/>
    <w:rsid w:val="00641966"/>
    <w:rsid w:val="0067091B"/>
    <w:rsid w:val="006B0C83"/>
    <w:rsid w:val="007D2D7D"/>
    <w:rsid w:val="008738B8"/>
    <w:rsid w:val="00936770"/>
    <w:rsid w:val="00983E58"/>
    <w:rsid w:val="00984BF0"/>
    <w:rsid w:val="009E38E0"/>
    <w:rsid w:val="009E53B3"/>
    <w:rsid w:val="00A400E3"/>
    <w:rsid w:val="00A676AD"/>
    <w:rsid w:val="00A96514"/>
    <w:rsid w:val="00CC5543"/>
    <w:rsid w:val="00D5121A"/>
    <w:rsid w:val="00D71A2F"/>
    <w:rsid w:val="00D812FD"/>
    <w:rsid w:val="00DD317E"/>
    <w:rsid w:val="00DE12FA"/>
    <w:rsid w:val="00E13D14"/>
    <w:rsid w:val="00E33F34"/>
    <w:rsid w:val="00F4573B"/>
    <w:rsid w:val="00F47387"/>
    <w:rsid w:val="00F67944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9DA"/>
  <w15:chartTrackingRefBased/>
  <w15:docId w15:val="{7592EA07-044D-4998-BAFE-9BE8E9BD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4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65"/>
    <w:rPr>
      <w:rFonts w:ascii="Segoe UI" w:hAnsi="Segoe UI" w:cs="Segoe UI"/>
      <w:sz w:val="18"/>
      <w:szCs w:val="18"/>
    </w:rPr>
  </w:style>
  <w:style w:type="table" w:styleId="Tableausimple2">
    <w:name w:val="Plain Table 2"/>
    <w:basedOn w:val="TableauNormal"/>
    <w:uiPriority w:val="42"/>
    <w:rsid w:val="00455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3233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074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4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Strzeminska, Izabela</dc:creator>
  <cp:keywords/>
  <dc:description/>
  <cp:lastModifiedBy>Strzeminska, Izabela</cp:lastModifiedBy>
  <cp:revision>31</cp:revision>
  <dcterms:created xsi:type="dcterms:W3CDTF">2020-09-04T12:38:00Z</dcterms:created>
  <dcterms:modified xsi:type="dcterms:W3CDTF">2021-01-30T10:16:00Z</dcterms:modified>
</cp:coreProperties>
</file>