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049" w:rsidRPr="00D868F3" w:rsidRDefault="00C44049" w:rsidP="0049724D">
      <w:pPr>
        <w:spacing w:line="480" w:lineRule="auto"/>
        <w:rPr>
          <w:rFonts w:cstheme="minorHAnsi"/>
          <w:b/>
          <w:sz w:val="28"/>
        </w:rPr>
      </w:pPr>
      <w:bookmarkStart w:id="0" w:name="_GoBack"/>
      <w:bookmarkEnd w:id="0"/>
      <w:r w:rsidRPr="00D868F3">
        <w:rPr>
          <w:rFonts w:cstheme="minorHAnsi"/>
          <w:b/>
          <w:sz w:val="28"/>
        </w:rPr>
        <w:t>APPENDIX</w:t>
      </w:r>
    </w:p>
    <w:p w:rsidR="0014578E" w:rsidRPr="00D868F3" w:rsidRDefault="0014578E" w:rsidP="0049724D">
      <w:pPr>
        <w:spacing w:line="480" w:lineRule="auto"/>
        <w:rPr>
          <w:rFonts w:asciiTheme="majorHAnsi" w:hAnsiTheme="majorHAnsi" w:cstheme="majorHAnsi"/>
          <w:b/>
          <w:i/>
        </w:rPr>
      </w:pPr>
    </w:p>
    <w:p w:rsidR="00C44049" w:rsidRPr="00D868F3" w:rsidRDefault="00AD6572" w:rsidP="0049724D">
      <w:pPr>
        <w:spacing w:line="480" w:lineRule="auto"/>
        <w:rPr>
          <w:rFonts w:asciiTheme="majorHAnsi" w:hAnsiTheme="majorHAnsi" w:cstheme="majorHAnsi"/>
          <w:b/>
          <w:i/>
        </w:rPr>
      </w:pPr>
      <w:r w:rsidRPr="00D868F3">
        <w:rPr>
          <w:rFonts w:asciiTheme="majorHAnsi" w:hAnsiTheme="majorHAnsi" w:cstheme="majorHAnsi"/>
          <w:b/>
          <w:i/>
        </w:rPr>
        <w:t xml:space="preserve">Sensitivity </w:t>
      </w:r>
      <w:r w:rsidR="00C44049" w:rsidRPr="00D868F3">
        <w:rPr>
          <w:rFonts w:asciiTheme="majorHAnsi" w:hAnsiTheme="majorHAnsi" w:cstheme="majorHAnsi"/>
          <w:b/>
          <w:i/>
        </w:rPr>
        <w:t>Analysis</w:t>
      </w:r>
    </w:p>
    <w:p w:rsidR="0014578E" w:rsidRPr="00D868F3" w:rsidRDefault="0014578E" w:rsidP="0049724D">
      <w:pPr>
        <w:spacing w:line="480" w:lineRule="auto"/>
        <w:rPr>
          <w:rFonts w:asciiTheme="majorHAnsi" w:eastAsia="Times New Roman" w:hAnsiTheme="majorHAnsi" w:cstheme="majorHAnsi"/>
        </w:rPr>
      </w:pPr>
    </w:p>
    <w:p w:rsidR="00C44049" w:rsidRPr="00D868F3" w:rsidRDefault="00871850" w:rsidP="00F944E2">
      <w:pPr>
        <w:spacing w:line="480" w:lineRule="auto"/>
        <w:ind w:firstLine="540"/>
        <w:rPr>
          <w:rFonts w:asciiTheme="majorHAnsi" w:eastAsia="Times New Roman" w:hAnsiTheme="majorHAnsi" w:cstheme="majorHAnsi"/>
        </w:rPr>
      </w:pPr>
      <w:r w:rsidRPr="00D868F3">
        <w:rPr>
          <w:rFonts w:asciiTheme="majorHAnsi" w:eastAsia="Times New Roman" w:hAnsiTheme="majorHAnsi" w:cstheme="majorHAnsi"/>
        </w:rPr>
        <w:t>In the</w:t>
      </w:r>
      <w:r w:rsidR="00C44049" w:rsidRPr="00D868F3">
        <w:rPr>
          <w:rFonts w:asciiTheme="majorHAnsi" w:eastAsia="Times New Roman" w:hAnsiTheme="majorHAnsi" w:cstheme="majorHAnsi"/>
        </w:rPr>
        <w:t xml:space="preserve"> </w:t>
      </w:r>
      <w:r w:rsidRPr="00D868F3">
        <w:rPr>
          <w:rFonts w:asciiTheme="majorHAnsi" w:eastAsia="Times New Roman" w:hAnsiTheme="majorHAnsi" w:cstheme="majorHAnsi"/>
        </w:rPr>
        <w:t>sensitivity</w:t>
      </w:r>
      <w:r w:rsidR="00C44049" w:rsidRPr="00D868F3">
        <w:rPr>
          <w:rFonts w:asciiTheme="majorHAnsi" w:eastAsia="Times New Roman" w:hAnsiTheme="majorHAnsi" w:cstheme="majorHAnsi"/>
        </w:rPr>
        <w:t xml:space="preserve"> analysis, we analyzed all patients who received any 24-hr PRBC transfusion, without excluding those who lacked documentation of hemorrhagic injury (see Methods for details).</w:t>
      </w:r>
    </w:p>
    <w:p w:rsidR="00C44049" w:rsidRPr="00D868F3" w:rsidRDefault="00C44049" w:rsidP="00F944E2">
      <w:pPr>
        <w:spacing w:line="480" w:lineRule="auto"/>
        <w:ind w:firstLine="540"/>
        <w:rPr>
          <w:rFonts w:asciiTheme="majorHAnsi" w:eastAsia="Times New Roman" w:hAnsiTheme="majorHAnsi" w:cstheme="majorHAnsi"/>
        </w:rPr>
      </w:pPr>
    </w:p>
    <w:p w:rsidR="00C44049" w:rsidRPr="00D868F3" w:rsidRDefault="00C44049" w:rsidP="00F944E2">
      <w:pPr>
        <w:spacing w:line="480" w:lineRule="auto"/>
        <w:ind w:firstLine="540"/>
        <w:rPr>
          <w:rFonts w:asciiTheme="majorHAnsi" w:eastAsia="Times New Roman" w:hAnsiTheme="majorHAnsi" w:cstheme="majorHAnsi"/>
        </w:rPr>
      </w:pPr>
      <w:r w:rsidRPr="00D868F3">
        <w:rPr>
          <w:rFonts w:asciiTheme="majorHAnsi" w:eastAsia="Times New Roman" w:hAnsiTheme="majorHAnsi" w:cstheme="majorHAnsi"/>
        </w:rPr>
        <w:t>Those 89 patients excluded from the primary analysis because they received PRBC transfusion without a documented hemorrhagic injury tended to have a reduced injury severity score [median 20, interquartile range (IQR) 11-34], a reduced proportion of abdominal AIS ≥ 3 (11%), and a reduced overall 24-hr PRBC vol</w:t>
      </w:r>
      <w:r w:rsidR="004D0E16" w:rsidRPr="00D868F3">
        <w:rPr>
          <w:rFonts w:asciiTheme="majorHAnsi" w:eastAsia="Times New Roman" w:hAnsiTheme="majorHAnsi" w:cstheme="majorHAnsi"/>
        </w:rPr>
        <w:t>ume</w:t>
      </w:r>
      <w:r w:rsidRPr="00D868F3">
        <w:rPr>
          <w:rFonts w:asciiTheme="majorHAnsi" w:eastAsia="Times New Roman" w:hAnsiTheme="majorHAnsi" w:cstheme="majorHAnsi"/>
        </w:rPr>
        <w:t xml:space="preserve"> (median 2, IQR 2-4) as compared with 106 patients in the primary patient population who received PRBC transfusion and had a documented hemorrhagic injury (median injury severity score 27, IQR 17-41, abdominal AIS ≥ 3 in 55%, 24-hr PRBC vol</w:t>
      </w:r>
      <w:r w:rsidR="004D0E16" w:rsidRPr="00D868F3">
        <w:rPr>
          <w:rFonts w:asciiTheme="majorHAnsi" w:eastAsia="Times New Roman" w:hAnsiTheme="majorHAnsi" w:cstheme="majorHAnsi"/>
        </w:rPr>
        <w:t>ume</w:t>
      </w:r>
      <w:r w:rsidRPr="00D868F3">
        <w:rPr>
          <w:rFonts w:asciiTheme="majorHAnsi" w:eastAsia="Times New Roman" w:hAnsiTheme="majorHAnsi" w:cstheme="majorHAnsi"/>
        </w:rPr>
        <w:t xml:space="preserve"> median 5, IQR 2-10).</w:t>
      </w:r>
    </w:p>
    <w:p w:rsidR="00C44049" w:rsidRPr="00D868F3" w:rsidRDefault="00C44049" w:rsidP="00F944E2">
      <w:pPr>
        <w:spacing w:line="480" w:lineRule="auto"/>
        <w:ind w:firstLine="540"/>
        <w:rPr>
          <w:rFonts w:asciiTheme="majorHAnsi" w:eastAsia="Times New Roman" w:hAnsiTheme="majorHAnsi" w:cstheme="majorHAnsi"/>
        </w:rPr>
      </w:pPr>
    </w:p>
    <w:p w:rsidR="00C44049" w:rsidRPr="00D868F3" w:rsidRDefault="00C44049" w:rsidP="00F944E2">
      <w:pPr>
        <w:spacing w:line="480" w:lineRule="auto"/>
        <w:ind w:firstLine="540"/>
        <w:rPr>
          <w:rFonts w:asciiTheme="majorHAnsi" w:eastAsia="Times New Roman" w:hAnsiTheme="majorHAnsi" w:cstheme="majorHAnsi"/>
          <w:sz w:val="29"/>
          <w:szCs w:val="29"/>
        </w:rPr>
      </w:pPr>
      <w:r w:rsidRPr="00D868F3">
        <w:rPr>
          <w:rFonts w:asciiTheme="majorHAnsi" w:eastAsia="Times New Roman" w:hAnsiTheme="majorHAnsi" w:cstheme="majorHAnsi"/>
        </w:rPr>
        <w:t xml:space="preserve">In the </w:t>
      </w:r>
      <w:r w:rsidR="008466A3" w:rsidRPr="00D868F3">
        <w:rPr>
          <w:rFonts w:asciiTheme="majorHAnsi" w:eastAsia="Times New Roman" w:hAnsiTheme="majorHAnsi" w:cstheme="majorHAnsi"/>
        </w:rPr>
        <w:t>sensitivity</w:t>
      </w:r>
      <w:r w:rsidRPr="00D868F3">
        <w:rPr>
          <w:rFonts w:asciiTheme="majorHAnsi" w:eastAsia="Times New Roman" w:hAnsiTheme="majorHAnsi" w:cstheme="majorHAnsi"/>
        </w:rPr>
        <w:t xml:space="preserve"> analysis (i.e., all patients who received any 24-hr PRBC transfusion, without excluding those who lacked documentation of hemorrhagic injury), the specificity was identical to the primary analysis 87% (85-89% CI) for 749 patients with zero 24-hr PRBC volume. However, the sensitivity for hemorrhage trended lower in the </w:t>
      </w:r>
      <w:r w:rsidR="002A37AF" w:rsidRPr="00D868F3">
        <w:rPr>
          <w:rFonts w:asciiTheme="majorHAnsi" w:eastAsia="Times New Roman" w:hAnsiTheme="majorHAnsi" w:cstheme="majorHAnsi"/>
        </w:rPr>
        <w:t>sensitivity</w:t>
      </w:r>
      <w:r w:rsidRPr="00D868F3">
        <w:rPr>
          <w:rFonts w:asciiTheme="majorHAnsi" w:eastAsia="Times New Roman" w:hAnsiTheme="majorHAnsi" w:cstheme="majorHAnsi"/>
        </w:rPr>
        <w:t xml:space="preserve"> analysis: for the 40 patients who received 9 or more units of PRBCs, sensitivity was 70% (53-83%) in the </w:t>
      </w:r>
      <w:r w:rsidR="008466A3" w:rsidRPr="00D868F3">
        <w:rPr>
          <w:rFonts w:asciiTheme="majorHAnsi" w:eastAsia="Times New Roman" w:hAnsiTheme="majorHAnsi" w:cstheme="majorHAnsi"/>
        </w:rPr>
        <w:t>sensitivity</w:t>
      </w:r>
      <w:r w:rsidRPr="00D868F3">
        <w:rPr>
          <w:rFonts w:asciiTheme="majorHAnsi" w:eastAsia="Times New Roman" w:hAnsiTheme="majorHAnsi" w:cstheme="majorHAnsi"/>
        </w:rPr>
        <w:t xml:space="preserve"> analysis versus 76% (59-89% CI) from the primary analysis. Logistic regression </w:t>
      </w:r>
      <w:r w:rsidRPr="00D868F3">
        <w:rPr>
          <w:rFonts w:asciiTheme="majorHAnsi" w:eastAsia="Times New Roman" w:hAnsiTheme="majorHAnsi" w:cstheme="majorHAnsi"/>
        </w:rPr>
        <w:lastRenderedPageBreak/>
        <w:t xml:space="preserve">modeling of the likelihood of APPRAISE </w:t>
      </w:r>
      <w:r w:rsidR="00AF6B45" w:rsidRPr="00D868F3">
        <w:rPr>
          <w:rFonts w:asciiTheme="majorHAnsi" w:eastAsia="Times New Roman" w:hAnsiTheme="majorHAnsi" w:cstheme="majorHAnsi"/>
        </w:rPr>
        <w:t xml:space="preserve">hemorrhage notification </w:t>
      </w:r>
      <w:r w:rsidRPr="00D868F3">
        <w:rPr>
          <w:rFonts w:asciiTheme="majorHAnsi" w:eastAsia="Times New Roman" w:hAnsiTheme="majorHAnsi" w:cstheme="majorHAnsi"/>
        </w:rPr>
        <w:t>as a function of 24-h</w:t>
      </w:r>
      <w:r w:rsidR="000B1933" w:rsidRPr="00D868F3">
        <w:rPr>
          <w:rFonts w:asciiTheme="majorHAnsi" w:eastAsia="Times New Roman" w:hAnsiTheme="majorHAnsi" w:cstheme="majorHAnsi"/>
        </w:rPr>
        <w:t>r</w:t>
      </w:r>
      <w:r w:rsidRPr="00D868F3">
        <w:rPr>
          <w:rFonts w:asciiTheme="majorHAnsi" w:eastAsia="Times New Roman" w:hAnsiTheme="majorHAnsi" w:cstheme="majorHAnsi"/>
        </w:rPr>
        <w:t xml:space="preserve"> PRBC transfusion volume (see Supplemental Fig</w:t>
      </w:r>
      <w:r w:rsidR="00BD1F66" w:rsidRPr="00D868F3">
        <w:rPr>
          <w:rFonts w:asciiTheme="majorHAnsi" w:eastAsia="Times New Roman" w:hAnsiTheme="majorHAnsi" w:cstheme="majorHAnsi"/>
        </w:rPr>
        <w:t>.</w:t>
      </w:r>
      <w:r w:rsidRPr="00D868F3">
        <w:rPr>
          <w:rFonts w:asciiTheme="majorHAnsi" w:eastAsia="Times New Roman" w:hAnsiTheme="majorHAnsi" w:cstheme="majorHAnsi"/>
        </w:rPr>
        <w:t xml:space="preserve"> 1) was similar to the primary analysis (see Fig</w:t>
      </w:r>
      <w:r w:rsidR="00BD1F66" w:rsidRPr="00D868F3">
        <w:rPr>
          <w:rFonts w:asciiTheme="majorHAnsi" w:eastAsia="Times New Roman" w:hAnsiTheme="majorHAnsi" w:cstheme="majorHAnsi"/>
        </w:rPr>
        <w:t>.</w:t>
      </w:r>
      <w:r w:rsidRPr="00D868F3">
        <w:rPr>
          <w:rFonts w:asciiTheme="majorHAnsi" w:eastAsia="Times New Roman" w:hAnsiTheme="majorHAnsi" w:cstheme="majorHAnsi"/>
        </w:rPr>
        <w:t xml:space="preserve"> 2).</w:t>
      </w:r>
    </w:p>
    <w:p w:rsidR="00C44049" w:rsidRPr="00D868F3" w:rsidRDefault="00C44049" w:rsidP="00C44049">
      <w:pPr>
        <w:rPr>
          <w:rFonts w:asciiTheme="majorHAnsi" w:hAnsiTheme="majorHAnsi" w:cstheme="majorHAnsi"/>
        </w:rPr>
      </w:pPr>
      <w:r w:rsidRPr="00D868F3">
        <w:rPr>
          <w:rFonts w:asciiTheme="majorHAnsi" w:hAnsiTheme="majorHAnsi" w:cstheme="majorHAnsi"/>
        </w:rPr>
        <w:br w:type="page"/>
      </w:r>
    </w:p>
    <w:p w:rsidR="00C44049" w:rsidRPr="00D868F3" w:rsidRDefault="00C44049" w:rsidP="00C44049"/>
    <w:p w:rsidR="00C44049" w:rsidRPr="00D868F3" w:rsidRDefault="00410EB7" w:rsidP="00C44049"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182880" distL="114300" distR="114300" simplePos="0" relativeHeight="25166438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ge">
                  <wp:posOffset>707390</wp:posOffset>
                </wp:positionV>
                <wp:extent cx="6086475" cy="6955790"/>
                <wp:effectExtent l="0" t="0" r="9525" b="0"/>
                <wp:wrapTopAndBottom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695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0C66" w:rsidRDefault="00E60C66" w:rsidP="00C44049">
                            <w:pPr>
                              <w:spacing w:before="60"/>
                              <w:jc w:val="center"/>
                              <w:rPr>
                                <w:noProof/>
                              </w:rPr>
                            </w:pPr>
                            <w:r w:rsidRPr="00A668ED">
                              <w:rPr>
                                <w:noProof/>
                              </w:rPr>
                              <w:t xml:space="preserve"> </w:t>
                            </w:r>
                            <w:r w:rsidRPr="006169A6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57775" cy="4514850"/>
                                  <wp:effectExtent l="0" t="0" r="9525" b="0"/>
                                  <wp:docPr id="3" name="Picture 3" descr="Z:\jliu2\Docs\medflight\manuscript\Shock\Revision round 1\figure_sensitivity_analysis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jliu2\Docs\medflight\manuscript\Shock\Revision round 1\figure_sensitivity_analysis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7775" cy="451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0C66" w:rsidRPr="00D868F3" w:rsidRDefault="00E60C66" w:rsidP="00C44049">
                            <w:pPr>
                              <w:rPr>
                                <w:rFonts w:ascii="Times New Roman" w:hAnsi="Times New Roman" w:cs="Times New Roman"/>
                                <w:bCs/>
                                <w:i/>
                              </w:rPr>
                            </w:pPr>
                            <w:r w:rsidRPr="00D868F3"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  <w:t xml:space="preserve">Supplemental Figure 1: Modeling the rate of APPRAISE hemorrhage notification using logistic regression (sensitivity analysis). </w:t>
                            </w:r>
                            <w:r w:rsidRPr="00D868F3">
                              <w:rPr>
                                <w:rFonts w:ascii="Cambria" w:hAnsi="Cambria"/>
                                <w:i/>
                                <w:iCs/>
                              </w:rPr>
                              <w:t>Unlike the primary analysis, we included subjects whether or not there was a documented hemorrhagic injury.</w:t>
                            </w:r>
                            <w:r w:rsidRPr="00D868F3">
                              <w:rPr>
                                <w:rFonts w:asciiTheme="majorHAnsi" w:hAnsiTheme="majorHAnsi" w:cs="Arial"/>
                                <w:i/>
                              </w:rPr>
                              <w:t xml:space="preserve"> </w:t>
                            </w:r>
                            <w:r w:rsidRPr="00D868F3">
                              <w:rPr>
                                <w:rFonts w:ascii="Times New Roman" w:hAnsi="Times New Roman" w:cs="Times New Roman"/>
                                <w:bCs/>
                                <w:i/>
                              </w:rPr>
                              <w:t xml:space="preserve">The slope and the offset </w:t>
                            </w:r>
                            <w:r w:rsidRPr="00D868F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between </w:t>
                            </w:r>
                            <w:r w:rsidRPr="00D868F3">
                              <w:rPr>
                                <w:rFonts w:ascii="Times New Roman" w:hAnsi="Times New Roman" w:cs="Times New Roman"/>
                                <w:bCs/>
                                <w:i/>
                              </w:rPr>
                              <w:t>Memorial Hermann Life Flight</w:t>
                            </w:r>
                            <w:r w:rsidRPr="00D868F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 (MHLF) and </w:t>
                            </w:r>
                            <w:r w:rsidRPr="00D868F3">
                              <w:rPr>
                                <w:rFonts w:ascii="Times New Roman" w:hAnsi="Times New Roman" w:cs="Times New Roman"/>
                                <w:bCs/>
                                <w:i/>
                              </w:rPr>
                              <w:t xml:space="preserve">Boston </w:t>
                            </w:r>
                            <w:proofErr w:type="spellStart"/>
                            <w:r w:rsidRPr="00D868F3">
                              <w:rPr>
                                <w:rFonts w:ascii="Times New Roman" w:hAnsi="Times New Roman" w:cs="Times New Roman"/>
                                <w:bCs/>
                                <w:i/>
                              </w:rPr>
                              <w:t>MedFlight</w:t>
                            </w:r>
                            <w:proofErr w:type="spellEnd"/>
                            <w:r w:rsidRPr="00D868F3">
                              <w:rPr>
                                <w:rFonts w:ascii="Times New Roman" w:hAnsi="Times New Roman" w:cs="Times New Roman"/>
                                <w:bCs/>
                                <w:i/>
                              </w:rPr>
                              <w:t xml:space="preserve"> (</w:t>
                            </w:r>
                            <w:r w:rsidRPr="00D868F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BMF) were not statistically significant: further inclusion of a population parameter (1 for MHLF and 0 for BMF) into the regression model for the combined (BMF and MHLF) dataset did not yield a statistically significant coefficient for the population parameter. </w:t>
                            </w:r>
                            <w:r w:rsidRPr="00D868F3">
                              <w:rPr>
                                <w:rFonts w:ascii="Times New Roman" w:hAnsi="Times New Roman" w:cs="Times New Roman"/>
                                <w:bCs/>
                                <w:i/>
                              </w:rPr>
                              <w:t>Shaded</w:t>
                            </w:r>
                            <w:r w:rsidRPr="00D868F3">
                              <w:rPr>
                                <w:rFonts w:ascii="Times New Roman" w:hAnsi="Times New Roman"/>
                                <w:bCs/>
                                <w:i/>
                              </w:rPr>
                              <w:t xml:space="preserve"> areas are the 95% confidence intervals for the combined population regression model. The confidence interval becomes wider as a result of the smaller patient population with larger 24-hr PRBC volumes. Patients who received 10 or more units of </w:t>
                            </w:r>
                            <w:r w:rsidRPr="00D868F3">
                              <w:rPr>
                                <w:rFonts w:ascii="Times New Roman" w:hAnsi="Times New Roman" w:cs="Times New Roman"/>
                                <w:bCs/>
                                <w:i/>
                              </w:rPr>
                              <w:t xml:space="preserve">PRBCs were combined into a single category. PRBCs: packed red blood cells. </w:t>
                            </w:r>
                          </w:p>
                          <w:p w:rsidR="00E60C66" w:rsidRPr="0088402D" w:rsidRDefault="00E60C66" w:rsidP="00C44049">
                            <w:pPr>
                              <w:spacing w:before="60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-2.55pt;margin-top:55.7pt;width:479.25pt;height:547.7pt;z-index:251664384;visibility:visible;mso-wrap-style:square;mso-width-percent:0;mso-height-percent:0;mso-wrap-distance-left:9pt;mso-wrap-distance-top:0;mso-wrap-distance-right:9pt;mso-wrap-distance-bottom:14.4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" stroked="f" strokeweight="2pt">
                <v:textbox>
                  <w:txbxContent>
                    <w:p w:rsidR="00E60C66" w:rsidRDefault="00E60C66" w:rsidP="00C44049">
                      <w:pPr>
                        <w:spacing w:before="60"/>
                        <w:jc w:val="center"/>
                        <w:rPr>
                          <w:noProof/>
                        </w:rPr>
                      </w:pPr>
                      <w:r w:rsidRPr="00A668ED">
                        <w:rPr>
                          <w:noProof/>
                        </w:rPr>
                        <w:t xml:space="preserve"> </w:t>
                      </w:r>
                      <w:r w:rsidRPr="006169A6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57775" cy="4514850"/>
                            <wp:effectExtent l="0" t="0" r="9525" b="0"/>
                            <wp:docPr id="3" name="Picture 3" descr="Z:\jliu2\Docs\medflight\manuscript\Shock\Revision round 1\figure_sensitivity_analysis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jliu2\Docs\medflight\manuscript\Shock\Revision round 1\figure_sensitivity_analysis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7775" cy="451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C66" w:rsidRPr="00D868F3" w:rsidRDefault="00E60C66" w:rsidP="00C44049">
                      <w:pPr>
                        <w:rPr>
                          <w:rFonts w:ascii="Times New Roman" w:hAnsi="Times New Roman" w:cs="Times New Roman"/>
                          <w:bCs/>
                          <w:i/>
                        </w:rPr>
                      </w:pPr>
                      <w:r w:rsidRPr="00D868F3">
                        <w:rPr>
                          <w:rFonts w:ascii="Times New Roman" w:hAnsi="Times New Roman"/>
                          <w:bCs/>
                          <w:i/>
                        </w:rPr>
                        <w:t xml:space="preserve">Supplemental Figure 1: Modeling the rate of APPRAISE hemorrhage notification using logistic regression (sensitivity analysis). </w:t>
                      </w:r>
                      <w:r w:rsidRPr="00D868F3">
                        <w:rPr>
                          <w:rFonts w:ascii="Cambria" w:hAnsi="Cambria"/>
                          <w:i/>
                          <w:iCs/>
                        </w:rPr>
                        <w:t>Unlike the primary analysis, we included subjects whether or not there was a documented hemorrhagic injury.</w:t>
                      </w:r>
                      <w:r w:rsidRPr="00D868F3">
                        <w:rPr>
                          <w:rFonts w:asciiTheme="majorHAnsi" w:hAnsiTheme="majorHAnsi" w:cs="Arial"/>
                          <w:i/>
                        </w:rPr>
                        <w:t xml:space="preserve"> </w:t>
                      </w:r>
                      <w:r w:rsidRPr="00D868F3">
                        <w:rPr>
                          <w:rFonts w:ascii="Times New Roman" w:hAnsi="Times New Roman" w:cs="Times New Roman"/>
                          <w:bCs/>
                          <w:i/>
                        </w:rPr>
                        <w:t xml:space="preserve">The slope and the offset </w:t>
                      </w:r>
                      <w:r w:rsidRPr="00D868F3">
                        <w:rPr>
                          <w:rFonts w:ascii="Times New Roman" w:hAnsi="Times New Roman" w:cs="Times New Roman"/>
                          <w:i/>
                        </w:rPr>
                        <w:t xml:space="preserve">between </w:t>
                      </w:r>
                      <w:r w:rsidRPr="00D868F3">
                        <w:rPr>
                          <w:rFonts w:ascii="Times New Roman" w:hAnsi="Times New Roman" w:cs="Times New Roman"/>
                          <w:bCs/>
                          <w:i/>
                        </w:rPr>
                        <w:t>Memorial Hermann Life Flight</w:t>
                      </w:r>
                      <w:r w:rsidRPr="00D868F3">
                        <w:rPr>
                          <w:rFonts w:ascii="Times New Roman" w:hAnsi="Times New Roman" w:cs="Times New Roman"/>
                          <w:i/>
                        </w:rPr>
                        <w:t xml:space="preserve"> (MHLF) and </w:t>
                      </w:r>
                      <w:r w:rsidRPr="00D868F3">
                        <w:rPr>
                          <w:rFonts w:ascii="Times New Roman" w:hAnsi="Times New Roman" w:cs="Times New Roman"/>
                          <w:bCs/>
                          <w:i/>
                        </w:rPr>
                        <w:t xml:space="preserve">Boston </w:t>
                      </w:r>
                      <w:proofErr w:type="spellStart"/>
                      <w:r w:rsidRPr="00D868F3">
                        <w:rPr>
                          <w:rFonts w:ascii="Times New Roman" w:hAnsi="Times New Roman" w:cs="Times New Roman"/>
                          <w:bCs/>
                          <w:i/>
                        </w:rPr>
                        <w:t>MedFlight</w:t>
                      </w:r>
                      <w:proofErr w:type="spellEnd"/>
                      <w:r w:rsidRPr="00D868F3">
                        <w:rPr>
                          <w:rFonts w:ascii="Times New Roman" w:hAnsi="Times New Roman" w:cs="Times New Roman"/>
                          <w:bCs/>
                          <w:i/>
                        </w:rPr>
                        <w:t xml:space="preserve"> (</w:t>
                      </w:r>
                      <w:r w:rsidRPr="00D868F3">
                        <w:rPr>
                          <w:rFonts w:ascii="Times New Roman" w:hAnsi="Times New Roman" w:cs="Times New Roman"/>
                          <w:i/>
                        </w:rPr>
                        <w:t xml:space="preserve">BMF) were not statistically significant: further inclusion of a population parameter (1 for MHLF and 0 for BMF) into the regression model for the combined (BMF and MHLF) dataset did not yield a statistically significant coefficient for the population parameter. </w:t>
                      </w:r>
                      <w:r w:rsidRPr="00D868F3">
                        <w:rPr>
                          <w:rFonts w:ascii="Times New Roman" w:hAnsi="Times New Roman" w:cs="Times New Roman"/>
                          <w:bCs/>
                          <w:i/>
                        </w:rPr>
                        <w:t>Shaded</w:t>
                      </w:r>
                      <w:r w:rsidRPr="00D868F3">
                        <w:rPr>
                          <w:rFonts w:ascii="Times New Roman" w:hAnsi="Times New Roman"/>
                          <w:bCs/>
                          <w:i/>
                        </w:rPr>
                        <w:t xml:space="preserve"> areas are the 95% confidence intervals for the combined population regression model. The confidence interval becomes wider as a result of the smaller patient population with larger 24-hr PRBC volumes. Patients who received 10 or more units of </w:t>
                      </w:r>
                      <w:r w:rsidRPr="00D868F3">
                        <w:rPr>
                          <w:rFonts w:ascii="Times New Roman" w:hAnsi="Times New Roman" w:cs="Times New Roman"/>
                          <w:bCs/>
                          <w:i/>
                        </w:rPr>
                        <w:t xml:space="preserve">PRBCs were combined into a single category. PRBCs: packed red blood cells. </w:t>
                      </w:r>
                    </w:p>
                    <w:p w:rsidR="00E60C66" w:rsidRPr="0088402D" w:rsidRDefault="00E60C66" w:rsidP="00C44049">
                      <w:pPr>
                        <w:spacing w:before="60"/>
                        <w:rPr>
                          <w:rFonts w:ascii="Times New Roman" w:hAnsi="Times New Roman" w:cs="Times New Roman"/>
                          <w:i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:rsidR="00C44049" w:rsidRPr="00D868F3" w:rsidRDefault="00C44049" w:rsidP="00134D69">
      <w:pPr>
        <w:spacing w:line="276" w:lineRule="auto"/>
        <w:rPr>
          <w:rFonts w:ascii="Times New Roman" w:hAnsi="Times New Roman" w:cs="Times New Roman"/>
          <w:i/>
          <w:sz w:val="28"/>
        </w:rPr>
      </w:pPr>
    </w:p>
    <w:sectPr w:rsidR="00C44049" w:rsidRPr="00D868F3" w:rsidSect="00D44C14">
      <w:headerReference w:type="default" r:id="rId15"/>
      <w:footerReference w:type="default" r:id="rId16"/>
      <w:footnotePr>
        <w:numFmt w:val="lowerLetter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EB5" w:rsidRDefault="00F03EB5" w:rsidP="00B341C3">
      <w:r>
        <w:separator/>
      </w:r>
    </w:p>
  </w:endnote>
  <w:endnote w:type="continuationSeparator" w:id="0">
    <w:p w:rsidR="00F03EB5" w:rsidRDefault="00F03EB5" w:rsidP="00B341C3">
      <w:r>
        <w:continuationSeparator/>
      </w:r>
    </w:p>
  </w:endnote>
  <w:endnote w:type="continuationNotice" w:id="1">
    <w:p w:rsidR="00F03EB5" w:rsidRDefault="00F03E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31843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0C66" w:rsidRDefault="00E60C66" w:rsidP="00C016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10A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60C66" w:rsidRDefault="00E60C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EB5" w:rsidRDefault="00F03EB5" w:rsidP="00B341C3">
      <w:r>
        <w:separator/>
      </w:r>
    </w:p>
  </w:footnote>
  <w:footnote w:type="continuationSeparator" w:id="0">
    <w:p w:rsidR="00F03EB5" w:rsidRDefault="00F03EB5" w:rsidP="00B341C3">
      <w:r>
        <w:continuationSeparator/>
      </w:r>
    </w:p>
  </w:footnote>
  <w:footnote w:type="continuationNotice" w:id="1">
    <w:p w:rsidR="00F03EB5" w:rsidRDefault="00F03EB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C66" w:rsidRPr="004D37CB" w:rsidRDefault="00E60C66">
    <w:pPr>
      <w:pStyle w:val="Header"/>
      <w:rPr>
        <w:rFonts w:asciiTheme="majorHAnsi" w:hAnsiTheme="majorHAnsi" w:cstheme="majorHAnsi"/>
        <w:i/>
      </w:rPr>
    </w:pPr>
    <w:r w:rsidRPr="004D37CB">
      <w:rPr>
        <w:rFonts w:asciiTheme="majorHAnsi" w:hAnsiTheme="majorHAnsi" w:cstheme="majorHAnsi"/>
        <w:i/>
      </w:rPr>
      <w:t xml:space="preserve">Automated </w:t>
    </w:r>
    <w:proofErr w:type="spellStart"/>
    <w:r w:rsidRPr="004D37CB">
      <w:rPr>
        <w:rFonts w:asciiTheme="majorHAnsi" w:hAnsiTheme="majorHAnsi" w:cstheme="majorHAnsi"/>
        <w:i/>
      </w:rPr>
      <w:t>prehospital</w:t>
    </w:r>
    <w:proofErr w:type="spellEnd"/>
    <w:r w:rsidRPr="004D37CB">
      <w:rPr>
        <w:rFonts w:asciiTheme="majorHAnsi" w:hAnsiTheme="majorHAnsi" w:cstheme="majorHAnsi"/>
        <w:i/>
      </w:rPr>
      <w:t xml:space="preserve"> </w:t>
    </w:r>
    <w:r>
      <w:rPr>
        <w:rFonts w:asciiTheme="majorHAnsi" w:hAnsiTheme="majorHAnsi" w:cstheme="majorHAnsi"/>
        <w:i/>
      </w:rPr>
      <w:t>vital sign analysis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86168"/>
    <w:multiLevelType w:val="hybridMultilevel"/>
    <w:tmpl w:val="3098A25E"/>
    <w:lvl w:ilvl="0" w:tplc="75BC28C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C1B60"/>
    <w:multiLevelType w:val="hybridMultilevel"/>
    <w:tmpl w:val="B8623E30"/>
    <w:lvl w:ilvl="0" w:tplc="80B669E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3608FF"/>
    <w:multiLevelType w:val="hybridMultilevel"/>
    <w:tmpl w:val="B77CA34C"/>
    <w:lvl w:ilvl="0" w:tplc="80B669E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C0153B"/>
    <w:multiLevelType w:val="hybridMultilevel"/>
    <w:tmpl w:val="BB7AB48C"/>
    <w:lvl w:ilvl="0" w:tplc="80B669E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7B1406"/>
    <w:multiLevelType w:val="hybridMultilevel"/>
    <w:tmpl w:val="586A66B6"/>
    <w:lvl w:ilvl="0" w:tplc="24BC8F2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D16CE9"/>
    <w:multiLevelType w:val="hybridMultilevel"/>
    <w:tmpl w:val="F094F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BC2F83"/>
    <w:multiLevelType w:val="hybridMultilevel"/>
    <w:tmpl w:val="C39E309C"/>
    <w:lvl w:ilvl="0" w:tplc="80B669E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A139B8"/>
    <w:multiLevelType w:val="hybridMultilevel"/>
    <w:tmpl w:val="C174FCCC"/>
    <w:lvl w:ilvl="0" w:tplc="1B88B99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defaultTabStop w:val="720"/>
  <w:characterSpacingControl w:val="doNotCompress"/>
  <w:hdrShapeDefaults>
    <o:shapedefaults v:ext="edit" spidmax="18433"/>
  </w:hdrShapeDefaults>
  <w:footnotePr>
    <w:numFmt w:val="lowerLetter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Shock Injury Inflam Sepsi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1&lt;/HyperlinksEnabled&gt;&lt;HyperlinksVisible&gt;0&lt;/HyperlinksVisible&gt;&lt;/ENLayout&gt;"/>
    <w:docVar w:name="EN.Libraries" w:val="&lt;Libraries&gt;&lt;item db-id=&quot;95z2xet2iewzf6exz5qva5t90v0aasaepwa9&quot;&gt;Vital Signs 3 Oct 2014&lt;record-ids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2&lt;/item&gt;&lt;item&gt;33&lt;/item&gt;&lt;item&gt;34&lt;/item&gt;&lt;item&gt;35&lt;/item&gt;&lt;item&gt;36&lt;/item&gt;&lt;/record-ids&gt;&lt;/item&gt;&lt;/Libraries&gt;"/>
  </w:docVars>
  <w:rsids>
    <w:rsidRoot w:val="00CC2357"/>
    <w:rsid w:val="00001DC3"/>
    <w:rsid w:val="0000440B"/>
    <w:rsid w:val="000050E2"/>
    <w:rsid w:val="000068E2"/>
    <w:rsid w:val="00007EE0"/>
    <w:rsid w:val="00011920"/>
    <w:rsid w:val="00011A18"/>
    <w:rsid w:val="00014EFD"/>
    <w:rsid w:val="0001524A"/>
    <w:rsid w:val="000159B4"/>
    <w:rsid w:val="00015BC3"/>
    <w:rsid w:val="000175D8"/>
    <w:rsid w:val="000221CB"/>
    <w:rsid w:val="0002297D"/>
    <w:rsid w:val="00022B19"/>
    <w:rsid w:val="00024AA2"/>
    <w:rsid w:val="000256D4"/>
    <w:rsid w:val="00026327"/>
    <w:rsid w:val="00026DD7"/>
    <w:rsid w:val="0003028B"/>
    <w:rsid w:val="00031DD1"/>
    <w:rsid w:val="000335D3"/>
    <w:rsid w:val="00033F16"/>
    <w:rsid w:val="00034267"/>
    <w:rsid w:val="00034C9E"/>
    <w:rsid w:val="00036000"/>
    <w:rsid w:val="0003628F"/>
    <w:rsid w:val="000363C9"/>
    <w:rsid w:val="00036A43"/>
    <w:rsid w:val="000374B7"/>
    <w:rsid w:val="000400E0"/>
    <w:rsid w:val="00041233"/>
    <w:rsid w:val="00042D3F"/>
    <w:rsid w:val="00042D9A"/>
    <w:rsid w:val="000441DB"/>
    <w:rsid w:val="0004435A"/>
    <w:rsid w:val="00047232"/>
    <w:rsid w:val="00047531"/>
    <w:rsid w:val="00051193"/>
    <w:rsid w:val="00052C69"/>
    <w:rsid w:val="00053BCA"/>
    <w:rsid w:val="00055958"/>
    <w:rsid w:val="000561CA"/>
    <w:rsid w:val="00060F59"/>
    <w:rsid w:val="000623E8"/>
    <w:rsid w:val="0006397B"/>
    <w:rsid w:val="000653E5"/>
    <w:rsid w:val="000663A9"/>
    <w:rsid w:val="00066988"/>
    <w:rsid w:val="00066D1C"/>
    <w:rsid w:val="00067781"/>
    <w:rsid w:val="00067A10"/>
    <w:rsid w:val="00071DF3"/>
    <w:rsid w:val="00075825"/>
    <w:rsid w:val="000758A4"/>
    <w:rsid w:val="00076F0F"/>
    <w:rsid w:val="0007749D"/>
    <w:rsid w:val="00077CFD"/>
    <w:rsid w:val="00080F37"/>
    <w:rsid w:val="00081D9D"/>
    <w:rsid w:val="0008237B"/>
    <w:rsid w:val="00082E61"/>
    <w:rsid w:val="000855BE"/>
    <w:rsid w:val="00085CD6"/>
    <w:rsid w:val="00090C1A"/>
    <w:rsid w:val="00092C34"/>
    <w:rsid w:val="000933BF"/>
    <w:rsid w:val="00094368"/>
    <w:rsid w:val="00096C05"/>
    <w:rsid w:val="00097BED"/>
    <w:rsid w:val="000A0A1F"/>
    <w:rsid w:val="000A109D"/>
    <w:rsid w:val="000A2C96"/>
    <w:rsid w:val="000A6BCF"/>
    <w:rsid w:val="000A7A3B"/>
    <w:rsid w:val="000B0FE8"/>
    <w:rsid w:val="000B12B9"/>
    <w:rsid w:val="000B1933"/>
    <w:rsid w:val="000B2AF5"/>
    <w:rsid w:val="000B2CF4"/>
    <w:rsid w:val="000B2D94"/>
    <w:rsid w:val="000B4C74"/>
    <w:rsid w:val="000B4DE8"/>
    <w:rsid w:val="000B5959"/>
    <w:rsid w:val="000B66A6"/>
    <w:rsid w:val="000B749E"/>
    <w:rsid w:val="000C0A85"/>
    <w:rsid w:val="000C0D62"/>
    <w:rsid w:val="000C2113"/>
    <w:rsid w:val="000C2BE7"/>
    <w:rsid w:val="000C3547"/>
    <w:rsid w:val="000C4828"/>
    <w:rsid w:val="000C48F8"/>
    <w:rsid w:val="000C49DE"/>
    <w:rsid w:val="000C6805"/>
    <w:rsid w:val="000D0174"/>
    <w:rsid w:val="000D1CE1"/>
    <w:rsid w:val="000D28EF"/>
    <w:rsid w:val="000D2BBE"/>
    <w:rsid w:val="000D37F0"/>
    <w:rsid w:val="000D4A52"/>
    <w:rsid w:val="000D7395"/>
    <w:rsid w:val="000D75E9"/>
    <w:rsid w:val="000E1B0C"/>
    <w:rsid w:val="000E206F"/>
    <w:rsid w:val="000E5BEE"/>
    <w:rsid w:val="000E5FA0"/>
    <w:rsid w:val="000E63E2"/>
    <w:rsid w:val="000E6C9A"/>
    <w:rsid w:val="000E6E4F"/>
    <w:rsid w:val="000F3B6F"/>
    <w:rsid w:val="000F3BF4"/>
    <w:rsid w:val="000F6534"/>
    <w:rsid w:val="000F6D7D"/>
    <w:rsid w:val="0010012C"/>
    <w:rsid w:val="00101CF3"/>
    <w:rsid w:val="001038AB"/>
    <w:rsid w:val="00104419"/>
    <w:rsid w:val="00104D75"/>
    <w:rsid w:val="00105247"/>
    <w:rsid w:val="001052DD"/>
    <w:rsid w:val="00106B5F"/>
    <w:rsid w:val="001079A2"/>
    <w:rsid w:val="00111151"/>
    <w:rsid w:val="00111314"/>
    <w:rsid w:val="001118F3"/>
    <w:rsid w:val="0011405B"/>
    <w:rsid w:val="001142E8"/>
    <w:rsid w:val="00114DAA"/>
    <w:rsid w:val="00115C21"/>
    <w:rsid w:val="001160DE"/>
    <w:rsid w:val="00116EC2"/>
    <w:rsid w:val="0011701C"/>
    <w:rsid w:val="00117B73"/>
    <w:rsid w:val="00117C4B"/>
    <w:rsid w:val="001218EA"/>
    <w:rsid w:val="00125619"/>
    <w:rsid w:val="00125BFB"/>
    <w:rsid w:val="00125E20"/>
    <w:rsid w:val="0012609D"/>
    <w:rsid w:val="001266E3"/>
    <w:rsid w:val="00132901"/>
    <w:rsid w:val="0013451B"/>
    <w:rsid w:val="00134B04"/>
    <w:rsid w:val="00134D69"/>
    <w:rsid w:val="001446E6"/>
    <w:rsid w:val="0014578E"/>
    <w:rsid w:val="00145A37"/>
    <w:rsid w:val="001463C9"/>
    <w:rsid w:val="00146E37"/>
    <w:rsid w:val="00147348"/>
    <w:rsid w:val="001479A2"/>
    <w:rsid w:val="00147ADF"/>
    <w:rsid w:val="00150017"/>
    <w:rsid w:val="001505CE"/>
    <w:rsid w:val="00151A14"/>
    <w:rsid w:val="00152EC0"/>
    <w:rsid w:val="001540CE"/>
    <w:rsid w:val="001542BD"/>
    <w:rsid w:val="00154C2C"/>
    <w:rsid w:val="00154EDF"/>
    <w:rsid w:val="00157790"/>
    <w:rsid w:val="0016068C"/>
    <w:rsid w:val="00160EE4"/>
    <w:rsid w:val="001624FF"/>
    <w:rsid w:val="00163E39"/>
    <w:rsid w:val="001651EF"/>
    <w:rsid w:val="001658ED"/>
    <w:rsid w:val="001669AD"/>
    <w:rsid w:val="00170596"/>
    <w:rsid w:val="00171E89"/>
    <w:rsid w:val="001753FC"/>
    <w:rsid w:val="00177B4F"/>
    <w:rsid w:val="0018057F"/>
    <w:rsid w:val="00182508"/>
    <w:rsid w:val="00182A1E"/>
    <w:rsid w:val="001839C4"/>
    <w:rsid w:val="00185CF1"/>
    <w:rsid w:val="001868A3"/>
    <w:rsid w:val="00187524"/>
    <w:rsid w:val="00190659"/>
    <w:rsid w:val="00190A0F"/>
    <w:rsid w:val="00191C1E"/>
    <w:rsid w:val="00192446"/>
    <w:rsid w:val="001924E7"/>
    <w:rsid w:val="00196E3B"/>
    <w:rsid w:val="00197F02"/>
    <w:rsid w:val="001A0489"/>
    <w:rsid w:val="001A0A88"/>
    <w:rsid w:val="001A2C85"/>
    <w:rsid w:val="001A2D9E"/>
    <w:rsid w:val="001A3A5D"/>
    <w:rsid w:val="001A6408"/>
    <w:rsid w:val="001A7D44"/>
    <w:rsid w:val="001A7EDE"/>
    <w:rsid w:val="001B0773"/>
    <w:rsid w:val="001B2873"/>
    <w:rsid w:val="001B3686"/>
    <w:rsid w:val="001B6067"/>
    <w:rsid w:val="001B6CF7"/>
    <w:rsid w:val="001C1962"/>
    <w:rsid w:val="001C3076"/>
    <w:rsid w:val="001C34C7"/>
    <w:rsid w:val="001C3D25"/>
    <w:rsid w:val="001C5558"/>
    <w:rsid w:val="001C765C"/>
    <w:rsid w:val="001D0BB5"/>
    <w:rsid w:val="001D1DD3"/>
    <w:rsid w:val="001D1FB5"/>
    <w:rsid w:val="001D284E"/>
    <w:rsid w:val="001D3F12"/>
    <w:rsid w:val="001D43AD"/>
    <w:rsid w:val="001D467D"/>
    <w:rsid w:val="001D4F4E"/>
    <w:rsid w:val="001D61B1"/>
    <w:rsid w:val="001D61F6"/>
    <w:rsid w:val="001D6E8C"/>
    <w:rsid w:val="001E0B7A"/>
    <w:rsid w:val="001E1118"/>
    <w:rsid w:val="001E1332"/>
    <w:rsid w:val="001E202C"/>
    <w:rsid w:val="001E3963"/>
    <w:rsid w:val="001E3967"/>
    <w:rsid w:val="001E3F0B"/>
    <w:rsid w:val="001E4E5C"/>
    <w:rsid w:val="001E5958"/>
    <w:rsid w:val="001E65D4"/>
    <w:rsid w:val="001F0440"/>
    <w:rsid w:val="001F1BDE"/>
    <w:rsid w:val="001F25D7"/>
    <w:rsid w:val="001F2C9C"/>
    <w:rsid w:val="001F34C1"/>
    <w:rsid w:val="001F4135"/>
    <w:rsid w:val="001F7122"/>
    <w:rsid w:val="001F735A"/>
    <w:rsid w:val="0020036E"/>
    <w:rsid w:val="0020222A"/>
    <w:rsid w:val="00203502"/>
    <w:rsid w:val="00204820"/>
    <w:rsid w:val="00204CF3"/>
    <w:rsid w:val="00206169"/>
    <w:rsid w:val="002102DD"/>
    <w:rsid w:val="0021122C"/>
    <w:rsid w:val="002113BA"/>
    <w:rsid w:val="00211C91"/>
    <w:rsid w:val="00214554"/>
    <w:rsid w:val="002148C3"/>
    <w:rsid w:val="00215C95"/>
    <w:rsid w:val="00215FA0"/>
    <w:rsid w:val="00221038"/>
    <w:rsid w:val="00222B91"/>
    <w:rsid w:val="002236ED"/>
    <w:rsid w:val="00224720"/>
    <w:rsid w:val="00224E43"/>
    <w:rsid w:val="00224F27"/>
    <w:rsid w:val="002256E9"/>
    <w:rsid w:val="00225F73"/>
    <w:rsid w:val="002261F2"/>
    <w:rsid w:val="00231D2C"/>
    <w:rsid w:val="00234504"/>
    <w:rsid w:val="00237CEF"/>
    <w:rsid w:val="00240ACB"/>
    <w:rsid w:val="0024103C"/>
    <w:rsid w:val="002413D0"/>
    <w:rsid w:val="002413D9"/>
    <w:rsid w:val="00243E96"/>
    <w:rsid w:val="002441B7"/>
    <w:rsid w:val="00245DD0"/>
    <w:rsid w:val="00245EFE"/>
    <w:rsid w:val="00246D92"/>
    <w:rsid w:val="00252668"/>
    <w:rsid w:val="00254C45"/>
    <w:rsid w:val="00254DA7"/>
    <w:rsid w:val="002570D4"/>
    <w:rsid w:val="0026065E"/>
    <w:rsid w:val="00261886"/>
    <w:rsid w:val="00261ED1"/>
    <w:rsid w:val="00262662"/>
    <w:rsid w:val="00262E05"/>
    <w:rsid w:val="00263718"/>
    <w:rsid w:val="0026549C"/>
    <w:rsid w:val="0026799E"/>
    <w:rsid w:val="0027042E"/>
    <w:rsid w:val="002705A7"/>
    <w:rsid w:val="002724C0"/>
    <w:rsid w:val="002729A5"/>
    <w:rsid w:val="00274453"/>
    <w:rsid w:val="0027453F"/>
    <w:rsid w:val="00274804"/>
    <w:rsid w:val="002761BE"/>
    <w:rsid w:val="002761DF"/>
    <w:rsid w:val="002765D6"/>
    <w:rsid w:val="00276664"/>
    <w:rsid w:val="00276F8D"/>
    <w:rsid w:val="0027765B"/>
    <w:rsid w:val="0028284E"/>
    <w:rsid w:val="00283AD4"/>
    <w:rsid w:val="0028441A"/>
    <w:rsid w:val="002859E2"/>
    <w:rsid w:val="002866D5"/>
    <w:rsid w:val="002871B0"/>
    <w:rsid w:val="00287D0D"/>
    <w:rsid w:val="00291F05"/>
    <w:rsid w:val="0029589D"/>
    <w:rsid w:val="00295B2F"/>
    <w:rsid w:val="00296343"/>
    <w:rsid w:val="00296FC4"/>
    <w:rsid w:val="0029795A"/>
    <w:rsid w:val="00297DED"/>
    <w:rsid w:val="002A1F3F"/>
    <w:rsid w:val="002A202C"/>
    <w:rsid w:val="002A2D11"/>
    <w:rsid w:val="002A37AF"/>
    <w:rsid w:val="002A3AC5"/>
    <w:rsid w:val="002A3B8A"/>
    <w:rsid w:val="002A3D7F"/>
    <w:rsid w:val="002A501C"/>
    <w:rsid w:val="002B0434"/>
    <w:rsid w:val="002B0C94"/>
    <w:rsid w:val="002B1C10"/>
    <w:rsid w:val="002B1C4D"/>
    <w:rsid w:val="002B21F8"/>
    <w:rsid w:val="002B3E31"/>
    <w:rsid w:val="002B3E5C"/>
    <w:rsid w:val="002B699F"/>
    <w:rsid w:val="002C773C"/>
    <w:rsid w:val="002D03E0"/>
    <w:rsid w:val="002D0A24"/>
    <w:rsid w:val="002D1004"/>
    <w:rsid w:val="002D14B3"/>
    <w:rsid w:val="002D1B7C"/>
    <w:rsid w:val="002D1B82"/>
    <w:rsid w:val="002D1DCD"/>
    <w:rsid w:val="002D530F"/>
    <w:rsid w:val="002D576F"/>
    <w:rsid w:val="002D789A"/>
    <w:rsid w:val="002E0327"/>
    <w:rsid w:val="002E3F21"/>
    <w:rsid w:val="002E4672"/>
    <w:rsid w:val="002E5B8C"/>
    <w:rsid w:val="002E6B44"/>
    <w:rsid w:val="002E79CB"/>
    <w:rsid w:val="002E7A5D"/>
    <w:rsid w:val="002F07EE"/>
    <w:rsid w:val="002F19ED"/>
    <w:rsid w:val="002F1DF1"/>
    <w:rsid w:val="002F38D4"/>
    <w:rsid w:val="002F480E"/>
    <w:rsid w:val="002F5090"/>
    <w:rsid w:val="002F5220"/>
    <w:rsid w:val="002F633D"/>
    <w:rsid w:val="002F7E4C"/>
    <w:rsid w:val="003000A0"/>
    <w:rsid w:val="00300825"/>
    <w:rsid w:val="00301AD1"/>
    <w:rsid w:val="00301E94"/>
    <w:rsid w:val="003025E9"/>
    <w:rsid w:val="0030549B"/>
    <w:rsid w:val="00305B64"/>
    <w:rsid w:val="003061DE"/>
    <w:rsid w:val="0031165F"/>
    <w:rsid w:val="0031474F"/>
    <w:rsid w:val="003147FA"/>
    <w:rsid w:val="00315CF8"/>
    <w:rsid w:val="00316ED8"/>
    <w:rsid w:val="00323E5B"/>
    <w:rsid w:val="00324BC3"/>
    <w:rsid w:val="00325F7E"/>
    <w:rsid w:val="00326802"/>
    <w:rsid w:val="00327045"/>
    <w:rsid w:val="003275EF"/>
    <w:rsid w:val="00327A3F"/>
    <w:rsid w:val="00327F03"/>
    <w:rsid w:val="00330770"/>
    <w:rsid w:val="0033235D"/>
    <w:rsid w:val="00332422"/>
    <w:rsid w:val="00332C95"/>
    <w:rsid w:val="0033376E"/>
    <w:rsid w:val="003337FD"/>
    <w:rsid w:val="00333D2E"/>
    <w:rsid w:val="003345C4"/>
    <w:rsid w:val="003361BF"/>
    <w:rsid w:val="00336277"/>
    <w:rsid w:val="00336872"/>
    <w:rsid w:val="00336894"/>
    <w:rsid w:val="00340131"/>
    <w:rsid w:val="00340136"/>
    <w:rsid w:val="003403C8"/>
    <w:rsid w:val="003406AB"/>
    <w:rsid w:val="00340D1C"/>
    <w:rsid w:val="003415DD"/>
    <w:rsid w:val="00341748"/>
    <w:rsid w:val="003421BE"/>
    <w:rsid w:val="00345258"/>
    <w:rsid w:val="003475E9"/>
    <w:rsid w:val="003513F2"/>
    <w:rsid w:val="00351589"/>
    <w:rsid w:val="003522AD"/>
    <w:rsid w:val="003535C3"/>
    <w:rsid w:val="003538AD"/>
    <w:rsid w:val="0035476D"/>
    <w:rsid w:val="0035624D"/>
    <w:rsid w:val="00356BC6"/>
    <w:rsid w:val="0035711B"/>
    <w:rsid w:val="003579C3"/>
    <w:rsid w:val="00357C3B"/>
    <w:rsid w:val="00357C9B"/>
    <w:rsid w:val="00357EA0"/>
    <w:rsid w:val="0036040B"/>
    <w:rsid w:val="00360814"/>
    <w:rsid w:val="00364938"/>
    <w:rsid w:val="00364B9C"/>
    <w:rsid w:val="0036597A"/>
    <w:rsid w:val="00366375"/>
    <w:rsid w:val="00367F53"/>
    <w:rsid w:val="00371481"/>
    <w:rsid w:val="0037206E"/>
    <w:rsid w:val="0037445B"/>
    <w:rsid w:val="00374D47"/>
    <w:rsid w:val="00376353"/>
    <w:rsid w:val="003767D2"/>
    <w:rsid w:val="003770C5"/>
    <w:rsid w:val="003772EB"/>
    <w:rsid w:val="0037763A"/>
    <w:rsid w:val="00380153"/>
    <w:rsid w:val="00380525"/>
    <w:rsid w:val="003807D9"/>
    <w:rsid w:val="003811F2"/>
    <w:rsid w:val="00381545"/>
    <w:rsid w:val="00381696"/>
    <w:rsid w:val="00382B75"/>
    <w:rsid w:val="00382DA5"/>
    <w:rsid w:val="0038356F"/>
    <w:rsid w:val="00383BC3"/>
    <w:rsid w:val="00383DE2"/>
    <w:rsid w:val="00384550"/>
    <w:rsid w:val="003846DF"/>
    <w:rsid w:val="00384DB5"/>
    <w:rsid w:val="00386990"/>
    <w:rsid w:val="00387945"/>
    <w:rsid w:val="003916F4"/>
    <w:rsid w:val="00391E67"/>
    <w:rsid w:val="003925AE"/>
    <w:rsid w:val="00394283"/>
    <w:rsid w:val="003945B8"/>
    <w:rsid w:val="003945EC"/>
    <w:rsid w:val="00394648"/>
    <w:rsid w:val="003961E9"/>
    <w:rsid w:val="0039727B"/>
    <w:rsid w:val="003A0879"/>
    <w:rsid w:val="003A09A7"/>
    <w:rsid w:val="003A38B8"/>
    <w:rsid w:val="003A6353"/>
    <w:rsid w:val="003A7615"/>
    <w:rsid w:val="003A7C80"/>
    <w:rsid w:val="003B5AD7"/>
    <w:rsid w:val="003B6C00"/>
    <w:rsid w:val="003B7A00"/>
    <w:rsid w:val="003B7DDA"/>
    <w:rsid w:val="003C2A07"/>
    <w:rsid w:val="003C2F83"/>
    <w:rsid w:val="003C5150"/>
    <w:rsid w:val="003C5CEC"/>
    <w:rsid w:val="003C62EA"/>
    <w:rsid w:val="003D2BDB"/>
    <w:rsid w:val="003D3FF8"/>
    <w:rsid w:val="003D456C"/>
    <w:rsid w:val="003D47CA"/>
    <w:rsid w:val="003D6752"/>
    <w:rsid w:val="003E20C5"/>
    <w:rsid w:val="003E2132"/>
    <w:rsid w:val="003E38C1"/>
    <w:rsid w:val="003E41E6"/>
    <w:rsid w:val="003E4C07"/>
    <w:rsid w:val="003E608F"/>
    <w:rsid w:val="003E7DF5"/>
    <w:rsid w:val="003F145A"/>
    <w:rsid w:val="003F3995"/>
    <w:rsid w:val="003F4ACF"/>
    <w:rsid w:val="003F5C77"/>
    <w:rsid w:val="00400579"/>
    <w:rsid w:val="00401F12"/>
    <w:rsid w:val="00404C1B"/>
    <w:rsid w:val="004052E0"/>
    <w:rsid w:val="004066C4"/>
    <w:rsid w:val="0040684D"/>
    <w:rsid w:val="0041051E"/>
    <w:rsid w:val="00410EB7"/>
    <w:rsid w:val="00414E98"/>
    <w:rsid w:val="004166B3"/>
    <w:rsid w:val="0041676A"/>
    <w:rsid w:val="00417538"/>
    <w:rsid w:val="00421ECF"/>
    <w:rsid w:val="00422483"/>
    <w:rsid w:val="0042281D"/>
    <w:rsid w:val="004229D7"/>
    <w:rsid w:val="00425EB6"/>
    <w:rsid w:val="0042618D"/>
    <w:rsid w:val="00426391"/>
    <w:rsid w:val="00426D8F"/>
    <w:rsid w:val="00432A69"/>
    <w:rsid w:val="0043316D"/>
    <w:rsid w:val="00434872"/>
    <w:rsid w:val="004368AF"/>
    <w:rsid w:val="004369E5"/>
    <w:rsid w:val="00436E21"/>
    <w:rsid w:val="0044090F"/>
    <w:rsid w:val="004412FA"/>
    <w:rsid w:val="00443035"/>
    <w:rsid w:val="00444126"/>
    <w:rsid w:val="0044451B"/>
    <w:rsid w:val="00444637"/>
    <w:rsid w:val="004460D7"/>
    <w:rsid w:val="004464B9"/>
    <w:rsid w:val="004465BC"/>
    <w:rsid w:val="004467FE"/>
    <w:rsid w:val="0044724D"/>
    <w:rsid w:val="004472C0"/>
    <w:rsid w:val="0044763E"/>
    <w:rsid w:val="00450092"/>
    <w:rsid w:val="0045259C"/>
    <w:rsid w:val="00452D90"/>
    <w:rsid w:val="00456358"/>
    <w:rsid w:val="00456D82"/>
    <w:rsid w:val="00457B46"/>
    <w:rsid w:val="0046096C"/>
    <w:rsid w:val="00461AA1"/>
    <w:rsid w:val="00461F5D"/>
    <w:rsid w:val="0046244F"/>
    <w:rsid w:val="0046338E"/>
    <w:rsid w:val="00463522"/>
    <w:rsid w:val="004646DA"/>
    <w:rsid w:val="00465166"/>
    <w:rsid w:val="0046532F"/>
    <w:rsid w:val="00465888"/>
    <w:rsid w:val="00467F1F"/>
    <w:rsid w:val="004735DA"/>
    <w:rsid w:val="00474D9A"/>
    <w:rsid w:val="00476267"/>
    <w:rsid w:val="0047708B"/>
    <w:rsid w:val="004771DB"/>
    <w:rsid w:val="00477AA0"/>
    <w:rsid w:val="00480420"/>
    <w:rsid w:val="004824AA"/>
    <w:rsid w:val="004831D6"/>
    <w:rsid w:val="004832C3"/>
    <w:rsid w:val="004836DB"/>
    <w:rsid w:val="00483A3A"/>
    <w:rsid w:val="00483CAB"/>
    <w:rsid w:val="004869BF"/>
    <w:rsid w:val="00487BF2"/>
    <w:rsid w:val="00490FFE"/>
    <w:rsid w:val="00491192"/>
    <w:rsid w:val="00491941"/>
    <w:rsid w:val="00492EBB"/>
    <w:rsid w:val="004940C6"/>
    <w:rsid w:val="004944D8"/>
    <w:rsid w:val="00494748"/>
    <w:rsid w:val="0049533C"/>
    <w:rsid w:val="004957DE"/>
    <w:rsid w:val="00495C7B"/>
    <w:rsid w:val="00496345"/>
    <w:rsid w:val="0049724D"/>
    <w:rsid w:val="004A0B39"/>
    <w:rsid w:val="004A18F8"/>
    <w:rsid w:val="004A2670"/>
    <w:rsid w:val="004A2B65"/>
    <w:rsid w:val="004A3BE7"/>
    <w:rsid w:val="004A4412"/>
    <w:rsid w:val="004A45AA"/>
    <w:rsid w:val="004A4A29"/>
    <w:rsid w:val="004A4B79"/>
    <w:rsid w:val="004A5562"/>
    <w:rsid w:val="004B000F"/>
    <w:rsid w:val="004B2147"/>
    <w:rsid w:val="004B2847"/>
    <w:rsid w:val="004B2E2B"/>
    <w:rsid w:val="004B446E"/>
    <w:rsid w:val="004B463F"/>
    <w:rsid w:val="004B58DB"/>
    <w:rsid w:val="004B597A"/>
    <w:rsid w:val="004B6182"/>
    <w:rsid w:val="004B76F9"/>
    <w:rsid w:val="004B7886"/>
    <w:rsid w:val="004C0471"/>
    <w:rsid w:val="004C1583"/>
    <w:rsid w:val="004C1921"/>
    <w:rsid w:val="004C2423"/>
    <w:rsid w:val="004C26EC"/>
    <w:rsid w:val="004C2CA4"/>
    <w:rsid w:val="004C3D70"/>
    <w:rsid w:val="004C7837"/>
    <w:rsid w:val="004D033E"/>
    <w:rsid w:val="004D052C"/>
    <w:rsid w:val="004D0E16"/>
    <w:rsid w:val="004D10AD"/>
    <w:rsid w:val="004D2270"/>
    <w:rsid w:val="004D37CB"/>
    <w:rsid w:val="004D4002"/>
    <w:rsid w:val="004D706E"/>
    <w:rsid w:val="004D70CB"/>
    <w:rsid w:val="004D746A"/>
    <w:rsid w:val="004D7B0E"/>
    <w:rsid w:val="004D7C71"/>
    <w:rsid w:val="004E0334"/>
    <w:rsid w:val="004E084C"/>
    <w:rsid w:val="004E3CCC"/>
    <w:rsid w:val="004E4352"/>
    <w:rsid w:val="004E4379"/>
    <w:rsid w:val="004E51D9"/>
    <w:rsid w:val="004F039D"/>
    <w:rsid w:val="004F1FBE"/>
    <w:rsid w:val="004F2D69"/>
    <w:rsid w:val="004F37C1"/>
    <w:rsid w:val="004F4A9E"/>
    <w:rsid w:val="004F5340"/>
    <w:rsid w:val="004F6EE9"/>
    <w:rsid w:val="005004AA"/>
    <w:rsid w:val="0050157F"/>
    <w:rsid w:val="00502787"/>
    <w:rsid w:val="00503B3A"/>
    <w:rsid w:val="005055F0"/>
    <w:rsid w:val="0050591D"/>
    <w:rsid w:val="00506C50"/>
    <w:rsid w:val="00510E50"/>
    <w:rsid w:val="00511357"/>
    <w:rsid w:val="00511928"/>
    <w:rsid w:val="00512A64"/>
    <w:rsid w:val="00513597"/>
    <w:rsid w:val="00513698"/>
    <w:rsid w:val="00515987"/>
    <w:rsid w:val="00517B7A"/>
    <w:rsid w:val="0052026B"/>
    <w:rsid w:val="00521108"/>
    <w:rsid w:val="00521229"/>
    <w:rsid w:val="00522742"/>
    <w:rsid w:val="00523C40"/>
    <w:rsid w:val="0052472B"/>
    <w:rsid w:val="00525823"/>
    <w:rsid w:val="00526063"/>
    <w:rsid w:val="0052660F"/>
    <w:rsid w:val="00527766"/>
    <w:rsid w:val="00533658"/>
    <w:rsid w:val="0053475E"/>
    <w:rsid w:val="005351B0"/>
    <w:rsid w:val="0053538F"/>
    <w:rsid w:val="00537F63"/>
    <w:rsid w:val="00542798"/>
    <w:rsid w:val="00543017"/>
    <w:rsid w:val="00544029"/>
    <w:rsid w:val="00546106"/>
    <w:rsid w:val="00546D7A"/>
    <w:rsid w:val="00547DB9"/>
    <w:rsid w:val="005507FF"/>
    <w:rsid w:val="005532CD"/>
    <w:rsid w:val="00553E74"/>
    <w:rsid w:val="0055558B"/>
    <w:rsid w:val="005608DA"/>
    <w:rsid w:val="00560B44"/>
    <w:rsid w:val="00560EED"/>
    <w:rsid w:val="00561507"/>
    <w:rsid w:val="00563AE0"/>
    <w:rsid w:val="00564C39"/>
    <w:rsid w:val="00565D25"/>
    <w:rsid w:val="00570F24"/>
    <w:rsid w:val="00571BF9"/>
    <w:rsid w:val="00572E91"/>
    <w:rsid w:val="00573B5B"/>
    <w:rsid w:val="00574413"/>
    <w:rsid w:val="0057445E"/>
    <w:rsid w:val="0057628B"/>
    <w:rsid w:val="0057697A"/>
    <w:rsid w:val="00577554"/>
    <w:rsid w:val="0057785F"/>
    <w:rsid w:val="00577BCF"/>
    <w:rsid w:val="00580AE6"/>
    <w:rsid w:val="00580B89"/>
    <w:rsid w:val="00581352"/>
    <w:rsid w:val="005833CE"/>
    <w:rsid w:val="005841EC"/>
    <w:rsid w:val="00584511"/>
    <w:rsid w:val="005850D4"/>
    <w:rsid w:val="0058522B"/>
    <w:rsid w:val="00586C6A"/>
    <w:rsid w:val="005871CE"/>
    <w:rsid w:val="00587F59"/>
    <w:rsid w:val="00590B5B"/>
    <w:rsid w:val="00591726"/>
    <w:rsid w:val="00591C63"/>
    <w:rsid w:val="00591DDE"/>
    <w:rsid w:val="00593162"/>
    <w:rsid w:val="005950A7"/>
    <w:rsid w:val="005963AB"/>
    <w:rsid w:val="0059651C"/>
    <w:rsid w:val="005976F3"/>
    <w:rsid w:val="005A008B"/>
    <w:rsid w:val="005A08EE"/>
    <w:rsid w:val="005A09F0"/>
    <w:rsid w:val="005A1C92"/>
    <w:rsid w:val="005A39F2"/>
    <w:rsid w:val="005A4A98"/>
    <w:rsid w:val="005A6175"/>
    <w:rsid w:val="005A6E71"/>
    <w:rsid w:val="005A7803"/>
    <w:rsid w:val="005A7B16"/>
    <w:rsid w:val="005A7BAA"/>
    <w:rsid w:val="005A7F16"/>
    <w:rsid w:val="005B142D"/>
    <w:rsid w:val="005B26F3"/>
    <w:rsid w:val="005B34AD"/>
    <w:rsid w:val="005B6BEA"/>
    <w:rsid w:val="005B6CEE"/>
    <w:rsid w:val="005B7E9A"/>
    <w:rsid w:val="005C007D"/>
    <w:rsid w:val="005C1B8A"/>
    <w:rsid w:val="005C2096"/>
    <w:rsid w:val="005C3B04"/>
    <w:rsid w:val="005C3D2F"/>
    <w:rsid w:val="005C50A3"/>
    <w:rsid w:val="005C7541"/>
    <w:rsid w:val="005C7748"/>
    <w:rsid w:val="005C7DB8"/>
    <w:rsid w:val="005D182F"/>
    <w:rsid w:val="005D1902"/>
    <w:rsid w:val="005D2035"/>
    <w:rsid w:val="005D24FD"/>
    <w:rsid w:val="005D38FD"/>
    <w:rsid w:val="005D43EA"/>
    <w:rsid w:val="005D5279"/>
    <w:rsid w:val="005D5D20"/>
    <w:rsid w:val="005D6374"/>
    <w:rsid w:val="005D67AA"/>
    <w:rsid w:val="005D7D3E"/>
    <w:rsid w:val="005E277E"/>
    <w:rsid w:val="005E34E1"/>
    <w:rsid w:val="005E5252"/>
    <w:rsid w:val="005E5519"/>
    <w:rsid w:val="005E5EA8"/>
    <w:rsid w:val="005F0235"/>
    <w:rsid w:val="005F1374"/>
    <w:rsid w:val="005F1BE5"/>
    <w:rsid w:val="005F1FC8"/>
    <w:rsid w:val="005F2208"/>
    <w:rsid w:val="005F259E"/>
    <w:rsid w:val="005F2853"/>
    <w:rsid w:val="005F3708"/>
    <w:rsid w:val="005F6EB8"/>
    <w:rsid w:val="005F7458"/>
    <w:rsid w:val="00601D2C"/>
    <w:rsid w:val="00606A5B"/>
    <w:rsid w:val="00607AEC"/>
    <w:rsid w:val="00610D69"/>
    <w:rsid w:val="00611A76"/>
    <w:rsid w:val="006134C1"/>
    <w:rsid w:val="00614EC2"/>
    <w:rsid w:val="006169A6"/>
    <w:rsid w:val="0061746F"/>
    <w:rsid w:val="00617D96"/>
    <w:rsid w:val="00617EB6"/>
    <w:rsid w:val="0062155A"/>
    <w:rsid w:val="00621B24"/>
    <w:rsid w:val="00622A26"/>
    <w:rsid w:val="00624271"/>
    <w:rsid w:val="006252E1"/>
    <w:rsid w:val="006265F1"/>
    <w:rsid w:val="006275F8"/>
    <w:rsid w:val="006302FD"/>
    <w:rsid w:val="006323D7"/>
    <w:rsid w:val="00632510"/>
    <w:rsid w:val="00633AC4"/>
    <w:rsid w:val="00633B89"/>
    <w:rsid w:val="00633C1A"/>
    <w:rsid w:val="00636078"/>
    <w:rsid w:val="00636CC9"/>
    <w:rsid w:val="006370A4"/>
    <w:rsid w:val="00637C24"/>
    <w:rsid w:val="00637F47"/>
    <w:rsid w:val="006401AB"/>
    <w:rsid w:val="006402C2"/>
    <w:rsid w:val="006405A4"/>
    <w:rsid w:val="006406FD"/>
    <w:rsid w:val="00642435"/>
    <w:rsid w:val="006435A9"/>
    <w:rsid w:val="006441C1"/>
    <w:rsid w:val="0064508A"/>
    <w:rsid w:val="00647C92"/>
    <w:rsid w:val="0065033B"/>
    <w:rsid w:val="00651FD5"/>
    <w:rsid w:val="00652F78"/>
    <w:rsid w:val="00654B43"/>
    <w:rsid w:val="00656242"/>
    <w:rsid w:val="006569C9"/>
    <w:rsid w:val="00660BA0"/>
    <w:rsid w:val="00660E28"/>
    <w:rsid w:val="006622FD"/>
    <w:rsid w:val="00664E99"/>
    <w:rsid w:val="00666273"/>
    <w:rsid w:val="006666AD"/>
    <w:rsid w:val="006666AF"/>
    <w:rsid w:val="006666F6"/>
    <w:rsid w:val="00667387"/>
    <w:rsid w:val="00670C20"/>
    <w:rsid w:val="00671100"/>
    <w:rsid w:val="00671AEA"/>
    <w:rsid w:val="00673FE0"/>
    <w:rsid w:val="00674804"/>
    <w:rsid w:val="00675946"/>
    <w:rsid w:val="00676131"/>
    <w:rsid w:val="00676246"/>
    <w:rsid w:val="0067629E"/>
    <w:rsid w:val="006763E1"/>
    <w:rsid w:val="00676A86"/>
    <w:rsid w:val="00677759"/>
    <w:rsid w:val="00680C4B"/>
    <w:rsid w:val="00681A30"/>
    <w:rsid w:val="00681AB7"/>
    <w:rsid w:val="00683FFA"/>
    <w:rsid w:val="0068774D"/>
    <w:rsid w:val="00687776"/>
    <w:rsid w:val="00690DB2"/>
    <w:rsid w:val="006921FB"/>
    <w:rsid w:val="00695AD7"/>
    <w:rsid w:val="00697852"/>
    <w:rsid w:val="006A0589"/>
    <w:rsid w:val="006A17E2"/>
    <w:rsid w:val="006A1B41"/>
    <w:rsid w:val="006A2B62"/>
    <w:rsid w:val="006A36E5"/>
    <w:rsid w:val="006A7024"/>
    <w:rsid w:val="006A7351"/>
    <w:rsid w:val="006B0E4B"/>
    <w:rsid w:val="006B2895"/>
    <w:rsid w:val="006B2C1C"/>
    <w:rsid w:val="006B305E"/>
    <w:rsid w:val="006B3F79"/>
    <w:rsid w:val="006B4060"/>
    <w:rsid w:val="006B4AA4"/>
    <w:rsid w:val="006B4B26"/>
    <w:rsid w:val="006B5708"/>
    <w:rsid w:val="006B6E7D"/>
    <w:rsid w:val="006B72CC"/>
    <w:rsid w:val="006C0B9C"/>
    <w:rsid w:val="006C0E14"/>
    <w:rsid w:val="006C0E25"/>
    <w:rsid w:val="006C11DD"/>
    <w:rsid w:val="006C5296"/>
    <w:rsid w:val="006C6C3F"/>
    <w:rsid w:val="006C7258"/>
    <w:rsid w:val="006D0B40"/>
    <w:rsid w:val="006D30E5"/>
    <w:rsid w:val="006D4985"/>
    <w:rsid w:val="006D59C2"/>
    <w:rsid w:val="006D5A5E"/>
    <w:rsid w:val="006D6F8F"/>
    <w:rsid w:val="006E0322"/>
    <w:rsid w:val="006E1711"/>
    <w:rsid w:val="006E2F06"/>
    <w:rsid w:val="006E4715"/>
    <w:rsid w:val="006E531F"/>
    <w:rsid w:val="006F2C8D"/>
    <w:rsid w:val="006F333E"/>
    <w:rsid w:val="006F3D32"/>
    <w:rsid w:val="006F3E94"/>
    <w:rsid w:val="006F510B"/>
    <w:rsid w:val="006F5CD3"/>
    <w:rsid w:val="006F6157"/>
    <w:rsid w:val="006F6928"/>
    <w:rsid w:val="006F6B8A"/>
    <w:rsid w:val="006F6D90"/>
    <w:rsid w:val="006F6F61"/>
    <w:rsid w:val="006F7728"/>
    <w:rsid w:val="006F7B03"/>
    <w:rsid w:val="00700BEB"/>
    <w:rsid w:val="00701521"/>
    <w:rsid w:val="007019E5"/>
    <w:rsid w:val="00703E0D"/>
    <w:rsid w:val="00704E03"/>
    <w:rsid w:val="007065B8"/>
    <w:rsid w:val="007068E2"/>
    <w:rsid w:val="007074AD"/>
    <w:rsid w:val="007079F9"/>
    <w:rsid w:val="00707E23"/>
    <w:rsid w:val="0071006B"/>
    <w:rsid w:val="0071037C"/>
    <w:rsid w:val="007115BE"/>
    <w:rsid w:val="00711891"/>
    <w:rsid w:val="007119CD"/>
    <w:rsid w:val="00711B9E"/>
    <w:rsid w:val="00712D54"/>
    <w:rsid w:val="00713E06"/>
    <w:rsid w:val="00713EF8"/>
    <w:rsid w:val="00714650"/>
    <w:rsid w:val="00714C07"/>
    <w:rsid w:val="007231BD"/>
    <w:rsid w:val="00723290"/>
    <w:rsid w:val="0072469C"/>
    <w:rsid w:val="00724995"/>
    <w:rsid w:val="007309C9"/>
    <w:rsid w:val="00731529"/>
    <w:rsid w:val="00731628"/>
    <w:rsid w:val="00731AB3"/>
    <w:rsid w:val="00731B76"/>
    <w:rsid w:val="00732225"/>
    <w:rsid w:val="00732D5C"/>
    <w:rsid w:val="00733260"/>
    <w:rsid w:val="00735930"/>
    <w:rsid w:val="00736E26"/>
    <w:rsid w:val="007374D8"/>
    <w:rsid w:val="0073784F"/>
    <w:rsid w:val="00741ECE"/>
    <w:rsid w:val="00743A01"/>
    <w:rsid w:val="00743AE9"/>
    <w:rsid w:val="00744B07"/>
    <w:rsid w:val="0074533A"/>
    <w:rsid w:val="00746100"/>
    <w:rsid w:val="00746F74"/>
    <w:rsid w:val="0075096A"/>
    <w:rsid w:val="00750DA5"/>
    <w:rsid w:val="00750DBD"/>
    <w:rsid w:val="007527BA"/>
    <w:rsid w:val="00754A50"/>
    <w:rsid w:val="00756AFB"/>
    <w:rsid w:val="007609C9"/>
    <w:rsid w:val="00760FA0"/>
    <w:rsid w:val="00762A02"/>
    <w:rsid w:val="00763D93"/>
    <w:rsid w:val="00764F9F"/>
    <w:rsid w:val="00766192"/>
    <w:rsid w:val="007664D3"/>
    <w:rsid w:val="007664F7"/>
    <w:rsid w:val="00766810"/>
    <w:rsid w:val="00766E77"/>
    <w:rsid w:val="00766EAB"/>
    <w:rsid w:val="00770247"/>
    <w:rsid w:val="00770BF7"/>
    <w:rsid w:val="0077101F"/>
    <w:rsid w:val="0077186D"/>
    <w:rsid w:val="00771B75"/>
    <w:rsid w:val="007724D0"/>
    <w:rsid w:val="007731EF"/>
    <w:rsid w:val="00774D59"/>
    <w:rsid w:val="0077554C"/>
    <w:rsid w:val="007759E2"/>
    <w:rsid w:val="00775F61"/>
    <w:rsid w:val="00776FE5"/>
    <w:rsid w:val="007776C5"/>
    <w:rsid w:val="007801D6"/>
    <w:rsid w:val="0078307A"/>
    <w:rsid w:val="007835F5"/>
    <w:rsid w:val="007845D8"/>
    <w:rsid w:val="00784C75"/>
    <w:rsid w:val="007854EE"/>
    <w:rsid w:val="00786078"/>
    <w:rsid w:val="00786228"/>
    <w:rsid w:val="00786803"/>
    <w:rsid w:val="00790741"/>
    <w:rsid w:val="007933C0"/>
    <w:rsid w:val="00793D25"/>
    <w:rsid w:val="00794A7E"/>
    <w:rsid w:val="00797059"/>
    <w:rsid w:val="007A3964"/>
    <w:rsid w:val="007A41B9"/>
    <w:rsid w:val="007A4461"/>
    <w:rsid w:val="007A5FB5"/>
    <w:rsid w:val="007A66F5"/>
    <w:rsid w:val="007B0044"/>
    <w:rsid w:val="007B16FF"/>
    <w:rsid w:val="007B1FD3"/>
    <w:rsid w:val="007B2F21"/>
    <w:rsid w:val="007B4E7C"/>
    <w:rsid w:val="007B5560"/>
    <w:rsid w:val="007B58F0"/>
    <w:rsid w:val="007B594E"/>
    <w:rsid w:val="007B5ADC"/>
    <w:rsid w:val="007C004E"/>
    <w:rsid w:val="007C03BD"/>
    <w:rsid w:val="007C0C5A"/>
    <w:rsid w:val="007C19ED"/>
    <w:rsid w:val="007C1B44"/>
    <w:rsid w:val="007C2AE8"/>
    <w:rsid w:val="007C3149"/>
    <w:rsid w:val="007C35F8"/>
    <w:rsid w:val="007C56B3"/>
    <w:rsid w:val="007C5E90"/>
    <w:rsid w:val="007C631E"/>
    <w:rsid w:val="007C6419"/>
    <w:rsid w:val="007C77F5"/>
    <w:rsid w:val="007D0964"/>
    <w:rsid w:val="007D12F9"/>
    <w:rsid w:val="007D1718"/>
    <w:rsid w:val="007D1A0C"/>
    <w:rsid w:val="007D1A5D"/>
    <w:rsid w:val="007D1E8E"/>
    <w:rsid w:val="007D290D"/>
    <w:rsid w:val="007D2CF1"/>
    <w:rsid w:val="007D327B"/>
    <w:rsid w:val="007D55F6"/>
    <w:rsid w:val="007D705B"/>
    <w:rsid w:val="007D7F33"/>
    <w:rsid w:val="007E0362"/>
    <w:rsid w:val="007E11C2"/>
    <w:rsid w:val="007E30B7"/>
    <w:rsid w:val="007E5528"/>
    <w:rsid w:val="007E6B85"/>
    <w:rsid w:val="007E70B1"/>
    <w:rsid w:val="007E71CB"/>
    <w:rsid w:val="007F3C2C"/>
    <w:rsid w:val="007F5B90"/>
    <w:rsid w:val="007F7279"/>
    <w:rsid w:val="007F7C67"/>
    <w:rsid w:val="00800877"/>
    <w:rsid w:val="008013A0"/>
    <w:rsid w:val="00801B03"/>
    <w:rsid w:val="00803606"/>
    <w:rsid w:val="00803ED6"/>
    <w:rsid w:val="00804349"/>
    <w:rsid w:val="00804896"/>
    <w:rsid w:val="00804BCB"/>
    <w:rsid w:val="008060C1"/>
    <w:rsid w:val="00806FF1"/>
    <w:rsid w:val="008078CE"/>
    <w:rsid w:val="00807A4B"/>
    <w:rsid w:val="00811E71"/>
    <w:rsid w:val="008129B9"/>
    <w:rsid w:val="00812E50"/>
    <w:rsid w:val="00814D60"/>
    <w:rsid w:val="008178BA"/>
    <w:rsid w:val="00817C8C"/>
    <w:rsid w:val="00820B7F"/>
    <w:rsid w:val="00820D47"/>
    <w:rsid w:val="00821455"/>
    <w:rsid w:val="008229A7"/>
    <w:rsid w:val="00822F27"/>
    <w:rsid w:val="008236D7"/>
    <w:rsid w:val="00823B0B"/>
    <w:rsid w:val="00823E43"/>
    <w:rsid w:val="0082416D"/>
    <w:rsid w:val="0082420E"/>
    <w:rsid w:val="008249B7"/>
    <w:rsid w:val="00825777"/>
    <w:rsid w:val="00826343"/>
    <w:rsid w:val="00826D4C"/>
    <w:rsid w:val="008317E1"/>
    <w:rsid w:val="00834B2A"/>
    <w:rsid w:val="00834F10"/>
    <w:rsid w:val="008351AF"/>
    <w:rsid w:val="00836BD1"/>
    <w:rsid w:val="008372DD"/>
    <w:rsid w:val="00837BA7"/>
    <w:rsid w:val="00840124"/>
    <w:rsid w:val="00840DD1"/>
    <w:rsid w:val="00844DA1"/>
    <w:rsid w:val="008459F2"/>
    <w:rsid w:val="00845EFF"/>
    <w:rsid w:val="008461C5"/>
    <w:rsid w:val="008466A3"/>
    <w:rsid w:val="00850049"/>
    <w:rsid w:val="00854034"/>
    <w:rsid w:val="00854D0D"/>
    <w:rsid w:val="00855401"/>
    <w:rsid w:val="00855AAB"/>
    <w:rsid w:val="00855F83"/>
    <w:rsid w:val="00857016"/>
    <w:rsid w:val="0085797E"/>
    <w:rsid w:val="00860830"/>
    <w:rsid w:val="00863C30"/>
    <w:rsid w:val="0087049B"/>
    <w:rsid w:val="00871850"/>
    <w:rsid w:val="00872B0C"/>
    <w:rsid w:val="00874A00"/>
    <w:rsid w:val="00874B70"/>
    <w:rsid w:val="0087512E"/>
    <w:rsid w:val="00875638"/>
    <w:rsid w:val="0088179E"/>
    <w:rsid w:val="00882452"/>
    <w:rsid w:val="00883D55"/>
    <w:rsid w:val="0088402D"/>
    <w:rsid w:val="00884ECD"/>
    <w:rsid w:val="00887A2C"/>
    <w:rsid w:val="00891383"/>
    <w:rsid w:val="00892873"/>
    <w:rsid w:val="0089469E"/>
    <w:rsid w:val="00894DAA"/>
    <w:rsid w:val="00895224"/>
    <w:rsid w:val="008962EF"/>
    <w:rsid w:val="008A1364"/>
    <w:rsid w:val="008A184B"/>
    <w:rsid w:val="008A18BD"/>
    <w:rsid w:val="008A1965"/>
    <w:rsid w:val="008A1C3E"/>
    <w:rsid w:val="008A32B9"/>
    <w:rsid w:val="008A407D"/>
    <w:rsid w:val="008A4486"/>
    <w:rsid w:val="008A53DF"/>
    <w:rsid w:val="008A5A75"/>
    <w:rsid w:val="008A605E"/>
    <w:rsid w:val="008A7B7D"/>
    <w:rsid w:val="008B014A"/>
    <w:rsid w:val="008B24E7"/>
    <w:rsid w:val="008B3201"/>
    <w:rsid w:val="008B5B30"/>
    <w:rsid w:val="008B7F21"/>
    <w:rsid w:val="008C1A17"/>
    <w:rsid w:val="008C261E"/>
    <w:rsid w:val="008C3570"/>
    <w:rsid w:val="008C3B0A"/>
    <w:rsid w:val="008C47B6"/>
    <w:rsid w:val="008C717B"/>
    <w:rsid w:val="008C789F"/>
    <w:rsid w:val="008C7EFE"/>
    <w:rsid w:val="008C7FCA"/>
    <w:rsid w:val="008D0377"/>
    <w:rsid w:val="008D049D"/>
    <w:rsid w:val="008D13A9"/>
    <w:rsid w:val="008D3633"/>
    <w:rsid w:val="008D57EE"/>
    <w:rsid w:val="008D74BB"/>
    <w:rsid w:val="008D7751"/>
    <w:rsid w:val="008D7B48"/>
    <w:rsid w:val="008E0BD5"/>
    <w:rsid w:val="008E2FE7"/>
    <w:rsid w:val="008E317C"/>
    <w:rsid w:val="008E46BB"/>
    <w:rsid w:val="008E47A8"/>
    <w:rsid w:val="008E5205"/>
    <w:rsid w:val="008E58DF"/>
    <w:rsid w:val="008E7DB3"/>
    <w:rsid w:val="008E7F0B"/>
    <w:rsid w:val="008F17D2"/>
    <w:rsid w:val="008F1F54"/>
    <w:rsid w:val="008F29CD"/>
    <w:rsid w:val="008F2FC9"/>
    <w:rsid w:val="008F3C02"/>
    <w:rsid w:val="008F4DD8"/>
    <w:rsid w:val="008F6FA4"/>
    <w:rsid w:val="009010FB"/>
    <w:rsid w:val="009057C7"/>
    <w:rsid w:val="009057D7"/>
    <w:rsid w:val="00906B10"/>
    <w:rsid w:val="00906D86"/>
    <w:rsid w:val="00911170"/>
    <w:rsid w:val="00911DC5"/>
    <w:rsid w:val="009137BB"/>
    <w:rsid w:val="00913F39"/>
    <w:rsid w:val="00914703"/>
    <w:rsid w:val="009149DF"/>
    <w:rsid w:val="00914D59"/>
    <w:rsid w:val="00914ED3"/>
    <w:rsid w:val="00915465"/>
    <w:rsid w:val="00917235"/>
    <w:rsid w:val="0091728B"/>
    <w:rsid w:val="00922FF0"/>
    <w:rsid w:val="0092312A"/>
    <w:rsid w:val="00923348"/>
    <w:rsid w:val="0092580B"/>
    <w:rsid w:val="00926569"/>
    <w:rsid w:val="009270FC"/>
    <w:rsid w:val="00934E74"/>
    <w:rsid w:val="00935EBE"/>
    <w:rsid w:val="00937AF8"/>
    <w:rsid w:val="00940E37"/>
    <w:rsid w:val="00942086"/>
    <w:rsid w:val="0094545F"/>
    <w:rsid w:val="00947ADA"/>
    <w:rsid w:val="00947F4E"/>
    <w:rsid w:val="0095352C"/>
    <w:rsid w:val="00953D84"/>
    <w:rsid w:val="00954396"/>
    <w:rsid w:val="00955655"/>
    <w:rsid w:val="0095746C"/>
    <w:rsid w:val="009575A3"/>
    <w:rsid w:val="009623FA"/>
    <w:rsid w:val="00962BA7"/>
    <w:rsid w:val="0096435C"/>
    <w:rsid w:val="00972375"/>
    <w:rsid w:val="00972CE2"/>
    <w:rsid w:val="0097338E"/>
    <w:rsid w:val="00973503"/>
    <w:rsid w:val="009740D3"/>
    <w:rsid w:val="00974826"/>
    <w:rsid w:val="009754AB"/>
    <w:rsid w:val="00975E38"/>
    <w:rsid w:val="00975E52"/>
    <w:rsid w:val="00977C1F"/>
    <w:rsid w:val="00981C0B"/>
    <w:rsid w:val="00981EF5"/>
    <w:rsid w:val="009820AE"/>
    <w:rsid w:val="00984BB2"/>
    <w:rsid w:val="00984D38"/>
    <w:rsid w:val="00985E8B"/>
    <w:rsid w:val="0098744F"/>
    <w:rsid w:val="009875B9"/>
    <w:rsid w:val="0099107F"/>
    <w:rsid w:val="0099161A"/>
    <w:rsid w:val="00991807"/>
    <w:rsid w:val="00991A1B"/>
    <w:rsid w:val="00992278"/>
    <w:rsid w:val="00992A96"/>
    <w:rsid w:val="00993A28"/>
    <w:rsid w:val="00994071"/>
    <w:rsid w:val="009940E4"/>
    <w:rsid w:val="0099450B"/>
    <w:rsid w:val="009948AD"/>
    <w:rsid w:val="00995D86"/>
    <w:rsid w:val="009976C2"/>
    <w:rsid w:val="00997BFF"/>
    <w:rsid w:val="00997C00"/>
    <w:rsid w:val="009A148E"/>
    <w:rsid w:val="009A2AE1"/>
    <w:rsid w:val="009A584F"/>
    <w:rsid w:val="009A6AF2"/>
    <w:rsid w:val="009A7586"/>
    <w:rsid w:val="009B0980"/>
    <w:rsid w:val="009B24CF"/>
    <w:rsid w:val="009B323E"/>
    <w:rsid w:val="009B5151"/>
    <w:rsid w:val="009B5E57"/>
    <w:rsid w:val="009B62EB"/>
    <w:rsid w:val="009B6880"/>
    <w:rsid w:val="009B6B3B"/>
    <w:rsid w:val="009C3096"/>
    <w:rsid w:val="009C3798"/>
    <w:rsid w:val="009C48A6"/>
    <w:rsid w:val="009C50CF"/>
    <w:rsid w:val="009C566F"/>
    <w:rsid w:val="009C5B26"/>
    <w:rsid w:val="009C69DD"/>
    <w:rsid w:val="009D194F"/>
    <w:rsid w:val="009D2EF9"/>
    <w:rsid w:val="009D4067"/>
    <w:rsid w:val="009D471E"/>
    <w:rsid w:val="009D491A"/>
    <w:rsid w:val="009D6253"/>
    <w:rsid w:val="009D6B6B"/>
    <w:rsid w:val="009D70BE"/>
    <w:rsid w:val="009D75EF"/>
    <w:rsid w:val="009D7B51"/>
    <w:rsid w:val="009E1F9B"/>
    <w:rsid w:val="009E2F51"/>
    <w:rsid w:val="009E4307"/>
    <w:rsid w:val="009E4345"/>
    <w:rsid w:val="009E43C7"/>
    <w:rsid w:val="009E4565"/>
    <w:rsid w:val="009E55D4"/>
    <w:rsid w:val="009E587C"/>
    <w:rsid w:val="009E6376"/>
    <w:rsid w:val="009F01A6"/>
    <w:rsid w:val="009F0C80"/>
    <w:rsid w:val="009F2E12"/>
    <w:rsid w:val="009F4D2D"/>
    <w:rsid w:val="009F5217"/>
    <w:rsid w:val="00A00054"/>
    <w:rsid w:val="00A00FC6"/>
    <w:rsid w:val="00A0187F"/>
    <w:rsid w:val="00A02292"/>
    <w:rsid w:val="00A04D87"/>
    <w:rsid w:val="00A06FF7"/>
    <w:rsid w:val="00A106C4"/>
    <w:rsid w:val="00A12307"/>
    <w:rsid w:val="00A12DA5"/>
    <w:rsid w:val="00A14722"/>
    <w:rsid w:val="00A157FC"/>
    <w:rsid w:val="00A163A4"/>
    <w:rsid w:val="00A178DF"/>
    <w:rsid w:val="00A20143"/>
    <w:rsid w:val="00A2093A"/>
    <w:rsid w:val="00A21B7A"/>
    <w:rsid w:val="00A22926"/>
    <w:rsid w:val="00A30093"/>
    <w:rsid w:val="00A3151F"/>
    <w:rsid w:val="00A32CBE"/>
    <w:rsid w:val="00A34F2A"/>
    <w:rsid w:val="00A35BE5"/>
    <w:rsid w:val="00A37011"/>
    <w:rsid w:val="00A3715E"/>
    <w:rsid w:val="00A3717A"/>
    <w:rsid w:val="00A373B4"/>
    <w:rsid w:val="00A37837"/>
    <w:rsid w:val="00A412F8"/>
    <w:rsid w:val="00A4387B"/>
    <w:rsid w:val="00A45463"/>
    <w:rsid w:val="00A46C6A"/>
    <w:rsid w:val="00A46D2D"/>
    <w:rsid w:val="00A46DCB"/>
    <w:rsid w:val="00A502C8"/>
    <w:rsid w:val="00A514F8"/>
    <w:rsid w:val="00A52417"/>
    <w:rsid w:val="00A52C45"/>
    <w:rsid w:val="00A53B46"/>
    <w:rsid w:val="00A53CB5"/>
    <w:rsid w:val="00A548CF"/>
    <w:rsid w:val="00A54ADC"/>
    <w:rsid w:val="00A55013"/>
    <w:rsid w:val="00A5694B"/>
    <w:rsid w:val="00A609DC"/>
    <w:rsid w:val="00A61503"/>
    <w:rsid w:val="00A65472"/>
    <w:rsid w:val="00A65E08"/>
    <w:rsid w:val="00A668ED"/>
    <w:rsid w:val="00A66B2D"/>
    <w:rsid w:val="00A67956"/>
    <w:rsid w:val="00A67B4C"/>
    <w:rsid w:val="00A70C10"/>
    <w:rsid w:val="00A7142C"/>
    <w:rsid w:val="00A719B4"/>
    <w:rsid w:val="00A71ACE"/>
    <w:rsid w:val="00A71FAE"/>
    <w:rsid w:val="00A72240"/>
    <w:rsid w:val="00A729B4"/>
    <w:rsid w:val="00A73C31"/>
    <w:rsid w:val="00A80B16"/>
    <w:rsid w:val="00A82AF4"/>
    <w:rsid w:val="00A83BEA"/>
    <w:rsid w:val="00A83C28"/>
    <w:rsid w:val="00A84A03"/>
    <w:rsid w:val="00A84A81"/>
    <w:rsid w:val="00A84E66"/>
    <w:rsid w:val="00A8641D"/>
    <w:rsid w:val="00A87C77"/>
    <w:rsid w:val="00A9036C"/>
    <w:rsid w:val="00A90C60"/>
    <w:rsid w:val="00A914D8"/>
    <w:rsid w:val="00A93A84"/>
    <w:rsid w:val="00A95487"/>
    <w:rsid w:val="00A95CC4"/>
    <w:rsid w:val="00A96231"/>
    <w:rsid w:val="00A9678C"/>
    <w:rsid w:val="00A968E1"/>
    <w:rsid w:val="00AA1A3B"/>
    <w:rsid w:val="00AA1C14"/>
    <w:rsid w:val="00AA1D48"/>
    <w:rsid w:val="00AA3537"/>
    <w:rsid w:val="00AA4E56"/>
    <w:rsid w:val="00AA6E3A"/>
    <w:rsid w:val="00AA71CB"/>
    <w:rsid w:val="00AA7AD7"/>
    <w:rsid w:val="00AB07E1"/>
    <w:rsid w:val="00AB1547"/>
    <w:rsid w:val="00AB241F"/>
    <w:rsid w:val="00AB2A76"/>
    <w:rsid w:val="00AB3EB4"/>
    <w:rsid w:val="00AB5FBA"/>
    <w:rsid w:val="00AB6506"/>
    <w:rsid w:val="00AC10D3"/>
    <w:rsid w:val="00AC12FA"/>
    <w:rsid w:val="00AC1CF5"/>
    <w:rsid w:val="00AC28B9"/>
    <w:rsid w:val="00AC3FC1"/>
    <w:rsid w:val="00AC4689"/>
    <w:rsid w:val="00AC4B97"/>
    <w:rsid w:val="00AD03A2"/>
    <w:rsid w:val="00AD0A9D"/>
    <w:rsid w:val="00AD1C76"/>
    <w:rsid w:val="00AD358E"/>
    <w:rsid w:val="00AD4960"/>
    <w:rsid w:val="00AD5907"/>
    <w:rsid w:val="00AD6108"/>
    <w:rsid w:val="00AD6572"/>
    <w:rsid w:val="00AD7EEF"/>
    <w:rsid w:val="00AE1131"/>
    <w:rsid w:val="00AE2EAE"/>
    <w:rsid w:val="00AE600E"/>
    <w:rsid w:val="00AE6546"/>
    <w:rsid w:val="00AF001A"/>
    <w:rsid w:val="00AF0606"/>
    <w:rsid w:val="00AF266F"/>
    <w:rsid w:val="00AF291F"/>
    <w:rsid w:val="00AF4319"/>
    <w:rsid w:val="00AF6B45"/>
    <w:rsid w:val="00AF6CA7"/>
    <w:rsid w:val="00AF721D"/>
    <w:rsid w:val="00B0085A"/>
    <w:rsid w:val="00B01055"/>
    <w:rsid w:val="00B02A72"/>
    <w:rsid w:val="00B02BED"/>
    <w:rsid w:val="00B03D7B"/>
    <w:rsid w:val="00B045E4"/>
    <w:rsid w:val="00B069CC"/>
    <w:rsid w:val="00B06BFA"/>
    <w:rsid w:val="00B0761C"/>
    <w:rsid w:val="00B07EB0"/>
    <w:rsid w:val="00B10293"/>
    <w:rsid w:val="00B10BB4"/>
    <w:rsid w:val="00B10D77"/>
    <w:rsid w:val="00B11398"/>
    <w:rsid w:val="00B12311"/>
    <w:rsid w:val="00B1233E"/>
    <w:rsid w:val="00B13D2C"/>
    <w:rsid w:val="00B16423"/>
    <w:rsid w:val="00B1769F"/>
    <w:rsid w:val="00B17CF3"/>
    <w:rsid w:val="00B20932"/>
    <w:rsid w:val="00B20B3C"/>
    <w:rsid w:val="00B2293A"/>
    <w:rsid w:val="00B22AE8"/>
    <w:rsid w:val="00B23430"/>
    <w:rsid w:val="00B24DAC"/>
    <w:rsid w:val="00B2709C"/>
    <w:rsid w:val="00B2730F"/>
    <w:rsid w:val="00B2746B"/>
    <w:rsid w:val="00B30DF1"/>
    <w:rsid w:val="00B30F6C"/>
    <w:rsid w:val="00B341C3"/>
    <w:rsid w:val="00B34968"/>
    <w:rsid w:val="00B34DEF"/>
    <w:rsid w:val="00B362A9"/>
    <w:rsid w:val="00B36822"/>
    <w:rsid w:val="00B37D94"/>
    <w:rsid w:val="00B401B1"/>
    <w:rsid w:val="00B414F5"/>
    <w:rsid w:val="00B42C09"/>
    <w:rsid w:val="00B43129"/>
    <w:rsid w:val="00B4568D"/>
    <w:rsid w:val="00B47BF5"/>
    <w:rsid w:val="00B51767"/>
    <w:rsid w:val="00B5251E"/>
    <w:rsid w:val="00B54E73"/>
    <w:rsid w:val="00B553C3"/>
    <w:rsid w:val="00B55ADC"/>
    <w:rsid w:val="00B56210"/>
    <w:rsid w:val="00B57799"/>
    <w:rsid w:val="00B605C0"/>
    <w:rsid w:val="00B60A5A"/>
    <w:rsid w:val="00B639E4"/>
    <w:rsid w:val="00B63AD5"/>
    <w:rsid w:val="00B66132"/>
    <w:rsid w:val="00B66353"/>
    <w:rsid w:val="00B70B31"/>
    <w:rsid w:val="00B71EAB"/>
    <w:rsid w:val="00B72679"/>
    <w:rsid w:val="00B72DEF"/>
    <w:rsid w:val="00B72F15"/>
    <w:rsid w:val="00B734D4"/>
    <w:rsid w:val="00B75460"/>
    <w:rsid w:val="00B776B0"/>
    <w:rsid w:val="00B806AD"/>
    <w:rsid w:val="00B80DAA"/>
    <w:rsid w:val="00B81827"/>
    <w:rsid w:val="00B834AF"/>
    <w:rsid w:val="00B83610"/>
    <w:rsid w:val="00B84AAE"/>
    <w:rsid w:val="00B84B55"/>
    <w:rsid w:val="00B84FF4"/>
    <w:rsid w:val="00B85B84"/>
    <w:rsid w:val="00B86913"/>
    <w:rsid w:val="00B86A91"/>
    <w:rsid w:val="00B87FA6"/>
    <w:rsid w:val="00B906E0"/>
    <w:rsid w:val="00B90D8A"/>
    <w:rsid w:val="00B93DC2"/>
    <w:rsid w:val="00B94FBB"/>
    <w:rsid w:val="00B95D73"/>
    <w:rsid w:val="00B96461"/>
    <w:rsid w:val="00B97DD1"/>
    <w:rsid w:val="00BA10AF"/>
    <w:rsid w:val="00BA1663"/>
    <w:rsid w:val="00BA2D19"/>
    <w:rsid w:val="00BA3479"/>
    <w:rsid w:val="00BA3D55"/>
    <w:rsid w:val="00BA5AEF"/>
    <w:rsid w:val="00BA69E8"/>
    <w:rsid w:val="00BA7554"/>
    <w:rsid w:val="00BB0A00"/>
    <w:rsid w:val="00BB0B3C"/>
    <w:rsid w:val="00BB1F92"/>
    <w:rsid w:val="00BB2156"/>
    <w:rsid w:val="00BB24D6"/>
    <w:rsid w:val="00BB3620"/>
    <w:rsid w:val="00BB4BAF"/>
    <w:rsid w:val="00BB72BA"/>
    <w:rsid w:val="00BB7764"/>
    <w:rsid w:val="00BC0115"/>
    <w:rsid w:val="00BC2376"/>
    <w:rsid w:val="00BC237C"/>
    <w:rsid w:val="00BC2D96"/>
    <w:rsid w:val="00BC4001"/>
    <w:rsid w:val="00BC4E05"/>
    <w:rsid w:val="00BD12CF"/>
    <w:rsid w:val="00BD13A3"/>
    <w:rsid w:val="00BD1F66"/>
    <w:rsid w:val="00BD2297"/>
    <w:rsid w:val="00BD249A"/>
    <w:rsid w:val="00BD3256"/>
    <w:rsid w:val="00BD55C1"/>
    <w:rsid w:val="00BD6261"/>
    <w:rsid w:val="00BD64E0"/>
    <w:rsid w:val="00BD6F1F"/>
    <w:rsid w:val="00BE1A82"/>
    <w:rsid w:val="00BE1BE1"/>
    <w:rsid w:val="00BE2F43"/>
    <w:rsid w:val="00BE41EA"/>
    <w:rsid w:val="00BE49C4"/>
    <w:rsid w:val="00BE4C62"/>
    <w:rsid w:val="00BE5F40"/>
    <w:rsid w:val="00BF04F4"/>
    <w:rsid w:val="00BF1456"/>
    <w:rsid w:val="00BF1D8D"/>
    <w:rsid w:val="00BF268C"/>
    <w:rsid w:val="00BF2E1A"/>
    <w:rsid w:val="00BF420A"/>
    <w:rsid w:val="00BF4C0E"/>
    <w:rsid w:val="00BF4D20"/>
    <w:rsid w:val="00BF5755"/>
    <w:rsid w:val="00BF5E91"/>
    <w:rsid w:val="00BF6597"/>
    <w:rsid w:val="00BF68CD"/>
    <w:rsid w:val="00BF6BEA"/>
    <w:rsid w:val="00BF7F44"/>
    <w:rsid w:val="00C00973"/>
    <w:rsid w:val="00C00D3F"/>
    <w:rsid w:val="00C00E00"/>
    <w:rsid w:val="00C016AB"/>
    <w:rsid w:val="00C046C0"/>
    <w:rsid w:val="00C05306"/>
    <w:rsid w:val="00C07904"/>
    <w:rsid w:val="00C11299"/>
    <w:rsid w:val="00C1318E"/>
    <w:rsid w:val="00C13800"/>
    <w:rsid w:val="00C139D8"/>
    <w:rsid w:val="00C145B2"/>
    <w:rsid w:val="00C15EB3"/>
    <w:rsid w:val="00C1642A"/>
    <w:rsid w:val="00C16917"/>
    <w:rsid w:val="00C16B26"/>
    <w:rsid w:val="00C2042E"/>
    <w:rsid w:val="00C21133"/>
    <w:rsid w:val="00C2179F"/>
    <w:rsid w:val="00C217EA"/>
    <w:rsid w:val="00C21BDD"/>
    <w:rsid w:val="00C22126"/>
    <w:rsid w:val="00C260B6"/>
    <w:rsid w:val="00C26325"/>
    <w:rsid w:val="00C263B8"/>
    <w:rsid w:val="00C2779C"/>
    <w:rsid w:val="00C30213"/>
    <w:rsid w:val="00C30547"/>
    <w:rsid w:val="00C30AC7"/>
    <w:rsid w:val="00C30EB4"/>
    <w:rsid w:val="00C322CB"/>
    <w:rsid w:val="00C33718"/>
    <w:rsid w:val="00C34E9D"/>
    <w:rsid w:val="00C35CE8"/>
    <w:rsid w:val="00C369C9"/>
    <w:rsid w:val="00C4074B"/>
    <w:rsid w:val="00C41E56"/>
    <w:rsid w:val="00C436C3"/>
    <w:rsid w:val="00C437C5"/>
    <w:rsid w:val="00C44049"/>
    <w:rsid w:val="00C44484"/>
    <w:rsid w:val="00C44561"/>
    <w:rsid w:val="00C4602B"/>
    <w:rsid w:val="00C505F7"/>
    <w:rsid w:val="00C52030"/>
    <w:rsid w:val="00C543D4"/>
    <w:rsid w:val="00C5472B"/>
    <w:rsid w:val="00C57FF6"/>
    <w:rsid w:val="00C60295"/>
    <w:rsid w:val="00C6230E"/>
    <w:rsid w:val="00C6291C"/>
    <w:rsid w:val="00C62A47"/>
    <w:rsid w:val="00C63C25"/>
    <w:rsid w:val="00C66781"/>
    <w:rsid w:val="00C66D50"/>
    <w:rsid w:val="00C70709"/>
    <w:rsid w:val="00C70A2D"/>
    <w:rsid w:val="00C72630"/>
    <w:rsid w:val="00C73929"/>
    <w:rsid w:val="00C74E3C"/>
    <w:rsid w:val="00C76B83"/>
    <w:rsid w:val="00C77A6F"/>
    <w:rsid w:val="00C811A2"/>
    <w:rsid w:val="00C81F9D"/>
    <w:rsid w:val="00C82E4C"/>
    <w:rsid w:val="00C8600F"/>
    <w:rsid w:val="00C862F5"/>
    <w:rsid w:val="00C86752"/>
    <w:rsid w:val="00C86D4A"/>
    <w:rsid w:val="00C87CAC"/>
    <w:rsid w:val="00C87D50"/>
    <w:rsid w:val="00C90344"/>
    <w:rsid w:val="00C90B91"/>
    <w:rsid w:val="00C90CF3"/>
    <w:rsid w:val="00C90D20"/>
    <w:rsid w:val="00C9155C"/>
    <w:rsid w:val="00C917FE"/>
    <w:rsid w:val="00C91DC7"/>
    <w:rsid w:val="00C95688"/>
    <w:rsid w:val="00C96479"/>
    <w:rsid w:val="00C96663"/>
    <w:rsid w:val="00C97151"/>
    <w:rsid w:val="00C976F2"/>
    <w:rsid w:val="00CA26A9"/>
    <w:rsid w:val="00CA36D0"/>
    <w:rsid w:val="00CA3AAB"/>
    <w:rsid w:val="00CA3AC7"/>
    <w:rsid w:val="00CA462C"/>
    <w:rsid w:val="00CA564C"/>
    <w:rsid w:val="00CA6158"/>
    <w:rsid w:val="00CA6DDF"/>
    <w:rsid w:val="00CA7022"/>
    <w:rsid w:val="00CA7237"/>
    <w:rsid w:val="00CB13E2"/>
    <w:rsid w:val="00CB206E"/>
    <w:rsid w:val="00CB229E"/>
    <w:rsid w:val="00CB3A42"/>
    <w:rsid w:val="00CB5C65"/>
    <w:rsid w:val="00CB71B6"/>
    <w:rsid w:val="00CB7338"/>
    <w:rsid w:val="00CB7D76"/>
    <w:rsid w:val="00CC09AA"/>
    <w:rsid w:val="00CC15BB"/>
    <w:rsid w:val="00CC1DA7"/>
    <w:rsid w:val="00CC1EAC"/>
    <w:rsid w:val="00CC2357"/>
    <w:rsid w:val="00CC3D11"/>
    <w:rsid w:val="00CC3DFD"/>
    <w:rsid w:val="00CC6B9A"/>
    <w:rsid w:val="00CC76C2"/>
    <w:rsid w:val="00CD0013"/>
    <w:rsid w:val="00CD15E4"/>
    <w:rsid w:val="00CD19A5"/>
    <w:rsid w:val="00CD28DE"/>
    <w:rsid w:val="00CD7DE7"/>
    <w:rsid w:val="00CE0902"/>
    <w:rsid w:val="00CE2D4A"/>
    <w:rsid w:val="00CE34D8"/>
    <w:rsid w:val="00CE4309"/>
    <w:rsid w:val="00CE4B40"/>
    <w:rsid w:val="00CE4EB5"/>
    <w:rsid w:val="00CE63E1"/>
    <w:rsid w:val="00CE686B"/>
    <w:rsid w:val="00CE6A85"/>
    <w:rsid w:val="00CE7D99"/>
    <w:rsid w:val="00CF158C"/>
    <w:rsid w:val="00CF20CD"/>
    <w:rsid w:val="00CF2B62"/>
    <w:rsid w:val="00CF3474"/>
    <w:rsid w:val="00CF3EF1"/>
    <w:rsid w:val="00CF4858"/>
    <w:rsid w:val="00CF5B7C"/>
    <w:rsid w:val="00CF71EA"/>
    <w:rsid w:val="00D02DC2"/>
    <w:rsid w:val="00D06FBD"/>
    <w:rsid w:val="00D1100B"/>
    <w:rsid w:val="00D131EA"/>
    <w:rsid w:val="00D13A6C"/>
    <w:rsid w:val="00D146E3"/>
    <w:rsid w:val="00D151B5"/>
    <w:rsid w:val="00D15FE4"/>
    <w:rsid w:val="00D161CD"/>
    <w:rsid w:val="00D164FA"/>
    <w:rsid w:val="00D21C47"/>
    <w:rsid w:val="00D23828"/>
    <w:rsid w:val="00D244DD"/>
    <w:rsid w:val="00D275EC"/>
    <w:rsid w:val="00D3065A"/>
    <w:rsid w:val="00D32AB7"/>
    <w:rsid w:val="00D32E2F"/>
    <w:rsid w:val="00D341EF"/>
    <w:rsid w:val="00D34DF8"/>
    <w:rsid w:val="00D352E5"/>
    <w:rsid w:val="00D36196"/>
    <w:rsid w:val="00D37D9E"/>
    <w:rsid w:val="00D40452"/>
    <w:rsid w:val="00D4062A"/>
    <w:rsid w:val="00D41A05"/>
    <w:rsid w:val="00D429C2"/>
    <w:rsid w:val="00D42AA3"/>
    <w:rsid w:val="00D44609"/>
    <w:rsid w:val="00D44C14"/>
    <w:rsid w:val="00D4784D"/>
    <w:rsid w:val="00D50B6A"/>
    <w:rsid w:val="00D50DFC"/>
    <w:rsid w:val="00D51CEA"/>
    <w:rsid w:val="00D529C9"/>
    <w:rsid w:val="00D53A3B"/>
    <w:rsid w:val="00D53EA5"/>
    <w:rsid w:val="00D53FD4"/>
    <w:rsid w:val="00D5423D"/>
    <w:rsid w:val="00D54E95"/>
    <w:rsid w:val="00D56C95"/>
    <w:rsid w:val="00D60FB2"/>
    <w:rsid w:val="00D62D93"/>
    <w:rsid w:val="00D63156"/>
    <w:rsid w:val="00D63760"/>
    <w:rsid w:val="00D63D1C"/>
    <w:rsid w:val="00D64706"/>
    <w:rsid w:val="00D65090"/>
    <w:rsid w:val="00D6511F"/>
    <w:rsid w:val="00D65D31"/>
    <w:rsid w:val="00D66C5F"/>
    <w:rsid w:val="00D66E3E"/>
    <w:rsid w:val="00D671D7"/>
    <w:rsid w:val="00D71FCB"/>
    <w:rsid w:val="00D7234F"/>
    <w:rsid w:val="00D733AE"/>
    <w:rsid w:val="00D758B4"/>
    <w:rsid w:val="00D762A7"/>
    <w:rsid w:val="00D77896"/>
    <w:rsid w:val="00D81576"/>
    <w:rsid w:val="00D818FC"/>
    <w:rsid w:val="00D83E4F"/>
    <w:rsid w:val="00D84079"/>
    <w:rsid w:val="00D84263"/>
    <w:rsid w:val="00D84DE6"/>
    <w:rsid w:val="00D85541"/>
    <w:rsid w:val="00D86698"/>
    <w:rsid w:val="00D868F3"/>
    <w:rsid w:val="00D8690A"/>
    <w:rsid w:val="00D87085"/>
    <w:rsid w:val="00D87221"/>
    <w:rsid w:val="00D90A99"/>
    <w:rsid w:val="00D91108"/>
    <w:rsid w:val="00D926F4"/>
    <w:rsid w:val="00D938F9"/>
    <w:rsid w:val="00D93BA3"/>
    <w:rsid w:val="00D951A9"/>
    <w:rsid w:val="00D9711B"/>
    <w:rsid w:val="00DA0377"/>
    <w:rsid w:val="00DA06C4"/>
    <w:rsid w:val="00DA09F9"/>
    <w:rsid w:val="00DA0F03"/>
    <w:rsid w:val="00DA336B"/>
    <w:rsid w:val="00DA347D"/>
    <w:rsid w:val="00DA3595"/>
    <w:rsid w:val="00DA3838"/>
    <w:rsid w:val="00DA3990"/>
    <w:rsid w:val="00DA465C"/>
    <w:rsid w:val="00DA469B"/>
    <w:rsid w:val="00DA47EC"/>
    <w:rsid w:val="00DA54B2"/>
    <w:rsid w:val="00DA67B7"/>
    <w:rsid w:val="00DB1B16"/>
    <w:rsid w:val="00DB1B7E"/>
    <w:rsid w:val="00DB1FF4"/>
    <w:rsid w:val="00DB2218"/>
    <w:rsid w:val="00DB56DF"/>
    <w:rsid w:val="00DB57BF"/>
    <w:rsid w:val="00DB5A84"/>
    <w:rsid w:val="00DB681B"/>
    <w:rsid w:val="00DB6EC7"/>
    <w:rsid w:val="00DC1642"/>
    <w:rsid w:val="00DC2A59"/>
    <w:rsid w:val="00DC3560"/>
    <w:rsid w:val="00DC41C5"/>
    <w:rsid w:val="00DD01DB"/>
    <w:rsid w:val="00DD125A"/>
    <w:rsid w:val="00DD2D80"/>
    <w:rsid w:val="00DD316C"/>
    <w:rsid w:val="00DD4E03"/>
    <w:rsid w:val="00DD5163"/>
    <w:rsid w:val="00DD5B53"/>
    <w:rsid w:val="00DD7437"/>
    <w:rsid w:val="00DD7A47"/>
    <w:rsid w:val="00DE0841"/>
    <w:rsid w:val="00DE20CC"/>
    <w:rsid w:val="00DE2617"/>
    <w:rsid w:val="00DE2B55"/>
    <w:rsid w:val="00DE3C19"/>
    <w:rsid w:val="00DE553A"/>
    <w:rsid w:val="00DE57E5"/>
    <w:rsid w:val="00DE5D95"/>
    <w:rsid w:val="00DE6283"/>
    <w:rsid w:val="00DE6DD5"/>
    <w:rsid w:val="00DF0088"/>
    <w:rsid w:val="00DF1299"/>
    <w:rsid w:val="00DF15B0"/>
    <w:rsid w:val="00DF16DF"/>
    <w:rsid w:val="00DF330D"/>
    <w:rsid w:val="00DF5B8A"/>
    <w:rsid w:val="00DF6CBC"/>
    <w:rsid w:val="00DF7832"/>
    <w:rsid w:val="00E00DE6"/>
    <w:rsid w:val="00E03CDF"/>
    <w:rsid w:val="00E0496D"/>
    <w:rsid w:val="00E06102"/>
    <w:rsid w:val="00E1138D"/>
    <w:rsid w:val="00E130C7"/>
    <w:rsid w:val="00E14A6B"/>
    <w:rsid w:val="00E15251"/>
    <w:rsid w:val="00E21D1B"/>
    <w:rsid w:val="00E22B93"/>
    <w:rsid w:val="00E2447B"/>
    <w:rsid w:val="00E248DA"/>
    <w:rsid w:val="00E2677A"/>
    <w:rsid w:val="00E26966"/>
    <w:rsid w:val="00E3001F"/>
    <w:rsid w:val="00E30552"/>
    <w:rsid w:val="00E32606"/>
    <w:rsid w:val="00E34D93"/>
    <w:rsid w:val="00E355C3"/>
    <w:rsid w:val="00E425CE"/>
    <w:rsid w:val="00E42EE2"/>
    <w:rsid w:val="00E44586"/>
    <w:rsid w:val="00E446C4"/>
    <w:rsid w:val="00E4552D"/>
    <w:rsid w:val="00E46F71"/>
    <w:rsid w:val="00E50DFF"/>
    <w:rsid w:val="00E513C6"/>
    <w:rsid w:val="00E52587"/>
    <w:rsid w:val="00E53076"/>
    <w:rsid w:val="00E541BA"/>
    <w:rsid w:val="00E54602"/>
    <w:rsid w:val="00E558FD"/>
    <w:rsid w:val="00E578D1"/>
    <w:rsid w:val="00E60A08"/>
    <w:rsid w:val="00E60ACF"/>
    <w:rsid w:val="00E60C66"/>
    <w:rsid w:val="00E60CD1"/>
    <w:rsid w:val="00E6161F"/>
    <w:rsid w:val="00E63033"/>
    <w:rsid w:val="00E65F42"/>
    <w:rsid w:val="00E67FF5"/>
    <w:rsid w:val="00E7051E"/>
    <w:rsid w:val="00E70B7A"/>
    <w:rsid w:val="00E7217D"/>
    <w:rsid w:val="00E722A6"/>
    <w:rsid w:val="00E7261B"/>
    <w:rsid w:val="00E72A7E"/>
    <w:rsid w:val="00E7489A"/>
    <w:rsid w:val="00E7558F"/>
    <w:rsid w:val="00E76DF0"/>
    <w:rsid w:val="00E800F0"/>
    <w:rsid w:val="00E80B3C"/>
    <w:rsid w:val="00E80D10"/>
    <w:rsid w:val="00E80EDD"/>
    <w:rsid w:val="00E81867"/>
    <w:rsid w:val="00E81D4E"/>
    <w:rsid w:val="00E8478B"/>
    <w:rsid w:val="00E847DC"/>
    <w:rsid w:val="00E8590C"/>
    <w:rsid w:val="00E86560"/>
    <w:rsid w:val="00E87907"/>
    <w:rsid w:val="00E90600"/>
    <w:rsid w:val="00E90CBF"/>
    <w:rsid w:val="00E91290"/>
    <w:rsid w:val="00E93432"/>
    <w:rsid w:val="00E93A84"/>
    <w:rsid w:val="00E96DEF"/>
    <w:rsid w:val="00EA1B60"/>
    <w:rsid w:val="00EA28A8"/>
    <w:rsid w:val="00EA74E9"/>
    <w:rsid w:val="00EB2DDA"/>
    <w:rsid w:val="00EB30EE"/>
    <w:rsid w:val="00EB56D5"/>
    <w:rsid w:val="00EB6265"/>
    <w:rsid w:val="00EB725B"/>
    <w:rsid w:val="00EB796A"/>
    <w:rsid w:val="00EC11B1"/>
    <w:rsid w:val="00EC1E8F"/>
    <w:rsid w:val="00EC1F9D"/>
    <w:rsid w:val="00EC2328"/>
    <w:rsid w:val="00EC3431"/>
    <w:rsid w:val="00EC3668"/>
    <w:rsid w:val="00EC39C1"/>
    <w:rsid w:val="00EC4C02"/>
    <w:rsid w:val="00ED2B89"/>
    <w:rsid w:val="00ED2C9F"/>
    <w:rsid w:val="00ED3607"/>
    <w:rsid w:val="00ED4856"/>
    <w:rsid w:val="00ED4ACA"/>
    <w:rsid w:val="00ED4B7A"/>
    <w:rsid w:val="00ED574C"/>
    <w:rsid w:val="00ED66AA"/>
    <w:rsid w:val="00ED7347"/>
    <w:rsid w:val="00EE24A6"/>
    <w:rsid w:val="00EE2807"/>
    <w:rsid w:val="00EE4E8A"/>
    <w:rsid w:val="00EE5848"/>
    <w:rsid w:val="00EE682B"/>
    <w:rsid w:val="00EE6F36"/>
    <w:rsid w:val="00EE73EF"/>
    <w:rsid w:val="00EE7A78"/>
    <w:rsid w:val="00EE7E96"/>
    <w:rsid w:val="00EF0478"/>
    <w:rsid w:val="00EF09EC"/>
    <w:rsid w:val="00EF135C"/>
    <w:rsid w:val="00EF241B"/>
    <w:rsid w:val="00EF27E6"/>
    <w:rsid w:val="00EF3836"/>
    <w:rsid w:val="00EF39A7"/>
    <w:rsid w:val="00EF3CCA"/>
    <w:rsid w:val="00EF482E"/>
    <w:rsid w:val="00EF4CBD"/>
    <w:rsid w:val="00EF4DB1"/>
    <w:rsid w:val="00EF4E1A"/>
    <w:rsid w:val="00EF67DA"/>
    <w:rsid w:val="00EF6B71"/>
    <w:rsid w:val="00F02795"/>
    <w:rsid w:val="00F02EBC"/>
    <w:rsid w:val="00F03EB5"/>
    <w:rsid w:val="00F05990"/>
    <w:rsid w:val="00F07174"/>
    <w:rsid w:val="00F07816"/>
    <w:rsid w:val="00F10BF3"/>
    <w:rsid w:val="00F112E3"/>
    <w:rsid w:val="00F12021"/>
    <w:rsid w:val="00F1220C"/>
    <w:rsid w:val="00F20CB7"/>
    <w:rsid w:val="00F24759"/>
    <w:rsid w:val="00F24D0D"/>
    <w:rsid w:val="00F24DF9"/>
    <w:rsid w:val="00F253F7"/>
    <w:rsid w:val="00F25929"/>
    <w:rsid w:val="00F3110C"/>
    <w:rsid w:val="00F3304B"/>
    <w:rsid w:val="00F36603"/>
    <w:rsid w:val="00F370CB"/>
    <w:rsid w:val="00F404A1"/>
    <w:rsid w:val="00F420CF"/>
    <w:rsid w:val="00F50227"/>
    <w:rsid w:val="00F512CA"/>
    <w:rsid w:val="00F5203B"/>
    <w:rsid w:val="00F5265C"/>
    <w:rsid w:val="00F55A3A"/>
    <w:rsid w:val="00F57287"/>
    <w:rsid w:val="00F6011F"/>
    <w:rsid w:val="00F616EB"/>
    <w:rsid w:val="00F61A08"/>
    <w:rsid w:val="00F61B25"/>
    <w:rsid w:val="00F63739"/>
    <w:rsid w:val="00F63A4A"/>
    <w:rsid w:val="00F64070"/>
    <w:rsid w:val="00F64E71"/>
    <w:rsid w:val="00F6647E"/>
    <w:rsid w:val="00F671F0"/>
    <w:rsid w:val="00F675F7"/>
    <w:rsid w:val="00F712A9"/>
    <w:rsid w:val="00F72237"/>
    <w:rsid w:val="00F726E0"/>
    <w:rsid w:val="00F726EA"/>
    <w:rsid w:val="00F736E8"/>
    <w:rsid w:val="00F7498E"/>
    <w:rsid w:val="00F76562"/>
    <w:rsid w:val="00F770F7"/>
    <w:rsid w:val="00F826FD"/>
    <w:rsid w:val="00F83DAF"/>
    <w:rsid w:val="00F85C84"/>
    <w:rsid w:val="00F85ED3"/>
    <w:rsid w:val="00F86B5F"/>
    <w:rsid w:val="00F86B9F"/>
    <w:rsid w:val="00F87CA2"/>
    <w:rsid w:val="00F9127E"/>
    <w:rsid w:val="00F933B2"/>
    <w:rsid w:val="00F944E2"/>
    <w:rsid w:val="00F95243"/>
    <w:rsid w:val="00F9699E"/>
    <w:rsid w:val="00F973A5"/>
    <w:rsid w:val="00FA001F"/>
    <w:rsid w:val="00FA144F"/>
    <w:rsid w:val="00FA2B2B"/>
    <w:rsid w:val="00FA2C75"/>
    <w:rsid w:val="00FA380E"/>
    <w:rsid w:val="00FA4799"/>
    <w:rsid w:val="00FA6A11"/>
    <w:rsid w:val="00FA73C4"/>
    <w:rsid w:val="00FA7914"/>
    <w:rsid w:val="00FB046C"/>
    <w:rsid w:val="00FB2FF0"/>
    <w:rsid w:val="00FB4291"/>
    <w:rsid w:val="00FB663A"/>
    <w:rsid w:val="00FB70A3"/>
    <w:rsid w:val="00FB79E1"/>
    <w:rsid w:val="00FB7D91"/>
    <w:rsid w:val="00FC0402"/>
    <w:rsid w:val="00FC1279"/>
    <w:rsid w:val="00FC282E"/>
    <w:rsid w:val="00FC5E83"/>
    <w:rsid w:val="00FC76E4"/>
    <w:rsid w:val="00FC77A7"/>
    <w:rsid w:val="00FC7E8A"/>
    <w:rsid w:val="00FC7F73"/>
    <w:rsid w:val="00FD3151"/>
    <w:rsid w:val="00FD4E2F"/>
    <w:rsid w:val="00FD78AE"/>
    <w:rsid w:val="00FD7BB7"/>
    <w:rsid w:val="00FE33C8"/>
    <w:rsid w:val="00FE3C3A"/>
    <w:rsid w:val="00FE4CE8"/>
    <w:rsid w:val="00FE5334"/>
    <w:rsid w:val="00FE5876"/>
    <w:rsid w:val="00FE5D47"/>
    <w:rsid w:val="00FE68AD"/>
    <w:rsid w:val="00FE7287"/>
    <w:rsid w:val="00FF1B9F"/>
    <w:rsid w:val="00FF1EB5"/>
    <w:rsid w:val="00FF3579"/>
    <w:rsid w:val="00FF3883"/>
    <w:rsid w:val="00FF4BEF"/>
    <w:rsid w:val="00FF5E7E"/>
    <w:rsid w:val="00FF704A"/>
    <w:rsid w:val="00FF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0DA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B341C3"/>
  </w:style>
  <w:style w:type="character" w:customStyle="1" w:styleId="FootnoteTextChar">
    <w:name w:val="Footnote Text Char"/>
    <w:basedOn w:val="DefaultParagraphFont"/>
    <w:link w:val="FootnoteText"/>
    <w:uiPriority w:val="99"/>
    <w:rsid w:val="00B341C3"/>
  </w:style>
  <w:style w:type="character" w:styleId="FootnoteReference">
    <w:name w:val="footnote reference"/>
    <w:basedOn w:val="DefaultParagraphFont"/>
    <w:uiPriority w:val="99"/>
    <w:unhideWhenUsed/>
    <w:rsid w:val="00B341C3"/>
    <w:rPr>
      <w:vertAlign w:val="superscript"/>
    </w:rPr>
  </w:style>
  <w:style w:type="table" w:styleId="TableGrid">
    <w:name w:val="Table Grid"/>
    <w:basedOn w:val="TableNormal"/>
    <w:uiPriority w:val="59"/>
    <w:rsid w:val="002A3D7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400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3F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F21"/>
  </w:style>
  <w:style w:type="paragraph" w:styleId="Footer">
    <w:name w:val="footer"/>
    <w:basedOn w:val="Normal"/>
    <w:link w:val="FooterChar"/>
    <w:uiPriority w:val="99"/>
    <w:unhideWhenUsed/>
    <w:rsid w:val="002E3F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F21"/>
  </w:style>
  <w:style w:type="paragraph" w:styleId="BalloonText">
    <w:name w:val="Balloon Text"/>
    <w:basedOn w:val="Normal"/>
    <w:link w:val="BalloonTextChar"/>
    <w:uiPriority w:val="99"/>
    <w:semiHidden/>
    <w:unhideWhenUsed/>
    <w:rsid w:val="007C35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5F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12561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1A0A8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B62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2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2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2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26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E0334"/>
  </w:style>
  <w:style w:type="character" w:customStyle="1" w:styleId="apple-converted-space">
    <w:name w:val="apple-converted-space"/>
    <w:basedOn w:val="DefaultParagraphFont"/>
    <w:rsid w:val="004445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0DA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B341C3"/>
  </w:style>
  <w:style w:type="character" w:customStyle="1" w:styleId="FootnoteTextChar">
    <w:name w:val="Footnote Text Char"/>
    <w:basedOn w:val="DefaultParagraphFont"/>
    <w:link w:val="FootnoteText"/>
    <w:uiPriority w:val="99"/>
    <w:rsid w:val="00B341C3"/>
  </w:style>
  <w:style w:type="character" w:styleId="FootnoteReference">
    <w:name w:val="footnote reference"/>
    <w:basedOn w:val="DefaultParagraphFont"/>
    <w:uiPriority w:val="99"/>
    <w:unhideWhenUsed/>
    <w:rsid w:val="00B341C3"/>
    <w:rPr>
      <w:vertAlign w:val="superscript"/>
    </w:rPr>
  </w:style>
  <w:style w:type="table" w:styleId="TableGrid">
    <w:name w:val="Table Grid"/>
    <w:basedOn w:val="TableNormal"/>
    <w:uiPriority w:val="59"/>
    <w:rsid w:val="002A3D7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400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3F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F21"/>
  </w:style>
  <w:style w:type="paragraph" w:styleId="Footer">
    <w:name w:val="footer"/>
    <w:basedOn w:val="Normal"/>
    <w:link w:val="FooterChar"/>
    <w:uiPriority w:val="99"/>
    <w:unhideWhenUsed/>
    <w:rsid w:val="002E3F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3F21"/>
  </w:style>
  <w:style w:type="paragraph" w:styleId="BalloonText">
    <w:name w:val="Balloon Text"/>
    <w:basedOn w:val="Normal"/>
    <w:link w:val="BalloonTextChar"/>
    <w:uiPriority w:val="99"/>
    <w:semiHidden/>
    <w:unhideWhenUsed/>
    <w:rsid w:val="007C35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5F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rsid w:val="0012561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1A0A8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B62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2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2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2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26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E0334"/>
  </w:style>
  <w:style w:type="character" w:customStyle="1" w:styleId="apple-converted-space">
    <w:name w:val="apple-converted-space"/>
    <w:basedOn w:val="DefaultParagraphFont"/>
    <w:rsid w:val="00444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4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06273-1CB9-4093-9174-DBBB07864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2014-12-05T13:02:00Z</dcterms:created>
  <dcterms:modified xsi:type="dcterms:W3CDTF">2014-12-05T13:09:00Z</dcterms:modified>
</cp:coreProperties>
</file>