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8" w:rsidRPr="003C4B48" w:rsidRDefault="00DF1768" w:rsidP="00DF1768">
      <w:pPr>
        <w:wordWrap/>
        <w:snapToGrid w:val="0"/>
        <w:spacing w:after="0" w:line="480" w:lineRule="auto"/>
        <w:rPr>
          <w:rFonts w:asciiTheme="majorBidi" w:hAnsiTheme="majorBidi" w:cstheme="majorBidi"/>
          <w:b/>
          <w:kern w:val="0"/>
          <w:sz w:val="32"/>
          <w:szCs w:val="32"/>
        </w:rPr>
      </w:pPr>
      <w:r w:rsidRPr="003C4B48">
        <w:rPr>
          <w:rFonts w:asciiTheme="majorBidi" w:hAnsiTheme="majorBidi" w:cstheme="majorBidi" w:hint="eastAsia"/>
          <w:b/>
          <w:kern w:val="0"/>
          <w:sz w:val="32"/>
          <w:szCs w:val="32"/>
        </w:rPr>
        <w:t>Appendix</w:t>
      </w:r>
    </w:p>
    <w:p w:rsidR="002660B8" w:rsidRPr="002660B8" w:rsidRDefault="002660B8" w:rsidP="002660B8">
      <w:pPr>
        <w:wordWrap/>
        <w:snapToGrid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2660B8">
        <w:rPr>
          <w:rFonts w:asciiTheme="majorBidi" w:hAnsiTheme="majorBidi" w:cstheme="majorBidi" w:hint="eastAsia"/>
          <w:b/>
          <w:sz w:val="24"/>
          <w:szCs w:val="24"/>
        </w:rPr>
        <w:t>Appendix 1</w:t>
      </w:r>
      <w:r w:rsidRPr="002660B8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  <w:r w:rsidRPr="002660B8">
        <w:rPr>
          <w:rFonts w:asciiTheme="majorBidi" w:hAnsiTheme="majorBidi" w:cstheme="majorBidi"/>
          <w:b/>
          <w:sz w:val="24"/>
          <w:szCs w:val="24"/>
        </w:rPr>
        <w:t xml:space="preserve"> Univariate logistic regression analyses of shock requiring </w:t>
      </w:r>
      <w:r w:rsidRPr="002660B8">
        <w:rPr>
          <w:rFonts w:asciiTheme="majorBidi" w:hAnsiTheme="majorBidi" w:cstheme="majorBidi" w:hint="eastAsia"/>
          <w:b/>
          <w:sz w:val="24"/>
          <w:szCs w:val="24"/>
        </w:rPr>
        <w:t xml:space="preserve">vasopressor or </w:t>
      </w:r>
      <w:r w:rsidRPr="002660B8">
        <w:rPr>
          <w:rFonts w:asciiTheme="majorBidi" w:hAnsiTheme="majorBidi" w:cstheme="majorBidi"/>
          <w:b/>
          <w:sz w:val="24"/>
          <w:szCs w:val="24"/>
        </w:rPr>
        <w:t>inotrope and 28-day mortality and univariate Cox proportional analysis of 28-day mortality</w:t>
      </w:r>
      <w:bookmarkStart w:id="0" w:name="_GoBack"/>
      <w:bookmarkEnd w:id="0"/>
    </w:p>
    <w:p w:rsidR="002660B8" w:rsidRPr="002660B8" w:rsidRDefault="002660B8" w:rsidP="002660B8">
      <w:pPr>
        <w:wordWrap/>
        <w:snapToGrid w:val="0"/>
        <w:spacing w:after="0" w:line="480" w:lineRule="auto"/>
        <w:rPr>
          <w:rFonts w:asciiTheme="majorBidi" w:hAnsiTheme="majorBidi" w:cstheme="majorBidi"/>
          <w:kern w:val="0"/>
          <w:sz w:val="22"/>
        </w:rPr>
      </w:pPr>
    </w:p>
    <w:tbl>
      <w:tblPr>
        <w:tblStyle w:val="a5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984"/>
        <w:gridCol w:w="1701"/>
        <w:gridCol w:w="2011"/>
        <w:gridCol w:w="1676"/>
      </w:tblGrid>
      <w:tr w:rsidR="002660B8" w:rsidTr="005D7D05">
        <w:trPr>
          <w:trHeight w:val="145"/>
        </w:trPr>
        <w:tc>
          <w:tcPr>
            <w:tcW w:w="2235" w:type="dxa"/>
            <w:tcBorders>
              <w:top w:val="single" w:sz="18" w:space="0" w:color="auto"/>
              <w:bottom w:val="nil"/>
            </w:tcBorders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Variables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Shock requiring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vasopressor/</w:t>
            </w:r>
            <w:r w:rsidRPr="00526891">
              <w:rPr>
                <w:rFonts w:ascii="Times New Roman" w:hAnsi="Times New Roman" w:cs="Times New Roman"/>
                <w:b/>
                <w:sz w:val="18"/>
                <w:szCs w:val="18"/>
              </w:rPr>
              <w:t>inotrope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28-day mortality</w:t>
            </w:r>
          </w:p>
        </w:tc>
        <w:tc>
          <w:tcPr>
            <w:tcW w:w="368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28-day mortality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  <w:tcBorders>
              <w:top w:val="nil"/>
              <w:bottom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984" w:type="dxa"/>
            <w:tcBorders>
              <w:top w:val="single" w:sz="8" w:space="0" w:color="auto"/>
              <w:bottom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OR (95% CI)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2011" w:type="dxa"/>
            <w:tcBorders>
              <w:top w:val="single" w:sz="8" w:space="0" w:color="auto"/>
              <w:bottom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HR (95% CI)</w:t>
            </w:r>
          </w:p>
        </w:tc>
        <w:tc>
          <w:tcPr>
            <w:tcW w:w="1676" w:type="dxa"/>
            <w:tcBorders>
              <w:top w:val="single" w:sz="8" w:space="0" w:color="auto"/>
              <w:bottom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  <w:tcBorders>
              <w:top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Demographic 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double" w:sz="4" w:space="0" w:color="auto"/>
            </w:tcBorders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1.095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(0.663-1.808)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0.723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0.922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(0.349-2.434)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0.879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(0.339-2.281)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1.021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(1.001-1.043)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(0.989-1.076)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1.033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(0.988-1.079)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0.154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Risk factor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ERCP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0.492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(0.297-0.814)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(0.029-0.367)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0.145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(0.041-0.509)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PTCS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1.445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(0.393-5.31)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0.579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0.849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(0.044-16.319)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0.913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0.364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(0.019-6.859)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PTBD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2.779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(1.584-4.875)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4.518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(1.687-12.096)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2.063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(0.757-5.624)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Operation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(0.208-0.977)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(0.007-1.908)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(0.005-1.674)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Nursing_home</w:t>
            </w:r>
            <w:proofErr w:type="spellEnd"/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8.134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(1.335-49.553)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0.023*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47.357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(7.323-306.231)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14.102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(4.004-49.674)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Neoplastic disease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(1.92-5.333)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6.334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(2.186-18.355)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3.868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(1.335-11.208)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Liver disease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4.519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(2.151-9.494)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2.957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(0.805-10.86)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2.074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(0.591-7.28)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Congestive heart failure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2.637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(0.236-29.462)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3.603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(0.114-114.094)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0.467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2.516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(0.136-46.43)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0.535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Cerebrovascular accident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(0.263-3.221)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0.591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(0.032-10.91)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0.463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(0.025-8.449)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Renal disease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1.036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(0.025-42.996)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0.985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5.061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(0.119-214.871)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14.821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(0.715-307.388)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0.081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Clinical data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Systolic blood pressure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(0.937-0.962)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0.975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(0.956-0.993)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0.981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(0.963-0.999)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Diastolic blood pressure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0.923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(0.903-0.943)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0.964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(0.931-0.997)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0.975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(0.943-1.007)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Heart rate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1.034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(1.02-1.048)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1.029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(1.005-1.055)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(0.997-1.044)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Body temperature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1.272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(0.998-1.621)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0.654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(0.366-1.168)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0.151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(0.333-1.075)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Respiratory rate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0.918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(0.824-1.023)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(0.893-1.336)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0.392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1.145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(0.94-1.395)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Laboratory results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White blood cell count 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(1-1.009)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(1.001-1.014)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(0.999-1.012)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Hemoglobin</w:t>
            </w:r>
            <w:proofErr w:type="spellEnd"/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0.745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(0.655-0.847)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0.699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(0.556-0.879)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0.002*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0.775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(0.62-0.97)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Platelet count 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(0.999-1)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0.002*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(0.998-1)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(0.999-1)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DNI (Day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</w:t>
            </w: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1.147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(1.105-1.192)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1.096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(1.059-1.135)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(1.05-1.111)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DNI (Day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1.163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(1.11-1.218)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1.075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(1.038-1.113)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1.054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(1.022-1.087)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DNI (Day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1.244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(1.118-1.385)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1.091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(1.044-1.14)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0.001*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1.076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(1.036-1.118)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0.001*</w:t>
            </w:r>
          </w:p>
        </w:tc>
      </w:tr>
      <w:tr w:rsidR="002660B8" w:rsidTr="005D7D05">
        <w:trPr>
          <w:trHeight w:val="14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DNI (Day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1.292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(1.139-1.466)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(1.032-1.194)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0.005*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(1.048-1.137)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DNI (Day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4</w:t>
            </w: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1.386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(1.196-1.605)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(1.052-1.439)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0.009*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1.129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(1.056-1.207)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303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ESR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(0.997-1.012)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(0.976-1.009)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0.376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0.988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(0.971-1.005)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CRP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(1.004-1.009)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(1.003-1.013)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(1.001-1.01)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Glucose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(0.995-1.005)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0.954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0.989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(0.976-1.003)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(0.977-1.002)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Blood urea nitrogen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1.082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(1.053-1.112)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1.074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(1.037-1.113)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1.039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(1.019-1.059)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.001*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Creatinine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(1.431-3.696)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1.471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(1.025-2.11)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0.036*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1.331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(0.99-1.788)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Albumin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(0.101-0.255)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(0.016-0.131)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(0.039-0.205)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AST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(1-1.001)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(1-1.002)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0.03*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(1-1.003)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ALT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(0.997-1)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(0.995-1.001)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(0.996-1.002)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2660B8" w:rsidTr="005D7D05">
        <w:trPr>
          <w:trHeight w:val="303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Total bilirubin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1.122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(1.053-1.195)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(1.064-1.265)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1.092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(1.019-1.17)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Sodium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0.812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(0.763-0.865)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0.875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(0.8-0.957)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0.003*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0.906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(0.832-0.987)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0.023*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Potassium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0.762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(0.443-1.308)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0.324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(0.09-0.71)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0.009*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0.253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(0.093-0.687)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0.007*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Chloride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0.884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(0.837-0.933)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0.931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(0.846-1.025)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0.145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0.953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(0.866-1.05)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tCO2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0.758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(0.696-0.826)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0.756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(0.667-0.855)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0.792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(0.704-0.89)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Direct bilirubin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1.186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(1.085-1.297)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1.246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(1.11-1.399)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1.142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(1.045-1.249)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r-GT</w:t>
            </w:r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(0.998-1)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(0.997-1.001)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(0.997-1.001)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0.308</w:t>
            </w:r>
          </w:p>
        </w:tc>
      </w:tr>
      <w:tr w:rsidR="002660B8" w:rsidTr="005D7D05">
        <w:trPr>
          <w:trHeight w:val="315"/>
        </w:trPr>
        <w:tc>
          <w:tcPr>
            <w:tcW w:w="2235" w:type="dxa"/>
          </w:tcPr>
          <w:p w:rsidR="002660B8" w:rsidRPr="007908CE" w:rsidRDefault="002660B8" w:rsidP="005D7D0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08CE">
              <w:rPr>
                <w:rFonts w:ascii="Times New Roman" w:hAnsi="Times New Roman" w:cs="Times New Roman"/>
                <w:b/>
                <w:sz w:val="18"/>
                <w:szCs w:val="18"/>
              </w:rPr>
              <w:t>Bacteremia</w:t>
            </w:r>
            <w:proofErr w:type="spellEnd"/>
          </w:p>
        </w:tc>
        <w:tc>
          <w:tcPr>
            <w:tcW w:w="212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(2.97-9.28)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&lt;.001*</w:t>
            </w:r>
          </w:p>
        </w:tc>
        <w:tc>
          <w:tcPr>
            <w:tcW w:w="1984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6.473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(1.834-22.846)</w:t>
            </w:r>
          </w:p>
        </w:tc>
        <w:tc>
          <w:tcPr>
            <w:tcW w:w="170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3.935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(1.107-13.989)</w:t>
            </w:r>
          </w:p>
        </w:tc>
        <w:tc>
          <w:tcPr>
            <w:tcW w:w="1676" w:type="dxa"/>
          </w:tcPr>
          <w:p w:rsidR="002660B8" w:rsidRPr="007908CE" w:rsidRDefault="002660B8" w:rsidP="005D7D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E">
              <w:rPr>
                <w:rFonts w:ascii="Times New Roman" w:hAnsi="Times New Roman" w:cs="Times New Roman"/>
                <w:sz w:val="18"/>
                <w:szCs w:val="18"/>
              </w:rPr>
              <w:t>0.034*</w:t>
            </w:r>
          </w:p>
        </w:tc>
      </w:tr>
    </w:tbl>
    <w:p w:rsidR="002660B8" w:rsidRDefault="002660B8" w:rsidP="002660B8">
      <w:pPr>
        <w:rPr>
          <w:rFonts w:ascii="Times New Roman" w:hAnsi="Times New Roman" w:cs="Times New Roman"/>
          <w:b/>
          <w:sz w:val="24"/>
          <w:szCs w:val="24"/>
        </w:rPr>
      </w:pPr>
    </w:p>
    <w:p w:rsidR="002660B8" w:rsidRPr="00F43EE6" w:rsidRDefault="002660B8" w:rsidP="002660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Appendix 1</w:t>
      </w:r>
      <w:r w:rsidRPr="00F43EE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43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1C">
        <w:rPr>
          <w:rFonts w:asciiTheme="majorBidi" w:hAnsiTheme="majorBidi" w:cstheme="majorBidi"/>
          <w:b/>
          <w:sz w:val="24"/>
          <w:szCs w:val="24"/>
        </w:rPr>
        <w:t xml:space="preserve">Univariate logistic regression analyses of shock requiring </w:t>
      </w:r>
      <w:r w:rsidRPr="00F30206">
        <w:rPr>
          <w:rFonts w:asciiTheme="majorBidi" w:hAnsiTheme="majorBidi" w:cstheme="majorBidi" w:hint="eastAsia"/>
          <w:b/>
          <w:sz w:val="24"/>
          <w:szCs w:val="24"/>
        </w:rPr>
        <w:t xml:space="preserve">vasopressor or </w:t>
      </w:r>
      <w:r w:rsidRPr="00F30206">
        <w:rPr>
          <w:rFonts w:asciiTheme="majorBidi" w:hAnsiTheme="majorBidi" w:cstheme="majorBidi"/>
          <w:b/>
          <w:sz w:val="24"/>
          <w:szCs w:val="24"/>
        </w:rPr>
        <w:t>inotrope</w:t>
      </w:r>
      <w:r w:rsidRPr="0019741C">
        <w:rPr>
          <w:rFonts w:asciiTheme="majorBidi" w:hAnsiTheme="majorBidi" w:cstheme="majorBidi"/>
          <w:b/>
          <w:sz w:val="24"/>
          <w:szCs w:val="24"/>
        </w:rPr>
        <w:t xml:space="preserve"> and 28-day mortality and univariate </w:t>
      </w:r>
      <w:r w:rsidRPr="0019741C">
        <w:rPr>
          <w:rFonts w:asciiTheme="majorBidi" w:hAnsiTheme="majorBidi" w:cstheme="majorBidi"/>
          <w:b/>
          <w:sz w:val="24"/>
          <w:szCs w:val="24"/>
        </w:rPr>
        <w:lastRenderedPageBreak/>
        <w:t>Cox proportional analysis of 28-day mortality</w:t>
      </w:r>
    </w:p>
    <w:p w:rsidR="002660B8" w:rsidRPr="00D601FD" w:rsidRDefault="002660B8" w:rsidP="002660B8">
      <w:pPr>
        <w:rPr>
          <w:rFonts w:ascii="Times New Roman" w:hAnsi="Times New Roman" w:cs="Times New Roman"/>
          <w:sz w:val="18"/>
          <w:szCs w:val="18"/>
        </w:rPr>
      </w:pPr>
      <w:r w:rsidRPr="00F30B73">
        <w:rPr>
          <w:rFonts w:ascii="Times New Roman" w:hAnsi="Times New Roman" w:cs="Times New Roman" w:hint="eastAsia"/>
          <w:szCs w:val="20"/>
        </w:rPr>
        <w:t xml:space="preserve">*; p&lt;0.05, ERCP; </w:t>
      </w:r>
      <w:r w:rsidRPr="00F30B73">
        <w:rPr>
          <w:rFonts w:ascii="Times New Roman" w:hAnsi="Times New Roman" w:cs="Times New Roman"/>
          <w:szCs w:val="20"/>
        </w:rPr>
        <w:t>Endoscopic retrograde cholangiopancreatography</w:t>
      </w:r>
      <w:r w:rsidRPr="00F30B73">
        <w:rPr>
          <w:rFonts w:ascii="Times New Roman" w:hAnsi="Times New Roman" w:cs="Times New Roman" w:hint="eastAsia"/>
          <w:szCs w:val="20"/>
        </w:rPr>
        <w:t xml:space="preserve">, PTCS; </w:t>
      </w:r>
      <w:r w:rsidRPr="00F30B73">
        <w:rPr>
          <w:rFonts w:ascii="Times New Roman" w:hAnsi="Times New Roman" w:cs="Times New Roman"/>
          <w:szCs w:val="20"/>
        </w:rPr>
        <w:t xml:space="preserve">Percutaneous </w:t>
      </w:r>
      <w:proofErr w:type="spellStart"/>
      <w:r w:rsidRPr="00F30B73">
        <w:rPr>
          <w:rFonts w:ascii="Times New Roman" w:hAnsi="Times New Roman" w:cs="Times New Roman"/>
          <w:szCs w:val="20"/>
        </w:rPr>
        <w:t>transhepatic</w:t>
      </w:r>
      <w:proofErr w:type="spellEnd"/>
      <w:r w:rsidRPr="00F30B7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30B73">
        <w:rPr>
          <w:rFonts w:ascii="Times New Roman" w:hAnsi="Times New Roman" w:cs="Times New Roman"/>
          <w:szCs w:val="20"/>
        </w:rPr>
        <w:t>cholangioscopy</w:t>
      </w:r>
      <w:proofErr w:type="spellEnd"/>
      <w:r w:rsidRPr="00F30B73">
        <w:rPr>
          <w:rFonts w:ascii="Times New Roman" w:hAnsi="Times New Roman" w:cs="Times New Roman"/>
          <w:szCs w:val="20"/>
        </w:rPr>
        <w:t>(PTCS)</w:t>
      </w:r>
      <w:r w:rsidRPr="00F30B73">
        <w:rPr>
          <w:rFonts w:ascii="Times New Roman" w:hAnsi="Times New Roman" w:cs="Times New Roman" w:hint="eastAsia"/>
          <w:szCs w:val="20"/>
        </w:rPr>
        <w:t xml:space="preserve">, PTBD; </w:t>
      </w:r>
      <w:r w:rsidRPr="00F30B73">
        <w:rPr>
          <w:rFonts w:ascii="Times New Roman" w:hAnsi="Times New Roman" w:cs="Times New Roman"/>
          <w:szCs w:val="20"/>
        </w:rPr>
        <w:t xml:space="preserve">Percutaneous </w:t>
      </w:r>
      <w:proofErr w:type="spellStart"/>
      <w:r w:rsidRPr="00F30B73">
        <w:rPr>
          <w:rFonts w:ascii="Times New Roman" w:hAnsi="Times New Roman" w:cs="Times New Roman"/>
          <w:szCs w:val="20"/>
        </w:rPr>
        <w:t>transhepatic</w:t>
      </w:r>
      <w:proofErr w:type="spellEnd"/>
      <w:r w:rsidRPr="00F30B73">
        <w:rPr>
          <w:rFonts w:ascii="Times New Roman" w:hAnsi="Times New Roman" w:cs="Times New Roman"/>
          <w:szCs w:val="20"/>
        </w:rPr>
        <w:t xml:space="preserve"> biliary</w:t>
      </w:r>
      <w:r>
        <w:rPr>
          <w:rFonts w:ascii="Times New Roman" w:hAnsi="Times New Roman" w:cs="Times New Roman" w:hint="eastAsia"/>
          <w:szCs w:val="20"/>
        </w:rPr>
        <w:t xml:space="preserve"> drainage, </w:t>
      </w:r>
      <w:r w:rsidRPr="00F30B73">
        <w:rPr>
          <w:rFonts w:ascii="Times New Roman" w:hAnsi="Times New Roman" w:cs="Times New Roman" w:hint="eastAsia"/>
          <w:szCs w:val="20"/>
        </w:rPr>
        <w:t xml:space="preserve">DNI; </w:t>
      </w:r>
      <w:r w:rsidRPr="00F30B73">
        <w:rPr>
          <w:rFonts w:ascii="Times New Roman" w:hAnsi="Times New Roman" w:cs="Times New Roman"/>
          <w:szCs w:val="20"/>
        </w:rPr>
        <w:t>Delta neutrophil index</w:t>
      </w:r>
      <w:r w:rsidRPr="00F30B73">
        <w:rPr>
          <w:rFonts w:ascii="Times New Roman" w:hAnsi="Times New Roman" w:cs="Times New Roman" w:hint="eastAsia"/>
          <w:szCs w:val="20"/>
        </w:rPr>
        <w:t>,</w:t>
      </w:r>
      <w:r w:rsidRPr="00F30B7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 w:hint="eastAsia"/>
          <w:szCs w:val="20"/>
        </w:rPr>
        <w:t xml:space="preserve">ESR; </w:t>
      </w:r>
      <w:r w:rsidRPr="00F30B73">
        <w:rPr>
          <w:rFonts w:ascii="Times New Roman" w:hAnsi="Times New Roman" w:cs="Times New Roman"/>
          <w:szCs w:val="20"/>
        </w:rPr>
        <w:t>Erythrocyte sedimentation rate</w:t>
      </w:r>
      <w:r w:rsidRPr="00F30B73">
        <w:rPr>
          <w:rFonts w:ascii="Times New Roman" w:hAnsi="Times New Roman" w:cs="Times New Roman" w:hint="eastAsia"/>
          <w:szCs w:val="20"/>
        </w:rPr>
        <w:t xml:space="preserve">, </w:t>
      </w:r>
      <w:r>
        <w:rPr>
          <w:rFonts w:ascii="Times New Roman" w:hAnsi="Times New Roman" w:cs="Times New Roman" w:hint="eastAsia"/>
          <w:szCs w:val="20"/>
        </w:rPr>
        <w:t xml:space="preserve">CRP; </w:t>
      </w:r>
      <w:r w:rsidRPr="00F30B73">
        <w:rPr>
          <w:rFonts w:ascii="Times New Roman" w:hAnsi="Times New Roman" w:cs="Times New Roman"/>
          <w:szCs w:val="20"/>
        </w:rPr>
        <w:t>C-reactive protein</w:t>
      </w:r>
      <w:r>
        <w:rPr>
          <w:rFonts w:ascii="Times New Roman" w:hAnsi="Times New Roman" w:cs="Times New Roman" w:hint="eastAsia"/>
          <w:szCs w:val="20"/>
        </w:rPr>
        <w:t>, AST;</w:t>
      </w:r>
      <w:r w:rsidRPr="00F30B73">
        <w:rPr>
          <w:rFonts w:ascii="Times New Roman" w:hAnsi="Times New Roman" w:cs="Times New Roman" w:hint="eastAsia"/>
          <w:szCs w:val="20"/>
        </w:rPr>
        <w:t xml:space="preserve"> </w:t>
      </w:r>
      <w:r w:rsidRPr="00F30B73">
        <w:rPr>
          <w:rFonts w:ascii="Times New Roman" w:hAnsi="Times New Roman" w:cs="Times New Roman"/>
          <w:szCs w:val="20"/>
        </w:rPr>
        <w:t>Aminotransferase</w:t>
      </w:r>
      <w:r w:rsidRPr="00F30B73"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 w:hint="eastAsia"/>
          <w:szCs w:val="20"/>
        </w:rPr>
        <w:t xml:space="preserve">ALT; </w:t>
      </w:r>
      <w:r w:rsidRPr="00F30B73">
        <w:rPr>
          <w:rFonts w:ascii="Times New Roman" w:hAnsi="Times New Roman" w:cs="Times New Roman"/>
          <w:szCs w:val="20"/>
        </w:rPr>
        <w:t>Alanine transaminase</w:t>
      </w:r>
      <w:r>
        <w:rPr>
          <w:rFonts w:ascii="Times New Roman" w:hAnsi="Times New Roman" w:cs="Times New Roman" w:hint="eastAsia"/>
          <w:szCs w:val="20"/>
        </w:rPr>
        <w:t>,</w:t>
      </w:r>
      <w:r w:rsidRPr="00F30B73">
        <w:rPr>
          <w:rFonts w:ascii="Times New Roman" w:hAnsi="Times New Roman" w:cs="Times New Roman" w:hint="eastAsia"/>
          <w:szCs w:val="20"/>
        </w:rPr>
        <w:t xml:space="preserve"> r-GT; </w:t>
      </w:r>
      <w:r w:rsidRPr="00F30B73">
        <w:rPr>
          <w:rFonts w:ascii="Times New Roman" w:hAnsi="Times New Roman" w:cs="Times New Roman"/>
          <w:szCs w:val="20"/>
        </w:rPr>
        <w:t>Gamma-</w:t>
      </w:r>
      <w:proofErr w:type="spellStart"/>
      <w:r w:rsidRPr="00F30B73">
        <w:rPr>
          <w:rFonts w:ascii="Times New Roman" w:hAnsi="Times New Roman" w:cs="Times New Roman"/>
          <w:szCs w:val="20"/>
        </w:rPr>
        <w:t>glutamyl</w:t>
      </w:r>
      <w:proofErr w:type="spellEnd"/>
      <w:r w:rsidRPr="00F30B7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30B73">
        <w:rPr>
          <w:rFonts w:ascii="Times New Roman" w:hAnsi="Times New Roman" w:cs="Times New Roman" w:hint="eastAsia"/>
          <w:szCs w:val="20"/>
        </w:rPr>
        <w:t>t</w:t>
      </w:r>
      <w:r w:rsidRPr="00F30B73">
        <w:rPr>
          <w:rFonts w:ascii="Times New Roman" w:hAnsi="Times New Roman" w:cs="Times New Roman"/>
          <w:szCs w:val="20"/>
        </w:rPr>
        <w:t>ranspeptidase</w:t>
      </w:r>
      <w:proofErr w:type="spellEnd"/>
      <w:r w:rsidRPr="00F30B73">
        <w:rPr>
          <w:rFonts w:ascii="Times New Roman" w:hAnsi="Times New Roman" w:cs="Times New Roman"/>
          <w:szCs w:val="20"/>
        </w:rPr>
        <w:t xml:space="preserve"> </w:t>
      </w:r>
    </w:p>
    <w:p w:rsidR="00DF1768" w:rsidRDefault="00DF176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 w:hint="eastAsia"/>
          <w:b/>
          <w:kern w:val="0"/>
          <w:sz w:val="24"/>
          <w:szCs w:val="24"/>
        </w:rPr>
      </w:pPr>
    </w:p>
    <w:p w:rsidR="002660B8" w:rsidRPr="002660B8" w:rsidRDefault="002660B8" w:rsidP="00DF1768">
      <w:pPr>
        <w:wordWrap/>
        <w:snapToGrid w:val="0"/>
        <w:spacing w:after="0" w:line="480" w:lineRule="auto"/>
        <w:rPr>
          <w:rFonts w:asciiTheme="majorBidi" w:hAnsiTheme="majorBidi" w:cstheme="majorBidi"/>
          <w:b/>
          <w:kern w:val="0"/>
          <w:sz w:val="24"/>
          <w:szCs w:val="24"/>
        </w:rPr>
      </w:pPr>
    </w:p>
    <w:p w:rsidR="00DF1768" w:rsidRPr="003C4B48" w:rsidRDefault="00DF1768" w:rsidP="00DF1768">
      <w:pPr>
        <w:wordWrap/>
        <w:snapToGrid w:val="0"/>
        <w:spacing w:after="0" w:line="480" w:lineRule="auto"/>
        <w:rPr>
          <w:rFonts w:ascii="Times New Roman" w:eastAsia="굴림" w:hAnsi="Times New Roman" w:cs="Times New Roman"/>
          <w:kern w:val="0"/>
          <w:sz w:val="24"/>
          <w:szCs w:val="24"/>
        </w:rPr>
      </w:pPr>
      <w:proofErr w:type="gramStart"/>
      <w:r w:rsidRPr="003C4B48">
        <w:rPr>
          <w:rFonts w:ascii="Times New Roman" w:eastAsia="굴림" w:hAnsi="Times New Roman" w:cs="Times New Roman" w:hint="eastAsia"/>
          <w:b/>
          <w:kern w:val="0"/>
          <w:sz w:val="24"/>
          <w:szCs w:val="24"/>
        </w:rPr>
        <w:lastRenderedPageBreak/>
        <w:t>Appendix 2.</w:t>
      </w:r>
      <w:proofErr w:type="gramEnd"/>
      <w:r w:rsidRPr="003C4B48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W</w:t>
      </w:r>
      <w:r w:rsidRPr="003C4B48">
        <w:rPr>
          <w:rFonts w:asciiTheme="majorBidi" w:eastAsiaTheme="minorHAnsi" w:hAnsiTheme="majorBidi" w:cstheme="majorBidi"/>
          <w:kern w:val="0"/>
          <w:sz w:val="24"/>
          <w:szCs w:val="24"/>
        </w:rPr>
        <w:t>e retrospectively analysed patients who were initially diagnosed with acute chol</w:t>
      </w:r>
      <w:r w:rsidRPr="003C4B48">
        <w:rPr>
          <w:rFonts w:asciiTheme="majorBidi" w:eastAsiaTheme="minorHAnsi" w:hAnsiTheme="majorBidi" w:cstheme="majorBidi" w:hint="eastAsia"/>
          <w:kern w:val="0"/>
          <w:sz w:val="24"/>
          <w:szCs w:val="24"/>
        </w:rPr>
        <w:t xml:space="preserve">ecystitis and hepatitis </w:t>
      </w:r>
      <w:r w:rsidRPr="003C4B48">
        <w:rPr>
          <w:rFonts w:asciiTheme="majorBidi" w:eastAsiaTheme="minorHAnsi" w:hAnsiTheme="majorBidi" w:cstheme="majorBidi"/>
          <w:kern w:val="0"/>
          <w:sz w:val="24"/>
          <w:szCs w:val="24"/>
        </w:rPr>
        <w:t xml:space="preserve">at emergency department (ED) admission, followed by a final diagnosis. A total of 454 patients with acute cholecystitis at ED admission during the same study period were included in this analysis. </w:t>
      </w:r>
      <w:r w:rsidRPr="003C4B48">
        <w:rPr>
          <w:rFonts w:asciiTheme="majorBidi" w:eastAsiaTheme="minorHAnsi" w:hAnsiTheme="majorBidi" w:cstheme="majorBidi"/>
          <w:sz w:val="24"/>
          <w:szCs w:val="24"/>
        </w:rPr>
        <w:t xml:space="preserve">The mean </w:t>
      </w:r>
      <w:r w:rsidRPr="003C4B48">
        <w:rPr>
          <w:rFonts w:asciiTheme="majorBidi" w:eastAsiaTheme="minorHAnsi" w:hAnsiTheme="majorBidi" w:cstheme="majorBidi"/>
          <w:kern w:val="0"/>
          <w:sz w:val="24"/>
          <w:szCs w:val="24"/>
        </w:rPr>
        <w:t xml:space="preserve">DNI values at admission differed significantly between patients with acute cholecystitis and cholangitis </w:t>
      </w:r>
      <w:r w:rsidRPr="003C4B48">
        <w:rPr>
          <w:rFonts w:asciiTheme="majorBidi" w:eastAsiaTheme="minorHAnsi" w:hAnsiTheme="majorBidi" w:cstheme="majorBidi"/>
          <w:sz w:val="24"/>
          <w:szCs w:val="24"/>
        </w:rPr>
        <w:t>(1.704</w:t>
      </w:r>
      <w:r w:rsidRPr="003C4B48">
        <w:rPr>
          <w:rFonts w:asciiTheme="majorBidi" w:eastAsiaTheme="minorHAnsi" w:hAnsiTheme="majorBidi" w:cstheme="majorBidi" w:hint="eastAsia"/>
          <w:sz w:val="24"/>
          <w:szCs w:val="24"/>
        </w:rPr>
        <w:t xml:space="preserve"> </w:t>
      </w:r>
      <w:r w:rsidRPr="003C4B48">
        <w:rPr>
          <w:rFonts w:ascii="Times New Roman" w:eastAsiaTheme="majorHAnsi" w:hAnsi="Times New Roman"/>
          <w:sz w:val="24"/>
          <w:szCs w:val="24"/>
        </w:rPr>
        <w:t>±</w:t>
      </w:r>
      <w:r w:rsidRPr="003C4B48">
        <w:rPr>
          <w:rFonts w:ascii="Times New Roman" w:eastAsiaTheme="majorHAnsi" w:hAnsi="Times New Roman" w:hint="eastAsia"/>
          <w:sz w:val="24"/>
          <w:szCs w:val="24"/>
        </w:rPr>
        <w:t xml:space="preserve"> </w:t>
      </w:r>
      <w:r w:rsidRPr="003C4B48">
        <w:rPr>
          <w:rFonts w:ascii="Times New Roman" w:eastAsiaTheme="majorHAnsi" w:hAnsi="Times New Roman"/>
          <w:sz w:val="24"/>
          <w:szCs w:val="24"/>
        </w:rPr>
        <w:t>1.995</w:t>
      </w:r>
      <w:r w:rsidRPr="003C4B48">
        <w:rPr>
          <w:rFonts w:asciiTheme="majorBidi" w:eastAsiaTheme="minorHAnsi" w:hAnsiTheme="majorBidi" w:cstheme="majorBidi"/>
          <w:sz w:val="24"/>
          <w:szCs w:val="24"/>
        </w:rPr>
        <w:t xml:space="preserve">% vs. </w:t>
      </w:r>
      <w:r w:rsidRPr="003C4B48">
        <w:rPr>
          <w:rFonts w:asciiTheme="majorBidi" w:eastAsiaTheme="minorHAnsi" w:hAnsiTheme="majorBidi" w:cstheme="majorBidi" w:hint="eastAsia"/>
          <w:sz w:val="24"/>
          <w:szCs w:val="24"/>
        </w:rPr>
        <w:t xml:space="preserve">4.892 </w:t>
      </w:r>
      <w:r w:rsidRPr="003C4B48">
        <w:rPr>
          <w:rFonts w:ascii="Times New Roman" w:eastAsiaTheme="majorHAnsi" w:hAnsi="Times New Roman"/>
          <w:sz w:val="24"/>
          <w:szCs w:val="24"/>
        </w:rPr>
        <w:t>±</w:t>
      </w:r>
      <w:r w:rsidRPr="003C4B48">
        <w:rPr>
          <w:rFonts w:ascii="Times New Roman" w:eastAsiaTheme="majorHAnsi" w:hAnsi="Times New Roman" w:hint="eastAsia"/>
          <w:sz w:val="24"/>
          <w:szCs w:val="24"/>
        </w:rPr>
        <w:t xml:space="preserve"> </w:t>
      </w:r>
      <w:r w:rsidRPr="003C4B48">
        <w:rPr>
          <w:rFonts w:ascii="Times New Roman" w:eastAsiaTheme="majorHAnsi" w:hAnsi="Times New Roman"/>
          <w:sz w:val="24"/>
          <w:szCs w:val="24"/>
        </w:rPr>
        <w:t>7.889</w:t>
      </w:r>
      <w:r w:rsidRPr="003C4B48">
        <w:rPr>
          <w:rFonts w:asciiTheme="majorBidi" w:eastAsiaTheme="minorHAnsi" w:hAnsiTheme="majorBidi" w:cstheme="majorBidi"/>
          <w:sz w:val="24"/>
          <w:szCs w:val="24"/>
        </w:rPr>
        <w:t>%; p &lt; 0.001)</w:t>
      </w:r>
      <w:r w:rsidRPr="003C4B48">
        <w:rPr>
          <w:rFonts w:asciiTheme="majorBidi" w:eastAsiaTheme="minorHAnsi" w:hAnsiTheme="majorBidi" w:cstheme="majorBidi"/>
          <w:kern w:val="0"/>
          <w:sz w:val="24"/>
          <w:szCs w:val="24"/>
        </w:rPr>
        <w:t xml:space="preserve">. </w:t>
      </w:r>
      <w:r w:rsidRPr="003C4B48">
        <w:rPr>
          <w:rFonts w:asciiTheme="majorBidi" w:hAnsiTheme="majorBidi" w:cstheme="majorBidi"/>
          <w:sz w:val="24"/>
          <w:szCs w:val="24"/>
        </w:rPr>
        <w:t xml:space="preserve">The </w:t>
      </w:r>
      <w:r w:rsidRPr="003C4B48">
        <w:rPr>
          <w:rFonts w:asciiTheme="majorBidi" w:eastAsiaTheme="minorHAnsi" w:hAnsiTheme="majorBidi" w:cstheme="majorBidi"/>
          <w:sz w:val="24"/>
          <w:szCs w:val="24"/>
        </w:rPr>
        <w:t xml:space="preserve">areas under the receiver operating characteristic (ROC) curves (AUCs) were determined to assess the ability of the DNI to </w:t>
      </w:r>
      <w:r w:rsidRPr="003C4B48">
        <w:rPr>
          <w:rFonts w:ascii="Times New Roman" w:hAnsi="Times New Roman" w:cs="Times New Roman" w:hint="eastAsia"/>
          <w:sz w:val="24"/>
          <w:szCs w:val="24"/>
        </w:rPr>
        <w:t>discriminate</w:t>
      </w:r>
      <w:r w:rsidRPr="003C4B48">
        <w:rPr>
          <w:rFonts w:asciiTheme="majorBidi" w:eastAsiaTheme="minorHAnsi" w:hAnsiTheme="majorBidi" w:cstheme="majorBidi"/>
          <w:sz w:val="24"/>
          <w:szCs w:val="24"/>
        </w:rPr>
        <w:t xml:space="preserve"> between acute cholangitis and cholecystitis.</w:t>
      </w:r>
      <w:r w:rsidRPr="003C4B48">
        <w:rPr>
          <w:rFonts w:ascii="Times New Roman" w:hAnsi="Times New Roman" w:cs="Times New Roman"/>
          <w:sz w:val="24"/>
          <w:szCs w:val="24"/>
        </w:rPr>
        <w:t xml:space="preserve"> </w:t>
      </w:r>
      <w:r w:rsidRPr="003C4B48">
        <w:rPr>
          <w:rFonts w:asciiTheme="majorBidi" w:eastAsiaTheme="minorHAnsi" w:hAnsiTheme="majorBidi" w:cstheme="majorBidi"/>
          <w:sz w:val="24"/>
          <w:szCs w:val="24"/>
        </w:rPr>
        <w:t xml:space="preserve">The AUC of DNI values at admission for predicting acute cholangitis was 0.639 (0.607–0.670; p &lt; 0.001). The optimal DNI cut-off at ED admission was 2.2% (sensitivity, 52.71% and specificity, 70.7%). The </w:t>
      </w:r>
      <w:r w:rsidRPr="003C4B48">
        <w:rPr>
          <w:rFonts w:ascii="Times New Roman" w:hAnsi="Times New Roman" w:cs="Times New Roman"/>
          <w:sz w:val="24"/>
          <w:szCs w:val="24"/>
        </w:rPr>
        <w:t>sonographic Murphy’s sign is a very reliable indicator of acute cholecystitis, with a specificity exceeding 90%. Our results suggest that the DNI value facilitates the additional diagnosis of cholangitis in patients with cholecystitis and acute biliary inflammation and infection</w:t>
      </w:r>
    </w:p>
    <w:p w:rsidR="00DF1768" w:rsidRDefault="00DF1768" w:rsidP="00DF1768">
      <w:pPr>
        <w:wordWrap/>
        <w:snapToGrid w:val="0"/>
        <w:spacing w:after="0" w:line="480" w:lineRule="auto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2660B8" w:rsidRDefault="002660B8" w:rsidP="00DF1768">
      <w:pPr>
        <w:wordWrap/>
        <w:snapToGrid w:val="0"/>
        <w:spacing w:after="0" w:line="480" w:lineRule="auto"/>
        <w:rPr>
          <w:rFonts w:ascii="Times New Roman" w:eastAsia="굴림" w:hAnsi="Times New Roman" w:cs="Times New Roman" w:hint="eastAsia"/>
          <w:kern w:val="0"/>
          <w:sz w:val="24"/>
          <w:szCs w:val="24"/>
        </w:rPr>
      </w:pPr>
    </w:p>
    <w:p w:rsidR="002660B8" w:rsidRPr="003C4B48" w:rsidRDefault="002660B8" w:rsidP="00DF1768">
      <w:pPr>
        <w:wordWrap/>
        <w:snapToGrid w:val="0"/>
        <w:spacing w:after="0" w:line="480" w:lineRule="auto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683313" w:rsidRDefault="00DF1768" w:rsidP="00DF1768">
      <w:pPr>
        <w:wordWrap/>
        <w:snapToGrid w:val="0"/>
        <w:spacing w:after="0" w:line="480" w:lineRule="auto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3C4B48">
        <w:rPr>
          <w:rFonts w:ascii="Times New Roman" w:eastAsia="굴림" w:hAnsi="Times New Roman" w:cs="Times New Roman" w:hint="eastAsia"/>
          <w:b/>
          <w:kern w:val="0"/>
          <w:sz w:val="24"/>
          <w:szCs w:val="24"/>
        </w:rPr>
        <w:lastRenderedPageBreak/>
        <w:t>Appendix 3.</w:t>
      </w:r>
      <w:proofErr w:type="gramEnd"/>
      <w:r w:rsidRPr="003C4B48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</w:t>
      </w:r>
      <w:r w:rsidRPr="003C4B48">
        <w:rPr>
          <w:rFonts w:ascii="Times New Roman" w:eastAsia="굴림" w:hAnsi="Times New Roman" w:cs="Times New Roman"/>
          <w:kern w:val="0"/>
          <w:sz w:val="24"/>
          <w:szCs w:val="24"/>
        </w:rPr>
        <w:t xml:space="preserve">The areas under the ROC curves (AUCs) of DNI and band values on day 0 were 0.768 </w:t>
      </w:r>
      <w:r w:rsidRPr="003C4B48">
        <w:rPr>
          <w:rFonts w:ascii="Times New Roman" w:eastAsia="굴림" w:hAnsi="Times New Roman" w:cs="Times New Roman" w:hint="eastAsia"/>
          <w:kern w:val="0"/>
          <w:sz w:val="24"/>
          <w:szCs w:val="24"/>
        </w:rPr>
        <w:t>(0.798-0.873) and</w:t>
      </w:r>
      <w:r w:rsidRPr="003C4B48">
        <w:rPr>
          <w:rFonts w:ascii="Times New Roman" w:eastAsia="굴림" w:hAnsi="Times New Roman" w:cs="Times New Roman"/>
          <w:kern w:val="0"/>
          <w:sz w:val="24"/>
          <w:szCs w:val="24"/>
        </w:rPr>
        <w:t xml:space="preserve"> 0.79</w:t>
      </w:r>
      <w:r w:rsidRPr="003C4B48">
        <w:rPr>
          <w:rFonts w:ascii="Times New Roman" w:eastAsia="굴림" w:hAnsi="Times New Roman" w:cs="Times New Roman" w:hint="eastAsia"/>
          <w:kern w:val="0"/>
          <w:sz w:val="24"/>
          <w:szCs w:val="24"/>
        </w:rPr>
        <w:t>8 (0.725-0.871)</w:t>
      </w:r>
      <w:r w:rsidRPr="003C4B48">
        <w:rPr>
          <w:rFonts w:ascii="Times New Roman" w:eastAsia="굴림" w:hAnsi="Times New Roman" w:cs="Times New Roman"/>
          <w:kern w:val="0"/>
          <w:sz w:val="24"/>
          <w:szCs w:val="24"/>
        </w:rPr>
        <w:t>, respectively, for shock prediction (p = 0.99) and 0.84</w:t>
      </w:r>
      <w:r w:rsidRPr="003C4B48">
        <w:rPr>
          <w:rFonts w:ascii="Times New Roman" w:eastAsia="굴림" w:hAnsi="Times New Roman" w:cs="Times New Roman" w:hint="eastAsia"/>
          <w:kern w:val="0"/>
          <w:sz w:val="24"/>
          <w:szCs w:val="24"/>
        </w:rPr>
        <w:t>2 (0.74-0.937)</w:t>
      </w:r>
      <w:r w:rsidRPr="003C4B48">
        <w:rPr>
          <w:rFonts w:ascii="Times New Roman" w:eastAsia="굴림" w:hAnsi="Times New Roman" w:cs="Times New Roman"/>
          <w:kern w:val="0"/>
          <w:sz w:val="24"/>
          <w:szCs w:val="24"/>
        </w:rPr>
        <w:t xml:space="preserve"> and</w:t>
      </w:r>
      <w:r w:rsidRPr="003C4B48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0</w:t>
      </w:r>
      <w:r w:rsidRPr="003C4B48">
        <w:rPr>
          <w:rFonts w:ascii="Times New Roman" w:eastAsia="굴림" w:hAnsi="Times New Roman" w:cs="Times New Roman"/>
          <w:kern w:val="0"/>
          <w:sz w:val="24"/>
          <w:szCs w:val="24"/>
        </w:rPr>
        <w:t>.704</w:t>
      </w:r>
      <w:r w:rsidRPr="003C4B48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(0.602-0.807)</w:t>
      </w:r>
      <w:r w:rsidRPr="003C4B48">
        <w:rPr>
          <w:rFonts w:ascii="Times New Roman" w:eastAsia="굴림" w:hAnsi="Times New Roman" w:cs="Times New Roman"/>
          <w:kern w:val="0"/>
          <w:sz w:val="24"/>
          <w:szCs w:val="24"/>
        </w:rPr>
        <w:t>, respectively, for 28-day mortality prediction (p &lt;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</w:t>
      </w:r>
      <w:r w:rsidRPr="003C4B48">
        <w:rPr>
          <w:rFonts w:ascii="Times New Roman" w:eastAsia="굴림" w:hAnsi="Times New Roman" w:cs="Times New Roman"/>
          <w:kern w:val="0"/>
          <w:sz w:val="24"/>
          <w:szCs w:val="24"/>
        </w:rPr>
        <w:t xml:space="preserve">0.001). In other words, a significant difference in predictability for 28-day mortality was observed between the DNI and manual band measurement methods. </w:t>
      </w:r>
      <w:r w:rsidRPr="003C4B48">
        <w:rPr>
          <w:rFonts w:ascii="Times New Roman" w:hAnsi="Times New Roman" w:cs="Times New Roman"/>
          <w:sz w:val="24"/>
          <w:szCs w:val="24"/>
        </w:rPr>
        <w:t>The accuracy of DNI for predicting 28-day mortality was superior to that of manual band measurement (%)</w:t>
      </w:r>
    </w:p>
    <w:p w:rsidR="002660B8" w:rsidRPr="00DF1768" w:rsidRDefault="002660B8" w:rsidP="00DF1768">
      <w:pPr>
        <w:wordWrap/>
        <w:snapToGrid w:val="0"/>
        <w:spacing w:after="0" w:line="480" w:lineRule="auto"/>
      </w:pPr>
      <w:r>
        <w:rPr>
          <w:noProof/>
          <w:lang w:val="en-US"/>
        </w:rPr>
        <w:drawing>
          <wp:inline distT="0" distB="0" distL="0" distR="0">
            <wp:extent cx="8697595" cy="3037205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0B8" w:rsidRPr="00DF1768" w:rsidSect="002660B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C6" w:rsidRDefault="00AE00C6" w:rsidP="002660B8">
      <w:pPr>
        <w:spacing w:after="0" w:line="240" w:lineRule="auto"/>
      </w:pPr>
      <w:r>
        <w:separator/>
      </w:r>
    </w:p>
  </w:endnote>
  <w:endnote w:type="continuationSeparator" w:id="0">
    <w:p w:rsidR="00AE00C6" w:rsidRDefault="00AE00C6" w:rsidP="0026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C6" w:rsidRDefault="00AE00C6" w:rsidP="002660B8">
      <w:pPr>
        <w:spacing w:after="0" w:line="240" w:lineRule="auto"/>
      </w:pPr>
      <w:r>
        <w:separator/>
      </w:r>
    </w:p>
  </w:footnote>
  <w:footnote w:type="continuationSeparator" w:id="0">
    <w:p w:rsidR="00AE00C6" w:rsidRDefault="00AE00C6" w:rsidP="0026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68"/>
    <w:rsid w:val="002660B8"/>
    <w:rsid w:val="00683313"/>
    <w:rsid w:val="00AE00C6"/>
    <w:rsid w:val="00D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68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0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60B8"/>
    <w:rPr>
      <w:lang w:val="en-GB"/>
    </w:rPr>
  </w:style>
  <w:style w:type="paragraph" w:styleId="a4">
    <w:name w:val="footer"/>
    <w:basedOn w:val="a"/>
    <w:link w:val="Char0"/>
    <w:uiPriority w:val="99"/>
    <w:unhideWhenUsed/>
    <w:rsid w:val="002660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60B8"/>
    <w:rPr>
      <w:lang w:val="en-GB"/>
    </w:rPr>
  </w:style>
  <w:style w:type="table" w:styleId="a5">
    <w:name w:val="Table Grid"/>
    <w:basedOn w:val="a1"/>
    <w:uiPriority w:val="59"/>
    <w:rsid w:val="0026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660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660B8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68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0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60B8"/>
    <w:rPr>
      <w:lang w:val="en-GB"/>
    </w:rPr>
  </w:style>
  <w:style w:type="paragraph" w:styleId="a4">
    <w:name w:val="footer"/>
    <w:basedOn w:val="a"/>
    <w:link w:val="Char0"/>
    <w:uiPriority w:val="99"/>
    <w:unhideWhenUsed/>
    <w:rsid w:val="002660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60B8"/>
    <w:rPr>
      <w:lang w:val="en-GB"/>
    </w:rPr>
  </w:style>
  <w:style w:type="table" w:styleId="a5">
    <w:name w:val="Table Grid"/>
    <w:basedOn w:val="a1"/>
    <w:uiPriority w:val="59"/>
    <w:rsid w:val="0026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660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660B8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JSYOU</dc:creator>
  <cp:lastModifiedBy>유제성(강남)응급의학과)</cp:lastModifiedBy>
  <cp:revision>2</cp:revision>
  <dcterms:created xsi:type="dcterms:W3CDTF">2016-08-17T13:02:00Z</dcterms:created>
  <dcterms:modified xsi:type="dcterms:W3CDTF">2016-08-17T13:02:00Z</dcterms:modified>
</cp:coreProperties>
</file>