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2976"/>
      </w:tblGrid>
      <w:tr w:rsidR="002127D8" w:rsidRPr="00294E96" w:rsidTr="0091736F">
        <w:trPr>
          <w:jc w:val="center"/>
        </w:trPr>
        <w:tc>
          <w:tcPr>
            <w:tcW w:w="8500" w:type="dxa"/>
            <w:gridSpan w:val="3"/>
            <w:tcBorders>
              <w:top w:val="nil"/>
              <w:bottom w:val="single" w:sz="4" w:space="0" w:color="auto"/>
            </w:tcBorders>
          </w:tcPr>
          <w:p w:rsidR="002127D8" w:rsidRPr="00294E96" w:rsidRDefault="002127D8" w:rsidP="0091736F">
            <w:pPr>
              <w:rPr>
                <w:rFonts w:ascii="Times New Roman" w:eastAsia="宋体" w:hAnsi="Times New Roman" w:cs="Times New Roman"/>
                <w:b/>
                <w:color w:val="000033"/>
                <w:sz w:val="24"/>
                <w:szCs w:val="13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b/>
                <w:color w:val="000033"/>
                <w:sz w:val="24"/>
                <w:szCs w:val="13"/>
                <w:shd w:val="clear" w:color="auto" w:fill="FFFFFF"/>
              </w:rPr>
              <w:t xml:space="preserve">Supplementary </w:t>
            </w:r>
            <w:r>
              <w:rPr>
                <w:rFonts w:ascii="Times New Roman" w:eastAsia="宋体" w:hAnsi="Times New Roman" w:cs="Times New Roman" w:hint="eastAsia"/>
                <w:b/>
                <w:color w:val="000033"/>
                <w:sz w:val="24"/>
                <w:szCs w:val="13"/>
                <w:shd w:val="clear" w:color="auto" w:fill="FFFFFF"/>
              </w:rPr>
              <w:t>t</w:t>
            </w:r>
            <w:r w:rsidRPr="00294E96">
              <w:rPr>
                <w:rFonts w:ascii="Times New Roman" w:eastAsia="宋体" w:hAnsi="Times New Roman" w:cs="Times New Roman" w:hint="eastAsia"/>
                <w:b/>
                <w:color w:val="000033"/>
                <w:sz w:val="24"/>
                <w:szCs w:val="13"/>
                <w:shd w:val="clear" w:color="auto" w:fill="FFFFFF"/>
              </w:rPr>
              <w:t>able</w:t>
            </w:r>
            <w:r w:rsidRPr="00294E96">
              <w:rPr>
                <w:rFonts w:ascii="Times New Roman" w:eastAsia="宋体" w:hAnsi="Times New Roman" w:cs="Times New Roman"/>
                <w:b/>
                <w:color w:val="000033"/>
                <w:sz w:val="24"/>
                <w:szCs w:val="13"/>
                <w:shd w:val="clear" w:color="auto" w:fill="FFFFFF"/>
              </w:rPr>
              <w:t xml:space="preserve"> 1</w:t>
            </w:r>
            <w:r w:rsidRPr="00294E96">
              <w:rPr>
                <w:rFonts w:ascii="Times New Roman" w:eastAsia="宋体" w:hAnsi="Times New Roman" w:cs="Times New Roman" w:hint="eastAsia"/>
                <w:b/>
                <w:color w:val="000033"/>
                <w:sz w:val="24"/>
                <w:szCs w:val="13"/>
                <w:shd w:val="clear" w:color="auto" w:fill="FFFFFF"/>
              </w:rPr>
              <w:t xml:space="preserve"> </w:t>
            </w:r>
            <w:r w:rsidRPr="00294E96">
              <w:rPr>
                <w:rFonts w:ascii="Times New Roman" w:eastAsia="宋体" w:hAnsi="Times New Roman" w:cs="Times New Roman"/>
                <w:b/>
                <w:color w:val="000033"/>
                <w:sz w:val="24"/>
                <w:szCs w:val="13"/>
                <w:shd w:val="clear" w:color="auto" w:fill="FFFFFF"/>
              </w:rPr>
              <w:t>Hypomagnesemia</w:t>
            </w:r>
            <w:r w:rsidRPr="00294E96">
              <w:rPr>
                <w:rFonts w:ascii="Times New Roman" w:eastAsia="宋体" w:hAnsi="Times New Roman" w:cs="Times New Roman" w:hint="eastAsia"/>
                <w:b/>
                <w:color w:val="000033"/>
                <w:sz w:val="24"/>
                <w:szCs w:val="13"/>
                <w:shd w:val="clear" w:color="auto" w:fill="FFFFFF"/>
              </w:rPr>
              <w:t xml:space="preserve"> </w:t>
            </w:r>
            <w:r w:rsidRPr="00294E96">
              <w:rPr>
                <w:rFonts w:ascii="Times New Roman" w:eastAsia="宋体" w:hAnsi="Times New Roman" w:cs="Times New Roman"/>
                <w:b/>
                <w:color w:val="000033"/>
                <w:sz w:val="24"/>
                <w:szCs w:val="13"/>
                <w:shd w:val="clear" w:color="auto" w:fill="FFFFFF"/>
              </w:rPr>
              <w:t>definition</w:t>
            </w:r>
            <w:r w:rsidRPr="00294E96">
              <w:rPr>
                <w:rFonts w:ascii="Times New Roman" w:eastAsia="宋体" w:hAnsi="Times New Roman" w:cs="Times New Roman" w:hint="eastAsia"/>
                <w:b/>
                <w:color w:val="000033"/>
                <w:sz w:val="24"/>
                <w:szCs w:val="13"/>
                <w:shd w:val="clear" w:color="auto" w:fill="FFFFFF"/>
              </w:rPr>
              <w:t xml:space="preserve"> in the other papers</w:t>
            </w:r>
            <w:r w:rsidRPr="00294E96">
              <w:rPr>
                <w:rFonts w:ascii="Times New Roman" w:eastAsia="宋体" w:hAnsi="Times New Roman" w:cs="Times New Roman"/>
                <w:b/>
                <w:color w:val="000033"/>
                <w:sz w:val="24"/>
                <w:szCs w:val="13"/>
                <w:shd w:val="clear" w:color="auto" w:fill="FFFFFF"/>
              </w:rPr>
              <w:t xml:space="preserve"> cited in this Meta-analysis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27D8" w:rsidRPr="00FC7D4C" w:rsidRDefault="002127D8" w:rsidP="0091736F">
            <w:pPr>
              <w:jc w:val="left"/>
              <w:rPr>
                <w:rFonts w:ascii="Times New Roman" w:eastAsia="宋体" w:hAnsi="Times New Roman" w:cs="Times New Roman"/>
                <w:b/>
                <w:color w:val="000033"/>
                <w:szCs w:val="13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33"/>
                <w:szCs w:val="13"/>
                <w:shd w:val="clear" w:color="auto" w:fill="FFFFFF"/>
              </w:rPr>
              <w:t>Source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b/>
                <w:color w:val="000033"/>
                <w:szCs w:val="13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b/>
                <w:color w:val="000033"/>
                <w:szCs w:val="13"/>
                <w:shd w:val="clear" w:color="auto" w:fill="FFFFFF"/>
              </w:rPr>
              <w:t>Hypomagnesemia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(mmol/L)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b/>
                <w:color w:val="000033"/>
                <w:szCs w:val="13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b/>
                <w:color w:val="000033"/>
                <w:szCs w:val="13"/>
                <w:shd w:val="clear" w:color="auto" w:fill="FFFFFF"/>
              </w:rPr>
              <w:t>Measurement of magnesium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top w:val="single" w:sz="4" w:space="0" w:color="auto"/>
              <w:right w:val="nil"/>
            </w:tcBorders>
          </w:tcPr>
          <w:p w:rsidR="002127D8" w:rsidRPr="00FC7D4C" w:rsidRDefault="002127D8" w:rsidP="0091736F">
            <w:pP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Reinhart</w:t>
            </w: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, 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1985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  <w:vertAlign w:val="superscript"/>
              </w:rPr>
              <w:t xml:space="preserve">[1] 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&lt;0.7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Serum total magnesium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right w:val="nil"/>
            </w:tcBorders>
          </w:tcPr>
          <w:p w:rsidR="002127D8" w:rsidRPr="00FC7D4C" w:rsidRDefault="002127D8" w:rsidP="0091736F">
            <w:pP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Cubrilo-Turek, 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1993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>[2]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                     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&lt;0.75</w:t>
            </w:r>
          </w:p>
        </w:tc>
        <w:tc>
          <w:tcPr>
            <w:tcW w:w="2976" w:type="dxa"/>
            <w:tcBorders>
              <w:lef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Serum total magnesium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right w:val="nil"/>
            </w:tcBorders>
          </w:tcPr>
          <w:p w:rsidR="002127D8" w:rsidRPr="00FC7D4C" w:rsidRDefault="002127D8" w:rsidP="0091736F">
            <w:pP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Barrera</w:t>
            </w: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, 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2000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>[3]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              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&lt;0.64</w:t>
            </w:r>
          </w:p>
        </w:tc>
        <w:tc>
          <w:tcPr>
            <w:tcW w:w="2976" w:type="dxa"/>
            <w:tcBorders>
              <w:lef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Serum total magnesium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right w:val="nil"/>
            </w:tcBorders>
          </w:tcPr>
          <w:p w:rsidR="002127D8" w:rsidRPr="00FC7D4C" w:rsidRDefault="002127D8" w:rsidP="0091736F">
            <w:pP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Saur</w:t>
            </w: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, 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2005</w:t>
            </w:r>
            <w:r w:rsidRPr="005A6025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>[4]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  <w:vertAlign w:val="superscript"/>
              </w:rPr>
              <w:t xml:space="preserve">  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                                                </w:t>
            </w:r>
            <w:r w:rsidRPr="005A6025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&lt;0.8</w:t>
            </w:r>
          </w:p>
        </w:tc>
        <w:tc>
          <w:tcPr>
            <w:tcW w:w="2976" w:type="dxa"/>
            <w:tcBorders>
              <w:lef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Serum total magnesium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right w:val="nil"/>
            </w:tcBorders>
          </w:tcPr>
          <w:p w:rsidR="002127D8" w:rsidRPr="00FC7D4C" w:rsidRDefault="002127D8" w:rsidP="0091736F">
            <w:pP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Johansson, 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2007</w:t>
            </w:r>
            <w:r w:rsidRPr="005A6025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>[5]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                               </w:t>
            </w:r>
            <w:r w:rsidRPr="005A6025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&lt;0.48</w:t>
            </w:r>
          </w:p>
        </w:tc>
        <w:tc>
          <w:tcPr>
            <w:tcW w:w="2976" w:type="dxa"/>
            <w:tcBorders>
              <w:lef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Serum ionized magnesium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right w:val="nil"/>
            </w:tcBorders>
          </w:tcPr>
          <w:p w:rsidR="002127D8" w:rsidRPr="00FC7D4C" w:rsidRDefault="002127D8" w:rsidP="0091736F">
            <w:pP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Sleeswijk</w:t>
            </w: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, 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2008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>[6]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             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                            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&lt;0.7</w:t>
            </w:r>
          </w:p>
        </w:tc>
        <w:tc>
          <w:tcPr>
            <w:tcW w:w="2976" w:type="dxa"/>
            <w:tcBorders>
              <w:lef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Serum total magnesium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right w:val="nil"/>
            </w:tcBorders>
          </w:tcPr>
          <w:p w:rsidR="002127D8" w:rsidRPr="00FC7D4C" w:rsidRDefault="002127D8" w:rsidP="0091736F">
            <w:pP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Alves</w:t>
            </w: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, 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2013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>[7]</w:t>
            </w: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&lt;0.7</w:t>
            </w:r>
          </w:p>
        </w:tc>
        <w:tc>
          <w:tcPr>
            <w:tcW w:w="2976" w:type="dxa"/>
            <w:tcBorders>
              <w:lef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Serum total magnesium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bottom w:val="nil"/>
              <w:right w:val="nil"/>
            </w:tcBorders>
          </w:tcPr>
          <w:p w:rsidR="002127D8" w:rsidRPr="00FC7D4C" w:rsidRDefault="002127D8" w:rsidP="0091736F">
            <w:pP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Phuong-Chi, 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2014</w:t>
            </w:r>
            <w:r w:rsidRPr="005A6025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>[</w:t>
            </w: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  <w:vertAlign w:val="superscript"/>
              </w:rPr>
              <w:t>8</w:t>
            </w:r>
            <w:r w:rsidRPr="005A6025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>]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</w:t>
            </w:r>
            <w:r w:rsidRPr="005A6025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            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</w:t>
            </w:r>
            <w:r w:rsidRPr="005A6025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         </w:t>
            </w: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 xml:space="preserve">               </w:t>
            </w:r>
            <w:r w:rsidRPr="005A6025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&lt;0.66</w:t>
            </w:r>
          </w:p>
        </w:tc>
        <w:tc>
          <w:tcPr>
            <w:tcW w:w="2976" w:type="dxa"/>
            <w:tcBorders>
              <w:left w:val="nil"/>
              <w:bottom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5A6025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Serum total magnesium</w:t>
            </w:r>
          </w:p>
        </w:tc>
      </w:tr>
      <w:tr w:rsidR="002127D8" w:rsidRPr="00FC7D4C" w:rsidTr="0091736F">
        <w:trPr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2127D8" w:rsidRPr="00FC7D4C" w:rsidRDefault="002127D8" w:rsidP="0091736F">
            <w:pP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Guerrero-Romero, 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>2016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>[</w:t>
            </w:r>
            <w:r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  <w:vertAlign w:val="superscript"/>
              </w:rPr>
              <w:t>9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  <w:vertAlign w:val="superscript"/>
              </w:rPr>
              <w:t xml:space="preserve">] 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 xml:space="preserve">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  <w:t>≤</w:t>
            </w: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>0.74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</w:tcPr>
          <w:p w:rsidR="002127D8" w:rsidRPr="00FC7D4C" w:rsidRDefault="002127D8" w:rsidP="0091736F">
            <w:pPr>
              <w:jc w:val="center"/>
              <w:rPr>
                <w:rFonts w:ascii="Times New Roman" w:eastAsia="宋体" w:hAnsi="Times New Roman" w:cs="Times New Roman"/>
                <w:color w:val="000033"/>
                <w:szCs w:val="18"/>
                <w:shd w:val="clear" w:color="auto" w:fill="FFFFFF"/>
              </w:rPr>
            </w:pPr>
            <w:r w:rsidRPr="00FC7D4C">
              <w:rPr>
                <w:rFonts w:ascii="Times New Roman" w:eastAsia="宋体" w:hAnsi="Times New Roman" w:cs="Times New Roman" w:hint="eastAsia"/>
                <w:color w:val="000033"/>
                <w:szCs w:val="18"/>
                <w:shd w:val="clear" w:color="auto" w:fill="FFFFFF"/>
              </w:rPr>
              <w:t>Serum total magnesium</w:t>
            </w:r>
          </w:p>
        </w:tc>
      </w:tr>
    </w:tbl>
    <w:p w:rsidR="0094075A" w:rsidRDefault="0094075A"/>
    <w:p w:rsidR="002127D8" w:rsidRDefault="002127D8">
      <w:bookmarkStart w:id="0" w:name="_GoBack"/>
      <w:bookmarkEnd w:id="0"/>
    </w:p>
    <w:p w:rsidR="002127D8" w:rsidRPr="005A6025" w:rsidRDefault="002127D8" w:rsidP="002127D8">
      <w:pPr>
        <w:spacing w:line="360" w:lineRule="auto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5A602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References: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/>
          <w:color w:val="000000"/>
          <w:szCs w:val="21"/>
        </w:rPr>
        <w:t>[1] Reinhart RA, Desbiens NA</w:t>
      </w:r>
      <w:r>
        <w:rPr>
          <w:rFonts w:ascii="Times New Roman" w:eastAsia="宋体" w:hAnsi="Times New Roman" w:cs="Times New Roman" w:hint="eastAsia"/>
          <w:color w:val="000000"/>
          <w:szCs w:val="21"/>
        </w:rPr>
        <w:t xml:space="preserve">. 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Hypomagnesemia in patients entering the ICU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Crit Care Med 13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: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506–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50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7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1985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[2]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Cubrilo-Turek M, Babic Z, Matek Z. Magnesium concentrations in critically ill patients with gastrointestinal disorders. Croat J Gastroenterol Hepatol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2:59–63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1993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[3]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Barrera R, Fleischer M, Miletic J, Groeger J. Ionized magnesium supplementation in critically ill patients: comparing ionized and total magnesium. J Crit Care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15:36–40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2000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[4]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Saur P, Niedmann PD, Brunner E, Kettler D. Do intracellular, extracellular or urinary magnesium concentrations predict renal retention of magnesium in critically ill patients? Eur J Anaesthesiol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22:148–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1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53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2005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[5]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Johansson M, Whiss PA. Weak relationship between ionized and total magnesium in serum of patients requiring magnesium status. Biol Trace Elem Res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115:13–21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2007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[6]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Sleeswijk ME, Tulleken JE, Van Noord T, Meertens JHJM, Ligtenberg JJM, Zijlstra JG. Efficacy of magnesium-amiodarone step-up scheme in critically ill patients with new-onset atrial fibrillation: a prospective observational study. J Intensive Care Med 23:61–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6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6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2008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[7]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Alves SC, Tomasi CD, Constantin L, Giombelli V, Canda R, Bristot Mde L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Topanotti MF, Burdmann EA, Dal-Pizzol F, Fraga CM. Hypomagnesemia as a risk factor for the non-recovery of the renal function in critically ill patients with acute kidney injury. Nephrol Dial Transplant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28:910–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91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6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2013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[8]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Pham PC, Pham PA, Pham SV, Pham PT, Pham PM, Pham PT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: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Hypomagnesemia: a clinical 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lastRenderedPageBreak/>
        <w:t>perspective. Int J Nephrol Renovasc Dis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7:219-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2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30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 2014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[</w:t>
      </w:r>
      <w:r>
        <w:rPr>
          <w:rFonts w:ascii="Times New Roman" w:eastAsia="宋体" w:hAnsi="Times New Roman" w:cs="Times New Roman"/>
          <w:color w:val="000000"/>
          <w:szCs w:val="21"/>
        </w:rPr>
        <w:t>9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]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 Guerrero-Romero F, Flores-García A, Saldaña-Guerrero S, Simental-Mendía LE, Rodríguez-Morán M. Association of hypermagnesemia and blood pressure in the </w:t>
      </w:r>
    </w:p>
    <w:p w:rsidR="002127D8" w:rsidRPr="00875B50" w:rsidRDefault="002127D8" w:rsidP="002127D8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critically ill. </w:t>
      </w:r>
      <w:hyperlink r:id="rId6" w:tooltip="Journal of hypertension." w:history="1">
        <w:r w:rsidRPr="00875B50">
          <w:rPr>
            <w:rFonts w:ascii="Times New Roman" w:eastAsia="宋体" w:hAnsi="Times New Roman" w:cs="Times New Roman"/>
            <w:color w:val="000000"/>
            <w:szCs w:val="21"/>
          </w:rPr>
          <w:t>J Hypertens</w:t>
        </w:r>
      </w:hyperlink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 xml:space="preserve"> 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31:2136-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21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>41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,</w:t>
      </w:r>
      <w:r w:rsidRPr="00875B50">
        <w:rPr>
          <w:rFonts w:ascii="Times New Roman" w:eastAsia="宋体" w:hAnsi="Times New Roman" w:cs="Times New Roman"/>
          <w:color w:val="000000"/>
          <w:szCs w:val="21"/>
        </w:rPr>
        <w:t xml:space="preserve"> 2013</w:t>
      </w:r>
      <w:r w:rsidRPr="00875B50">
        <w:rPr>
          <w:rFonts w:ascii="Times New Roman" w:eastAsia="宋体" w:hAnsi="Times New Roman" w:cs="Times New Roman" w:hint="eastAsia"/>
          <w:color w:val="000000"/>
          <w:szCs w:val="21"/>
        </w:rPr>
        <w:t>.</w:t>
      </w:r>
    </w:p>
    <w:p w:rsidR="002127D8" w:rsidRDefault="002127D8">
      <w:pPr>
        <w:rPr>
          <w:rFonts w:hint="eastAsia"/>
        </w:rPr>
      </w:pPr>
    </w:p>
    <w:sectPr w:rsidR="00212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B9" w:rsidRDefault="00153AB9" w:rsidP="002127D8">
      <w:r>
        <w:separator/>
      </w:r>
    </w:p>
  </w:endnote>
  <w:endnote w:type="continuationSeparator" w:id="0">
    <w:p w:rsidR="00153AB9" w:rsidRDefault="00153AB9" w:rsidP="0021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B9" w:rsidRDefault="00153AB9" w:rsidP="002127D8">
      <w:r>
        <w:separator/>
      </w:r>
    </w:p>
  </w:footnote>
  <w:footnote w:type="continuationSeparator" w:id="0">
    <w:p w:rsidR="00153AB9" w:rsidRDefault="00153AB9" w:rsidP="00212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46"/>
    <w:rsid w:val="00153AB9"/>
    <w:rsid w:val="002127D8"/>
    <w:rsid w:val="00307539"/>
    <w:rsid w:val="008D3A46"/>
    <w:rsid w:val="009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B3659D-3ED0-4435-993D-A516FDF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7D8"/>
    <w:rPr>
      <w:sz w:val="18"/>
      <w:szCs w:val="18"/>
    </w:rPr>
  </w:style>
  <w:style w:type="table" w:styleId="a5">
    <w:name w:val="Table Grid"/>
    <w:basedOn w:val="a1"/>
    <w:uiPriority w:val="39"/>
    <w:rsid w:val="0021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Association+of+hypermagnesemia+and+blood+pressure+in+the+critically+i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Tianwen Lai</dc:creator>
  <cp:keywords/>
  <dc:description/>
  <cp:lastModifiedBy>Tianwen Lai</cp:lastModifiedBy>
  <cp:revision>2</cp:revision>
  <dcterms:created xsi:type="dcterms:W3CDTF">2016-08-24T02:52:00Z</dcterms:created>
  <dcterms:modified xsi:type="dcterms:W3CDTF">2016-08-24T02:57:00Z</dcterms:modified>
</cp:coreProperties>
</file>