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A5B" w:rsidRDefault="008F7A5B" w:rsidP="008F7A5B">
      <w:pPr>
        <w:rPr>
          <w:rFonts w:ascii="Times New Roman" w:hAnsi="Times New Roman" w:cs="Times New Roman"/>
          <w:b/>
          <w:sz w:val="24"/>
          <w:szCs w:val="24"/>
        </w:rPr>
      </w:pPr>
      <w:r w:rsidRPr="008F7A5B">
        <w:rPr>
          <w:rFonts w:ascii="Times New Roman" w:hAnsi="Times New Roman" w:cs="Times New Roman"/>
          <w:b/>
          <w:sz w:val="24"/>
          <w:szCs w:val="24"/>
        </w:rPr>
        <w:t>Online supplementary materials</w:t>
      </w:r>
    </w:p>
    <w:p w:rsidR="00B81BD9" w:rsidRPr="008F7A5B" w:rsidRDefault="00B81BD9" w:rsidP="008F7A5B">
      <w:pPr>
        <w:rPr>
          <w:rFonts w:ascii="Times New Roman" w:hAnsi="Times New Roman" w:cs="Times New Roman"/>
          <w:b/>
          <w:sz w:val="24"/>
          <w:szCs w:val="24"/>
        </w:rPr>
      </w:pPr>
    </w:p>
    <w:p w:rsidR="00360C29" w:rsidRDefault="00360C29" w:rsidP="00360C29">
      <w:pPr>
        <w:spacing w:after="0" w:line="240" w:lineRule="auto"/>
        <w:rPr>
          <w:rFonts w:ascii="Times New Roman" w:hAnsi="Times New Roman" w:cs="Times New Roman"/>
          <w:sz w:val="24"/>
          <w:szCs w:val="24"/>
        </w:rPr>
      </w:pPr>
      <w:r w:rsidRPr="00360C29">
        <w:rPr>
          <w:rFonts w:ascii="Times New Roman" w:hAnsi="Times New Roman" w:cs="Times New Roman"/>
          <w:sz w:val="24"/>
          <w:szCs w:val="24"/>
        </w:rPr>
        <w:t xml:space="preserve">Plasma Neutrophil Elastase and </w:t>
      </w:r>
      <w:proofErr w:type="spellStart"/>
      <w:r w:rsidRPr="00360C29">
        <w:rPr>
          <w:rFonts w:ascii="Times New Roman" w:hAnsi="Times New Roman" w:cs="Times New Roman"/>
          <w:sz w:val="24"/>
          <w:szCs w:val="24"/>
        </w:rPr>
        <w:t>Elafin</w:t>
      </w:r>
      <w:proofErr w:type="spellEnd"/>
      <w:r w:rsidRPr="00360C29">
        <w:rPr>
          <w:rFonts w:ascii="Times New Roman" w:hAnsi="Times New Roman" w:cs="Times New Roman"/>
          <w:sz w:val="24"/>
          <w:szCs w:val="24"/>
        </w:rPr>
        <w:t xml:space="preserve"> as Prognostic Biomarker for Acute Respiratory Distress Syndrome: a multicenter survival and longitudinal prospective observation study</w:t>
      </w:r>
    </w:p>
    <w:p w:rsidR="00360C29" w:rsidRPr="00360C29" w:rsidRDefault="00360C29" w:rsidP="00360C29">
      <w:pPr>
        <w:spacing w:after="0" w:line="240" w:lineRule="auto"/>
        <w:rPr>
          <w:rFonts w:ascii="Times New Roman" w:hAnsi="Times New Roman" w:cs="Times New Roman"/>
          <w:sz w:val="24"/>
          <w:szCs w:val="24"/>
        </w:rPr>
      </w:pPr>
    </w:p>
    <w:p w:rsidR="008F7A5B" w:rsidRDefault="00360C29" w:rsidP="00360C29">
      <w:pPr>
        <w:spacing w:after="0" w:line="240" w:lineRule="auto"/>
        <w:rPr>
          <w:rFonts w:ascii="Times New Roman" w:hAnsi="Times New Roman" w:cs="Times New Roman"/>
          <w:sz w:val="24"/>
          <w:szCs w:val="24"/>
        </w:rPr>
      </w:pPr>
      <w:proofErr w:type="spellStart"/>
      <w:r w:rsidRPr="00360C29">
        <w:rPr>
          <w:rFonts w:ascii="Times New Roman" w:hAnsi="Times New Roman" w:cs="Times New Roman"/>
          <w:sz w:val="24"/>
          <w:szCs w:val="24"/>
        </w:rPr>
        <w:t>Zhaozhong</w:t>
      </w:r>
      <w:proofErr w:type="spellEnd"/>
      <w:r w:rsidRPr="00360C29">
        <w:rPr>
          <w:rFonts w:ascii="Times New Roman" w:hAnsi="Times New Roman" w:cs="Times New Roman"/>
          <w:sz w:val="24"/>
          <w:szCs w:val="24"/>
        </w:rPr>
        <w:t xml:space="preserve"> Zhu</w:t>
      </w:r>
      <w:r w:rsidRPr="00B06AC3">
        <w:rPr>
          <w:rFonts w:ascii="Times New Roman" w:hAnsi="Times New Roman" w:cs="Times New Roman"/>
          <w:sz w:val="24"/>
          <w:szCs w:val="24"/>
          <w:vertAlign w:val="superscript"/>
        </w:rPr>
        <w:t>2</w:t>
      </w:r>
      <w:r w:rsidRPr="00360C29">
        <w:rPr>
          <w:rFonts w:ascii="Times New Roman" w:hAnsi="Times New Roman" w:cs="Times New Roman"/>
          <w:sz w:val="24"/>
          <w:szCs w:val="24"/>
        </w:rPr>
        <w:t>, ScD, TiehuaWang</w:t>
      </w:r>
      <w:r w:rsidRPr="00B06AC3">
        <w:rPr>
          <w:rFonts w:ascii="Times New Roman" w:hAnsi="Times New Roman" w:cs="Times New Roman"/>
          <w:sz w:val="24"/>
          <w:szCs w:val="24"/>
          <w:vertAlign w:val="superscript"/>
        </w:rPr>
        <w:t>1</w:t>
      </w:r>
      <w:r w:rsidRPr="00360C29">
        <w:rPr>
          <w:rFonts w:ascii="Times New Roman" w:hAnsi="Times New Roman" w:cs="Times New Roman"/>
          <w:sz w:val="24"/>
          <w:szCs w:val="24"/>
        </w:rPr>
        <w:t>, MD, Zhuang Liu</w:t>
      </w:r>
      <w:r w:rsidRPr="00B06AC3">
        <w:rPr>
          <w:rFonts w:ascii="Times New Roman" w:hAnsi="Times New Roman" w:cs="Times New Roman"/>
          <w:sz w:val="24"/>
          <w:szCs w:val="24"/>
          <w:vertAlign w:val="superscript"/>
        </w:rPr>
        <w:t>3</w:t>
      </w:r>
      <w:r w:rsidRPr="00360C29">
        <w:rPr>
          <w:rFonts w:ascii="Times New Roman" w:hAnsi="Times New Roman" w:cs="Times New Roman"/>
          <w:sz w:val="24"/>
          <w:szCs w:val="24"/>
        </w:rPr>
        <w:t>, MD, Liang Yi</w:t>
      </w:r>
      <w:r w:rsidRPr="00B06AC3">
        <w:rPr>
          <w:rFonts w:ascii="Times New Roman" w:hAnsi="Times New Roman" w:cs="Times New Roman"/>
          <w:sz w:val="24"/>
          <w:szCs w:val="24"/>
          <w:vertAlign w:val="superscript"/>
        </w:rPr>
        <w:t>4</w:t>
      </w:r>
      <w:r w:rsidRPr="00360C29">
        <w:rPr>
          <w:rFonts w:ascii="Times New Roman" w:hAnsi="Times New Roman" w:cs="Times New Roman"/>
          <w:sz w:val="24"/>
          <w:szCs w:val="24"/>
        </w:rPr>
        <w:t xml:space="preserve">, MD, </w:t>
      </w:r>
      <w:proofErr w:type="spellStart"/>
      <w:r w:rsidRPr="00360C29">
        <w:rPr>
          <w:rFonts w:ascii="Times New Roman" w:hAnsi="Times New Roman" w:cs="Times New Roman"/>
          <w:sz w:val="24"/>
          <w:szCs w:val="24"/>
        </w:rPr>
        <w:t>Zhixu</w:t>
      </w:r>
      <w:proofErr w:type="spellEnd"/>
      <w:r w:rsidRPr="00360C29">
        <w:rPr>
          <w:rFonts w:ascii="Times New Roman" w:hAnsi="Times New Roman" w:cs="Times New Roman"/>
          <w:sz w:val="24"/>
          <w:szCs w:val="24"/>
        </w:rPr>
        <w:t xml:space="preserve"> Yang</w:t>
      </w:r>
      <w:r w:rsidRPr="00B06AC3">
        <w:rPr>
          <w:rFonts w:ascii="Times New Roman" w:hAnsi="Times New Roman" w:cs="Times New Roman"/>
          <w:sz w:val="24"/>
          <w:szCs w:val="24"/>
          <w:vertAlign w:val="superscript"/>
        </w:rPr>
        <w:t>4</w:t>
      </w:r>
      <w:r w:rsidRPr="00360C29">
        <w:rPr>
          <w:rFonts w:ascii="Times New Roman" w:hAnsi="Times New Roman" w:cs="Times New Roman"/>
          <w:sz w:val="24"/>
          <w:szCs w:val="24"/>
        </w:rPr>
        <w:t xml:space="preserve">, MD, </w:t>
      </w:r>
      <w:proofErr w:type="spellStart"/>
      <w:r w:rsidRPr="00360C29">
        <w:rPr>
          <w:rFonts w:ascii="Times New Roman" w:hAnsi="Times New Roman" w:cs="Times New Roman"/>
          <w:sz w:val="24"/>
          <w:szCs w:val="24"/>
        </w:rPr>
        <w:t>Weishuai</w:t>
      </w:r>
      <w:proofErr w:type="spellEnd"/>
      <w:r w:rsidRPr="00360C29">
        <w:rPr>
          <w:rFonts w:ascii="Times New Roman" w:hAnsi="Times New Roman" w:cs="Times New Roman"/>
          <w:sz w:val="24"/>
          <w:szCs w:val="24"/>
        </w:rPr>
        <w:t xml:space="preserve"> Bian</w:t>
      </w:r>
      <w:r w:rsidRPr="00B06AC3">
        <w:rPr>
          <w:rFonts w:ascii="Times New Roman" w:hAnsi="Times New Roman" w:cs="Times New Roman"/>
          <w:sz w:val="24"/>
          <w:szCs w:val="24"/>
          <w:vertAlign w:val="superscript"/>
        </w:rPr>
        <w:t>5</w:t>
      </w:r>
      <w:r w:rsidRPr="00360C29">
        <w:rPr>
          <w:rFonts w:ascii="Times New Roman" w:hAnsi="Times New Roman" w:cs="Times New Roman"/>
          <w:sz w:val="24"/>
          <w:szCs w:val="24"/>
        </w:rPr>
        <w:t>, MD, Wei Chen</w:t>
      </w:r>
      <w:r w:rsidRPr="00B06AC3">
        <w:rPr>
          <w:rFonts w:ascii="Times New Roman" w:hAnsi="Times New Roman" w:cs="Times New Roman"/>
          <w:sz w:val="24"/>
          <w:szCs w:val="24"/>
          <w:vertAlign w:val="superscript"/>
        </w:rPr>
        <w:t>5</w:t>
      </w:r>
      <w:r w:rsidRPr="00360C29">
        <w:rPr>
          <w:rFonts w:ascii="Times New Roman" w:hAnsi="Times New Roman" w:cs="Times New Roman"/>
          <w:sz w:val="24"/>
          <w:szCs w:val="24"/>
        </w:rPr>
        <w:t xml:space="preserve">, MD, </w:t>
      </w:r>
      <w:proofErr w:type="spellStart"/>
      <w:r w:rsidRPr="00360C29">
        <w:rPr>
          <w:rFonts w:ascii="Times New Roman" w:hAnsi="Times New Roman" w:cs="Times New Roman"/>
          <w:sz w:val="24"/>
          <w:szCs w:val="24"/>
        </w:rPr>
        <w:t>Shupeng</w:t>
      </w:r>
      <w:proofErr w:type="spellEnd"/>
      <w:r w:rsidRPr="00360C29">
        <w:rPr>
          <w:rFonts w:ascii="Times New Roman" w:hAnsi="Times New Roman" w:cs="Times New Roman"/>
          <w:sz w:val="24"/>
          <w:szCs w:val="24"/>
        </w:rPr>
        <w:t xml:space="preserve"> Wang</w:t>
      </w:r>
      <w:r w:rsidRPr="00B06AC3">
        <w:rPr>
          <w:rFonts w:ascii="Times New Roman" w:hAnsi="Times New Roman" w:cs="Times New Roman"/>
          <w:sz w:val="24"/>
          <w:szCs w:val="24"/>
          <w:vertAlign w:val="superscript"/>
        </w:rPr>
        <w:t>6</w:t>
      </w:r>
      <w:r w:rsidRPr="00360C29">
        <w:rPr>
          <w:rFonts w:ascii="Times New Roman" w:hAnsi="Times New Roman" w:cs="Times New Roman"/>
          <w:sz w:val="24"/>
          <w:szCs w:val="24"/>
        </w:rPr>
        <w:t>, MD, Gang Li</w:t>
      </w:r>
      <w:r w:rsidRPr="00B06AC3">
        <w:rPr>
          <w:rFonts w:ascii="Times New Roman" w:hAnsi="Times New Roman" w:cs="Times New Roman"/>
          <w:sz w:val="24"/>
          <w:szCs w:val="24"/>
          <w:vertAlign w:val="superscript"/>
        </w:rPr>
        <w:t>6</w:t>
      </w:r>
      <w:r w:rsidRPr="00360C29">
        <w:rPr>
          <w:rFonts w:ascii="Times New Roman" w:hAnsi="Times New Roman" w:cs="Times New Roman"/>
          <w:sz w:val="24"/>
          <w:szCs w:val="24"/>
        </w:rPr>
        <w:t xml:space="preserve">, MD, </w:t>
      </w:r>
      <w:proofErr w:type="spellStart"/>
      <w:r w:rsidRPr="00360C29">
        <w:rPr>
          <w:rFonts w:ascii="Times New Roman" w:hAnsi="Times New Roman" w:cs="Times New Roman"/>
          <w:sz w:val="24"/>
          <w:szCs w:val="24"/>
        </w:rPr>
        <w:t>Ang</w:t>
      </w:r>
      <w:proofErr w:type="spellEnd"/>
      <w:r w:rsidRPr="00360C29">
        <w:rPr>
          <w:rFonts w:ascii="Times New Roman" w:hAnsi="Times New Roman" w:cs="Times New Roman"/>
          <w:sz w:val="24"/>
          <w:szCs w:val="24"/>
        </w:rPr>
        <w:t xml:space="preserve"> Li</w:t>
      </w:r>
      <w:r w:rsidRPr="00B06AC3">
        <w:rPr>
          <w:rFonts w:ascii="Times New Roman" w:hAnsi="Times New Roman" w:cs="Times New Roman"/>
          <w:sz w:val="24"/>
          <w:szCs w:val="24"/>
          <w:vertAlign w:val="superscript"/>
        </w:rPr>
        <w:t>3</w:t>
      </w:r>
      <w:r w:rsidRPr="00360C29">
        <w:rPr>
          <w:rFonts w:ascii="Times New Roman" w:hAnsi="Times New Roman" w:cs="Times New Roman"/>
          <w:sz w:val="24"/>
          <w:szCs w:val="24"/>
        </w:rPr>
        <w:t>, MD,  Greg S. Martin</w:t>
      </w:r>
      <w:r w:rsidRPr="00B06AC3">
        <w:rPr>
          <w:rFonts w:ascii="Times New Roman" w:hAnsi="Times New Roman" w:cs="Times New Roman"/>
          <w:sz w:val="24"/>
          <w:szCs w:val="24"/>
          <w:vertAlign w:val="superscript"/>
        </w:rPr>
        <w:t>7</w:t>
      </w:r>
      <w:r w:rsidRPr="00360C29">
        <w:rPr>
          <w:rFonts w:ascii="Times New Roman" w:hAnsi="Times New Roman" w:cs="Times New Roman"/>
          <w:sz w:val="24"/>
          <w:szCs w:val="24"/>
        </w:rPr>
        <w:t>, MD/MS, Xi Zhu</w:t>
      </w:r>
      <w:r w:rsidRPr="00B06AC3">
        <w:rPr>
          <w:rFonts w:ascii="Times New Roman" w:hAnsi="Times New Roman" w:cs="Times New Roman"/>
          <w:sz w:val="24"/>
          <w:szCs w:val="24"/>
          <w:vertAlign w:val="superscript"/>
        </w:rPr>
        <w:t>1</w:t>
      </w:r>
      <w:r w:rsidRPr="00360C29">
        <w:rPr>
          <w:rFonts w:ascii="Times New Roman" w:hAnsi="Times New Roman" w:cs="Times New Roman"/>
          <w:sz w:val="24"/>
          <w:szCs w:val="24"/>
        </w:rPr>
        <w:t>, MD</w:t>
      </w:r>
    </w:p>
    <w:p w:rsidR="008F7A5B" w:rsidRPr="008F7A5B" w:rsidRDefault="008F7A5B" w:rsidP="008F7A5B">
      <w:pPr>
        <w:spacing w:after="0" w:line="240" w:lineRule="auto"/>
        <w:rPr>
          <w:rFonts w:ascii="Times New Roman" w:hAnsi="Times New Roman" w:cs="Times New Roman"/>
          <w:sz w:val="24"/>
          <w:szCs w:val="24"/>
        </w:rPr>
      </w:pPr>
    </w:p>
    <w:p w:rsidR="008F7A5B" w:rsidRPr="008F7A5B" w:rsidRDefault="008F7A5B" w:rsidP="008F7A5B">
      <w:pPr>
        <w:spacing w:after="0" w:line="240" w:lineRule="auto"/>
        <w:rPr>
          <w:rFonts w:ascii="Times New Roman" w:hAnsi="Times New Roman" w:cs="Times New Roman"/>
          <w:sz w:val="24"/>
          <w:szCs w:val="24"/>
        </w:rPr>
      </w:pPr>
      <w:r w:rsidRPr="008F7A5B">
        <w:rPr>
          <w:rFonts w:ascii="Times New Roman" w:hAnsi="Times New Roman" w:cs="Times New Roman"/>
          <w:b/>
          <w:sz w:val="24"/>
          <w:szCs w:val="24"/>
        </w:rPr>
        <w:t>Supplemental Methods and Results</w:t>
      </w:r>
    </w:p>
    <w:p w:rsidR="002C5818" w:rsidRDefault="002C5818">
      <w:pPr>
        <w:rPr>
          <w:rFonts w:ascii="Times New Roman" w:hAnsi="Times New Roman" w:cs="Times New Roman"/>
          <w:sz w:val="24"/>
          <w:szCs w:val="24"/>
        </w:rPr>
      </w:pPr>
    </w:p>
    <w:p w:rsidR="00C76367" w:rsidRPr="008F7A5B" w:rsidRDefault="00C76367">
      <w:pPr>
        <w:rPr>
          <w:rFonts w:ascii="Times New Roman" w:hAnsi="Times New Roman" w:cs="Times New Roman"/>
          <w:sz w:val="24"/>
          <w:szCs w:val="24"/>
        </w:rPr>
      </w:pPr>
      <w:r w:rsidRPr="00C76367">
        <w:rPr>
          <w:rFonts w:ascii="Times New Roman" w:hAnsi="Times New Roman" w:cs="Times New Roman"/>
          <w:sz w:val="24"/>
          <w:szCs w:val="24"/>
        </w:rPr>
        <w:t xml:space="preserve">Clinical Trial Registration: </w:t>
      </w:r>
      <w:r w:rsidR="003D7775" w:rsidRPr="003D7775">
        <w:rPr>
          <w:rFonts w:ascii="Times New Roman" w:hAnsi="Times New Roman" w:cs="Times New Roman"/>
          <w:sz w:val="24"/>
          <w:szCs w:val="24"/>
        </w:rPr>
        <w:t>NCT02944279</w:t>
      </w:r>
    </w:p>
    <w:p w:rsidR="00DC752D" w:rsidRPr="008F7A5B" w:rsidRDefault="00DC752D" w:rsidP="00DC752D">
      <w:pPr>
        <w:rPr>
          <w:rFonts w:ascii="Times New Roman" w:hAnsi="Times New Roman" w:cs="Times New Roman"/>
          <w:sz w:val="24"/>
          <w:szCs w:val="24"/>
        </w:rPr>
      </w:pPr>
      <w:r w:rsidRPr="008F7A5B">
        <w:rPr>
          <w:rFonts w:ascii="Times New Roman" w:hAnsi="Times New Roman" w:cs="Times New Roman"/>
          <w:sz w:val="24"/>
          <w:szCs w:val="24"/>
        </w:rPr>
        <w:t>Clinical data collection</w:t>
      </w:r>
    </w:p>
    <w:p w:rsidR="00DC752D" w:rsidRPr="008F7A5B" w:rsidRDefault="00DC752D" w:rsidP="00DC752D">
      <w:pPr>
        <w:rPr>
          <w:rFonts w:ascii="Times New Roman" w:hAnsi="Times New Roman" w:cs="Times New Roman"/>
          <w:sz w:val="24"/>
          <w:szCs w:val="24"/>
        </w:rPr>
      </w:pPr>
      <w:r w:rsidRPr="008F7A5B">
        <w:rPr>
          <w:rFonts w:ascii="Times New Roman" w:hAnsi="Times New Roman" w:cs="Times New Roman"/>
          <w:sz w:val="24"/>
          <w:szCs w:val="24"/>
        </w:rPr>
        <w:t>Data were retrieved from medical records including age, gender, race, height, weight, history of tobacco and alcohol use, medical history of ARDS, diabetes, and liver disease. Physical examination, vital signs, and laboratory test results in the first 24 hours after admission to ICU were collected to calculate the acute physiological and chronic health evaluation (APACHE II) score for severity of illness.</w:t>
      </w:r>
    </w:p>
    <w:p w:rsidR="00DC752D" w:rsidRPr="008F7A5B" w:rsidRDefault="00DC752D" w:rsidP="00DC752D">
      <w:pPr>
        <w:rPr>
          <w:rFonts w:ascii="Times New Roman" w:hAnsi="Times New Roman" w:cs="Times New Roman"/>
          <w:sz w:val="24"/>
          <w:szCs w:val="24"/>
        </w:rPr>
      </w:pPr>
      <w:r w:rsidRPr="008F7A5B">
        <w:rPr>
          <w:rFonts w:ascii="Times New Roman" w:hAnsi="Times New Roman" w:cs="Times New Roman"/>
          <w:sz w:val="24"/>
          <w:szCs w:val="24"/>
        </w:rPr>
        <w:t xml:space="preserve">Diagnosis of ARDS </w:t>
      </w:r>
    </w:p>
    <w:p w:rsidR="00DC752D" w:rsidRPr="008F7A5B" w:rsidRDefault="00DC752D" w:rsidP="00DC752D">
      <w:pPr>
        <w:rPr>
          <w:rFonts w:ascii="Times New Roman" w:hAnsi="Times New Roman" w:cs="Times New Roman"/>
          <w:sz w:val="24"/>
          <w:szCs w:val="24"/>
        </w:rPr>
      </w:pPr>
      <w:r w:rsidRPr="008F7A5B">
        <w:rPr>
          <w:rFonts w:ascii="Times New Roman" w:hAnsi="Times New Roman" w:cs="Times New Roman"/>
          <w:sz w:val="24"/>
          <w:szCs w:val="24"/>
        </w:rPr>
        <w:t xml:space="preserve">Two pulmonary and critical care physicians diagnosed ARDS according to the Berlin standard. Any disagreements between reviewers were resolved by consulting a third independent senior physician. </w:t>
      </w:r>
    </w:p>
    <w:p w:rsidR="00DC752D" w:rsidRPr="008F7A5B" w:rsidRDefault="00DC752D">
      <w:pPr>
        <w:rPr>
          <w:rFonts w:ascii="Times New Roman" w:hAnsi="Times New Roman" w:cs="Times New Roman"/>
          <w:sz w:val="24"/>
          <w:szCs w:val="24"/>
        </w:rPr>
      </w:pPr>
    </w:p>
    <w:p w:rsidR="00C1164C" w:rsidRDefault="00C1164C">
      <w:pPr>
        <w:rPr>
          <w:rFonts w:ascii="Times New Roman" w:hAnsi="Times New Roman" w:cs="Times New Roman"/>
          <w:sz w:val="24"/>
          <w:szCs w:val="24"/>
        </w:rPr>
      </w:pPr>
    </w:p>
    <w:p w:rsidR="008E6765" w:rsidRDefault="008E6765">
      <w:pPr>
        <w:rPr>
          <w:rFonts w:ascii="Times New Roman" w:hAnsi="Times New Roman" w:cs="Times New Roman"/>
          <w:sz w:val="24"/>
          <w:szCs w:val="24"/>
        </w:rPr>
      </w:pPr>
    </w:p>
    <w:p w:rsidR="008E6765" w:rsidRDefault="008E6765">
      <w:pPr>
        <w:rPr>
          <w:rFonts w:ascii="Times New Roman" w:hAnsi="Times New Roman" w:cs="Times New Roman"/>
          <w:sz w:val="24"/>
          <w:szCs w:val="24"/>
        </w:rPr>
      </w:pPr>
    </w:p>
    <w:p w:rsidR="008E6765" w:rsidRDefault="008E6765">
      <w:pPr>
        <w:rPr>
          <w:rFonts w:ascii="Times New Roman" w:hAnsi="Times New Roman" w:cs="Times New Roman"/>
          <w:sz w:val="24"/>
          <w:szCs w:val="24"/>
        </w:rPr>
      </w:pPr>
    </w:p>
    <w:p w:rsidR="008E6765" w:rsidRDefault="008E6765">
      <w:pPr>
        <w:rPr>
          <w:rFonts w:ascii="Times New Roman" w:hAnsi="Times New Roman" w:cs="Times New Roman"/>
          <w:sz w:val="24"/>
          <w:szCs w:val="24"/>
        </w:rPr>
      </w:pPr>
    </w:p>
    <w:p w:rsidR="008E6765" w:rsidRDefault="008E6765">
      <w:pPr>
        <w:rPr>
          <w:rFonts w:ascii="Times New Roman" w:hAnsi="Times New Roman" w:cs="Times New Roman"/>
          <w:sz w:val="24"/>
          <w:szCs w:val="24"/>
        </w:rPr>
      </w:pPr>
    </w:p>
    <w:p w:rsidR="008E6765" w:rsidRPr="008F7A5B" w:rsidRDefault="008E6765">
      <w:pPr>
        <w:rPr>
          <w:rFonts w:ascii="Times New Roman" w:hAnsi="Times New Roman" w:cs="Times New Roman"/>
          <w:sz w:val="24"/>
          <w:szCs w:val="24"/>
        </w:rPr>
      </w:pPr>
    </w:p>
    <w:p w:rsidR="00C1164C" w:rsidRDefault="00C1164C">
      <w:pPr>
        <w:rPr>
          <w:rFonts w:ascii="Times New Roman" w:hAnsi="Times New Roman" w:cs="Times New Roman"/>
          <w:sz w:val="24"/>
          <w:szCs w:val="24"/>
        </w:rPr>
      </w:pPr>
    </w:p>
    <w:p w:rsidR="00632355" w:rsidRPr="00C47B0A" w:rsidRDefault="00632355" w:rsidP="00632355">
      <w:pPr>
        <w:rPr>
          <w:rFonts w:ascii="Times New Roman" w:hAnsi="Times New Roman" w:cs="Times New Roman"/>
          <w:sz w:val="24"/>
          <w:szCs w:val="24"/>
        </w:rPr>
      </w:pPr>
      <w:r w:rsidRPr="00C47B0A">
        <w:rPr>
          <w:rFonts w:ascii="Times New Roman" w:hAnsi="Times New Roman" w:cs="Times New Roman"/>
          <w:sz w:val="24"/>
          <w:szCs w:val="24"/>
        </w:rPr>
        <w:lastRenderedPageBreak/>
        <w:t xml:space="preserve">Table S1. Association of plasma biomarker levels with ARDS mortality </w:t>
      </w:r>
    </w:p>
    <w:tbl>
      <w:tblPr>
        <w:tblW w:w="8656" w:type="dxa"/>
        <w:tblInd w:w="108" w:type="dxa"/>
        <w:tblLook w:val="04A0" w:firstRow="1" w:lastRow="0" w:firstColumn="1" w:lastColumn="0" w:noHBand="0" w:noVBand="1"/>
      </w:tblPr>
      <w:tblGrid>
        <w:gridCol w:w="1324"/>
        <w:gridCol w:w="2620"/>
        <w:gridCol w:w="1078"/>
        <w:gridCol w:w="2556"/>
        <w:gridCol w:w="1078"/>
      </w:tblGrid>
      <w:tr w:rsidR="00632355" w:rsidRPr="00C47B0A" w:rsidTr="00C47B0A">
        <w:trPr>
          <w:trHeight w:val="306"/>
        </w:trPr>
        <w:tc>
          <w:tcPr>
            <w:tcW w:w="1324" w:type="dxa"/>
            <w:vMerge w:val="restart"/>
            <w:tcBorders>
              <w:top w:val="single" w:sz="4" w:space="0" w:color="auto"/>
              <w:left w:val="nil"/>
              <w:bottom w:val="single" w:sz="4" w:space="0" w:color="000000"/>
              <w:right w:val="nil"/>
            </w:tcBorders>
            <w:shd w:val="clear" w:color="auto" w:fill="auto"/>
            <w:noWrap/>
            <w:vAlign w:val="center"/>
            <w:hideMark/>
          </w:tcPr>
          <w:p w:rsidR="00632355" w:rsidRPr="00C47B0A" w:rsidRDefault="00632355"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Biomarker</w:t>
            </w:r>
          </w:p>
        </w:tc>
        <w:tc>
          <w:tcPr>
            <w:tcW w:w="3698" w:type="dxa"/>
            <w:gridSpan w:val="2"/>
            <w:tcBorders>
              <w:top w:val="single" w:sz="4" w:space="0" w:color="auto"/>
              <w:left w:val="nil"/>
              <w:bottom w:val="single" w:sz="4" w:space="0" w:color="auto"/>
              <w:right w:val="nil"/>
            </w:tcBorders>
            <w:shd w:val="clear" w:color="auto" w:fill="auto"/>
            <w:noWrap/>
            <w:vAlign w:val="bottom"/>
            <w:hideMark/>
          </w:tcPr>
          <w:p w:rsidR="00632355" w:rsidRPr="00C47B0A" w:rsidRDefault="00632355"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28-day mortality</w:t>
            </w:r>
          </w:p>
        </w:tc>
        <w:tc>
          <w:tcPr>
            <w:tcW w:w="3634" w:type="dxa"/>
            <w:gridSpan w:val="2"/>
            <w:tcBorders>
              <w:top w:val="single" w:sz="4" w:space="0" w:color="auto"/>
              <w:left w:val="nil"/>
              <w:bottom w:val="single" w:sz="4" w:space="0" w:color="auto"/>
              <w:right w:val="nil"/>
            </w:tcBorders>
            <w:shd w:val="clear" w:color="auto" w:fill="auto"/>
            <w:noWrap/>
            <w:vAlign w:val="bottom"/>
            <w:hideMark/>
          </w:tcPr>
          <w:p w:rsidR="00632355" w:rsidRPr="00C47B0A" w:rsidRDefault="00632355"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60-day mortality</w:t>
            </w:r>
          </w:p>
        </w:tc>
      </w:tr>
      <w:tr w:rsidR="00632355" w:rsidRPr="00C47B0A" w:rsidTr="00C47B0A">
        <w:trPr>
          <w:trHeight w:val="306"/>
        </w:trPr>
        <w:tc>
          <w:tcPr>
            <w:tcW w:w="1324" w:type="dxa"/>
            <w:vMerge/>
            <w:tcBorders>
              <w:top w:val="nil"/>
              <w:left w:val="nil"/>
              <w:bottom w:val="single" w:sz="4" w:space="0" w:color="000000"/>
              <w:right w:val="nil"/>
            </w:tcBorders>
            <w:shd w:val="clear" w:color="auto" w:fill="auto"/>
            <w:vAlign w:val="center"/>
            <w:hideMark/>
          </w:tcPr>
          <w:p w:rsidR="00632355" w:rsidRPr="00C47B0A" w:rsidRDefault="00632355" w:rsidP="00893472">
            <w:pPr>
              <w:spacing w:after="0" w:line="240" w:lineRule="auto"/>
              <w:rPr>
                <w:rFonts w:ascii="Times New Roman" w:eastAsia="Times New Roman" w:hAnsi="Times New Roman" w:cs="Times New Roman"/>
                <w:color w:val="000000"/>
                <w:sz w:val="24"/>
                <w:szCs w:val="24"/>
                <w:lang w:eastAsia="en-US"/>
              </w:rPr>
            </w:pPr>
          </w:p>
        </w:tc>
        <w:tc>
          <w:tcPr>
            <w:tcW w:w="2620" w:type="dxa"/>
            <w:tcBorders>
              <w:top w:val="nil"/>
              <w:left w:val="nil"/>
              <w:bottom w:val="single" w:sz="4" w:space="0" w:color="auto"/>
              <w:right w:val="nil"/>
            </w:tcBorders>
            <w:shd w:val="clear" w:color="auto" w:fill="auto"/>
            <w:noWrap/>
            <w:vAlign w:val="bottom"/>
            <w:hideMark/>
          </w:tcPr>
          <w:p w:rsidR="00632355" w:rsidRPr="00C47B0A" w:rsidRDefault="00632355"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Hazard ratio</w:t>
            </w:r>
          </w:p>
        </w:tc>
        <w:tc>
          <w:tcPr>
            <w:tcW w:w="1078" w:type="dxa"/>
            <w:tcBorders>
              <w:top w:val="nil"/>
              <w:left w:val="nil"/>
              <w:bottom w:val="single" w:sz="4" w:space="0" w:color="auto"/>
              <w:right w:val="nil"/>
            </w:tcBorders>
            <w:shd w:val="clear" w:color="auto" w:fill="auto"/>
            <w:noWrap/>
            <w:vAlign w:val="bottom"/>
            <w:hideMark/>
          </w:tcPr>
          <w:p w:rsidR="00632355" w:rsidRPr="00C47B0A" w:rsidRDefault="00632355"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P</w:t>
            </w:r>
          </w:p>
        </w:tc>
        <w:tc>
          <w:tcPr>
            <w:tcW w:w="2556" w:type="dxa"/>
            <w:tcBorders>
              <w:top w:val="nil"/>
              <w:left w:val="nil"/>
              <w:bottom w:val="single" w:sz="4" w:space="0" w:color="auto"/>
              <w:right w:val="nil"/>
            </w:tcBorders>
            <w:shd w:val="clear" w:color="auto" w:fill="auto"/>
            <w:noWrap/>
            <w:vAlign w:val="bottom"/>
            <w:hideMark/>
          </w:tcPr>
          <w:p w:rsidR="00632355" w:rsidRPr="00C47B0A" w:rsidRDefault="00632355"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Hazard ratio</w:t>
            </w:r>
          </w:p>
        </w:tc>
        <w:tc>
          <w:tcPr>
            <w:tcW w:w="1078" w:type="dxa"/>
            <w:tcBorders>
              <w:top w:val="nil"/>
              <w:left w:val="nil"/>
              <w:bottom w:val="single" w:sz="4" w:space="0" w:color="auto"/>
              <w:right w:val="nil"/>
            </w:tcBorders>
            <w:shd w:val="clear" w:color="auto" w:fill="auto"/>
            <w:noWrap/>
            <w:vAlign w:val="bottom"/>
            <w:hideMark/>
          </w:tcPr>
          <w:p w:rsidR="00632355" w:rsidRPr="00C47B0A" w:rsidRDefault="00632355"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P</w:t>
            </w:r>
          </w:p>
        </w:tc>
      </w:tr>
      <w:tr w:rsidR="002D3CD7" w:rsidRPr="00C47B0A" w:rsidTr="00C47B0A">
        <w:trPr>
          <w:trHeight w:val="306"/>
        </w:trPr>
        <w:tc>
          <w:tcPr>
            <w:tcW w:w="1324" w:type="dxa"/>
            <w:tcBorders>
              <w:top w:val="nil"/>
              <w:left w:val="nil"/>
              <w:bottom w:val="nil"/>
              <w:right w:val="nil"/>
            </w:tcBorders>
            <w:shd w:val="clear" w:color="auto" w:fill="auto"/>
            <w:noWrap/>
            <w:vAlign w:val="bottom"/>
            <w:hideMark/>
          </w:tcPr>
          <w:p w:rsidR="002D3CD7" w:rsidRPr="00C47B0A" w:rsidRDefault="002D3CD7">
            <w:pPr>
              <w:spacing w:after="0" w:line="240" w:lineRule="auto"/>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HNE day 1</w:t>
            </w:r>
          </w:p>
        </w:tc>
        <w:tc>
          <w:tcPr>
            <w:tcW w:w="2620"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1.76</w:t>
            </w:r>
          </w:p>
        </w:tc>
        <w:tc>
          <w:tcPr>
            <w:tcW w:w="1078"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p&lt;0.001</w:t>
            </w:r>
          </w:p>
        </w:tc>
        <w:tc>
          <w:tcPr>
            <w:tcW w:w="2556"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1.76</w:t>
            </w:r>
          </w:p>
        </w:tc>
        <w:tc>
          <w:tcPr>
            <w:tcW w:w="1078"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0.002</w:t>
            </w:r>
          </w:p>
        </w:tc>
      </w:tr>
      <w:tr w:rsidR="002D3CD7" w:rsidRPr="00C47B0A" w:rsidTr="00C47B0A">
        <w:trPr>
          <w:trHeight w:val="306"/>
        </w:trPr>
        <w:tc>
          <w:tcPr>
            <w:tcW w:w="1324" w:type="dxa"/>
            <w:tcBorders>
              <w:top w:val="nil"/>
              <w:left w:val="nil"/>
              <w:bottom w:val="nil"/>
              <w:right w:val="nil"/>
            </w:tcBorders>
            <w:shd w:val="clear" w:color="auto" w:fill="auto"/>
            <w:noWrap/>
            <w:vAlign w:val="bottom"/>
            <w:hideMark/>
          </w:tcPr>
          <w:p w:rsidR="002D3CD7" w:rsidRPr="00C47B0A" w:rsidRDefault="002D3CD7">
            <w:pPr>
              <w:spacing w:after="0" w:line="240" w:lineRule="auto"/>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HNE day 3</w:t>
            </w:r>
          </w:p>
        </w:tc>
        <w:tc>
          <w:tcPr>
            <w:tcW w:w="2620"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1.58</w:t>
            </w:r>
          </w:p>
        </w:tc>
        <w:tc>
          <w:tcPr>
            <w:tcW w:w="1078"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0.08</w:t>
            </w:r>
          </w:p>
        </w:tc>
        <w:tc>
          <w:tcPr>
            <w:tcW w:w="2556"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1.58</w:t>
            </w:r>
          </w:p>
        </w:tc>
        <w:tc>
          <w:tcPr>
            <w:tcW w:w="1078"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0.06</w:t>
            </w:r>
          </w:p>
        </w:tc>
      </w:tr>
      <w:tr w:rsidR="002D3CD7" w:rsidRPr="00C47B0A" w:rsidTr="00C47B0A">
        <w:trPr>
          <w:trHeight w:val="306"/>
        </w:trPr>
        <w:tc>
          <w:tcPr>
            <w:tcW w:w="1324" w:type="dxa"/>
            <w:tcBorders>
              <w:top w:val="nil"/>
              <w:left w:val="nil"/>
              <w:bottom w:val="nil"/>
              <w:right w:val="nil"/>
            </w:tcBorders>
            <w:shd w:val="clear" w:color="auto" w:fill="auto"/>
            <w:noWrap/>
            <w:vAlign w:val="bottom"/>
            <w:hideMark/>
          </w:tcPr>
          <w:p w:rsidR="002D3CD7" w:rsidRPr="00C47B0A" w:rsidRDefault="002D3CD7">
            <w:pPr>
              <w:spacing w:after="0" w:line="240" w:lineRule="auto"/>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HNE day 7</w:t>
            </w:r>
          </w:p>
        </w:tc>
        <w:tc>
          <w:tcPr>
            <w:tcW w:w="2620"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1.70</w:t>
            </w:r>
          </w:p>
        </w:tc>
        <w:tc>
          <w:tcPr>
            <w:tcW w:w="1078"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0.006</w:t>
            </w:r>
          </w:p>
        </w:tc>
        <w:tc>
          <w:tcPr>
            <w:tcW w:w="2556"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1.70</w:t>
            </w:r>
          </w:p>
        </w:tc>
        <w:tc>
          <w:tcPr>
            <w:tcW w:w="1078" w:type="dxa"/>
            <w:tcBorders>
              <w:top w:val="nil"/>
              <w:left w:val="nil"/>
              <w:bottom w:val="nil"/>
              <w:right w:val="nil"/>
            </w:tcBorders>
            <w:shd w:val="clear" w:color="auto" w:fill="auto"/>
            <w:noWrap/>
            <w:vAlign w:val="bottom"/>
            <w:hideMark/>
          </w:tcPr>
          <w:p w:rsidR="002D3CD7" w:rsidRPr="00C47B0A" w:rsidRDefault="002D3CD7">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p&lt;0.001</w:t>
            </w:r>
          </w:p>
        </w:tc>
      </w:tr>
      <w:tr w:rsidR="00632355" w:rsidRPr="00C47B0A" w:rsidTr="00C47B0A">
        <w:trPr>
          <w:trHeight w:val="306"/>
        </w:trPr>
        <w:tc>
          <w:tcPr>
            <w:tcW w:w="1324" w:type="dxa"/>
            <w:tcBorders>
              <w:top w:val="nil"/>
              <w:left w:val="nil"/>
              <w:bottom w:val="nil"/>
              <w:right w:val="nil"/>
            </w:tcBorders>
            <w:shd w:val="clear" w:color="auto" w:fill="auto"/>
            <w:noWrap/>
            <w:vAlign w:val="bottom"/>
            <w:hideMark/>
          </w:tcPr>
          <w:p w:rsidR="00632355" w:rsidRPr="00C47B0A" w:rsidRDefault="00632355" w:rsidP="00893472">
            <w:pPr>
              <w:spacing w:after="0" w:line="240" w:lineRule="auto"/>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PI3 day 1</w:t>
            </w:r>
          </w:p>
        </w:tc>
        <w:tc>
          <w:tcPr>
            <w:tcW w:w="2620" w:type="dxa"/>
            <w:tcBorders>
              <w:top w:val="nil"/>
              <w:left w:val="nil"/>
              <w:bottom w:val="nil"/>
              <w:right w:val="nil"/>
            </w:tcBorders>
            <w:shd w:val="clear" w:color="auto" w:fill="auto"/>
            <w:noWrap/>
            <w:vAlign w:val="bottom"/>
            <w:hideMark/>
          </w:tcPr>
          <w:p w:rsidR="00632355" w:rsidRPr="00C47B0A" w:rsidRDefault="001454EF"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0.49</w:t>
            </w:r>
          </w:p>
        </w:tc>
        <w:tc>
          <w:tcPr>
            <w:tcW w:w="1078" w:type="dxa"/>
            <w:tcBorders>
              <w:top w:val="nil"/>
              <w:left w:val="nil"/>
              <w:bottom w:val="nil"/>
              <w:right w:val="nil"/>
            </w:tcBorders>
            <w:shd w:val="clear" w:color="auto" w:fill="auto"/>
            <w:noWrap/>
            <w:vAlign w:val="bottom"/>
            <w:hideMark/>
          </w:tcPr>
          <w:p w:rsidR="00632355" w:rsidRPr="00C47B0A" w:rsidRDefault="001454EF"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0.005</w:t>
            </w:r>
          </w:p>
        </w:tc>
        <w:tc>
          <w:tcPr>
            <w:tcW w:w="2556" w:type="dxa"/>
            <w:tcBorders>
              <w:top w:val="nil"/>
              <w:left w:val="nil"/>
              <w:bottom w:val="nil"/>
              <w:right w:val="nil"/>
            </w:tcBorders>
            <w:shd w:val="clear" w:color="auto" w:fill="auto"/>
            <w:noWrap/>
            <w:vAlign w:val="bottom"/>
            <w:hideMark/>
          </w:tcPr>
          <w:p w:rsidR="00632355" w:rsidRPr="00C47B0A" w:rsidRDefault="001454EF"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0.50</w:t>
            </w:r>
          </w:p>
        </w:tc>
        <w:tc>
          <w:tcPr>
            <w:tcW w:w="1078" w:type="dxa"/>
            <w:tcBorders>
              <w:top w:val="nil"/>
              <w:left w:val="nil"/>
              <w:bottom w:val="nil"/>
              <w:right w:val="nil"/>
            </w:tcBorders>
            <w:shd w:val="clear" w:color="auto" w:fill="auto"/>
            <w:noWrap/>
            <w:vAlign w:val="bottom"/>
            <w:hideMark/>
          </w:tcPr>
          <w:p w:rsidR="00632355" w:rsidRPr="00C47B0A" w:rsidRDefault="001454EF"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0.003</w:t>
            </w:r>
          </w:p>
        </w:tc>
      </w:tr>
      <w:tr w:rsidR="00632355" w:rsidRPr="00C47B0A" w:rsidTr="00C47B0A">
        <w:trPr>
          <w:trHeight w:val="306"/>
        </w:trPr>
        <w:tc>
          <w:tcPr>
            <w:tcW w:w="1324" w:type="dxa"/>
            <w:tcBorders>
              <w:top w:val="nil"/>
              <w:left w:val="nil"/>
              <w:bottom w:val="nil"/>
              <w:right w:val="nil"/>
            </w:tcBorders>
            <w:shd w:val="clear" w:color="auto" w:fill="auto"/>
            <w:noWrap/>
            <w:vAlign w:val="bottom"/>
            <w:hideMark/>
          </w:tcPr>
          <w:p w:rsidR="00632355" w:rsidRPr="00C47B0A" w:rsidRDefault="00632355" w:rsidP="00893472">
            <w:pPr>
              <w:spacing w:after="0" w:line="240" w:lineRule="auto"/>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PI3 day 3</w:t>
            </w:r>
          </w:p>
        </w:tc>
        <w:tc>
          <w:tcPr>
            <w:tcW w:w="2620" w:type="dxa"/>
            <w:tcBorders>
              <w:top w:val="nil"/>
              <w:left w:val="nil"/>
              <w:bottom w:val="nil"/>
              <w:right w:val="nil"/>
            </w:tcBorders>
            <w:shd w:val="clear" w:color="auto" w:fill="auto"/>
            <w:noWrap/>
            <w:vAlign w:val="bottom"/>
            <w:hideMark/>
          </w:tcPr>
          <w:p w:rsidR="00632355" w:rsidRPr="00C47B0A" w:rsidRDefault="001454EF"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0.43</w:t>
            </w:r>
          </w:p>
        </w:tc>
        <w:tc>
          <w:tcPr>
            <w:tcW w:w="1078" w:type="dxa"/>
            <w:tcBorders>
              <w:top w:val="nil"/>
              <w:left w:val="nil"/>
              <w:bottom w:val="nil"/>
              <w:right w:val="nil"/>
            </w:tcBorders>
            <w:shd w:val="clear" w:color="auto" w:fill="auto"/>
            <w:noWrap/>
            <w:vAlign w:val="bottom"/>
            <w:hideMark/>
          </w:tcPr>
          <w:p w:rsidR="00632355" w:rsidRPr="00C47B0A" w:rsidRDefault="00632355"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p&lt;0.001</w:t>
            </w:r>
          </w:p>
        </w:tc>
        <w:tc>
          <w:tcPr>
            <w:tcW w:w="2556" w:type="dxa"/>
            <w:tcBorders>
              <w:top w:val="nil"/>
              <w:left w:val="nil"/>
              <w:bottom w:val="nil"/>
              <w:right w:val="nil"/>
            </w:tcBorders>
            <w:shd w:val="clear" w:color="auto" w:fill="auto"/>
            <w:noWrap/>
            <w:vAlign w:val="bottom"/>
            <w:hideMark/>
          </w:tcPr>
          <w:p w:rsidR="00632355" w:rsidRPr="00C47B0A" w:rsidRDefault="001454EF"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0.43</w:t>
            </w:r>
          </w:p>
        </w:tc>
        <w:tc>
          <w:tcPr>
            <w:tcW w:w="1078" w:type="dxa"/>
            <w:tcBorders>
              <w:top w:val="nil"/>
              <w:left w:val="nil"/>
              <w:bottom w:val="nil"/>
              <w:right w:val="nil"/>
            </w:tcBorders>
            <w:shd w:val="clear" w:color="auto" w:fill="auto"/>
            <w:noWrap/>
            <w:vAlign w:val="bottom"/>
            <w:hideMark/>
          </w:tcPr>
          <w:p w:rsidR="00632355" w:rsidRPr="00C47B0A" w:rsidRDefault="00632355"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p&lt;0.001</w:t>
            </w:r>
          </w:p>
        </w:tc>
      </w:tr>
      <w:tr w:rsidR="00632355" w:rsidRPr="00C47B0A" w:rsidTr="00C47B0A">
        <w:trPr>
          <w:trHeight w:val="306"/>
        </w:trPr>
        <w:tc>
          <w:tcPr>
            <w:tcW w:w="1324" w:type="dxa"/>
            <w:tcBorders>
              <w:top w:val="nil"/>
              <w:left w:val="nil"/>
              <w:bottom w:val="single" w:sz="4" w:space="0" w:color="auto"/>
              <w:right w:val="nil"/>
            </w:tcBorders>
            <w:shd w:val="clear" w:color="auto" w:fill="auto"/>
            <w:noWrap/>
            <w:vAlign w:val="bottom"/>
            <w:hideMark/>
          </w:tcPr>
          <w:p w:rsidR="00632355" w:rsidRPr="00C47B0A" w:rsidRDefault="00632355" w:rsidP="00893472">
            <w:pPr>
              <w:spacing w:after="0" w:line="240" w:lineRule="auto"/>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PI3 day 7</w:t>
            </w:r>
          </w:p>
        </w:tc>
        <w:tc>
          <w:tcPr>
            <w:tcW w:w="2620" w:type="dxa"/>
            <w:tcBorders>
              <w:top w:val="nil"/>
              <w:left w:val="nil"/>
              <w:bottom w:val="single" w:sz="4" w:space="0" w:color="auto"/>
              <w:right w:val="nil"/>
            </w:tcBorders>
            <w:shd w:val="clear" w:color="auto" w:fill="auto"/>
            <w:noWrap/>
            <w:vAlign w:val="bottom"/>
            <w:hideMark/>
          </w:tcPr>
          <w:p w:rsidR="00632355" w:rsidRPr="00C47B0A" w:rsidRDefault="001454EF"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0.64</w:t>
            </w:r>
          </w:p>
        </w:tc>
        <w:tc>
          <w:tcPr>
            <w:tcW w:w="1078" w:type="dxa"/>
            <w:tcBorders>
              <w:top w:val="nil"/>
              <w:left w:val="nil"/>
              <w:bottom w:val="single" w:sz="4" w:space="0" w:color="auto"/>
              <w:right w:val="nil"/>
            </w:tcBorders>
            <w:shd w:val="clear" w:color="auto" w:fill="auto"/>
            <w:noWrap/>
            <w:vAlign w:val="bottom"/>
            <w:hideMark/>
          </w:tcPr>
          <w:p w:rsidR="00632355" w:rsidRPr="00C47B0A" w:rsidRDefault="001454EF"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0.12</w:t>
            </w:r>
          </w:p>
        </w:tc>
        <w:tc>
          <w:tcPr>
            <w:tcW w:w="2556" w:type="dxa"/>
            <w:tcBorders>
              <w:top w:val="nil"/>
              <w:left w:val="nil"/>
              <w:bottom w:val="single" w:sz="4" w:space="0" w:color="auto"/>
              <w:right w:val="nil"/>
            </w:tcBorders>
            <w:shd w:val="clear" w:color="auto" w:fill="auto"/>
            <w:noWrap/>
            <w:vAlign w:val="bottom"/>
            <w:hideMark/>
          </w:tcPr>
          <w:p w:rsidR="00632355" w:rsidRPr="00C47B0A" w:rsidRDefault="001454EF"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0.70</w:t>
            </w:r>
          </w:p>
        </w:tc>
        <w:tc>
          <w:tcPr>
            <w:tcW w:w="1078" w:type="dxa"/>
            <w:tcBorders>
              <w:top w:val="nil"/>
              <w:left w:val="nil"/>
              <w:bottom w:val="single" w:sz="4" w:space="0" w:color="auto"/>
              <w:right w:val="nil"/>
            </w:tcBorders>
            <w:shd w:val="clear" w:color="auto" w:fill="auto"/>
            <w:noWrap/>
            <w:vAlign w:val="bottom"/>
            <w:hideMark/>
          </w:tcPr>
          <w:p w:rsidR="00632355" w:rsidRPr="00C47B0A" w:rsidRDefault="001454EF" w:rsidP="00893472">
            <w:pPr>
              <w:spacing w:after="0" w:line="240" w:lineRule="auto"/>
              <w:jc w:val="center"/>
              <w:rPr>
                <w:rFonts w:ascii="Times New Roman" w:eastAsia="Times New Roman" w:hAnsi="Times New Roman" w:cs="Times New Roman"/>
                <w:color w:val="000000"/>
                <w:sz w:val="24"/>
                <w:szCs w:val="24"/>
                <w:lang w:eastAsia="en-US"/>
              </w:rPr>
            </w:pPr>
            <w:r w:rsidRPr="00C47B0A">
              <w:rPr>
                <w:rFonts w:ascii="Times New Roman" w:eastAsia="Times New Roman" w:hAnsi="Times New Roman" w:cs="Times New Roman"/>
                <w:color w:val="000000"/>
                <w:sz w:val="24"/>
                <w:szCs w:val="24"/>
                <w:lang w:eastAsia="en-US"/>
              </w:rPr>
              <w:t>0.18</w:t>
            </w:r>
          </w:p>
        </w:tc>
      </w:tr>
    </w:tbl>
    <w:p w:rsidR="00632355" w:rsidRPr="00C47B0A" w:rsidRDefault="00632355" w:rsidP="00632355">
      <w:pPr>
        <w:rPr>
          <w:rFonts w:ascii="Times New Roman" w:hAnsi="Times New Roman" w:cs="Times New Roman"/>
          <w:sz w:val="24"/>
          <w:szCs w:val="24"/>
        </w:rPr>
      </w:pPr>
    </w:p>
    <w:p w:rsidR="00632355" w:rsidRPr="00C47B0A" w:rsidRDefault="00632355" w:rsidP="00632355">
      <w:pPr>
        <w:rPr>
          <w:rFonts w:ascii="Times New Roman" w:hAnsi="Times New Roman" w:cs="Times New Roman"/>
          <w:sz w:val="24"/>
          <w:szCs w:val="24"/>
        </w:rPr>
      </w:pPr>
      <w:r w:rsidRPr="00C47B0A">
        <w:rPr>
          <w:rFonts w:ascii="Times New Roman" w:hAnsi="Times New Roman" w:cs="Times New Roman"/>
          <w:sz w:val="24"/>
          <w:szCs w:val="24"/>
        </w:rPr>
        <w:t xml:space="preserve">Cox regression model adjusted age, gender, APACHE </w:t>
      </w:r>
      <w:proofErr w:type="gramStart"/>
      <w:r w:rsidR="001454EF" w:rsidRPr="00C47B0A">
        <w:rPr>
          <w:rFonts w:ascii="Times New Roman" w:hAnsi="Times New Roman" w:cs="Times New Roman"/>
          <w:sz w:val="24"/>
          <w:szCs w:val="24"/>
        </w:rPr>
        <w:t>II,</w:t>
      </w:r>
      <w:proofErr w:type="gramEnd"/>
      <w:r w:rsidR="001454EF" w:rsidRPr="00C47B0A">
        <w:rPr>
          <w:rFonts w:ascii="Times New Roman" w:hAnsi="Times New Roman" w:cs="Times New Roman"/>
          <w:sz w:val="24"/>
          <w:szCs w:val="24"/>
        </w:rPr>
        <w:t xml:space="preserve"> </w:t>
      </w:r>
      <w:r w:rsidR="002D3CD7" w:rsidRPr="00C47B0A">
        <w:rPr>
          <w:rFonts w:ascii="Times New Roman" w:hAnsi="Times New Roman" w:cs="Times New Roman"/>
          <w:sz w:val="24"/>
          <w:szCs w:val="24"/>
        </w:rPr>
        <w:t>PI3 concentration level (ng/ml) was converted to natural log scale for hazard ratio calculation to approximate a normal distribution</w:t>
      </w:r>
      <w:r w:rsidR="001454EF" w:rsidRPr="00C47B0A">
        <w:rPr>
          <w:rFonts w:ascii="Times New Roman" w:hAnsi="Times New Roman" w:cs="Times New Roman"/>
          <w:sz w:val="24"/>
          <w:szCs w:val="24"/>
        </w:rPr>
        <w:t>.</w:t>
      </w:r>
    </w:p>
    <w:p w:rsidR="00632355" w:rsidRDefault="00632355">
      <w:pPr>
        <w:rPr>
          <w:rFonts w:ascii="Times New Roman" w:hAnsi="Times New Roman" w:cs="Times New Roman"/>
          <w:sz w:val="24"/>
          <w:szCs w:val="24"/>
        </w:rPr>
      </w:pPr>
    </w:p>
    <w:p w:rsidR="009152A2" w:rsidRDefault="009152A2">
      <w:pPr>
        <w:rPr>
          <w:rFonts w:ascii="Times New Roman" w:hAnsi="Times New Roman" w:cs="Times New Roman"/>
          <w:sz w:val="24"/>
          <w:szCs w:val="24"/>
        </w:rPr>
      </w:pPr>
    </w:p>
    <w:p w:rsidR="009152A2" w:rsidRDefault="00CE58C2">
      <w:pPr>
        <w:rPr>
          <w:rFonts w:ascii="Times New Roman" w:hAnsi="Times New Roman" w:cs="Times New Roman"/>
          <w:sz w:val="24"/>
          <w:szCs w:val="24"/>
        </w:rPr>
      </w:pPr>
      <w:r>
        <w:rPr>
          <w:rFonts w:ascii="Times New Roman" w:hAnsi="Times New Roman" w:cs="Times New Roman"/>
          <w:sz w:val="24"/>
          <w:szCs w:val="24"/>
        </w:rPr>
        <w:t>Table S2. Comparison of models for predicting ARDS mortality using single conventional clinical criteria, single biomarkers, combined conventional cl</w:t>
      </w:r>
      <w:r w:rsidR="00C23660">
        <w:rPr>
          <w:rFonts w:ascii="Times New Roman" w:hAnsi="Times New Roman" w:cs="Times New Roman"/>
          <w:sz w:val="24"/>
          <w:szCs w:val="24"/>
        </w:rPr>
        <w:t>inical criteria with biomarkers</w:t>
      </w:r>
    </w:p>
    <w:tbl>
      <w:tblPr>
        <w:tblW w:w="8194" w:type="dxa"/>
        <w:tblInd w:w="93" w:type="dxa"/>
        <w:tblLook w:val="04A0" w:firstRow="1" w:lastRow="0" w:firstColumn="1" w:lastColumn="0" w:noHBand="0" w:noVBand="1"/>
      </w:tblPr>
      <w:tblGrid>
        <w:gridCol w:w="3800"/>
        <w:gridCol w:w="2197"/>
        <w:gridCol w:w="2197"/>
      </w:tblGrid>
      <w:tr w:rsidR="00E36606" w:rsidRPr="00E36606" w:rsidTr="00E36606">
        <w:trPr>
          <w:trHeight w:val="287"/>
        </w:trPr>
        <w:tc>
          <w:tcPr>
            <w:tcW w:w="3800" w:type="dxa"/>
            <w:vMerge w:val="restart"/>
            <w:tcBorders>
              <w:top w:val="single" w:sz="4" w:space="0" w:color="auto"/>
              <w:left w:val="nil"/>
              <w:bottom w:val="single" w:sz="4" w:space="0" w:color="000000"/>
              <w:right w:val="nil"/>
            </w:tcBorders>
            <w:shd w:val="clear" w:color="auto" w:fill="auto"/>
            <w:noWrap/>
            <w:vAlign w:val="center"/>
            <w:hideMark/>
          </w:tcPr>
          <w:p w:rsidR="00E36606" w:rsidRPr="00E36606" w:rsidRDefault="00E36606" w:rsidP="00E36606">
            <w:pPr>
              <w:spacing w:after="0" w:line="240" w:lineRule="auto"/>
              <w:jc w:val="center"/>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Models</w:t>
            </w:r>
          </w:p>
        </w:tc>
        <w:tc>
          <w:tcPr>
            <w:tcW w:w="2197" w:type="dxa"/>
            <w:tcBorders>
              <w:top w:val="single" w:sz="4" w:space="0" w:color="auto"/>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28-day mortality</w:t>
            </w:r>
          </w:p>
        </w:tc>
        <w:tc>
          <w:tcPr>
            <w:tcW w:w="2197" w:type="dxa"/>
            <w:tcBorders>
              <w:top w:val="single" w:sz="4" w:space="0" w:color="auto"/>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60-day mortality</w:t>
            </w:r>
          </w:p>
        </w:tc>
      </w:tr>
      <w:tr w:rsidR="00E36606" w:rsidRPr="00E36606" w:rsidTr="00E36606">
        <w:trPr>
          <w:trHeight w:val="287"/>
        </w:trPr>
        <w:tc>
          <w:tcPr>
            <w:tcW w:w="3800" w:type="dxa"/>
            <w:vMerge/>
            <w:tcBorders>
              <w:top w:val="single" w:sz="4" w:space="0" w:color="auto"/>
              <w:left w:val="nil"/>
              <w:bottom w:val="single" w:sz="4" w:space="0" w:color="000000"/>
              <w:right w:val="nil"/>
            </w:tcBorders>
            <w:vAlign w:val="center"/>
            <w:hideMark/>
          </w:tcPr>
          <w:p w:rsidR="00E36606" w:rsidRPr="00E36606" w:rsidRDefault="00E36606" w:rsidP="00E36606">
            <w:pPr>
              <w:spacing w:after="0" w:line="240" w:lineRule="auto"/>
              <w:rPr>
                <w:rFonts w:ascii="Calibri" w:eastAsia="Times New Roman" w:hAnsi="Calibri" w:cs="Times New Roman"/>
                <w:color w:val="000000"/>
                <w:sz w:val="26"/>
                <w:szCs w:val="26"/>
              </w:rPr>
            </w:pPr>
          </w:p>
        </w:tc>
        <w:tc>
          <w:tcPr>
            <w:tcW w:w="2197" w:type="dxa"/>
            <w:tcBorders>
              <w:top w:val="nil"/>
              <w:left w:val="nil"/>
              <w:bottom w:val="single" w:sz="4" w:space="0" w:color="auto"/>
              <w:right w:val="nil"/>
            </w:tcBorders>
            <w:shd w:val="clear" w:color="auto" w:fill="auto"/>
            <w:noWrap/>
            <w:vAlign w:val="bottom"/>
            <w:hideMark/>
          </w:tcPr>
          <w:p w:rsidR="00E36606" w:rsidRPr="00E36606" w:rsidRDefault="00E36606" w:rsidP="00E36606">
            <w:pPr>
              <w:spacing w:after="0" w:line="240" w:lineRule="auto"/>
              <w:jc w:val="center"/>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AUC (95% CI)</w:t>
            </w:r>
          </w:p>
        </w:tc>
        <w:tc>
          <w:tcPr>
            <w:tcW w:w="2197" w:type="dxa"/>
            <w:tcBorders>
              <w:top w:val="nil"/>
              <w:left w:val="nil"/>
              <w:bottom w:val="single" w:sz="4" w:space="0" w:color="auto"/>
              <w:right w:val="nil"/>
            </w:tcBorders>
            <w:shd w:val="clear" w:color="auto" w:fill="auto"/>
            <w:noWrap/>
            <w:vAlign w:val="bottom"/>
            <w:hideMark/>
          </w:tcPr>
          <w:p w:rsidR="00E36606" w:rsidRPr="00E36606" w:rsidRDefault="00E36606" w:rsidP="00E36606">
            <w:pPr>
              <w:spacing w:after="0" w:line="240" w:lineRule="auto"/>
              <w:jc w:val="center"/>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AUC (95% CI)</w:t>
            </w:r>
          </w:p>
        </w:tc>
      </w:tr>
      <w:tr w:rsidR="00E36606" w:rsidRPr="00E36606" w:rsidTr="00E36606">
        <w:trPr>
          <w:trHeight w:val="287"/>
        </w:trPr>
        <w:tc>
          <w:tcPr>
            <w:tcW w:w="3800"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APACHE II</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0.60 (0.52-0.69)</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0.59 (0.50-0.68)</w:t>
            </w:r>
          </w:p>
        </w:tc>
      </w:tr>
      <w:tr w:rsidR="00E36606" w:rsidRPr="00E36606" w:rsidTr="00E36606">
        <w:trPr>
          <w:trHeight w:val="287"/>
        </w:trPr>
        <w:tc>
          <w:tcPr>
            <w:tcW w:w="3800"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Berlin categories</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0.61 (0.53-0.68)</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0.58 (0.50-0.65)</w:t>
            </w:r>
          </w:p>
        </w:tc>
      </w:tr>
      <w:tr w:rsidR="00E36606" w:rsidRPr="00E36606" w:rsidTr="00E36606">
        <w:trPr>
          <w:trHeight w:val="287"/>
        </w:trPr>
        <w:tc>
          <w:tcPr>
            <w:tcW w:w="3800"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Pao2/Fio2</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0.66 (0.57-0.74)</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0.62 (0.53-0.71)</w:t>
            </w:r>
          </w:p>
        </w:tc>
      </w:tr>
      <w:tr w:rsidR="00E36606" w:rsidRPr="00E36606" w:rsidTr="00E36606">
        <w:trPr>
          <w:trHeight w:val="287"/>
        </w:trPr>
        <w:tc>
          <w:tcPr>
            <w:tcW w:w="3800"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HNE</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0.59 (0.50-0.68)</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0.58 (0.49-0.68)</w:t>
            </w:r>
          </w:p>
        </w:tc>
      </w:tr>
      <w:tr w:rsidR="00E36606" w:rsidRPr="00E36606" w:rsidTr="00E36606">
        <w:trPr>
          <w:trHeight w:val="287"/>
        </w:trPr>
        <w:tc>
          <w:tcPr>
            <w:tcW w:w="3800"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PI3</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0.67 (0.59-0.75)</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0.66 (0.58-0.74)</w:t>
            </w:r>
          </w:p>
        </w:tc>
      </w:tr>
      <w:tr w:rsidR="00E36606" w:rsidRPr="00E36606" w:rsidTr="00E36606">
        <w:trPr>
          <w:trHeight w:val="287"/>
        </w:trPr>
        <w:tc>
          <w:tcPr>
            <w:tcW w:w="3800"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HNE+PI3</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0.76 (0.69-0.83)</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0.74 (0.67-0.82)</w:t>
            </w:r>
          </w:p>
        </w:tc>
      </w:tr>
      <w:tr w:rsidR="00E36606" w:rsidRPr="00E36606" w:rsidTr="00E36606">
        <w:trPr>
          <w:trHeight w:val="287"/>
        </w:trPr>
        <w:tc>
          <w:tcPr>
            <w:tcW w:w="3800"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HNE+PI3+APACHE II</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0.80 (0.73-0.87)</w:t>
            </w:r>
          </w:p>
        </w:tc>
        <w:tc>
          <w:tcPr>
            <w:tcW w:w="2197" w:type="dxa"/>
            <w:tcBorders>
              <w:top w:val="nil"/>
              <w:left w:val="nil"/>
              <w:bottom w:val="nil"/>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0.78 (0.71-0.85)</w:t>
            </w:r>
          </w:p>
        </w:tc>
      </w:tr>
      <w:tr w:rsidR="00E36606" w:rsidRPr="00E36606" w:rsidTr="00E36606">
        <w:trPr>
          <w:trHeight w:val="287"/>
        </w:trPr>
        <w:tc>
          <w:tcPr>
            <w:tcW w:w="3800" w:type="dxa"/>
            <w:tcBorders>
              <w:top w:val="nil"/>
              <w:left w:val="nil"/>
              <w:bottom w:val="single" w:sz="4" w:space="0" w:color="auto"/>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 xml:space="preserve">HNE+PI3+APACHE </w:t>
            </w:r>
            <w:proofErr w:type="spellStart"/>
            <w:r w:rsidRPr="00E36606">
              <w:rPr>
                <w:rFonts w:ascii="Calibri" w:eastAsia="Times New Roman" w:hAnsi="Calibri" w:cs="Times New Roman"/>
                <w:color w:val="000000"/>
                <w:sz w:val="26"/>
                <w:szCs w:val="26"/>
              </w:rPr>
              <w:t>II+Berlin</w:t>
            </w:r>
            <w:proofErr w:type="spellEnd"/>
          </w:p>
        </w:tc>
        <w:tc>
          <w:tcPr>
            <w:tcW w:w="2197" w:type="dxa"/>
            <w:tcBorders>
              <w:top w:val="nil"/>
              <w:left w:val="nil"/>
              <w:bottom w:val="single" w:sz="4" w:space="0" w:color="auto"/>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0.81 (0.74-0.88)</w:t>
            </w:r>
          </w:p>
        </w:tc>
        <w:tc>
          <w:tcPr>
            <w:tcW w:w="2197" w:type="dxa"/>
            <w:tcBorders>
              <w:top w:val="nil"/>
              <w:left w:val="nil"/>
              <w:bottom w:val="single" w:sz="4" w:space="0" w:color="auto"/>
              <w:right w:val="nil"/>
            </w:tcBorders>
            <w:shd w:val="clear" w:color="auto" w:fill="auto"/>
            <w:noWrap/>
            <w:vAlign w:val="bottom"/>
            <w:hideMark/>
          </w:tcPr>
          <w:p w:rsidR="00E36606" w:rsidRPr="00E36606" w:rsidRDefault="00E36606" w:rsidP="00E36606">
            <w:pPr>
              <w:spacing w:after="0" w:line="240" w:lineRule="auto"/>
              <w:rPr>
                <w:rFonts w:ascii="Calibri" w:eastAsia="Times New Roman" w:hAnsi="Calibri" w:cs="Times New Roman"/>
                <w:color w:val="000000"/>
                <w:sz w:val="26"/>
                <w:szCs w:val="26"/>
              </w:rPr>
            </w:pPr>
            <w:r w:rsidRPr="00E36606">
              <w:rPr>
                <w:rFonts w:ascii="Calibri" w:eastAsia="Times New Roman" w:hAnsi="Calibri" w:cs="Times New Roman"/>
                <w:color w:val="000000"/>
                <w:sz w:val="26"/>
                <w:szCs w:val="26"/>
              </w:rPr>
              <w:t>0.79 (0.71-0.86)</w:t>
            </w:r>
          </w:p>
        </w:tc>
      </w:tr>
    </w:tbl>
    <w:p w:rsidR="00CE58C2" w:rsidRDefault="00CE58C2" w:rsidP="00CE58C2">
      <w:pPr>
        <w:spacing w:after="0" w:line="240" w:lineRule="auto"/>
        <w:rPr>
          <w:rFonts w:ascii="Times New Roman" w:hAnsi="Times New Roman" w:cs="Times New Roman"/>
          <w:sz w:val="24"/>
          <w:szCs w:val="24"/>
        </w:rPr>
      </w:pPr>
    </w:p>
    <w:p w:rsidR="00CE58C2" w:rsidRPr="00CE58C2" w:rsidRDefault="00CE58C2" w:rsidP="00CE58C2">
      <w:pPr>
        <w:spacing w:after="0" w:line="240" w:lineRule="auto"/>
        <w:rPr>
          <w:rFonts w:ascii="Times New Roman" w:hAnsi="Times New Roman" w:cs="Times New Roman"/>
          <w:sz w:val="24"/>
          <w:szCs w:val="24"/>
        </w:rPr>
      </w:pPr>
      <w:r w:rsidRPr="00CE58C2">
        <w:rPr>
          <w:rFonts w:ascii="Times New Roman" w:hAnsi="Times New Roman" w:cs="Times New Roman"/>
          <w:sz w:val="24"/>
          <w:szCs w:val="24"/>
        </w:rPr>
        <w:t xml:space="preserve">Abbreviations: AUC, area under the curve; </w:t>
      </w:r>
      <w:r>
        <w:rPr>
          <w:rFonts w:ascii="Times New Roman" w:hAnsi="Times New Roman" w:cs="Times New Roman"/>
          <w:sz w:val="24"/>
          <w:szCs w:val="24"/>
        </w:rPr>
        <w:t xml:space="preserve">CI, confidence interval; </w:t>
      </w:r>
      <w:r w:rsidRPr="00CE58C2">
        <w:rPr>
          <w:rFonts w:ascii="Times New Roman" w:hAnsi="Times New Roman" w:cs="Times New Roman"/>
          <w:sz w:val="24"/>
          <w:szCs w:val="24"/>
        </w:rPr>
        <w:t>Berlin stands for Berlin (PaO</w:t>
      </w:r>
      <w:r w:rsidRPr="00CE58C2">
        <w:rPr>
          <w:rFonts w:ascii="Times New Roman" w:hAnsi="Times New Roman" w:cs="Times New Roman"/>
          <w:sz w:val="24"/>
          <w:szCs w:val="24"/>
          <w:vertAlign w:val="subscript"/>
        </w:rPr>
        <w:t>2</w:t>
      </w:r>
      <w:r w:rsidRPr="00CE58C2">
        <w:rPr>
          <w:rFonts w:ascii="Times New Roman" w:hAnsi="Times New Roman" w:cs="Times New Roman"/>
          <w:sz w:val="24"/>
          <w:szCs w:val="24"/>
        </w:rPr>
        <w:t>/FIO</w:t>
      </w:r>
      <w:r w:rsidRPr="00CE58C2">
        <w:rPr>
          <w:rFonts w:ascii="Times New Roman" w:hAnsi="Times New Roman" w:cs="Times New Roman"/>
          <w:sz w:val="24"/>
          <w:szCs w:val="24"/>
          <w:vertAlign w:val="subscript"/>
        </w:rPr>
        <w:t>2</w:t>
      </w:r>
      <w:r w:rsidRPr="00CE58C2">
        <w:rPr>
          <w:rFonts w:ascii="Times New Roman" w:hAnsi="Times New Roman" w:cs="Times New Roman"/>
          <w:sz w:val="24"/>
          <w:szCs w:val="24"/>
        </w:rPr>
        <w:t xml:space="preserve">) categories, </w:t>
      </w:r>
      <w:r>
        <w:rPr>
          <w:rFonts w:ascii="Times New Roman" w:hAnsi="Times New Roman" w:cs="Times New Roman"/>
          <w:sz w:val="24"/>
          <w:szCs w:val="24"/>
        </w:rPr>
        <w:t>d</w:t>
      </w:r>
      <w:r w:rsidRPr="00CE58C2">
        <w:rPr>
          <w:rFonts w:ascii="Times New Roman" w:hAnsi="Times New Roman" w:cs="Times New Roman"/>
          <w:sz w:val="24"/>
          <w:szCs w:val="24"/>
        </w:rPr>
        <w:t xml:space="preserve">ay 1 levels HNE and PI3 </w:t>
      </w:r>
      <w:r>
        <w:rPr>
          <w:rFonts w:ascii="Times New Roman" w:hAnsi="Times New Roman" w:cs="Times New Roman"/>
          <w:sz w:val="24"/>
          <w:szCs w:val="24"/>
        </w:rPr>
        <w:t>were used to calculate discriminative prognostic performance.</w:t>
      </w:r>
    </w:p>
    <w:p w:rsidR="009152A2" w:rsidRDefault="009152A2">
      <w:pPr>
        <w:rPr>
          <w:rFonts w:ascii="Times New Roman" w:hAnsi="Times New Roman" w:cs="Times New Roman"/>
          <w:sz w:val="24"/>
          <w:szCs w:val="24"/>
        </w:rPr>
      </w:pPr>
    </w:p>
    <w:p w:rsidR="009152A2" w:rsidRDefault="009152A2">
      <w:pPr>
        <w:rPr>
          <w:rFonts w:ascii="Times New Roman" w:hAnsi="Times New Roman" w:cs="Times New Roman"/>
          <w:sz w:val="24"/>
          <w:szCs w:val="24"/>
        </w:rPr>
      </w:pPr>
    </w:p>
    <w:p w:rsidR="009152A2" w:rsidRDefault="009152A2">
      <w:pPr>
        <w:rPr>
          <w:rFonts w:ascii="Times New Roman" w:hAnsi="Times New Roman" w:cs="Times New Roman"/>
          <w:sz w:val="24"/>
          <w:szCs w:val="24"/>
        </w:rPr>
      </w:pPr>
    </w:p>
    <w:p w:rsidR="009152A2" w:rsidRDefault="009152A2">
      <w:pPr>
        <w:rPr>
          <w:rFonts w:ascii="Times New Roman" w:hAnsi="Times New Roman" w:cs="Times New Roman"/>
          <w:sz w:val="24"/>
          <w:szCs w:val="24"/>
        </w:rPr>
      </w:pPr>
    </w:p>
    <w:p w:rsidR="009152A2" w:rsidRDefault="009152A2">
      <w:pPr>
        <w:rPr>
          <w:rFonts w:ascii="Times New Roman" w:hAnsi="Times New Roman" w:cs="Times New Roman"/>
          <w:sz w:val="24"/>
          <w:szCs w:val="24"/>
        </w:rPr>
      </w:pPr>
    </w:p>
    <w:p w:rsidR="009152A2" w:rsidRDefault="009152A2" w:rsidP="009152A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5CA7BC" wp14:editId="3C9BBCC0">
            <wp:extent cx="2941093" cy="1699146"/>
            <wp:effectExtent l="0" t="0" r="0" b="0"/>
            <wp:docPr id="1" name="Picture 1" descr="C:\Users\ZZHU\Dropbox\BJBIG\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HU\Dropbox\BJBIG\norm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8398" cy="1703366"/>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D156B08" wp14:editId="59B7C754">
            <wp:extent cx="2975212" cy="1699146"/>
            <wp:effectExtent l="0" t="0" r="0" b="0"/>
            <wp:docPr id="7" name="Picture 7" descr="C:\Users\ZZHU\Dropbox\BJBIG\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ZHU\Dropbox\BJBIG\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7630" cy="1700527"/>
                    </a:xfrm>
                    <a:prstGeom prst="rect">
                      <a:avLst/>
                    </a:prstGeom>
                    <a:noFill/>
                    <a:ln>
                      <a:noFill/>
                    </a:ln>
                  </pic:spPr>
                </pic:pic>
              </a:graphicData>
            </a:graphic>
          </wp:inline>
        </w:drawing>
      </w:r>
    </w:p>
    <w:p w:rsidR="009152A2" w:rsidRDefault="009152A2">
      <w:pP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p>
    <w:p w:rsidR="00C1164C" w:rsidRPr="008F7A5B" w:rsidRDefault="002B2C1E">
      <w:pPr>
        <w:rPr>
          <w:rFonts w:ascii="Times New Roman" w:hAnsi="Times New Roman" w:cs="Times New Roman"/>
          <w:sz w:val="24"/>
          <w:szCs w:val="24"/>
        </w:rPr>
      </w:pPr>
      <w:r>
        <w:rPr>
          <w:rFonts w:ascii="Times New Roman" w:hAnsi="Times New Roman" w:cs="Times New Roman"/>
          <w:sz w:val="24"/>
          <w:szCs w:val="24"/>
        </w:rPr>
        <w:t xml:space="preserve">Figure S1. </w:t>
      </w:r>
      <w:r w:rsidR="009152A2">
        <w:rPr>
          <w:rFonts w:ascii="Times New Roman" w:hAnsi="Times New Roman" w:cs="Times New Roman"/>
          <w:sz w:val="24"/>
          <w:szCs w:val="24"/>
        </w:rPr>
        <w:t>N</w:t>
      </w:r>
      <w:r>
        <w:rPr>
          <w:rFonts w:ascii="Times New Roman" w:hAnsi="Times New Roman" w:cs="Times New Roman"/>
          <w:sz w:val="24"/>
          <w:szCs w:val="24"/>
        </w:rPr>
        <w:t>ormal lung</w:t>
      </w:r>
      <w:r w:rsidR="009152A2">
        <w:rPr>
          <w:rFonts w:ascii="Times New Roman" w:hAnsi="Times New Roman" w:cs="Times New Roman"/>
          <w:sz w:val="24"/>
          <w:szCs w:val="24"/>
        </w:rPr>
        <w:t xml:space="preserve"> (A)</w:t>
      </w:r>
      <w:r w:rsidR="006738B1">
        <w:rPr>
          <w:rFonts w:ascii="Times New Roman" w:hAnsi="Times New Roman" w:cs="Times New Roman"/>
          <w:sz w:val="24"/>
          <w:szCs w:val="24"/>
        </w:rPr>
        <w:t xml:space="preserve"> </w:t>
      </w:r>
      <w:r w:rsidR="009152A2">
        <w:rPr>
          <w:rFonts w:ascii="Times New Roman" w:hAnsi="Times New Roman" w:cs="Times New Roman"/>
          <w:sz w:val="24"/>
          <w:szCs w:val="24"/>
        </w:rPr>
        <w:t xml:space="preserve">vs ARDS lung (B) </w:t>
      </w:r>
      <w:r w:rsidR="003313B7">
        <w:rPr>
          <w:rFonts w:ascii="Times New Roman" w:hAnsi="Times New Roman" w:cs="Times New Roman"/>
          <w:sz w:val="24"/>
          <w:szCs w:val="24"/>
        </w:rPr>
        <w:t xml:space="preserve">histology </w:t>
      </w:r>
      <w:r w:rsidR="009152A2">
        <w:rPr>
          <w:rFonts w:ascii="Times New Roman" w:hAnsi="Times New Roman" w:cs="Times New Roman"/>
          <w:sz w:val="24"/>
          <w:szCs w:val="24"/>
        </w:rPr>
        <w:t xml:space="preserve">H&amp;E </w:t>
      </w:r>
      <w:r w:rsidR="006738B1">
        <w:rPr>
          <w:rFonts w:ascii="Times New Roman" w:hAnsi="Times New Roman" w:cs="Times New Roman"/>
          <w:sz w:val="24"/>
          <w:szCs w:val="24"/>
        </w:rPr>
        <w:t>staining</w:t>
      </w:r>
      <w:r>
        <w:rPr>
          <w:rFonts w:ascii="Times New Roman" w:hAnsi="Times New Roman" w:cs="Times New Roman"/>
          <w:sz w:val="24"/>
          <w:szCs w:val="24"/>
        </w:rPr>
        <w:t xml:space="preserve">. </w:t>
      </w:r>
      <w:r w:rsidR="009152A2">
        <w:rPr>
          <w:rFonts w:ascii="Times New Roman" w:hAnsi="Times New Roman" w:cs="Times New Roman"/>
          <w:sz w:val="24"/>
          <w:szCs w:val="24"/>
        </w:rPr>
        <w:t>Normal lung</w:t>
      </w:r>
      <w:r w:rsidR="003313B7">
        <w:rPr>
          <w:rFonts w:ascii="Times New Roman" w:hAnsi="Times New Roman" w:cs="Times New Roman"/>
          <w:sz w:val="24"/>
          <w:szCs w:val="24"/>
        </w:rPr>
        <w:t xml:space="preserve"> tissue histology shows a “clean” space between lung tissues, whereas n</w:t>
      </w:r>
      <w:r>
        <w:rPr>
          <w:rFonts w:ascii="Times New Roman" w:hAnsi="Times New Roman" w:cs="Times New Roman"/>
          <w:sz w:val="24"/>
          <w:szCs w:val="24"/>
        </w:rPr>
        <w:t xml:space="preserve">eutrophils accumulate and </w:t>
      </w:r>
      <w:r w:rsidR="006738B1">
        <w:rPr>
          <w:rFonts w:ascii="Times New Roman" w:hAnsi="Times New Roman" w:cs="Times New Roman"/>
          <w:sz w:val="24"/>
          <w:szCs w:val="24"/>
        </w:rPr>
        <w:t>diffuse at</w:t>
      </w:r>
      <w:r>
        <w:rPr>
          <w:rFonts w:ascii="Times New Roman" w:hAnsi="Times New Roman" w:cs="Times New Roman"/>
          <w:sz w:val="24"/>
          <w:szCs w:val="24"/>
        </w:rPr>
        <w:t xml:space="preserve"> ARDS lung at the ARDS onset. </w:t>
      </w:r>
    </w:p>
    <w:p w:rsidR="009152A2" w:rsidRDefault="009152A2">
      <w:pPr>
        <w:rPr>
          <w:rFonts w:ascii="Times New Roman" w:hAnsi="Times New Roman" w:cs="Times New Roman"/>
          <w:sz w:val="24"/>
          <w:szCs w:val="24"/>
        </w:rPr>
      </w:pPr>
    </w:p>
    <w:p w:rsidR="00B81BD9" w:rsidRDefault="00B81BD9">
      <w:pPr>
        <w:rPr>
          <w:rFonts w:ascii="Times New Roman" w:hAnsi="Times New Roman" w:cs="Times New Roman"/>
          <w:sz w:val="24"/>
          <w:szCs w:val="24"/>
        </w:rPr>
      </w:pPr>
    </w:p>
    <w:p w:rsidR="00B81BD9" w:rsidRDefault="00B81BD9">
      <w:pPr>
        <w:rPr>
          <w:rFonts w:ascii="Times New Roman" w:hAnsi="Times New Roman" w:cs="Times New Roman"/>
          <w:sz w:val="24"/>
          <w:szCs w:val="24"/>
        </w:rPr>
      </w:pPr>
    </w:p>
    <w:p w:rsidR="00B81BD9" w:rsidRDefault="00B81BD9">
      <w:pPr>
        <w:rPr>
          <w:rFonts w:ascii="Times New Roman" w:hAnsi="Times New Roman" w:cs="Times New Roman"/>
          <w:sz w:val="24"/>
          <w:szCs w:val="24"/>
        </w:rPr>
      </w:pPr>
    </w:p>
    <w:p w:rsidR="00B81BD9" w:rsidRPr="008F7A5B" w:rsidRDefault="00B81BD9">
      <w:pPr>
        <w:rPr>
          <w:rFonts w:ascii="Times New Roman" w:hAnsi="Times New Roman" w:cs="Times New Roman"/>
          <w:sz w:val="24"/>
          <w:szCs w:val="24"/>
        </w:rPr>
      </w:pPr>
    </w:p>
    <w:p w:rsidR="00C1164C" w:rsidRPr="008F7A5B" w:rsidRDefault="00C1164C">
      <w:pPr>
        <w:rPr>
          <w:rFonts w:ascii="Times New Roman" w:hAnsi="Times New Roman" w:cs="Times New Roman"/>
          <w:sz w:val="24"/>
          <w:szCs w:val="24"/>
        </w:rPr>
      </w:pPr>
    </w:p>
    <w:p w:rsidR="00C1164C" w:rsidRPr="008F7A5B" w:rsidRDefault="00C1164C" w:rsidP="00C1164C">
      <w:pPr>
        <w:jc w:val="center"/>
        <w:rPr>
          <w:rFonts w:ascii="Times New Roman" w:hAnsi="Times New Roman" w:cs="Times New Roman"/>
          <w:sz w:val="24"/>
          <w:szCs w:val="24"/>
        </w:rPr>
      </w:pPr>
      <w:r w:rsidRPr="008F7A5B">
        <w:rPr>
          <w:rFonts w:ascii="Times New Roman" w:hAnsi="Times New Roman" w:cs="Times New Roman"/>
          <w:noProof/>
          <w:sz w:val="24"/>
          <w:szCs w:val="24"/>
        </w:rPr>
        <w:lastRenderedPageBreak/>
        <w:drawing>
          <wp:inline distT="0" distB="0" distL="0" distR="0" wp14:anchorId="21C84C84" wp14:editId="1C2C38A0">
            <wp:extent cx="4737100" cy="3660486"/>
            <wp:effectExtent l="0" t="0" r="6350" b="0"/>
            <wp:docPr id="2" name="Picture 2" descr="C:\Users\zhaoz\Dropbox\BJBIG\supplement\HNE28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oz\Dropbox\BJBIG\supplement\HNE28di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849" cy="3665701"/>
                    </a:xfrm>
                    <a:prstGeom prst="rect">
                      <a:avLst/>
                    </a:prstGeom>
                    <a:noFill/>
                    <a:ln>
                      <a:noFill/>
                    </a:ln>
                  </pic:spPr>
                </pic:pic>
              </a:graphicData>
            </a:graphic>
          </wp:inline>
        </w:drawing>
      </w:r>
    </w:p>
    <w:p w:rsidR="009E2DBE" w:rsidRPr="008F7A5B" w:rsidRDefault="00C1164C" w:rsidP="009E2DBE">
      <w:pPr>
        <w:jc w:val="center"/>
        <w:rPr>
          <w:rFonts w:ascii="Times New Roman" w:hAnsi="Times New Roman" w:cs="Times New Roman"/>
          <w:sz w:val="24"/>
          <w:szCs w:val="24"/>
        </w:rPr>
      </w:pPr>
      <w:r w:rsidRPr="008F7A5B">
        <w:rPr>
          <w:rFonts w:ascii="Times New Roman" w:hAnsi="Times New Roman" w:cs="Times New Roman"/>
          <w:noProof/>
          <w:sz w:val="24"/>
          <w:szCs w:val="24"/>
        </w:rPr>
        <w:drawing>
          <wp:inline distT="0" distB="0" distL="0" distR="0" wp14:anchorId="4574EC2C" wp14:editId="31953039">
            <wp:extent cx="4724400" cy="3650673"/>
            <wp:effectExtent l="0" t="0" r="0" b="6985"/>
            <wp:docPr id="3" name="Picture 3" descr="C:\Users\zhaoz\Dropbox\BJBIG\supplement\HNE60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oz\Dropbox\BJBIG\supplement\HNE60di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3529" cy="3657727"/>
                    </a:xfrm>
                    <a:prstGeom prst="rect">
                      <a:avLst/>
                    </a:prstGeom>
                    <a:noFill/>
                    <a:ln>
                      <a:noFill/>
                    </a:ln>
                  </pic:spPr>
                </pic:pic>
              </a:graphicData>
            </a:graphic>
          </wp:inline>
        </w:drawing>
      </w:r>
    </w:p>
    <w:p w:rsidR="00C1164C" w:rsidRPr="008F7A5B" w:rsidRDefault="00C1164C">
      <w:pPr>
        <w:rPr>
          <w:rFonts w:ascii="Times New Roman" w:hAnsi="Times New Roman" w:cs="Times New Roman"/>
          <w:sz w:val="24"/>
          <w:szCs w:val="24"/>
        </w:rPr>
      </w:pPr>
      <w:r w:rsidRPr="008F7A5B">
        <w:rPr>
          <w:rFonts w:ascii="Times New Roman" w:hAnsi="Times New Roman" w:cs="Times New Roman"/>
          <w:sz w:val="24"/>
          <w:szCs w:val="24"/>
        </w:rPr>
        <w:t>Figure S</w:t>
      </w:r>
      <w:r w:rsidR="001F4C93">
        <w:rPr>
          <w:rFonts w:ascii="Times New Roman" w:hAnsi="Times New Roman" w:cs="Times New Roman"/>
          <w:sz w:val="24"/>
          <w:szCs w:val="24"/>
        </w:rPr>
        <w:t>2</w:t>
      </w:r>
      <w:r w:rsidRPr="008F7A5B">
        <w:rPr>
          <w:rFonts w:ascii="Times New Roman" w:hAnsi="Times New Roman" w:cs="Times New Roman"/>
          <w:sz w:val="24"/>
          <w:szCs w:val="24"/>
        </w:rPr>
        <w:t xml:space="preserve">. </w:t>
      </w:r>
      <w:r w:rsidR="008F7A5B" w:rsidRPr="00E14CEA">
        <w:rPr>
          <w:rFonts w:ascii="Times New Roman" w:hAnsi="Times New Roman" w:cs="Times New Roman"/>
          <w:sz w:val="24"/>
          <w:szCs w:val="24"/>
        </w:rPr>
        <w:t>Human neutrophil elastase (HNE)</w:t>
      </w:r>
      <w:r w:rsidR="008F7A5B">
        <w:rPr>
          <w:rFonts w:ascii="Times New Roman" w:hAnsi="Times New Roman" w:cs="Times New Roman"/>
          <w:sz w:val="24"/>
          <w:szCs w:val="24"/>
        </w:rPr>
        <w:t xml:space="preserve"> </w:t>
      </w:r>
      <w:r w:rsidR="009E2DBE">
        <w:rPr>
          <w:rFonts w:ascii="Times New Roman" w:hAnsi="Times New Roman" w:cs="Times New Roman"/>
          <w:sz w:val="24"/>
          <w:szCs w:val="24"/>
        </w:rPr>
        <w:t xml:space="preserve">levels were </w:t>
      </w:r>
      <w:r w:rsidR="008F7A5B">
        <w:rPr>
          <w:rFonts w:ascii="Times New Roman" w:hAnsi="Times New Roman" w:cs="Times New Roman"/>
          <w:sz w:val="24"/>
          <w:szCs w:val="24"/>
        </w:rPr>
        <w:t>significantly hi</w:t>
      </w:r>
      <w:r w:rsidR="009E2DBE">
        <w:rPr>
          <w:rFonts w:ascii="Times New Roman" w:hAnsi="Times New Roman" w:cs="Times New Roman"/>
          <w:sz w:val="24"/>
          <w:szCs w:val="24"/>
        </w:rPr>
        <w:t>gher in ARDS non-survivors than survivors.</w:t>
      </w:r>
    </w:p>
    <w:p w:rsidR="00C1164C" w:rsidRPr="008F7A5B" w:rsidRDefault="00C1164C" w:rsidP="00C1164C">
      <w:pPr>
        <w:jc w:val="center"/>
        <w:rPr>
          <w:rFonts w:ascii="Times New Roman" w:hAnsi="Times New Roman" w:cs="Times New Roman"/>
          <w:sz w:val="24"/>
          <w:szCs w:val="24"/>
        </w:rPr>
      </w:pPr>
      <w:r w:rsidRPr="008F7A5B">
        <w:rPr>
          <w:rFonts w:ascii="Times New Roman" w:hAnsi="Times New Roman" w:cs="Times New Roman"/>
          <w:noProof/>
          <w:sz w:val="24"/>
          <w:szCs w:val="24"/>
        </w:rPr>
        <w:lastRenderedPageBreak/>
        <w:drawing>
          <wp:inline distT="0" distB="0" distL="0" distR="0" wp14:anchorId="02106A94" wp14:editId="4AD5620B">
            <wp:extent cx="4733364" cy="3657600"/>
            <wp:effectExtent l="0" t="0" r="0" b="0"/>
            <wp:docPr id="4" name="Picture 4" descr="C:\Users\zhaoz\Dropbox\BJBIG\supplement\PI328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oz\Dropbox\BJBIG\supplement\PI328di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8758" cy="3661768"/>
                    </a:xfrm>
                    <a:prstGeom prst="rect">
                      <a:avLst/>
                    </a:prstGeom>
                    <a:noFill/>
                    <a:ln>
                      <a:noFill/>
                    </a:ln>
                  </pic:spPr>
                </pic:pic>
              </a:graphicData>
            </a:graphic>
          </wp:inline>
        </w:drawing>
      </w:r>
    </w:p>
    <w:p w:rsidR="00C1164C" w:rsidRPr="008F7A5B" w:rsidRDefault="00C1164C" w:rsidP="00C1164C">
      <w:pPr>
        <w:jc w:val="center"/>
        <w:rPr>
          <w:rFonts w:ascii="Times New Roman" w:hAnsi="Times New Roman" w:cs="Times New Roman"/>
          <w:sz w:val="24"/>
          <w:szCs w:val="24"/>
        </w:rPr>
      </w:pPr>
      <w:r w:rsidRPr="008F7A5B">
        <w:rPr>
          <w:rFonts w:ascii="Times New Roman" w:hAnsi="Times New Roman" w:cs="Times New Roman"/>
          <w:noProof/>
          <w:sz w:val="24"/>
          <w:szCs w:val="24"/>
        </w:rPr>
        <w:drawing>
          <wp:inline distT="0" distB="0" distL="0" distR="0" wp14:anchorId="771F1544" wp14:editId="7E7FB74D">
            <wp:extent cx="4730750" cy="3655579"/>
            <wp:effectExtent l="0" t="0" r="0" b="2540"/>
            <wp:docPr id="5" name="Picture 5" descr="C:\Users\zhaoz\Dropbox\BJBIG\supplement\PI360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oz\Dropbox\BJBIG\supplement\PI360di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3678" cy="3657841"/>
                    </a:xfrm>
                    <a:prstGeom prst="rect">
                      <a:avLst/>
                    </a:prstGeom>
                    <a:noFill/>
                    <a:ln>
                      <a:noFill/>
                    </a:ln>
                  </pic:spPr>
                </pic:pic>
              </a:graphicData>
            </a:graphic>
          </wp:inline>
        </w:drawing>
      </w:r>
    </w:p>
    <w:p w:rsidR="00C1164C" w:rsidRDefault="009E2DBE">
      <w:pPr>
        <w:rPr>
          <w:rFonts w:ascii="Times New Roman" w:hAnsi="Times New Roman" w:cs="Times New Roman"/>
          <w:sz w:val="24"/>
          <w:szCs w:val="24"/>
        </w:rPr>
      </w:pPr>
      <w:r w:rsidRPr="008F7A5B">
        <w:rPr>
          <w:rFonts w:ascii="Times New Roman" w:hAnsi="Times New Roman" w:cs="Times New Roman"/>
          <w:sz w:val="24"/>
          <w:szCs w:val="24"/>
        </w:rPr>
        <w:t>Figure S</w:t>
      </w:r>
      <w:r w:rsidR="001F4C93">
        <w:rPr>
          <w:rFonts w:ascii="Times New Roman" w:hAnsi="Times New Roman" w:cs="Times New Roman"/>
          <w:sz w:val="24"/>
          <w:szCs w:val="24"/>
        </w:rPr>
        <w:t>3</w:t>
      </w:r>
      <w:r w:rsidRPr="008F7A5B">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E14CEA">
        <w:rPr>
          <w:rFonts w:ascii="Times New Roman" w:hAnsi="Times New Roman" w:cs="Times New Roman"/>
          <w:sz w:val="24"/>
          <w:szCs w:val="24"/>
        </w:rPr>
        <w:t>lafin</w:t>
      </w:r>
      <w:proofErr w:type="spellEnd"/>
      <w:r w:rsidRPr="00E14CEA">
        <w:rPr>
          <w:rFonts w:ascii="Times New Roman" w:hAnsi="Times New Roman" w:cs="Times New Roman"/>
          <w:sz w:val="24"/>
          <w:szCs w:val="24"/>
        </w:rPr>
        <w:t xml:space="preserve"> (PI3</w:t>
      </w:r>
      <w:r>
        <w:rPr>
          <w:rFonts w:ascii="Times New Roman" w:hAnsi="Times New Roman" w:cs="Times New Roman"/>
          <w:sz w:val="24"/>
          <w:szCs w:val="24"/>
        </w:rPr>
        <w:t xml:space="preserve">, </w:t>
      </w:r>
      <w:r w:rsidRPr="00D83FBB">
        <w:rPr>
          <w:rFonts w:ascii="Times New Roman" w:hAnsi="Times New Roman" w:cs="Times New Roman"/>
          <w:sz w:val="24"/>
          <w:szCs w:val="24"/>
        </w:rPr>
        <w:t>peptidase inhibitor 3</w:t>
      </w:r>
      <w:r w:rsidRPr="00E14CEA">
        <w:rPr>
          <w:rFonts w:ascii="Times New Roman" w:hAnsi="Times New Roman" w:cs="Times New Roman"/>
          <w:sz w:val="24"/>
          <w:szCs w:val="24"/>
        </w:rPr>
        <w:t xml:space="preserve">) </w:t>
      </w:r>
      <w:r>
        <w:rPr>
          <w:rFonts w:ascii="Times New Roman" w:hAnsi="Times New Roman" w:cs="Times New Roman"/>
          <w:sz w:val="24"/>
          <w:szCs w:val="24"/>
        </w:rPr>
        <w:t>levels were significantly lower in ARDS non-survivors than survivors.</w:t>
      </w:r>
    </w:p>
    <w:p w:rsidR="001F4C93" w:rsidRPr="008F7A5B" w:rsidRDefault="001F4C93" w:rsidP="001F4C93">
      <w:pPr>
        <w:rPr>
          <w:rFonts w:ascii="Times New Roman" w:hAnsi="Times New Roman" w:cs="Times New Roman"/>
          <w:sz w:val="24"/>
          <w:szCs w:val="24"/>
        </w:rPr>
      </w:pPr>
      <w:r w:rsidRPr="008F7A5B">
        <w:rPr>
          <w:rFonts w:ascii="Times New Roman" w:hAnsi="Times New Roman" w:cs="Times New Roman"/>
          <w:noProof/>
          <w:sz w:val="24"/>
          <w:szCs w:val="24"/>
        </w:rPr>
        <w:lastRenderedPageBreak/>
        <w:drawing>
          <wp:inline distT="0" distB="0" distL="0" distR="0" wp14:anchorId="1C0C646F" wp14:editId="2275C4ED">
            <wp:extent cx="5943600" cy="4595033"/>
            <wp:effectExtent l="0" t="0" r="0" b="0"/>
            <wp:docPr id="6" name="Picture 6" descr="C:\Users\zhaoz\Dropbox\BJBIG\supplement\KM ap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oz\Dropbox\BJBIG\supplement\KM apaca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595033"/>
                    </a:xfrm>
                    <a:prstGeom prst="rect">
                      <a:avLst/>
                    </a:prstGeom>
                    <a:noFill/>
                    <a:ln>
                      <a:noFill/>
                    </a:ln>
                  </pic:spPr>
                </pic:pic>
              </a:graphicData>
            </a:graphic>
          </wp:inline>
        </w:drawing>
      </w:r>
    </w:p>
    <w:p w:rsidR="001F4C93" w:rsidRPr="008F7A5B" w:rsidRDefault="001F4C93" w:rsidP="001F4C93">
      <w:pPr>
        <w:rPr>
          <w:rFonts w:ascii="Times New Roman" w:hAnsi="Times New Roman" w:cs="Times New Roman"/>
          <w:sz w:val="24"/>
          <w:szCs w:val="24"/>
        </w:rPr>
      </w:pPr>
      <w:r w:rsidRPr="008F7A5B">
        <w:rPr>
          <w:rFonts w:ascii="Times New Roman" w:hAnsi="Times New Roman" w:cs="Times New Roman"/>
          <w:sz w:val="24"/>
          <w:szCs w:val="24"/>
        </w:rPr>
        <w:t>Figure S</w:t>
      </w:r>
      <w:r>
        <w:rPr>
          <w:rFonts w:ascii="Times New Roman" w:hAnsi="Times New Roman" w:cs="Times New Roman"/>
          <w:sz w:val="24"/>
          <w:szCs w:val="24"/>
        </w:rPr>
        <w:t>4</w:t>
      </w:r>
      <w:r w:rsidRPr="008F7A5B">
        <w:rPr>
          <w:rFonts w:ascii="Times New Roman" w:hAnsi="Times New Roman" w:cs="Times New Roman"/>
          <w:sz w:val="24"/>
          <w:szCs w:val="24"/>
        </w:rPr>
        <w:t xml:space="preserve">. </w:t>
      </w:r>
      <w:r>
        <w:rPr>
          <w:rFonts w:ascii="Times New Roman" w:hAnsi="Times New Roman" w:cs="Times New Roman"/>
          <w:sz w:val="24"/>
          <w:szCs w:val="24"/>
        </w:rPr>
        <w:t xml:space="preserve">APACHE II score performance for ARDS mortality prediction in this cohort. We used </w:t>
      </w:r>
      <w:r w:rsidRPr="009E2DBE">
        <w:rPr>
          <w:rFonts w:ascii="Times New Roman" w:hAnsi="Times New Roman" w:cs="Times New Roman" w:hint="eastAsia"/>
          <w:sz w:val="24"/>
          <w:szCs w:val="24"/>
        </w:rPr>
        <w:t xml:space="preserve">Kaplan-Meier curves </w:t>
      </w:r>
      <w:r>
        <w:rPr>
          <w:rFonts w:ascii="Times New Roman" w:hAnsi="Times New Roman" w:cs="Times New Roman"/>
          <w:sz w:val="24"/>
          <w:szCs w:val="24"/>
        </w:rPr>
        <w:t xml:space="preserve">to </w:t>
      </w:r>
      <w:r w:rsidRPr="009E2DBE">
        <w:rPr>
          <w:rFonts w:ascii="Times New Roman" w:hAnsi="Times New Roman" w:cs="Times New Roman" w:hint="eastAsia"/>
          <w:sz w:val="24"/>
          <w:szCs w:val="24"/>
        </w:rPr>
        <w:t>measure the ARDS patients</w:t>
      </w:r>
      <w:r>
        <w:rPr>
          <w:rFonts w:ascii="Times New Roman" w:hAnsi="Times New Roman" w:cs="Times New Roman"/>
          <w:sz w:val="24"/>
          <w:szCs w:val="24"/>
        </w:rPr>
        <w:t xml:space="preserve">’ </w:t>
      </w:r>
      <w:r w:rsidRPr="009E2DBE">
        <w:rPr>
          <w:rFonts w:ascii="Times New Roman" w:hAnsi="Times New Roman" w:cs="Times New Roman" w:hint="eastAsia"/>
          <w:sz w:val="24"/>
          <w:szCs w:val="24"/>
        </w:rPr>
        <w:t xml:space="preserve">time-to-death among </w:t>
      </w:r>
      <w:r>
        <w:rPr>
          <w:rFonts w:ascii="Times New Roman" w:hAnsi="Times New Roman" w:cs="Times New Roman"/>
          <w:sz w:val="24"/>
          <w:szCs w:val="24"/>
        </w:rPr>
        <w:t>three</w:t>
      </w:r>
      <w:r w:rsidRPr="009E2DBE">
        <w:rPr>
          <w:rFonts w:ascii="Times New Roman" w:hAnsi="Times New Roman" w:cs="Times New Roman" w:hint="eastAsia"/>
          <w:sz w:val="24"/>
          <w:szCs w:val="24"/>
        </w:rPr>
        <w:t xml:space="preserve"> groups of </w:t>
      </w:r>
      <w:r>
        <w:rPr>
          <w:rFonts w:ascii="Times New Roman" w:hAnsi="Times New Roman" w:cs="Times New Roman"/>
          <w:sz w:val="24"/>
          <w:szCs w:val="24"/>
        </w:rPr>
        <w:t>APACHE II score</w:t>
      </w:r>
      <w:r w:rsidRPr="009E2DBE">
        <w:rPr>
          <w:rFonts w:ascii="Times New Roman" w:hAnsi="Times New Roman" w:cs="Times New Roman" w:hint="eastAsia"/>
          <w:sz w:val="24"/>
          <w:szCs w:val="24"/>
        </w:rPr>
        <w:t xml:space="preserve">: 1. </w:t>
      </w:r>
      <w:r>
        <w:rPr>
          <w:rFonts w:ascii="Times New Roman" w:hAnsi="Times New Roman" w:cs="Times New Roman"/>
          <w:sz w:val="24"/>
          <w:szCs w:val="24"/>
        </w:rPr>
        <w:t>APACHE II≤15</w:t>
      </w:r>
      <w:r w:rsidRPr="009E2DBE">
        <w:rPr>
          <w:rFonts w:ascii="Times New Roman" w:hAnsi="Times New Roman" w:cs="Times New Roman" w:hint="eastAsia"/>
          <w:sz w:val="24"/>
          <w:szCs w:val="24"/>
        </w:rPr>
        <w:t xml:space="preserve">; 2. </w:t>
      </w:r>
      <w:r>
        <w:rPr>
          <w:rFonts w:ascii="Times New Roman" w:hAnsi="Times New Roman" w:cs="Times New Roman"/>
          <w:sz w:val="24"/>
          <w:szCs w:val="24"/>
        </w:rPr>
        <w:t>15&lt;APACHE II≤24</w:t>
      </w:r>
      <w:r w:rsidRPr="009E2DBE">
        <w:rPr>
          <w:rFonts w:ascii="Times New Roman" w:hAnsi="Times New Roman" w:cs="Times New Roman" w:hint="eastAsia"/>
          <w:sz w:val="24"/>
          <w:szCs w:val="24"/>
        </w:rPr>
        <w:t xml:space="preserve">, PI3&lt;median; 3. </w:t>
      </w:r>
      <w:r>
        <w:rPr>
          <w:rFonts w:ascii="Times New Roman" w:hAnsi="Times New Roman" w:cs="Times New Roman"/>
          <w:sz w:val="24"/>
          <w:szCs w:val="24"/>
        </w:rPr>
        <w:t>APACHE II&gt;24</w:t>
      </w:r>
      <w:r w:rsidRPr="009E2DBE">
        <w:rPr>
          <w:rFonts w:ascii="Times New Roman" w:hAnsi="Times New Roman" w:cs="Times New Roman" w:hint="eastAsia"/>
          <w:sz w:val="24"/>
          <w:szCs w:val="24"/>
        </w:rPr>
        <w:t xml:space="preserve">. </w:t>
      </w:r>
      <w:r>
        <w:rPr>
          <w:rFonts w:ascii="Times New Roman" w:hAnsi="Times New Roman" w:cs="Times New Roman"/>
          <w:sz w:val="24"/>
          <w:szCs w:val="24"/>
        </w:rPr>
        <w:t>And we found APACHE II categories can predict ARDS 28-day and 60-day mortalities (P=0.02 for both, log-rank test Mantel-Cox), but not as well as HNE and PI3 combination.</w:t>
      </w:r>
    </w:p>
    <w:p w:rsidR="001F4C93" w:rsidRDefault="001F4C93">
      <w:pPr>
        <w:rPr>
          <w:rFonts w:ascii="Times New Roman" w:hAnsi="Times New Roman" w:cs="Times New Roman"/>
          <w:sz w:val="24"/>
          <w:szCs w:val="24"/>
        </w:rPr>
      </w:pPr>
    </w:p>
    <w:p w:rsidR="00862FE4" w:rsidRDefault="00862FE4">
      <w:pPr>
        <w:rPr>
          <w:rFonts w:ascii="Times New Roman" w:hAnsi="Times New Roman" w:cs="Times New Roman"/>
          <w:sz w:val="24"/>
          <w:szCs w:val="24"/>
        </w:rPr>
      </w:pPr>
      <w:bookmarkStart w:id="0" w:name="_GoBack"/>
      <w:bookmarkEnd w:id="0"/>
    </w:p>
    <w:p w:rsidR="00862FE4" w:rsidRDefault="00862FE4">
      <w:pPr>
        <w:rPr>
          <w:rFonts w:ascii="Times New Roman" w:hAnsi="Times New Roman" w:cs="Times New Roman"/>
          <w:sz w:val="24"/>
          <w:szCs w:val="24"/>
        </w:rPr>
      </w:pPr>
    </w:p>
    <w:p w:rsidR="00862FE4" w:rsidRDefault="00862FE4">
      <w:pPr>
        <w:rPr>
          <w:rFonts w:ascii="Times New Roman" w:hAnsi="Times New Roman" w:cs="Times New Roman"/>
          <w:sz w:val="24"/>
          <w:szCs w:val="24"/>
        </w:rPr>
      </w:pPr>
    </w:p>
    <w:p w:rsidR="00862FE4" w:rsidRDefault="00862FE4">
      <w:pPr>
        <w:rPr>
          <w:rFonts w:ascii="Times New Roman" w:hAnsi="Times New Roman" w:cs="Times New Roman"/>
          <w:sz w:val="24"/>
          <w:szCs w:val="24"/>
        </w:rPr>
      </w:pPr>
    </w:p>
    <w:p w:rsidR="00862FE4" w:rsidRDefault="00862FE4">
      <w:pPr>
        <w:rPr>
          <w:rFonts w:ascii="Times New Roman" w:hAnsi="Times New Roman" w:cs="Times New Roman"/>
          <w:sz w:val="24"/>
          <w:szCs w:val="24"/>
        </w:rPr>
      </w:pPr>
    </w:p>
    <w:p w:rsidR="00862FE4" w:rsidRDefault="00862FE4">
      <w:pPr>
        <w:rPr>
          <w:rFonts w:ascii="Times New Roman" w:hAnsi="Times New Roman" w:cs="Times New Roman"/>
          <w:sz w:val="24"/>
          <w:szCs w:val="24"/>
        </w:rPr>
      </w:pPr>
    </w:p>
    <w:p w:rsidR="00862FE4" w:rsidRDefault="00862FE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595033"/>
            <wp:effectExtent l="0" t="0" r="0" b="0"/>
            <wp:docPr id="12" name="Picture 12" descr="C:\Users\ZZHU\Dropbox\BJBIG\data\KM 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ZHU\Dropbox\BJBIG\data\KM P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95033"/>
                    </a:xfrm>
                    <a:prstGeom prst="rect">
                      <a:avLst/>
                    </a:prstGeom>
                    <a:noFill/>
                    <a:ln>
                      <a:noFill/>
                    </a:ln>
                  </pic:spPr>
                </pic:pic>
              </a:graphicData>
            </a:graphic>
          </wp:inline>
        </w:drawing>
      </w:r>
    </w:p>
    <w:p w:rsidR="00862FE4" w:rsidRPr="008F7A5B" w:rsidRDefault="00862FE4" w:rsidP="00862FE4">
      <w:pPr>
        <w:rPr>
          <w:rFonts w:ascii="Times New Roman" w:hAnsi="Times New Roman" w:cs="Times New Roman"/>
          <w:sz w:val="24"/>
          <w:szCs w:val="24"/>
        </w:rPr>
      </w:pPr>
      <w:r w:rsidRPr="008F7A5B">
        <w:rPr>
          <w:rFonts w:ascii="Times New Roman" w:hAnsi="Times New Roman" w:cs="Times New Roman"/>
          <w:sz w:val="24"/>
          <w:szCs w:val="24"/>
        </w:rPr>
        <w:t>Figure S</w:t>
      </w:r>
      <w:r>
        <w:rPr>
          <w:rFonts w:ascii="Times New Roman" w:hAnsi="Times New Roman" w:cs="Times New Roman"/>
          <w:sz w:val="24"/>
          <w:szCs w:val="24"/>
        </w:rPr>
        <w:t>5</w:t>
      </w:r>
      <w:r w:rsidRPr="008F7A5B">
        <w:rPr>
          <w:rFonts w:ascii="Times New Roman" w:hAnsi="Times New Roman" w:cs="Times New Roman"/>
          <w:sz w:val="24"/>
          <w:szCs w:val="24"/>
        </w:rPr>
        <w:t xml:space="preserve">. </w:t>
      </w:r>
      <w:proofErr w:type="gramStart"/>
      <w:r>
        <w:rPr>
          <w:rFonts w:ascii="Times New Roman" w:hAnsi="Times New Roman" w:cs="Times New Roman"/>
          <w:sz w:val="24"/>
          <w:szCs w:val="24"/>
        </w:rPr>
        <w:t>Berlin criteria</w:t>
      </w:r>
      <w:r>
        <w:rPr>
          <w:rFonts w:ascii="Times New Roman" w:hAnsi="Times New Roman" w:cs="Times New Roman"/>
          <w:sz w:val="24"/>
          <w:szCs w:val="24"/>
        </w:rPr>
        <w:t xml:space="preserve"> performance for ARDS mortality prediction in this cohort.</w:t>
      </w:r>
      <w:proofErr w:type="gramEnd"/>
      <w:r>
        <w:rPr>
          <w:rFonts w:ascii="Times New Roman" w:hAnsi="Times New Roman" w:cs="Times New Roman"/>
          <w:sz w:val="24"/>
          <w:szCs w:val="24"/>
        </w:rPr>
        <w:t xml:space="preserve"> We used </w:t>
      </w:r>
      <w:r w:rsidRPr="009E2DBE">
        <w:rPr>
          <w:rFonts w:ascii="Times New Roman" w:hAnsi="Times New Roman" w:cs="Times New Roman" w:hint="eastAsia"/>
          <w:sz w:val="24"/>
          <w:szCs w:val="24"/>
        </w:rPr>
        <w:t xml:space="preserve">Kaplan-Meier curves </w:t>
      </w:r>
      <w:r>
        <w:rPr>
          <w:rFonts w:ascii="Times New Roman" w:hAnsi="Times New Roman" w:cs="Times New Roman"/>
          <w:sz w:val="24"/>
          <w:szCs w:val="24"/>
        </w:rPr>
        <w:t xml:space="preserve">to </w:t>
      </w:r>
      <w:r w:rsidRPr="009E2DBE">
        <w:rPr>
          <w:rFonts w:ascii="Times New Roman" w:hAnsi="Times New Roman" w:cs="Times New Roman" w:hint="eastAsia"/>
          <w:sz w:val="24"/>
          <w:szCs w:val="24"/>
        </w:rPr>
        <w:t>measure the ARDS patients</w:t>
      </w:r>
      <w:r>
        <w:rPr>
          <w:rFonts w:ascii="Times New Roman" w:hAnsi="Times New Roman" w:cs="Times New Roman"/>
          <w:sz w:val="24"/>
          <w:szCs w:val="24"/>
        </w:rPr>
        <w:t xml:space="preserve">’ </w:t>
      </w:r>
      <w:r w:rsidRPr="009E2DBE">
        <w:rPr>
          <w:rFonts w:ascii="Times New Roman" w:hAnsi="Times New Roman" w:cs="Times New Roman" w:hint="eastAsia"/>
          <w:sz w:val="24"/>
          <w:szCs w:val="24"/>
        </w:rPr>
        <w:t xml:space="preserve">time-to-death among </w:t>
      </w:r>
      <w:r>
        <w:rPr>
          <w:rFonts w:ascii="Times New Roman" w:hAnsi="Times New Roman" w:cs="Times New Roman"/>
          <w:sz w:val="24"/>
          <w:szCs w:val="24"/>
        </w:rPr>
        <w:t>three</w:t>
      </w:r>
      <w:r w:rsidRPr="009E2DBE">
        <w:rPr>
          <w:rFonts w:ascii="Times New Roman" w:hAnsi="Times New Roman" w:cs="Times New Roman" w:hint="eastAsia"/>
          <w:sz w:val="24"/>
          <w:szCs w:val="24"/>
        </w:rPr>
        <w:t xml:space="preserve"> groups of </w:t>
      </w:r>
      <w:r>
        <w:rPr>
          <w:rFonts w:ascii="Times New Roman" w:hAnsi="Times New Roman" w:cs="Times New Roman"/>
          <w:sz w:val="24"/>
          <w:szCs w:val="24"/>
        </w:rPr>
        <w:t>Berlin category</w:t>
      </w:r>
      <w:r w:rsidRPr="009E2DBE">
        <w:rPr>
          <w:rFonts w:ascii="Times New Roman" w:hAnsi="Times New Roman" w:cs="Times New Roman" w:hint="eastAsia"/>
          <w:sz w:val="24"/>
          <w:szCs w:val="24"/>
        </w:rPr>
        <w:t xml:space="preserve">: 1. </w:t>
      </w:r>
      <w:r>
        <w:rPr>
          <w:rFonts w:ascii="Times New Roman" w:hAnsi="Times New Roman" w:cs="Times New Roman"/>
          <w:sz w:val="24"/>
          <w:szCs w:val="24"/>
        </w:rPr>
        <w:t>Mild</w:t>
      </w:r>
      <w:r w:rsidRPr="009E2DBE">
        <w:rPr>
          <w:rFonts w:ascii="Times New Roman" w:hAnsi="Times New Roman" w:cs="Times New Roman" w:hint="eastAsia"/>
          <w:sz w:val="24"/>
          <w:szCs w:val="24"/>
        </w:rPr>
        <w:t xml:space="preserve">; 2. </w:t>
      </w:r>
      <w:r>
        <w:rPr>
          <w:rFonts w:ascii="Times New Roman" w:hAnsi="Times New Roman" w:cs="Times New Roman"/>
          <w:sz w:val="24"/>
          <w:szCs w:val="24"/>
        </w:rPr>
        <w:t>Moderate</w:t>
      </w:r>
      <w:r w:rsidRPr="009E2DBE">
        <w:rPr>
          <w:rFonts w:ascii="Times New Roman" w:hAnsi="Times New Roman" w:cs="Times New Roman" w:hint="eastAsia"/>
          <w:sz w:val="24"/>
          <w:szCs w:val="24"/>
        </w:rPr>
        <w:t xml:space="preserve">; 3. </w:t>
      </w:r>
      <w:r>
        <w:rPr>
          <w:rFonts w:ascii="Times New Roman" w:hAnsi="Times New Roman" w:cs="Times New Roman"/>
          <w:sz w:val="24"/>
          <w:szCs w:val="24"/>
        </w:rPr>
        <w:t>Severe</w:t>
      </w:r>
      <w:r w:rsidRPr="009E2DBE">
        <w:rPr>
          <w:rFonts w:ascii="Times New Roman" w:hAnsi="Times New Roman" w:cs="Times New Roman" w:hint="eastAsia"/>
          <w:sz w:val="24"/>
          <w:szCs w:val="24"/>
        </w:rPr>
        <w:t xml:space="preserve">. </w:t>
      </w:r>
      <w:r>
        <w:rPr>
          <w:rFonts w:ascii="Times New Roman" w:hAnsi="Times New Roman" w:cs="Times New Roman"/>
          <w:sz w:val="24"/>
          <w:szCs w:val="24"/>
        </w:rPr>
        <w:t xml:space="preserve">And we found Berlin categories can predict ARDS 28-day </w:t>
      </w:r>
      <w:r>
        <w:rPr>
          <w:rFonts w:ascii="Times New Roman" w:hAnsi="Times New Roman" w:cs="Times New Roman"/>
          <w:sz w:val="24"/>
          <w:szCs w:val="24"/>
        </w:rPr>
        <w:t>(P=0.02), not on 60-day mortalities (P= 0.14</w:t>
      </w:r>
      <w:r>
        <w:rPr>
          <w:rFonts w:ascii="Times New Roman" w:hAnsi="Times New Roman" w:cs="Times New Roman"/>
          <w:sz w:val="24"/>
          <w:szCs w:val="24"/>
        </w:rPr>
        <w:t>, log-rank test Mantel-Cox), but not as well as HNE and PI3 combination.</w:t>
      </w:r>
    </w:p>
    <w:p w:rsidR="00862FE4" w:rsidRDefault="00862FE4">
      <w:pPr>
        <w:rPr>
          <w:rFonts w:ascii="Times New Roman" w:hAnsi="Times New Roman" w:cs="Times New Roman"/>
          <w:sz w:val="24"/>
          <w:szCs w:val="24"/>
        </w:rPr>
      </w:pPr>
    </w:p>
    <w:p w:rsidR="001F4C93" w:rsidRPr="008F7A5B" w:rsidRDefault="001F4C93" w:rsidP="001F4C93">
      <w:pPr>
        <w:jc w:val="center"/>
        <w:rPr>
          <w:rFonts w:ascii="Times New Roman" w:hAnsi="Times New Roman" w:cs="Times New Roman"/>
          <w:sz w:val="24"/>
          <w:szCs w:val="24"/>
        </w:rPr>
      </w:pPr>
      <w:r w:rsidRPr="0053247A">
        <w:rPr>
          <w:rFonts w:ascii="Times New Roman" w:hAnsi="Times New Roman" w:cs="Times New Roman"/>
          <w:noProof/>
          <w:sz w:val="24"/>
          <w:szCs w:val="24"/>
        </w:rPr>
        <w:lastRenderedPageBreak/>
        <w:drawing>
          <wp:inline distT="0" distB="0" distL="0" distR="0" wp14:anchorId="48C94C06" wp14:editId="6D765F50">
            <wp:extent cx="5943600" cy="4592782"/>
            <wp:effectExtent l="0" t="0" r="0" b="0"/>
            <wp:docPr id="8" name="Picture 8" descr="C:\Users\ZZHU\Downloads\HNE1PI3ber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ZHU\Downloads\HNE1PI3berli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1F4C93" w:rsidRPr="008F7A5B" w:rsidRDefault="001F4C93" w:rsidP="001F4C93">
      <w:pPr>
        <w:rPr>
          <w:rFonts w:ascii="Times New Roman" w:hAnsi="Times New Roman" w:cs="Times New Roman"/>
          <w:sz w:val="24"/>
          <w:szCs w:val="24"/>
        </w:rPr>
      </w:pPr>
      <w:r w:rsidRPr="008F7A5B">
        <w:rPr>
          <w:rFonts w:ascii="Times New Roman" w:hAnsi="Times New Roman" w:cs="Times New Roman"/>
          <w:sz w:val="24"/>
          <w:szCs w:val="24"/>
        </w:rPr>
        <w:t>Figure S</w:t>
      </w:r>
      <w:r w:rsidR="00862FE4">
        <w:rPr>
          <w:rFonts w:ascii="Times New Roman" w:hAnsi="Times New Roman" w:cs="Times New Roman"/>
          <w:sz w:val="24"/>
          <w:szCs w:val="24"/>
        </w:rPr>
        <w:t>6</w:t>
      </w:r>
      <w:r w:rsidRPr="008F7A5B">
        <w:rPr>
          <w:rFonts w:ascii="Times New Roman" w:hAnsi="Times New Roman" w:cs="Times New Roman"/>
          <w:sz w:val="24"/>
          <w:szCs w:val="24"/>
        </w:rPr>
        <w:t xml:space="preserve">. </w:t>
      </w:r>
      <w:r>
        <w:rPr>
          <w:rFonts w:ascii="Times New Roman" w:hAnsi="Times New Roman" w:cs="Times New Roman"/>
          <w:sz w:val="24"/>
          <w:szCs w:val="24"/>
        </w:rPr>
        <w:t>Relationship between plasma biomarkers and ARDS severity (Berlin PaO</w:t>
      </w:r>
      <w:r w:rsidRPr="008F7A5B">
        <w:rPr>
          <w:rFonts w:ascii="Times New Roman" w:hAnsi="Times New Roman" w:cs="Times New Roman"/>
          <w:sz w:val="24"/>
          <w:szCs w:val="24"/>
          <w:vertAlign w:val="subscript"/>
        </w:rPr>
        <w:t>2</w:t>
      </w:r>
      <w:r>
        <w:rPr>
          <w:rFonts w:ascii="Times New Roman" w:hAnsi="Times New Roman" w:cs="Times New Roman"/>
          <w:sz w:val="24"/>
          <w:szCs w:val="24"/>
        </w:rPr>
        <w:t>/FIO</w:t>
      </w:r>
      <w:r w:rsidRPr="008F7A5B">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E14CEA">
        <w:rPr>
          <w:rFonts w:ascii="Times New Roman" w:hAnsi="Times New Roman" w:cs="Times New Roman"/>
          <w:sz w:val="24"/>
          <w:szCs w:val="24"/>
        </w:rPr>
        <w:t>categories</w:t>
      </w:r>
      <w:r>
        <w:rPr>
          <w:rFonts w:ascii="Times New Roman" w:hAnsi="Times New Roman" w:cs="Times New Roman"/>
          <w:sz w:val="24"/>
          <w:szCs w:val="24"/>
        </w:rPr>
        <w:t>, PaO</w:t>
      </w:r>
      <w:r w:rsidRPr="008F7A5B">
        <w:rPr>
          <w:rFonts w:ascii="Times New Roman" w:hAnsi="Times New Roman" w:cs="Times New Roman"/>
          <w:sz w:val="24"/>
          <w:szCs w:val="24"/>
          <w:vertAlign w:val="subscript"/>
        </w:rPr>
        <w:t>2</w:t>
      </w:r>
      <w:r>
        <w:rPr>
          <w:rFonts w:ascii="Times New Roman" w:hAnsi="Times New Roman" w:cs="Times New Roman"/>
          <w:sz w:val="24"/>
          <w:szCs w:val="24"/>
        </w:rPr>
        <w:t>/FIO</w:t>
      </w:r>
      <w:r w:rsidRPr="008F7A5B">
        <w:rPr>
          <w:rFonts w:ascii="Times New Roman" w:hAnsi="Times New Roman" w:cs="Times New Roman"/>
          <w:sz w:val="24"/>
          <w:szCs w:val="24"/>
          <w:vertAlign w:val="subscript"/>
        </w:rPr>
        <w:t>2</w:t>
      </w:r>
      <w:r w:rsidRPr="008F7A5B">
        <w:rPr>
          <w:rFonts w:ascii="Times New Roman" w:hAnsi="Times New Roman" w:cs="Times New Roman" w:hint="eastAsia"/>
          <w:sz w:val="24"/>
          <w:szCs w:val="24"/>
        </w:rPr>
        <w:t>&gt;200 as mild, 100&lt;</w:t>
      </w:r>
      <w:r w:rsidRPr="008F7A5B">
        <w:rPr>
          <w:rFonts w:ascii="Times New Roman" w:hAnsi="Times New Roman" w:cs="Times New Roman"/>
          <w:sz w:val="24"/>
          <w:szCs w:val="24"/>
        </w:rPr>
        <w:t xml:space="preserve"> </w:t>
      </w:r>
      <w:r>
        <w:rPr>
          <w:rFonts w:ascii="Times New Roman" w:hAnsi="Times New Roman" w:cs="Times New Roman"/>
          <w:sz w:val="24"/>
          <w:szCs w:val="24"/>
        </w:rPr>
        <w:t>PaO</w:t>
      </w:r>
      <w:r w:rsidRPr="008F7A5B">
        <w:rPr>
          <w:rFonts w:ascii="Times New Roman" w:hAnsi="Times New Roman" w:cs="Times New Roman"/>
          <w:sz w:val="24"/>
          <w:szCs w:val="24"/>
          <w:vertAlign w:val="subscript"/>
        </w:rPr>
        <w:t>2</w:t>
      </w:r>
      <w:r>
        <w:rPr>
          <w:rFonts w:ascii="Times New Roman" w:hAnsi="Times New Roman" w:cs="Times New Roman"/>
          <w:sz w:val="24"/>
          <w:szCs w:val="24"/>
        </w:rPr>
        <w:t>/FIO</w:t>
      </w:r>
      <w:r w:rsidRPr="008F7A5B">
        <w:rPr>
          <w:rFonts w:ascii="Times New Roman" w:hAnsi="Times New Roman" w:cs="Times New Roman"/>
          <w:sz w:val="24"/>
          <w:szCs w:val="24"/>
          <w:vertAlign w:val="subscript"/>
        </w:rPr>
        <w:t>2</w:t>
      </w:r>
      <w:r w:rsidRPr="008F7A5B">
        <w:rPr>
          <w:rFonts w:ascii="Times New Roman" w:hAnsi="Times New Roman" w:cs="Times New Roman" w:hint="eastAsia"/>
          <w:sz w:val="24"/>
          <w:szCs w:val="24"/>
        </w:rPr>
        <w:t>≤</w:t>
      </w:r>
      <w:r w:rsidRPr="008F7A5B">
        <w:rPr>
          <w:rFonts w:ascii="Times New Roman" w:hAnsi="Times New Roman" w:cs="Times New Roman" w:hint="eastAsia"/>
          <w:sz w:val="24"/>
          <w:szCs w:val="24"/>
        </w:rPr>
        <w:t xml:space="preserve">200 as moderate, </w:t>
      </w:r>
      <w:r>
        <w:rPr>
          <w:rFonts w:ascii="Times New Roman" w:hAnsi="Times New Roman" w:cs="Times New Roman"/>
          <w:sz w:val="24"/>
          <w:szCs w:val="24"/>
        </w:rPr>
        <w:t>PaO</w:t>
      </w:r>
      <w:r w:rsidRPr="008F7A5B">
        <w:rPr>
          <w:rFonts w:ascii="Times New Roman" w:hAnsi="Times New Roman" w:cs="Times New Roman"/>
          <w:sz w:val="24"/>
          <w:szCs w:val="24"/>
          <w:vertAlign w:val="subscript"/>
        </w:rPr>
        <w:t>2</w:t>
      </w:r>
      <w:r>
        <w:rPr>
          <w:rFonts w:ascii="Times New Roman" w:hAnsi="Times New Roman" w:cs="Times New Roman"/>
          <w:sz w:val="24"/>
          <w:szCs w:val="24"/>
        </w:rPr>
        <w:t>/FIO</w:t>
      </w:r>
      <w:r w:rsidRPr="008F7A5B">
        <w:rPr>
          <w:rFonts w:ascii="Times New Roman" w:hAnsi="Times New Roman" w:cs="Times New Roman"/>
          <w:sz w:val="24"/>
          <w:szCs w:val="24"/>
          <w:vertAlign w:val="subscript"/>
        </w:rPr>
        <w:t>2</w:t>
      </w:r>
      <w:r w:rsidRPr="008F7A5B">
        <w:rPr>
          <w:rFonts w:ascii="Times New Roman" w:hAnsi="Times New Roman" w:cs="Times New Roman" w:hint="eastAsia"/>
          <w:sz w:val="24"/>
          <w:szCs w:val="24"/>
        </w:rPr>
        <w:t>≤</w:t>
      </w:r>
      <w:r>
        <w:rPr>
          <w:rFonts w:ascii="Times New Roman" w:hAnsi="Times New Roman" w:cs="Times New Roman" w:hint="eastAsia"/>
          <w:sz w:val="24"/>
          <w:szCs w:val="24"/>
        </w:rPr>
        <w:t>100 as severe</w:t>
      </w:r>
      <w:r>
        <w:rPr>
          <w:rFonts w:ascii="Times New Roman" w:hAnsi="Times New Roman" w:cs="Times New Roman"/>
          <w:sz w:val="24"/>
          <w:szCs w:val="24"/>
        </w:rPr>
        <w:t>). On day 1,</w:t>
      </w:r>
      <w:r w:rsidRPr="0053247A">
        <w:rPr>
          <w:rFonts w:ascii="Times New Roman" w:hAnsi="Times New Roman" w:cs="Times New Roman"/>
          <w:sz w:val="24"/>
          <w:szCs w:val="24"/>
        </w:rPr>
        <w:t xml:space="preserve"> plasma HNE (p&lt;0.0001), but not PI3 (p=0.20), correlated with worsening Berlin categories</w:t>
      </w:r>
      <w:r>
        <w:rPr>
          <w:rFonts w:ascii="Times New Roman" w:hAnsi="Times New Roman" w:cs="Times New Roman"/>
          <w:sz w:val="24"/>
          <w:szCs w:val="24"/>
        </w:rPr>
        <w:t>.</w:t>
      </w:r>
    </w:p>
    <w:p w:rsidR="001F4C93" w:rsidRDefault="001F4C93">
      <w:pPr>
        <w:rPr>
          <w:rFonts w:ascii="Times New Roman" w:hAnsi="Times New Roman" w:cs="Times New Roman"/>
          <w:sz w:val="24"/>
          <w:szCs w:val="24"/>
        </w:rPr>
      </w:pPr>
    </w:p>
    <w:p w:rsidR="00862FE4" w:rsidRDefault="00862FE4">
      <w:pPr>
        <w:rPr>
          <w:rFonts w:ascii="Times New Roman" w:hAnsi="Times New Roman" w:cs="Times New Roman"/>
          <w:sz w:val="24"/>
          <w:szCs w:val="24"/>
        </w:rPr>
      </w:pPr>
    </w:p>
    <w:p w:rsidR="00862FE4" w:rsidRDefault="00862FE4">
      <w:pPr>
        <w:rPr>
          <w:rFonts w:ascii="Times New Roman" w:hAnsi="Times New Roman" w:cs="Times New Roman"/>
          <w:sz w:val="24"/>
          <w:szCs w:val="24"/>
        </w:rPr>
      </w:pPr>
    </w:p>
    <w:p w:rsidR="001F4C93" w:rsidRDefault="001F4C93">
      <w:pPr>
        <w:rPr>
          <w:rFonts w:ascii="Times New Roman" w:hAnsi="Times New Roman" w:cs="Times New Roman"/>
          <w:sz w:val="24"/>
          <w:szCs w:val="24"/>
        </w:rPr>
      </w:pPr>
    </w:p>
    <w:p w:rsidR="001F4C93" w:rsidRDefault="001F4C93">
      <w:pPr>
        <w:rPr>
          <w:rFonts w:ascii="Times New Roman" w:hAnsi="Times New Roman" w:cs="Times New Roman"/>
          <w:sz w:val="24"/>
          <w:szCs w:val="24"/>
        </w:rPr>
      </w:pPr>
    </w:p>
    <w:p w:rsidR="006140B7" w:rsidRDefault="006140B7" w:rsidP="006140B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38368" cy="6701051"/>
            <wp:effectExtent l="0" t="0" r="0" b="5080"/>
            <wp:docPr id="10" name="Picture 10" descr="C:\Users\ZZHU\Dropbox\BJBIG\Figure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ZHU\Dropbox\BJBIG\Figure S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8583" cy="6701368"/>
                    </a:xfrm>
                    <a:prstGeom prst="rect">
                      <a:avLst/>
                    </a:prstGeom>
                    <a:noFill/>
                    <a:ln>
                      <a:noFill/>
                    </a:ln>
                  </pic:spPr>
                </pic:pic>
              </a:graphicData>
            </a:graphic>
          </wp:inline>
        </w:drawing>
      </w:r>
    </w:p>
    <w:p w:rsidR="006140B7" w:rsidRDefault="006140B7">
      <w:pPr>
        <w:rPr>
          <w:rFonts w:ascii="Times New Roman" w:hAnsi="Times New Roman" w:cs="Times New Roman"/>
          <w:sz w:val="24"/>
          <w:szCs w:val="24"/>
        </w:rPr>
      </w:pPr>
      <w:r w:rsidRPr="008F7A5B">
        <w:rPr>
          <w:rFonts w:ascii="Times New Roman" w:hAnsi="Times New Roman" w:cs="Times New Roman"/>
          <w:sz w:val="24"/>
          <w:szCs w:val="24"/>
        </w:rPr>
        <w:t>Figure S</w:t>
      </w:r>
      <w:r w:rsidR="00862FE4">
        <w:rPr>
          <w:rFonts w:ascii="Times New Roman" w:hAnsi="Times New Roman" w:cs="Times New Roman"/>
          <w:sz w:val="24"/>
          <w:szCs w:val="24"/>
        </w:rPr>
        <w:t>7</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Plasma </w:t>
      </w:r>
      <w:r w:rsidR="00A228B5">
        <w:rPr>
          <w:rFonts w:ascii="Times New Roman" w:hAnsi="Times New Roman" w:cs="Times New Roman"/>
          <w:sz w:val="24"/>
          <w:szCs w:val="24"/>
        </w:rPr>
        <w:t xml:space="preserve">HNE </w:t>
      </w:r>
      <w:r w:rsidR="001454EF">
        <w:rPr>
          <w:rFonts w:ascii="Times New Roman" w:hAnsi="Times New Roman" w:cs="Times New Roman"/>
          <w:sz w:val="24"/>
          <w:szCs w:val="24"/>
        </w:rPr>
        <w:t>and</w:t>
      </w:r>
      <w:r>
        <w:rPr>
          <w:rFonts w:ascii="Times New Roman" w:hAnsi="Times New Roman" w:cs="Times New Roman"/>
          <w:sz w:val="24"/>
          <w:szCs w:val="24"/>
        </w:rPr>
        <w:t xml:space="preserve"> </w:t>
      </w:r>
      <w:r w:rsidRPr="006140B7">
        <w:rPr>
          <w:rFonts w:ascii="Times New Roman" w:hAnsi="Times New Roman" w:cs="Times New Roman"/>
          <w:sz w:val="24"/>
          <w:szCs w:val="24"/>
        </w:rPr>
        <w:t>PI3</w:t>
      </w:r>
      <w:r w:rsidR="00A228B5">
        <w:rPr>
          <w:rFonts w:ascii="Times New Roman" w:hAnsi="Times New Roman" w:cs="Times New Roman"/>
          <w:sz w:val="24"/>
          <w:szCs w:val="24"/>
        </w:rPr>
        <w:t xml:space="preserve"> </w:t>
      </w:r>
      <w:r>
        <w:rPr>
          <w:rFonts w:ascii="Times New Roman" w:hAnsi="Times New Roman" w:cs="Times New Roman"/>
          <w:sz w:val="24"/>
          <w:szCs w:val="24"/>
        </w:rPr>
        <w:t>concentration levels in day 1, day 3 and day 7.</w:t>
      </w:r>
      <w:proofErr w:type="gramEnd"/>
      <w:r>
        <w:rPr>
          <w:rFonts w:ascii="Times New Roman" w:hAnsi="Times New Roman" w:cs="Times New Roman"/>
          <w:sz w:val="24"/>
          <w:szCs w:val="24"/>
        </w:rPr>
        <w:t xml:space="preserve"> HNE</w:t>
      </w:r>
      <w:r w:rsidRPr="006140B7">
        <w:rPr>
          <w:rFonts w:ascii="Times New Roman" w:hAnsi="Times New Roman" w:cs="Times New Roman"/>
          <w:sz w:val="24"/>
          <w:szCs w:val="24"/>
        </w:rPr>
        <w:t xml:space="preserve"> levels were </w:t>
      </w:r>
      <w:r>
        <w:rPr>
          <w:rFonts w:ascii="Times New Roman" w:hAnsi="Times New Roman" w:cs="Times New Roman"/>
          <w:sz w:val="24"/>
          <w:szCs w:val="24"/>
        </w:rPr>
        <w:t>constantly higher</w:t>
      </w:r>
      <w:r w:rsidRPr="006140B7">
        <w:rPr>
          <w:rFonts w:ascii="Times New Roman" w:hAnsi="Times New Roman" w:cs="Times New Roman"/>
          <w:sz w:val="24"/>
          <w:szCs w:val="24"/>
        </w:rPr>
        <w:t xml:space="preserve"> in ARDS non-survivors than survivors</w:t>
      </w:r>
      <w:r>
        <w:rPr>
          <w:rFonts w:ascii="Times New Roman" w:hAnsi="Times New Roman" w:cs="Times New Roman"/>
          <w:sz w:val="24"/>
          <w:szCs w:val="24"/>
        </w:rPr>
        <w:t xml:space="preserve"> from day 1 to day 7. PI3</w:t>
      </w:r>
      <w:r w:rsidRPr="006140B7">
        <w:rPr>
          <w:rFonts w:ascii="Times New Roman" w:hAnsi="Times New Roman" w:cs="Times New Roman"/>
          <w:sz w:val="24"/>
          <w:szCs w:val="24"/>
        </w:rPr>
        <w:t xml:space="preserve"> levels were </w:t>
      </w:r>
      <w:r>
        <w:rPr>
          <w:rFonts w:ascii="Times New Roman" w:hAnsi="Times New Roman" w:cs="Times New Roman"/>
          <w:sz w:val="24"/>
          <w:szCs w:val="24"/>
        </w:rPr>
        <w:t>constantly</w:t>
      </w:r>
      <w:r w:rsidRPr="006140B7">
        <w:rPr>
          <w:rFonts w:ascii="Times New Roman" w:hAnsi="Times New Roman" w:cs="Times New Roman"/>
          <w:sz w:val="24"/>
          <w:szCs w:val="24"/>
        </w:rPr>
        <w:t xml:space="preserve"> lower in ARDS non-survivors than survivors</w:t>
      </w:r>
      <w:r>
        <w:rPr>
          <w:rFonts w:ascii="Times New Roman" w:hAnsi="Times New Roman" w:cs="Times New Roman"/>
          <w:sz w:val="24"/>
          <w:szCs w:val="24"/>
        </w:rPr>
        <w:t xml:space="preserve"> from day 1 to day 7. Due to consumption of HNE and PI3 during the disease progression, the concentration of HNE decreased over time, a delayed effect was observed in PI3 in response to HNE.</w:t>
      </w:r>
    </w:p>
    <w:p w:rsidR="00A228B5" w:rsidRDefault="00A228B5">
      <w:pPr>
        <w:rPr>
          <w:rFonts w:ascii="Times New Roman" w:hAnsi="Times New Roman" w:cs="Times New Roman"/>
          <w:sz w:val="24"/>
          <w:szCs w:val="24"/>
        </w:rPr>
      </w:pPr>
    </w:p>
    <w:p w:rsidR="00A228B5" w:rsidRDefault="00A228B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592782"/>
            <wp:effectExtent l="0" t="0" r="0" b="0"/>
            <wp:docPr id="9" name="Picture 9" descr="C:\Users\ZZHU\Dropbox\BJBIG\data\bioh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HU\Dropbox\BJBIG\data\biohea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A228B5" w:rsidRDefault="00A228B5" w:rsidP="00A228B5">
      <w:pPr>
        <w:rPr>
          <w:rFonts w:ascii="Times New Roman" w:hAnsi="Times New Roman" w:cs="Times New Roman"/>
          <w:sz w:val="24"/>
          <w:szCs w:val="24"/>
        </w:rPr>
      </w:pPr>
      <w:r w:rsidRPr="008F7A5B">
        <w:rPr>
          <w:rFonts w:ascii="Times New Roman" w:hAnsi="Times New Roman" w:cs="Times New Roman"/>
          <w:sz w:val="24"/>
          <w:szCs w:val="24"/>
        </w:rPr>
        <w:t>Figure S</w:t>
      </w:r>
      <w:r w:rsidR="00862FE4">
        <w:rPr>
          <w:rFonts w:ascii="Times New Roman" w:hAnsi="Times New Roman" w:cs="Times New Roman"/>
          <w:sz w:val="24"/>
          <w:szCs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Heatmap</w:t>
      </w:r>
      <w:proofErr w:type="spellEnd"/>
      <w:r>
        <w:rPr>
          <w:rFonts w:ascii="Times New Roman" w:hAnsi="Times New Roman" w:cs="Times New Roman"/>
          <w:sz w:val="24"/>
          <w:szCs w:val="24"/>
        </w:rPr>
        <w:t xml:space="preserve"> of correlation among plasma HNE and </w:t>
      </w:r>
      <w:r w:rsidRPr="006140B7">
        <w:rPr>
          <w:rFonts w:ascii="Times New Roman" w:hAnsi="Times New Roman" w:cs="Times New Roman"/>
          <w:sz w:val="24"/>
          <w:szCs w:val="24"/>
        </w:rPr>
        <w:t>PI3</w:t>
      </w:r>
      <w:r>
        <w:rPr>
          <w:rFonts w:ascii="Times New Roman" w:hAnsi="Times New Roman" w:cs="Times New Roman"/>
          <w:sz w:val="24"/>
          <w:szCs w:val="24"/>
        </w:rPr>
        <w:t xml:space="preserve"> concentration levels in day 1, day 3 and day 7 with the lowest and highest white blood cell (WBC) counts. HNE levels were positively correlated with WBC counts, whereas PI3 levels were negatively correlated with WBC counts</w:t>
      </w:r>
    </w:p>
    <w:p w:rsidR="00A228B5" w:rsidRPr="008F7A5B" w:rsidRDefault="00A228B5">
      <w:pPr>
        <w:rPr>
          <w:rFonts w:ascii="Times New Roman" w:hAnsi="Times New Roman" w:cs="Times New Roman"/>
          <w:sz w:val="24"/>
          <w:szCs w:val="24"/>
        </w:rPr>
      </w:pPr>
    </w:p>
    <w:sectPr w:rsidR="00A228B5" w:rsidRPr="008F7A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52D"/>
    <w:rsid w:val="00065584"/>
    <w:rsid w:val="001454EF"/>
    <w:rsid w:val="001F4C93"/>
    <w:rsid w:val="002B2C1E"/>
    <w:rsid w:val="002C5818"/>
    <w:rsid w:val="002D3CD7"/>
    <w:rsid w:val="003313B7"/>
    <w:rsid w:val="00360C29"/>
    <w:rsid w:val="003D2372"/>
    <w:rsid w:val="003D7775"/>
    <w:rsid w:val="003E0E2C"/>
    <w:rsid w:val="00472C22"/>
    <w:rsid w:val="0053247A"/>
    <w:rsid w:val="005A399B"/>
    <w:rsid w:val="006140B7"/>
    <w:rsid w:val="00632355"/>
    <w:rsid w:val="006738B1"/>
    <w:rsid w:val="007370F3"/>
    <w:rsid w:val="007E385E"/>
    <w:rsid w:val="00862FE4"/>
    <w:rsid w:val="008E6765"/>
    <w:rsid w:val="008F7A5B"/>
    <w:rsid w:val="009152A2"/>
    <w:rsid w:val="009E2DBE"/>
    <w:rsid w:val="009E6753"/>
    <w:rsid w:val="00A228B5"/>
    <w:rsid w:val="00AB1746"/>
    <w:rsid w:val="00B06AC3"/>
    <w:rsid w:val="00B81BD9"/>
    <w:rsid w:val="00BC4756"/>
    <w:rsid w:val="00C1164C"/>
    <w:rsid w:val="00C23660"/>
    <w:rsid w:val="00C47B0A"/>
    <w:rsid w:val="00C756AC"/>
    <w:rsid w:val="00C76367"/>
    <w:rsid w:val="00CE58C2"/>
    <w:rsid w:val="00DC752D"/>
    <w:rsid w:val="00E36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5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6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5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6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951015">
      <w:bodyDiv w:val="1"/>
      <w:marLeft w:val="0"/>
      <w:marRight w:val="0"/>
      <w:marTop w:val="0"/>
      <w:marBottom w:val="0"/>
      <w:divBdr>
        <w:top w:val="none" w:sz="0" w:space="0" w:color="auto"/>
        <w:left w:val="none" w:sz="0" w:space="0" w:color="auto"/>
        <w:bottom w:val="none" w:sz="0" w:space="0" w:color="auto"/>
        <w:right w:val="none" w:sz="0" w:space="0" w:color="auto"/>
      </w:divBdr>
    </w:div>
    <w:div w:id="127297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10</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HSPH</Company>
  <LinksUpToDate>false</LinksUpToDate>
  <CharactersWithSpaces>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38</cp:revision>
  <dcterms:created xsi:type="dcterms:W3CDTF">2016-08-14T15:28:00Z</dcterms:created>
  <dcterms:modified xsi:type="dcterms:W3CDTF">2017-01-20T00:14:00Z</dcterms:modified>
</cp:coreProperties>
</file>