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418" w:tblpY="3038"/>
        <w:tblW w:w="498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934"/>
        <w:gridCol w:w="480"/>
        <w:gridCol w:w="934"/>
        <w:gridCol w:w="533"/>
        <w:gridCol w:w="934"/>
        <w:gridCol w:w="614"/>
        <w:gridCol w:w="777"/>
      </w:tblGrid>
      <w:tr w:rsidR="00BF1A19" w:rsidRPr="00BF1A19" w:rsidTr="00BF1A19">
        <w:trPr>
          <w:cantSplit/>
          <w:tblHeader/>
        </w:trPr>
        <w:tc>
          <w:tcPr>
            <w:tcW w:w="2117" w:type="pct"/>
            <w:vMerge w:val="restart"/>
            <w:tcBorders>
              <w:top w:val="single" w:sz="10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Total</w:t>
            </w:r>
          </w:p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(</w:t>
            </w:r>
            <w:proofErr w:type="gramStart"/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n</w:t>
            </w:r>
            <w:proofErr w:type="gramEnd"/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=136)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ICU deaths after day 3</w:t>
            </w:r>
          </w:p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(</w:t>
            </w:r>
            <w:proofErr w:type="gramStart"/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n</w:t>
            </w:r>
            <w:proofErr w:type="gramEnd"/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=85)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ICU deaths before day 3</w:t>
            </w:r>
          </w:p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(</w:t>
            </w:r>
            <w:proofErr w:type="gramStart"/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n</w:t>
            </w:r>
            <w:proofErr w:type="gramEnd"/>
            <w:r w:rsidRPr="00BF1A19">
              <w:rPr>
                <w:rFonts w:ascii="Arial" w:hAnsi="Arial" w:cs="Arial"/>
                <w:bCs/>
                <w:color w:val="000000"/>
                <w:szCs w:val="24"/>
                <w:lang w:val="en-GB" w:eastAsia="fr-FR"/>
              </w:rPr>
              <w:t>=51)</w:t>
            </w:r>
          </w:p>
        </w:tc>
        <w:tc>
          <w:tcPr>
            <w:tcW w:w="430" w:type="pct"/>
            <w:tcBorders>
              <w:top w:val="single" w:sz="10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  <w:tblHeader/>
        </w:trPr>
        <w:tc>
          <w:tcPr>
            <w:tcW w:w="2117" w:type="pct"/>
            <w:vMerge/>
            <w:tcBorders>
              <w:top w:val="single" w:sz="10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N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</w:pPr>
            <w:proofErr w:type="gramStart"/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p</w:t>
            </w:r>
            <w:proofErr w:type="gramEnd"/>
            <w:r w:rsidRPr="00BF1A19">
              <w:rPr>
                <w:rFonts w:ascii="Arial" w:hAnsi="Arial" w:cs="Arial"/>
                <w:b/>
                <w:bCs/>
                <w:color w:val="000000"/>
                <w:szCs w:val="24"/>
                <w:lang w:val="en-GB" w:eastAsia="fr-FR"/>
              </w:rPr>
              <w:t>-value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Age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28%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18%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0.04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&lt; 60</w:t>
            </w:r>
            <w:bookmarkStart w:id="0" w:name="_GoBack"/>
            <w:bookmarkEnd w:id="0"/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33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95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340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[60-70</w:t>
            </w: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softHyphen/>
            </w: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softHyphen/>
              <w:t>]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35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26%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19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22%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16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31%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[70-80]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43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32%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22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26%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21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41%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&gt;= 80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25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18%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20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Gender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66</w:t>
            </w:r>
          </w:p>
        </w:tc>
        <w:tc>
          <w:tcPr>
            <w:tcW w:w="295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78%</w:t>
            </w:r>
          </w:p>
        </w:tc>
        <w:tc>
          <w:tcPr>
            <w:tcW w:w="517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38</w:t>
            </w:r>
          </w:p>
        </w:tc>
        <w:tc>
          <w:tcPr>
            <w:tcW w:w="340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75%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0.67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Men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104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76%</w:t>
            </w: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95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340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Women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32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19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22%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13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25%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BMI ≥ 30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33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20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13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25%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0.62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Comorbidities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Immunosuppression (including cancer)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48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35%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36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42%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0.03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Chronic Heart Failure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0.76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 xml:space="preserve">Chronic Respiratory Failure 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0.86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 xml:space="preserve">Cirrhosis 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17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13%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11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13%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12%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0.84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Chronic Renal failure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12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11%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0.34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09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 xml:space="preserve">Diabetes 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34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25%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28%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20%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0.26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Mode of admission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74</w:t>
            </w:r>
          </w:p>
        </w:tc>
        <w:tc>
          <w:tcPr>
            <w:tcW w:w="295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87%</w:t>
            </w:r>
          </w:p>
        </w:tc>
        <w:tc>
          <w:tcPr>
            <w:tcW w:w="517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43</w:t>
            </w:r>
          </w:p>
        </w:tc>
        <w:tc>
          <w:tcPr>
            <w:tcW w:w="340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84%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0.65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Medical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117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86%</w:t>
            </w: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95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340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Surgical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19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14%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11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13%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16%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SAPS II </w:t>
            </w:r>
            <w:proofErr w:type="gramStart"/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≥  56</w:t>
            </w:r>
            <w:proofErr w:type="gramEnd"/>
            <w:r w:rsidRPr="00BF1A19">
              <w:rPr>
                <w:rFonts w:ascii="Arial" w:hAnsi="Arial" w:cs="Arial"/>
                <w:b/>
                <w:color w:val="000000"/>
                <w:szCs w:val="24"/>
                <w:vertAlign w:val="superscript"/>
                <w:lang w:val="en-GB" w:eastAsia="fr-FR"/>
              </w:rPr>
              <w:t>†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101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74%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57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67%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44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86%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0.01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SOFA </w:t>
            </w:r>
            <w:proofErr w:type="gramStart"/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≥  11</w:t>
            </w:r>
            <w:proofErr w:type="gramEnd"/>
            <w:r w:rsidRPr="00BF1A19">
              <w:rPr>
                <w:rFonts w:ascii="Arial" w:hAnsi="Arial" w:cs="Arial"/>
                <w:b/>
                <w:color w:val="000000"/>
                <w:szCs w:val="24"/>
                <w:vertAlign w:val="superscript"/>
                <w:lang w:val="en-GB" w:eastAsia="fr-FR"/>
              </w:rPr>
              <w:t>†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108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79%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59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69%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49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96%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0.002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Type of infection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32</w:t>
            </w:r>
          </w:p>
        </w:tc>
        <w:tc>
          <w:tcPr>
            <w:tcW w:w="295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38%</w:t>
            </w:r>
          </w:p>
        </w:tc>
        <w:tc>
          <w:tcPr>
            <w:tcW w:w="517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26</w:t>
            </w:r>
          </w:p>
        </w:tc>
        <w:tc>
          <w:tcPr>
            <w:tcW w:w="340" w:type="pct"/>
            <w:vMerge w:val="restar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51%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0.13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Community acquired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58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43%</w:t>
            </w: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295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517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340" w:type="pct"/>
            <w:vMerge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Nosocomial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78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57%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53</w:t>
            </w:r>
          </w:p>
        </w:tc>
        <w:tc>
          <w:tcPr>
            <w:tcW w:w="295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62%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25</w:t>
            </w:r>
          </w:p>
        </w:tc>
        <w:tc>
          <w:tcPr>
            <w:tcW w:w="340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49%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Site(s) of infection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  <w:lang w:val="en-GB" w:eastAsia="fr-FR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Respiratory tract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85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63%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71%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49%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0.01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Abdominal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23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17%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16%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18%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0.86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Urinary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12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0.75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Bacteraemia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21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15%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12%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22%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0.12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Another site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0.83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At least one identified pathogen 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79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58%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58%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59%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0.89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spacing w:after="0"/>
              <w:outlineLvl w:val="0"/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Corticosteroid therapy 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99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73%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74%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71%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0.65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Epinephrine / </w:t>
            </w:r>
            <w:proofErr w:type="spellStart"/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dobutamine</w:t>
            </w:r>
            <w:proofErr w:type="spellEnd"/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 therapy </w:t>
            </w:r>
          </w:p>
        </w:tc>
        <w:tc>
          <w:tcPr>
            <w:tcW w:w="517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43</w:t>
            </w:r>
          </w:p>
        </w:tc>
        <w:tc>
          <w:tcPr>
            <w:tcW w:w="266" w:type="pct"/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32%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36%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24%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0.12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>Mechanical ventilation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134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99%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84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99%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99%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0.88</w:t>
            </w:r>
          </w:p>
        </w:tc>
      </w:tr>
      <w:tr w:rsidR="00BF1A19" w:rsidRPr="00BF1A19" w:rsidTr="00BF1A19">
        <w:trPr>
          <w:cantSplit/>
        </w:trPr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b/>
                <w:color w:val="000000"/>
                <w:szCs w:val="24"/>
                <w:lang w:val="en-GB" w:eastAsia="fr-FR"/>
              </w:rPr>
              <w:t xml:space="preserve">Renal Replacement Therapy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68%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78%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53%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1A19" w:rsidRPr="00BF1A19" w:rsidRDefault="00BF1A19" w:rsidP="00BF1A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Cs w:val="24"/>
                <w:lang w:val="en-GB" w:eastAsia="fr-FR"/>
              </w:rPr>
            </w:pPr>
            <w:proofErr w:type="gramStart"/>
            <w:r w:rsidRPr="00BF1A19">
              <w:rPr>
                <w:rFonts w:ascii="Arial" w:hAnsi="Arial" w:cs="Arial"/>
                <w:color w:val="000000"/>
                <w:szCs w:val="24"/>
                <w:lang w:val="en-GB" w:eastAsia="fr-FR"/>
              </w:rPr>
              <w:t>&lt;.001</w:t>
            </w:r>
            <w:proofErr w:type="gramEnd"/>
          </w:p>
        </w:tc>
      </w:tr>
    </w:tbl>
    <w:p w:rsidR="00BF1A19" w:rsidRPr="00BF1A19" w:rsidRDefault="00BF1A19">
      <w:pPr>
        <w:rPr>
          <w:sz w:val="24"/>
        </w:rPr>
      </w:pPr>
      <w:proofErr w:type="spellStart"/>
      <w:r w:rsidRPr="00BF1A19">
        <w:rPr>
          <w:b/>
          <w:sz w:val="24"/>
        </w:rPr>
        <w:t>Supplemental</w:t>
      </w:r>
      <w:proofErr w:type="spellEnd"/>
      <w:r w:rsidRPr="00BF1A19">
        <w:rPr>
          <w:b/>
          <w:sz w:val="24"/>
        </w:rPr>
        <w:t xml:space="preserve"> Table 1 </w:t>
      </w:r>
      <w:r w:rsidRPr="00BF1A19">
        <w:rPr>
          <w:sz w:val="24"/>
        </w:rPr>
        <w:t xml:space="preserve">: </w:t>
      </w:r>
      <w:proofErr w:type="spellStart"/>
      <w:r w:rsidRPr="00BF1A19">
        <w:rPr>
          <w:sz w:val="24"/>
        </w:rPr>
        <w:t>Characteristics</w:t>
      </w:r>
      <w:proofErr w:type="spellEnd"/>
      <w:r w:rsidRPr="00BF1A19">
        <w:rPr>
          <w:sz w:val="24"/>
        </w:rPr>
        <w:t xml:space="preserve"> of patients </w:t>
      </w:r>
      <w:proofErr w:type="spellStart"/>
      <w:r w:rsidRPr="00BF1A19">
        <w:rPr>
          <w:sz w:val="24"/>
        </w:rPr>
        <w:t>dead</w:t>
      </w:r>
      <w:proofErr w:type="spellEnd"/>
      <w:r w:rsidRPr="00BF1A19">
        <w:rPr>
          <w:sz w:val="24"/>
        </w:rPr>
        <w:t xml:space="preserve"> </w:t>
      </w:r>
      <w:proofErr w:type="spellStart"/>
      <w:r w:rsidRPr="00BF1A19">
        <w:rPr>
          <w:sz w:val="24"/>
        </w:rPr>
        <w:t>before</w:t>
      </w:r>
      <w:proofErr w:type="spellEnd"/>
      <w:r w:rsidRPr="00BF1A19">
        <w:rPr>
          <w:sz w:val="24"/>
        </w:rPr>
        <w:t xml:space="preserve"> and </w:t>
      </w:r>
      <w:proofErr w:type="spellStart"/>
      <w:r w:rsidRPr="00BF1A19">
        <w:rPr>
          <w:sz w:val="24"/>
        </w:rPr>
        <w:t>after</w:t>
      </w:r>
      <w:proofErr w:type="spellEnd"/>
      <w:r w:rsidRPr="00BF1A19">
        <w:rPr>
          <w:sz w:val="24"/>
        </w:rPr>
        <w:t xml:space="preserve"> </w:t>
      </w:r>
      <w:proofErr w:type="spellStart"/>
      <w:r w:rsidRPr="00BF1A19">
        <w:rPr>
          <w:sz w:val="24"/>
        </w:rPr>
        <w:t>day</w:t>
      </w:r>
      <w:proofErr w:type="spellEnd"/>
      <w:r w:rsidRPr="00BF1A19">
        <w:rPr>
          <w:sz w:val="24"/>
        </w:rPr>
        <w:t xml:space="preserve"> 3 in ICU </w:t>
      </w:r>
    </w:p>
    <w:sectPr w:rsidR="00BF1A19" w:rsidRPr="00BF1A19" w:rsidSect="00256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9"/>
    <w:rsid w:val="002563B4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A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1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1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1276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 Dargent</dc:creator>
  <cp:keywords/>
  <dc:description/>
  <cp:lastModifiedBy>Auguste Dargent</cp:lastModifiedBy>
  <cp:revision>1</cp:revision>
  <dcterms:created xsi:type="dcterms:W3CDTF">2017-07-28T10:27:00Z</dcterms:created>
  <dcterms:modified xsi:type="dcterms:W3CDTF">2017-07-28T10:31:00Z</dcterms:modified>
</cp:coreProperties>
</file>