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A" w:rsidRPr="008B753A" w:rsidRDefault="006418AA" w:rsidP="00B62D6B">
      <w:pPr>
        <w:spacing w:line="480" w:lineRule="auto"/>
        <w:jc w:val="both"/>
        <w:rPr>
          <w:b/>
          <w:iCs/>
          <w:sz w:val="40"/>
          <w:szCs w:val="26"/>
        </w:rPr>
      </w:pPr>
      <w:bookmarkStart w:id="0" w:name="_GoBack"/>
      <w:bookmarkEnd w:id="0"/>
      <w:r w:rsidRPr="008B753A">
        <w:rPr>
          <w:b/>
          <w:iCs/>
          <w:sz w:val="40"/>
          <w:szCs w:val="26"/>
        </w:rPr>
        <w:t>SUPPLEMENTAL DIGITAL CONTENT</w:t>
      </w:r>
    </w:p>
    <w:p w:rsidR="00BE33FD" w:rsidRPr="00647EB8" w:rsidRDefault="00BE33FD" w:rsidP="00BE33FD">
      <w:pPr>
        <w:spacing w:after="60" w:line="480" w:lineRule="auto"/>
        <w:rPr>
          <w:b/>
          <w:i/>
          <w:sz w:val="26"/>
          <w:szCs w:val="26"/>
        </w:rPr>
      </w:pPr>
      <w:r w:rsidRPr="00647EB8">
        <w:rPr>
          <w:b/>
          <w:i/>
          <w:sz w:val="26"/>
          <w:szCs w:val="26"/>
        </w:rPr>
        <w:t>Independent variable</w:t>
      </w:r>
      <w:r w:rsidR="007A64EE">
        <w:rPr>
          <w:b/>
          <w:i/>
          <w:sz w:val="26"/>
          <w:szCs w:val="26"/>
        </w:rPr>
        <w:t>/model</w:t>
      </w:r>
      <w:r w:rsidRPr="00647EB8">
        <w:rPr>
          <w:b/>
          <w:i/>
          <w:sz w:val="26"/>
          <w:szCs w:val="26"/>
        </w:rPr>
        <w:t xml:space="preserve"> selection process</w:t>
      </w:r>
    </w:p>
    <w:p w:rsidR="00BE33FD" w:rsidRDefault="00BE33FD" w:rsidP="00B861BD">
      <w:pPr>
        <w:spacing w:after="0" w:line="480" w:lineRule="auto"/>
        <w:jc w:val="both"/>
        <w:rPr>
          <w:sz w:val="24"/>
          <w:szCs w:val="26"/>
        </w:rPr>
      </w:pPr>
      <w:r w:rsidRPr="00B30135">
        <w:rPr>
          <w:sz w:val="24"/>
          <w:szCs w:val="26"/>
        </w:rPr>
        <w:t>Highly correlated variables</w:t>
      </w:r>
      <w:r>
        <w:rPr>
          <w:sz w:val="24"/>
          <w:szCs w:val="26"/>
        </w:rPr>
        <w:t xml:space="preserve"> were tested separately in the regression models.</w:t>
      </w:r>
      <w:r w:rsidRPr="00B30135">
        <w:rPr>
          <w:sz w:val="24"/>
          <w:szCs w:val="26"/>
        </w:rPr>
        <w:t xml:space="preserve"> </w:t>
      </w:r>
    </w:p>
    <w:p w:rsidR="00BE33FD" w:rsidRDefault="00BE33FD" w:rsidP="00B861BD">
      <w:pPr>
        <w:spacing w:after="60" w:line="480" w:lineRule="auto"/>
        <w:jc w:val="both"/>
        <w:rPr>
          <w:sz w:val="24"/>
          <w:szCs w:val="26"/>
        </w:rPr>
      </w:pPr>
      <w:r w:rsidRPr="00830108">
        <w:rPr>
          <w:i/>
          <w:sz w:val="24"/>
          <w:szCs w:val="26"/>
          <w:u w:val="single"/>
        </w:rPr>
        <w:t>Age, burn type, weight, BMI-for-age z-score</w:t>
      </w:r>
      <w:r>
        <w:rPr>
          <w:sz w:val="24"/>
          <w:szCs w:val="26"/>
        </w:rPr>
        <w:t xml:space="preserve">: </w:t>
      </w:r>
      <w:r w:rsidRPr="007029C1">
        <w:rPr>
          <w:sz w:val="24"/>
          <w:szCs w:val="26"/>
        </w:rPr>
        <w:t>Age</w:t>
      </w:r>
      <w:r>
        <w:rPr>
          <w:sz w:val="24"/>
          <w:szCs w:val="26"/>
        </w:rPr>
        <w:t xml:space="preserve"> was highly correlated with both weight and burn type, with younger patients being more likely to have suffered a scald burn. In most models, all 3 variables were significant predictors of the outcomes; however, when all 3 or any 2 of them were included, the models suffered from </w:t>
      </w:r>
      <w:proofErr w:type="spellStart"/>
      <w:r>
        <w:rPr>
          <w:sz w:val="24"/>
          <w:szCs w:val="26"/>
        </w:rPr>
        <w:t>multico</w:t>
      </w:r>
      <w:r w:rsidR="00B90F05">
        <w:rPr>
          <w:sz w:val="24"/>
          <w:szCs w:val="26"/>
        </w:rPr>
        <w:t>l</w:t>
      </w:r>
      <w:r>
        <w:rPr>
          <w:sz w:val="24"/>
          <w:szCs w:val="26"/>
        </w:rPr>
        <w:t>linearity</w:t>
      </w:r>
      <w:proofErr w:type="spellEnd"/>
      <w:r>
        <w:rPr>
          <w:sz w:val="24"/>
          <w:szCs w:val="26"/>
        </w:rPr>
        <w:t xml:space="preserve">. When each variable was tested while the other two were excluded, models with age or weight had lower BIC. Therefore, burn type was excluded. In an attempt to investigate a potential effect of body weight independent of age, we calculated the BMI-for-age z-scores for each patient. BMI-for-age z-score was not a significant predictor of any outcome. Likelihood ratio test was used to assess the effect of </w:t>
      </w:r>
      <w:r w:rsidRPr="00170FED">
        <w:rPr>
          <w:sz w:val="24"/>
          <w:szCs w:val="26"/>
        </w:rPr>
        <w:t>BMI</w:t>
      </w:r>
      <w:r>
        <w:rPr>
          <w:sz w:val="24"/>
          <w:szCs w:val="26"/>
        </w:rPr>
        <w:t xml:space="preserve">-for-age z-score when added to models including age. </w:t>
      </w:r>
      <w:r w:rsidRPr="00170FED">
        <w:rPr>
          <w:sz w:val="24"/>
          <w:szCs w:val="26"/>
        </w:rPr>
        <w:t>BMI</w:t>
      </w:r>
      <w:r>
        <w:rPr>
          <w:sz w:val="24"/>
          <w:szCs w:val="26"/>
        </w:rPr>
        <w:t>-for-age z-score did not significantly improve any of the models, and thus, only age was included in the final analysis.</w:t>
      </w:r>
    </w:p>
    <w:p w:rsidR="00BE33FD" w:rsidRDefault="00BE33FD" w:rsidP="00B861BD">
      <w:pPr>
        <w:spacing w:after="60" w:line="480" w:lineRule="auto"/>
        <w:jc w:val="both"/>
        <w:rPr>
          <w:sz w:val="24"/>
          <w:szCs w:val="26"/>
        </w:rPr>
      </w:pPr>
      <w:r w:rsidRPr="00830108">
        <w:rPr>
          <w:i/>
          <w:sz w:val="24"/>
          <w:szCs w:val="26"/>
          <w:u w:val="single"/>
        </w:rPr>
        <w:t>TBSA</w:t>
      </w:r>
      <w:r>
        <w:rPr>
          <w:i/>
          <w:sz w:val="24"/>
          <w:szCs w:val="26"/>
          <w:u w:val="single"/>
        </w:rPr>
        <w:t>-</w:t>
      </w:r>
      <w:r w:rsidRPr="00830108">
        <w:rPr>
          <w:i/>
          <w:sz w:val="24"/>
          <w:szCs w:val="26"/>
          <w:u w:val="single"/>
        </w:rPr>
        <w:t>b, TBSA</w:t>
      </w:r>
      <w:r>
        <w:rPr>
          <w:i/>
          <w:sz w:val="24"/>
          <w:szCs w:val="26"/>
          <w:u w:val="single"/>
        </w:rPr>
        <w:t>-</w:t>
      </w:r>
      <w:r w:rsidRPr="00830108">
        <w:rPr>
          <w:i/>
          <w:sz w:val="24"/>
          <w:szCs w:val="26"/>
          <w:u w:val="single"/>
        </w:rPr>
        <w:t>3</w:t>
      </w:r>
      <w:r w:rsidRPr="00830108">
        <w:rPr>
          <w:i/>
          <w:sz w:val="24"/>
          <w:szCs w:val="26"/>
          <w:u w:val="single"/>
          <w:vertAlign w:val="superscript"/>
        </w:rPr>
        <w:t>rd</w:t>
      </w:r>
      <w:r>
        <w:rPr>
          <w:sz w:val="24"/>
          <w:szCs w:val="26"/>
        </w:rPr>
        <w:t>: When both TBSA-b and TBSA-3</w:t>
      </w:r>
      <w:r w:rsidRPr="00F31CE5">
        <w:rPr>
          <w:sz w:val="24"/>
          <w:szCs w:val="26"/>
          <w:vertAlign w:val="superscript"/>
        </w:rPr>
        <w:t>rd</w:t>
      </w:r>
      <w:r>
        <w:rPr>
          <w:sz w:val="24"/>
          <w:szCs w:val="26"/>
        </w:rPr>
        <w:t xml:space="preserve"> were included in the analysis, models suffered from </w:t>
      </w:r>
      <w:proofErr w:type="spellStart"/>
      <w:r>
        <w:rPr>
          <w:sz w:val="24"/>
          <w:szCs w:val="26"/>
        </w:rPr>
        <w:t>multico</w:t>
      </w:r>
      <w:r w:rsidR="00B90F05">
        <w:rPr>
          <w:sz w:val="24"/>
          <w:szCs w:val="26"/>
        </w:rPr>
        <w:t>l</w:t>
      </w:r>
      <w:r>
        <w:rPr>
          <w:sz w:val="24"/>
          <w:szCs w:val="26"/>
        </w:rPr>
        <w:t>linearity</w:t>
      </w:r>
      <w:proofErr w:type="spellEnd"/>
      <w:r>
        <w:rPr>
          <w:sz w:val="24"/>
          <w:szCs w:val="26"/>
        </w:rPr>
        <w:t>. In almost all cases, TBSA-3</w:t>
      </w:r>
      <w:r w:rsidRPr="00F31CE5">
        <w:rPr>
          <w:sz w:val="24"/>
          <w:szCs w:val="26"/>
          <w:vertAlign w:val="superscript"/>
        </w:rPr>
        <w:t>rd</w:t>
      </w:r>
      <w:r>
        <w:rPr>
          <w:sz w:val="24"/>
          <w:szCs w:val="26"/>
        </w:rPr>
        <w:t xml:space="preserve"> was a better predictor of the outcome than TBSA-b, and therefore TBSA-3</w:t>
      </w:r>
      <w:r w:rsidRPr="00F31CE5">
        <w:rPr>
          <w:sz w:val="24"/>
          <w:szCs w:val="26"/>
          <w:vertAlign w:val="superscript"/>
        </w:rPr>
        <w:t>rd</w:t>
      </w:r>
      <w:r>
        <w:rPr>
          <w:sz w:val="24"/>
          <w:szCs w:val="26"/>
        </w:rPr>
        <w:t>, was used in the final analysis.</w:t>
      </w:r>
    </w:p>
    <w:p w:rsidR="00BE33FD" w:rsidRDefault="00BE33FD" w:rsidP="00B861BD">
      <w:pPr>
        <w:spacing w:after="60" w:line="480" w:lineRule="auto"/>
        <w:jc w:val="both"/>
        <w:rPr>
          <w:sz w:val="24"/>
          <w:szCs w:val="26"/>
        </w:rPr>
      </w:pPr>
      <w:r>
        <w:rPr>
          <w:i/>
          <w:sz w:val="24"/>
          <w:szCs w:val="26"/>
          <w:u w:val="single"/>
        </w:rPr>
        <w:t xml:space="preserve">Sepsis and </w:t>
      </w:r>
      <w:r w:rsidRPr="00A028EC">
        <w:rPr>
          <w:i/>
          <w:sz w:val="24"/>
          <w:szCs w:val="26"/>
          <w:u w:val="single"/>
        </w:rPr>
        <w:t>Inhalation injury</w:t>
      </w:r>
      <w:r>
        <w:rPr>
          <w:sz w:val="24"/>
          <w:szCs w:val="26"/>
        </w:rPr>
        <w:t xml:space="preserve">: Presence of sepsis but not inhalation injury was significantly associated with the outcome and was included in the final models. </w:t>
      </w:r>
    </w:p>
    <w:p w:rsidR="00BE33FD" w:rsidRDefault="00BE33FD" w:rsidP="00B861BD">
      <w:pPr>
        <w:spacing w:after="60" w:line="480" w:lineRule="auto"/>
        <w:jc w:val="both"/>
        <w:rPr>
          <w:sz w:val="24"/>
          <w:szCs w:val="26"/>
        </w:rPr>
      </w:pPr>
      <w:r w:rsidRPr="003C269F">
        <w:rPr>
          <w:i/>
          <w:sz w:val="24"/>
          <w:szCs w:val="26"/>
          <w:u w:val="single"/>
        </w:rPr>
        <w:t>A2S, B2S</w:t>
      </w:r>
      <w:r>
        <w:rPr>
          <w:sz w:val="24"/>
          <w:szCs w:val="26"/>
        </w:rPr>
        <w:t>: Models including A2S had lower BIC than models with B2S; therefore A2S was used.</w:t>
      </w:r>
      <w:r w:rsidRPr="00C80AB7">
        <w:rPr>
          <w:rFonts w:cs="Arial"/>
          <w:sz w:val="24"/>
          <w:szCs w:val="26"/>
        </w:rPr>
        <w:t xml:space="preserve"> </w:t>
      </w:r>
      <w:r>
        <w:rPr>
          <w:rFonts w:cs="Arial"/>
          <w:sz w:val="24"/>
          <w:szCs w:val="26"/>
        </w:rPr>
        <w:t>A2S was used to</w:t>
      </w:r>
      <w:r>
        <w:rPr>
          <w:sz w:val="24"/>
          <w:szCs w:val="26"/>
        </w:rPr>
        <w:t xml:space="preserve"> assess the effect of time and adjust for the </w:t>
      </w:r>
      <w:r>
        <w:rPr>
          <w:rFonts w:cs="Arial"/>
          <w:sz w:val="24"/>
          <w:szCs w:val="24"/>
        </w:rPr>
        <w:t xml:space="preserve">varying </w:t>
      </w:r>
      <w:r w:rsidRPr="00A12125">
        <w:rPr>
          <w:rFonts w:cs="Arial"/>
          <w:sz w:val="24"/>
          <w:szCs w:val="24"/>
        </w:rPr>
        <w:t xml:space="preserve">time points </w:t>
      </w:r>
      <w:r>
        <w:rPr>
          <w:rFonts w:cs="Arial"/>
          <w:sz w:val="24"/>
          <w:szCs w:val="24"/>
        </w:rPr>
        <w:t>of mitochondrial studies.</w:t>
      </w:r>
    </w:p>
    <w:p w:rsidR="00BE33FD" w:rsidRDefault="00BE33FD" w:rsidP="00B861BD">
      <w:pPr>
        <w:spacing w:after="240" w:line="480" w:lineRule="auto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No</w:t>
      </w:r>
      <w:r w:rsidRPr="00B30135">
        <w:rPr>
          <w:sz w:val="24"/>
          <w:szCs w:val="26"/>
        </w:rPr>
        <w:t xml:space="preserve"> non-linear associations of the pre</w:t>
      </w:r>
      <w:r>
        <w:rPr>
          <w:sz w:val="24"/>
          <w:szCs w:val="26"/>
        </w:rPr>
        <w:t xml:space="preserve">dictors with the outcomes </w:t>
      </w:r>
      <w:r w:rsidRPr="00B30135">
        <w:rPr>
          <w:sz w:val="24"/>
          <w:szCs w:val="26"/>
        </w:rPr>
        <w:t>were found</w:t>
      </w:r>
      <w:r w:rsidR="005E5243">
        <w:rPr>
          <w:sz w:val="24"/>
          <w:szCs w:val="26"/>
        </w:rPr>
        <w:t>. The final models included 5</w:t>
      </w:r>
      <w:r>
        <w:rPr>
          <w:sz w:val="24"/>
          <w:szCs w:val="26"/>
        </w:rPr>
        <w:t xml:space="preserve"> independent variables: age, sex, </w:t>
      </w:r>
      <w:r w:rsidR="005E5243">
        <w:rPr>
          <w:sz w:val="24"/>
          <w:szCs w:val="26"/>
        </w:rPr>
        <w:t xml:space="preserve">sepsis, </w:t>
      </w:r>
      <w:r>
        <w:rPr>
          <w:sz w:val="24"/>
          <w:szCs w:val="26"/>
        </w:rPr>
        <w:t>TBSA-3</w:t>
      </w:r>
      <w:r w:rsidRPr="00327E2E">
        <w:rPr>
          <w:sz w:val="24"/>
          <w:szCs w:val="26"/>
          <w:vertAlign w:val="superscript"/>
        </w:rPr>
        <w:t>rd</w:t>
      </w:r>
      <w:r>
        <w:rPr>
          <w:sz w:val="24"/>
          <w:szCs w:val="26"/>
        </w:rPr>
        <w:t>, and A2S.</w:t>
      </w:r>
    </w:p>
    <w:p w:rsidR="00B861BD" w:rsidRPr="00820BE8" w:rsidRDefault="00B861BD" w:rsidP="00B861BD">
      <w:pPr>
        <w:spacing w:after="0" w:line="480" w:lineRule="auto"/>
        <w:jc w:val="both"/>
        <w:rPr>
          <w:rFonts w:cs="Arial"/>
          <w:i/>
          <w:sz w:val="24"/>
          <w:szCs w:val="26"/>
          <w:u w:val="single"/>
        </w:rPr>
      </w:pPr>
      <w:r w:rsidRPr="00820BE8">
        <w:rPr>
          <w:rFonts w:cs="Arial"/>
          <w:i/>
          <w:sz w:val="24"/>
          <w:szCs w:val="26"/>
          <w:u w:val="single"/>
        </w:rPr>
        <w:t>Where:</w:t>
      </w:r>
    </w:p>
    <w:p w:rsidR="00255F3D" w:rsidRDefault="00D86E7A" w:rsidP="00B861BD">
      <w:pPr>
        <w:spacing w:after="0" w:line="480" w:lineRule="auto"/>
        <w:jc w:val="both"/>
      </w:pPr>
      <w:r>
        <w:rPr>
          <w:rFonts w:cs="Arial"/>
          <w:sz w:val="24"/>
          <w:szCs w:val="26"/>
        </w:rPr>
        <w:t>A2S was defined as time from admission to study</w:t>
      </w:r>
      <w:r>
        <w:rPr>
          <w:rFonts w:cs="Arial"/>
          <w:sz w:val="24"/>
          <w:szCs w:val="26"/>
        </w:rPr>
        <w:t xml:space="preserve">, and </w:t>
      </w:r>
      <w:r w:rsidR="00255F3D">
        <w:rPr>
          <w:rFonts w:cs="Arial"/>
          <w:sz w:val="24"/>
          <w:szCs w:val="26"/>
        </w:rPr>
        <w:t>B2S was defined as time from burn injury to study. Body mass index (</w:t>
      </w:r>
      <w:r w:rsidR="00255F3D" w:rsidRPr="002E5749">
        <w:rPr>
          <w:rFonts w:cs="Arial"/>
          <w:sz w:val="24"/>
          <w:szCs w:val="26"/>
        </w:rPr>
        <w:t>BMI</w:t>
      </w:r>
      <w:r w:rsidR="00255F3D">
        <w:rPr>
          <w:rFonts w:cs="Arial"/>
          <w:sz w:val="24"/>
          <w:szCs w:val="26"/>
        </w:rPr>
        <w:t>)</w:t>
      </w:r>
      <w:r w:rsidR="00255F3D" w:rsidRPr="002E5749">
        <w:rPr>
          <w:rFonts w:cs="Arial"/>
          <w:sz w:val="24"/>
          <w:szCs w:val="26"/>
        </w:rPr>
        <w:t xml:space="preserve"> was calculated as weigh</w:t>
      </w:r>
      <w:r w:rsidR="00255F3D">
        <w:rPr>
          <w:rFonts w:cs="Arial"/>
          <w:sz w:val="24"/>
          <w:szCs w:val="26"/>
        </w:rPr>
        <w:t>t divided by height</w:t>
      </w:r>
      <w:r w:rsidR="00255F3D" w:rsidRPr="00647359">
        <w:rPr>
          <w:rFonts w:cs="Arial"/>
          <w:sz w:val="24"/>
          <w:szCs w:val="26"/>
        </w:rPr>
        <w:t xml:space="preserve"> squared</w:t>
      </w:r>
      <w:r w:rsidR="00255F3D">
        <w:rPr>
          <w:rFonts w:cs="Arial"/>
          <w:sz w:val="24"/>
          <w:szCs w:val="26"/>
        </w:rPr>
        <w:t xml:space="preserve"> (kg/</w:t>
      </w:r>
      <w:r w:rsidR="00255F3D" w:rsidRPr="002E5749">
        <w:rPr>
          <w:rFonts w:cs="Arial"/>
          <w:sz w:val="24"/>
          <w:szCs w:val="26"/>
        </w:rPr>
        <w:t>m</w:t>
      </w:r>
      <w:r w:rsidR="00255F3D" w:rsidRPr="002E5749">
        <w:rPr>
          <w:rFonts w:cs="Arial"/>
          <w:sz w:val="24"/>
          <w:szCs w:val="26"/>
          <w:vertAlign w:val="superscript"/>
        </w:rPr>
        <w:t>2</w:t>
      </w:r>
      <w:r w:rsidR="00255F3D" w:rsidRPr="002E5749">
        <w:rPr>
          <w:rFonts w:cs="Arial"/>
          <w:sz w:val="24"/>
          <w:szCs w:val="26"/>
        </w:rPr>
        <w:t>)</w:t>
      </w:r>
      <w:r w:rsidR="00255F3D">
        <w:rPr>
          <w:rFonts w:cs="Arial"/>
          <w:sz w:val="24"/>
          <w:szCs w:val="26"/>
        </w:rPr>
        <w:t>, using</w:t>
      </w:r>
      <w:r w:rsidR="00255F3D" w:rsidRPr="007B229D">
        <w:rPr>
          <w:rFonts w:cs="Arial"/>
          <w:sz w:val="24"/>
          <w:szCs w:val="26"/>
        </w:rPr>
        <w:t xml:space="preserve"> the weight recorded nearest to the study day</w:t>
      </w:r>
      <w:r w:rsidR="00255F3D" w:rsidRPr="00663011">
        <w:rPr>
          <w:rFonts w:cs="Arial"/>
          <w:sz w:val="24"/>
          <w:szCs w:val="26"/>
        </w:rPr>
        <w:t xml:space="preserve">. </w:t>
      </w:r>
      <w:r w:rsidR="00255F3D">
        <w:rPr>
          <w:rFonts w:cs="Arial"/>
          <w:sz w:val="24"/>
          <w:szCs w:val="26"/>
        </w:rPr>
        <w:t xml:space="preserve">Since BMI varies with age and sex in children, comparison of BMI to a reference standard that adjusts for </w:t>
      </w:r>
      <w:r w:rsidR="00255F3D" w:rsidRPr="00966081">
        <w:rPr>
          <w:rFonts w:cs="Arial"/>
          <w:sz w:val="24"/>
          <w:szCs w:val="26"/>
        </w:rPr>
        <w:t>age and sex</w:t>
      </w:r>
      <w:r w:rsidR="00255F3D">
        <w:rPr>
          <w:rFonts w:cs="Arial"/>
          <w:sz w:val="24"/>
          <w:szCs w:val="26"/>
        </w:rPr>
        <w:t xml:space="preserve"> is critical for using BMI as a meaningful assessment tool of weight status.</w:t>
      </w:r>
      <w:r w:rsidR="00255F3D" w:rsidRPr="00966081">
        <w:rPr>
          <w:rFonts w:cs="Arial"/>
          <w:sz w:val="24"/>
          <w:szCs w:val="26"/>
        </w:rPr>
        <w:t xml:space="preserve"> </w:t>
      </w:r>
      <w:r w:rsidR="00255F3D">
        <w:rPr>
          <w:rFonts w:cs="Arial"/>
          <w:sz w:val="24"/>
          <w:szCs w:val="26"/>
        </w:rPr>
        <w:t>BMI</w:t>
      </w:r>
      <w:r w:rsidR="00255F3D" w:rsidRPr="00F226A3">
        <w:rPr>
          <w:rFonts w:cs="Arial"/>
          <w:sz w:val="24"/>
          <w:szCs w:val="26"/>
        </w:rPr>
        <w:t xml:space="preserve"> </w:t>
      </w:r>
      <w:r w:rsidR="00255F3D" w:rsidRPr="00F226A3">
        <w:rPr>
          <w:rFonts w:cs="Arial"/>
          <w:i/>
          <w:iCs/>
          <w:sz w:val="24"/>
          <w:szCs w:val="26"/>
        </w:rPr>
        <w:t>z</w:t>
      </w:r>
      <w:r w:rsidR="00255F3D">
        <w:rPr>
          <w:rFonts w:cs="Arial"/>
          <w:sz w:val="24"/>
          <w:szCs w:val="26"/>
        </w:rPr>
        <w:t>-scores serve as</w:t>
      </w:r>
      <w:r w:rsidR="00255F3D" w:rsidRPr="00F226A3">
        <w:rPr>
          <w:rFonts w:cs="Arial"/>
          <w:sz w:val="24"/>
          <w:szCs w:val="26"/>
        </w:rPr>
        <w:t xml:space="preserve"> measures of relative weight adjusted for child age and sex</w:t>
      </w:r>
      <w:r w:rsidR="00255F3D">
        <w:rPr>
          <w:rFonts w:cs="Arial"/>
          <w:sz w:val="24"/>
          <w:szCs w:val="26"/>
        </w:rPr>
        <w:t xml:space="preserve"> </w:t>
      </w:r>
      <w:r w:rsidR="00255F3D">
        <w:rPr>
          <w:rFonts w:cs="Arial"/>
          <w:sz w:val="24"/>
          <w:szCs w:val="26"/>
        </w:rPr>
        <w:fldChar w:fldCharType="begin"/>
      </w:r>
      <w:r w:rsidR="00255F3D">
        <w:rPr>
          <w:rFonts w:cs="Arial"/>
          <w:sz w:val="24"/>
          <w:szCs w:val="26"/>
        </w:rPr>
        <w:instrText xml:space="preserve"> ADDIN EN.CITE &lt;EndNote&gt;&lt;Cite&gt;&lt;Author&gt;Must&lt;/Author&gt;&lt;Year&gt;2006&lt;/Year&gt;&lt;RecNum&gt;4518&lt;/RecNum&gt;&lt;DisplayText&gt;(1)&lt;/DisplayText&gt;&lt;record&gt;&lt;rec-number&gt;4518&lt;/rec-number&gt;&lt;foreign-keys&gt;&lt;key app="EN" db-id="aa9ravsxna0pvtesdstv9xve2weps9d2pep9"&gt;4518&lt;/key&gt;&lt;/foreign-keys&gt;&lt;ref-type name="Journal Article"&gt;17&lt;/ref-type&gt;&lt;contributors&gt;&lt;authors&gt;&lt;author&gt;Must, A.&lt;/author&gt;&lt;author&gt;Anderson, S. E.&lt;/author&gt;&lt;/authors&gt;&lt;/contributors&gt;&lt;auth-address&gt;Department of Public Health and Family Medicine, Tufts University School of Medicine, Boston, MA 02111, USA. aviva.must@tufts.edu&lt;/auth-address&gt;&lt;titles&gt;&lt;title&gt;Body mass index in children and adolescents: considerations for population-based applications&lt;/title&gt;&lt;secondary-title&gt;Int J Obes (Lond)&lt;/secondary-title&gt;&lt;alt-title&gt;International journal of obesity (2005)&lt;/alt-title&gt;&lt;/titles&gt;&lt;periodical&gt;&lt;full-title&gt;Int J Obes (Lond)&lt;/full-title&gt;&lt;/periodical&gt;&lt;pages&gt;590-4&lt;/pages&gt;&lt;volume&gt;30&lt;/volume&gt;&lt;number&gt;4&lt;/number&gt;&lt;edition&gt;2006/03/30&lt;/edition&gt;&lt;keywords&gt;&lt;keyword&gt;Adolescent&lt;/keyword&gt;&lt;keyword&gt;Adult&lt;/keyword&gt;&lt;keyword&gt;Analysis of Variance&lt;/keyword&gt;&lt;keyword&gt;Body Mass Index&lt;/keyword&gt;&lt;keyword&gt;Child&lt;/keyword&gt;&lt;keyword&gt;Child, Preschool&lt;/keyword&gt;&lt;keyword&gt;Cross-Sectional Studies&lt;/keyword&gt;&lt;keyword&gt;Female&lt;/keyword&gt;&lt;keyword&gt;Humans&lt;/keyword&gt;&lt;keyword&gt;Longitudinal Studies&lt;/keyword&gt;&lt;keyword&gt;Male&lt;/keyword&gt;&lt;keyword&gt;Obesity/ diagnosis&lt;/keyword&gt;&lt;keyword&gt;Reference Values&lt;/keyword&gt;&lt;/keywords&gt;&lt;dates&gt;&lt;year&gt;2006&lt;/year&gt;&lt;pub-dates&gt;&lt;date&gt;Apr&lt;/date&gt;&lt;/pub-dates&gt;&lt;/dates&gt;&lt;isbn&gt;0307-0565 (Print)&amp;#xD;0307-0565 (Linking)&lt;/isbn&gt;&lt;accession-num&gt;16570087&lt;/accession-num&gt;&lt;urls&gt;&lt;/urls&gt;&lt;electronic-resource-num&gt;10.1038/sj.ijo.0803300&lt;/electronic-resource-num&gt;&lt;remote-database-provider&gt;NLM&lt;/remote-database-provider&gt;&lt;language&gt;eng&lt;/language&gt;&lt;/record&gt;&lt;/Cite&gt;&lt;/EndNote&gt;</w:instrText>
      </w:r>
      <w:r w:rsidR="00255F3D">
        <w:rPr>
          <w:rFonts w:cs="Arial"/>
          <w:sz w:val="24"/>
          <w:szCs w:val="26"/>
        </w:rPr>
        <w:fldChar w:fldCharType="separate"/>
      </w:r>
      <w:r w:rsidR="00255F3D">
        <w:rPr>
          <w:rFonts w:cs="Arial"/>
          <w:noProof/>
          <w:sz w:val="24"/>
          <w:szCs w:val="26"/>
        </w:rPr>
        <w:t>(</w:t>
      </w:r>
      <w:hyperlink w:anchor="_ENREF_1" w:tooltip="Must, 2006 #4518" w:history="1">
        <w:r w:rsidR="00255F3D">
          <w:rPr>
            <w:rFonts w:cs="Arial"/>
            <w:noProof/>
            <w:sz w:val="24"/>
            <w:szCs w:val="26"/>
          </w:rPr>
          <w:t>1</w:t>
        </w:r>
      </w:hyperlink>
      <w:r w:rsidR="00255F3D">
        <w:rPr>
          <w:rFonts w:cs="Arial"/>
          <w:noProof/>
          <w:sz w:val="24"/>
          <w:szCs w:val="26"/>
        </w:rPr>
        <w:t>)</w:t>
      </w:r>
      <w:r w:rsidR="00255F3D">
        <w:rPr>
          <w:rFonts w:cs="Arial"/>
          <w:sz w:val="24"/>
          <w:szCs w:val="26"/>
        </w:rPr>
        <w:fldChar w:fldCharType="end"/>
      </w:r>
      <w:r w:rsidR="00255F3D" w:rsidRPr="00F226A3">
        <w:rPr>
          <w:rFonts w:cs="Arial"/>
          <w:sz w:val="24"/>
          <w:szCs w:val="26"/>
        </w:rPr>
        <w:t xml:space="preserve">. </w:t>
      </w:r>
      <w:r w:rsidR="00255F3D">
        <w:rPr>
          <w:rFonts w:cs="Arial"/>
          <w:sz w:val="24"/>
          <w:szCs w:val="26"/>
        </w:rPr>
        <w:t xml:space="preserve">Hence, BMI-for-age z-scores were calculated, using the WHO Child Growth Standards, for boys and girls 0 to 5 years of age and 5 to 19 years of age </w:t>
      </w:r>
      <w:r w:rsidR="00255F3D">
        <w:rPr>
          <w:rFonts w:cs="Arial"/>
          <w:sz w:val="24"/>
          <w:szCs w:val="26"/>
        </w:rPr>
        <w:fldChar w:fldCharType="begin"/>
      </w:r>
      <w:r w:rsidR="00255F3D">
        <w:rPr>
          <w:rFonts w:cs="Arial"/>
          <w:sz w:val="24"/>
          <w:szCs w:val="26"/>
        </w:rPr>
        <w:instrText xml:space="preserve"> ADDIN EN.CITE &lt;EndNote&gt;&lt;Cite&gt;&lt;Author&gt;World Health Organization&lt;/Author&gt;&lt;Year&gt;2017&lt;/Year&gt;&lt;RecNum&gt;4520&lt;/RecNum&gt;&lt;DisplayText&gt;(2)&lt;/DisplayText&gt;&lt;record&gt;&lt;rec-number&gt;4520&lt;/rec-number&gt;&lt;foreign-keys&gt;&lt;key app="EN" db-id="aa9ravsxna0pvtesdstv9xve2weps9d2pep9"&gt;4520&lt;/key&gt;&lt;/foreign-keys&gt;&lt;ref-type name="Web Page"&gt;12&lt;/ref-type&gt;&lt;contributors&gt;&lt;authors&gt;&lt;author&gt;World Health Organization, &lt;/author&gt;&lt;/authors&gt;&lt;/contributors&gt;&lt;titles&gt;&lt;title&gt;The WHO Child Growth Standards&lt;/title&gt;&lt;/titles&gt;&lt;volume&gt;March&lt;/volume&gt;&lt;number&gt;2017&lt;/number&gt;&lt;dates&gt;&lt;year&gt;2017&lt;/year&gt;&lt;/dates&gt;&lt;urls&gt;&lt;related-urls&gt;&lt;url&gt;http://www.who.int/childgrowth/en/&lt;/url&gt;&lt;/related-urls&gt;&lt;/urls&gt;&lt;/record&gt;&lt;/Cite&gt;&lt;/EndNote&gt;</w:instrText>
      </w:r>
      <w:r w:rsidR="00255F3D">
        <w:rPr>
          <w:rFonts w:cs="Arial"/>
          <w:sz w:val="24"/>
          <w:szCs w:val="26"/>
        </w:rPr>
        <w:fldChar w:fldCharType="separate"/>
      </w:r>
      <w:r w:rsidR="00255F3D">
        <w:rPr>
          <w:rFonts w:cs="Arial"/>
          <w:noProof/>
          <w:sz w:val="24"/>
          <w:szCs w:val="26"/>
        </w:rPr>
        <w:t>(</w:t>
      </w:r>
      <w:hyperlink w:anchor="_ENREF_2" w:tooltip="World Health Organization, 2017 #4520" w:history="1">
        <w:r w:rsidR="00255F3D">
          <w:rPr>
            <w:rFonts w:cs="Arial"/>
            <w:noProof/>
            <w:sz w:val="24"/>
            <w:szCs w:val="26"/>
          </w:rPr>
          <w:t>2</w:t>
        </w:r>
      </w:hyperlink>
      <w:r w:rsidR="00255F3D">
        <w:rPr>
          <w:rFonts w:cs="Arial"/>
          <w:noProof/>
          <w:sz w:val="24"/>
          <w:szCs w:val="26"/>
        </w:rPr>
        <w:t>)</w:t>
      </w:r>
      <w:r w:rsidR="00255F3D">
        <w:rPr>
          <w:rFonts w:cs="Arial"/>
          <w:sz w:val="24"/>
          <w:szCs w:val="26"/>
        </w:rPr>
        <w:fldChar w:fldCharType="end"/>
      </w:r>
      <w:r w:rsidR="00255F3D">
        <w:rPr>
          <w:rFonts w:cs="Arial"/>
          <w:sz w:val="24"/>
          <w:szCs w:val="26"/>
        </w:rPr>
        <w:t xml:space="preserve">. </w:t>
      </w:r>
      <w:r w:rsidR="00820BE8" w:rsidRPr="00AF48C8">
        <w:rPr>
          <w:rFonts w:cs="Arial"/>
          <w:sz w:val="24"/>
          <w:szCs w:val="26"/>
        </w:rPr>
        <w:t>TBSA</w:t>
      </w:r>
      <w:r w:rsidR="00820BE8">
        <w:rPr>
          <w:rFonts w:cs="Arial"/>
          <w:sz w:val="24"/>
          <w:szCs w:val="26"/>
        </w:rPr>
        <w:t>-b</w:t>
      </w:r>
      <w:r w:rsidR="00820BE8" w:rsidRPr="00AF48C8">
        <w:rPr>
          <w:rFonts w:cs="Arial"/>
          <w:sz w:val="24"/>
          <w:szCs w:val="26"/>
        </w:rPr>
        <w:t xml:space="preserve"> was defined as </w:t>
      </w:r>
      <w:r w:rsidR="00820BE8">
        <w:rPr>
          <w:rFonts w:cs="Arial"/>
          <w:sz w:val="24"/>
          <w:szCs w:val="26"/>
        </w:rPr>
        <w:t xml:space="preserve">the percent </w:t>
      </w:r>
      <w:r w:rsidR="00820BE8" w:rsidRPr="00AF48C8">
        <w:rPr>
          <w:rFonts w:cs="Arial"/>
          <w:sz w:val="24"/>
          <w:szCs w:val="26"/>
        </w:rPr>
        <w:t>TBSA that was burned</w:t>
      </w:r>
      <w:r w:rsidR="00820BE8">
        <w:rPr>
          <w:rFonts w:cs="Arial"/>
          <w:sz w:val="24"/>
          <w:szCs w:val="26"/>
        </w:rPr>
        <w:t>, serving as an index of burn size. TBSA-3</w:t>
      </w:r>
      <w:r w:rsidR="00820BE8" w:rsidRPr="00EB66A2">
        <w:rPr>
          <w:rFonts w:cs="Arial"/>
          <w:sz w:val="24"/>
          <w:szCs w:val="26"/>
          <w:vertAlign w:val="superscript"/>
        </w:rPr>
        <w:t>rd</w:t>
      </w:r>
      <w:r w:rsidR="00820BE8">
        <w:rPr>
          <w:rFonts w:cs="Arial"/>
          <w:sz w:val="24"/>
          <w:szCs w:val="26"/>
        </w:rPr>
        <w:t xml:space="preserve"> was defined as the percent TBSA with full-thickness burns, serving as an index of full-thickness burn size.</w:t>
      </w:r>
    </w:p>
    <w:p w:rsidR="00255F3D" w:rsidRPr="002C7AE8" w:rsidRDefault="00255F3D" w:rsidP="00A80D5D">
      <w:pPr>
        <w:spacing w:after="0" w:line="480" w:lineRule="auto"/>
        <w:jc w:val="both"/>
        <w:rPr>
          <w:sz w:val="24"/>
          <w:szCs w:val="24"/>
        </w:rPr>
      </w:pPr>
    </w:p>
    <w:p w:rsidR="00C27261" w:rsidRPr="00A80D5D" w:rsidRDefault="00A80D5D" w:rsidP="002C7AE8">
      <w:pPr>
        <w:spacing w:after="240" w:line="480" w:lineRule="auto"/>
        <w:rPr>
          <w:i/>
          <w:sz w:val="24"/>
          <w:szCs w:val="24"/>
          <w:u w:val="single"/>
        </w:rPr>
      </w:pPr>
      <w:r w:rsidRPr="00A80D5D">
        <w:rPr>
          <w:i/>
          <w:sz w:val="24"/>
          <w:szCs w:val="24"/>
          <w:u w:val="single"/>
        </w:rPr>
        <w:t>References</w:t>
      </w:r>
      <w:r>
        <w:rPr>
          <w:i/>
          <w:sz w:val="24"/>
          <w:szCs w:val="24"/>
          <w:u w:val="single"/>
        </w:rPr>
        <w:t>:</w:t>
      </w:r>
    </w:p>
    <w:p w:rsidR="00255F3D" w:rsidRPr="002C7AE8" w:rsidRDefault="00101EDB" w:rsidP="002C7AE8">
      <w:pPr>
        <w:spacing w:after="0" w:line="480" w:lineRule="auto"/>
        <w:rPr>
          <w:rFonts w:ascii="Calibri" w:hAnsi="Calibri" w:cs="Calibri"/>
          <w:noProof/>
          <w:sz w:val="24"/>
          <w:szCs w:val="24"/>
        </w:rPr>
      </w:pPr>
      <w:r w:rsidRPr="002C7AE8">
        <w:rPr>
          <w:sz w:val="24"/>
          <w:szCs w:val="24"/>
        </w:rPr>
        <w:fldChar w:fldCharType="begin"/>
      </w:r>
      <w:r w:rsidR="00C27261" w:rsidRPr="002C7AE8">
        <w:rPr>
          <w:sz w:val="24"/>
          <w:szCs w:val="24"/>
        </w:rPr>
        <w:instrText xml:space="preserve"> ADDIN EN.REFLIST </w:instrText>
      </w:r>
      <w:r w:rsidRPr="002C7AE8">
        <w:rPr>
          <w:sz w:val="24"/>
          <w:szCs w:val="24"/>
        </w:rPr>
        <w:fldChar w:fldCharType="separate"/>
      </w:r>
      <w:bookmarkStart w:id="1" w:name="_ENREF_1"/>
      <w:r w:rsidR="00255F3D" w:rsidRPr="002C7AE8">
        <w:rPr>
          <w:rFonts w:ascii="Calibri" w:hAnsi="Calibri" w:cs="Calibri"/>
          <w:noProof/>
          <w:sz w:val="24"/>
          <w:szCs w:val="24"/>
        </w:rPr>
        <w:t xml:space="preserve">1. Must A,Anderson SE: Body mass index in children and adolescents: considerations for population-based applications. </w:t>
      </w:r>
      <w:r w:rsidR="00255F3D" w:rsidRPr="002C7AE8">
        <w:rPr>
          <w:rFonts w:ascii="Calibri" w:hAnsi="Calibri" w:cs="Calibri"/>
          <w:i/>
          <w:noProof/>
          <w:sz w:val="24"/>
          <w:szCs w:val="24"/>
        </w:rPr>
        <w:t>Int J Obes (Lond)</w:t>
      </w:r>
      <w:r w:rsidR="00255F3D" w:rsidRPr="002C7AE8">
        <w:rPr>
          <w:rFonts w:ascii="Calibri" w:hAnsi="Calibri" w:cs="Calibri"/>
          <w:noProof/>
          <w:sz w:val="24"/>
          <w:szCs w:val="24"/>
        </w:rPr>
        <w:t xml:space="preserve"> 30(4):590-4, 2006.</w:t>
      </w:r>
      <w:bookmarkEnd w:id="1"/>
    </w:p>
    <w:p w:rsidR="00255F3D" w:rsidRPr="002C7AE8" w:rsidRDefault="00255F3D" w:rsidP="002C7AE8">
      <w:pPr>
        <w:spacing w:line="480" w:lineRule="auto"/>
        <w:rPr>
          <w:rFonts w:ascii="Calibri" w:hAnsi="Calibri" w:cs="Calibri"/>
          <w:noProof/>
          <w:sz w:val="24"/>
          <w:szCs w:val="24"/>
        </w:rPr>
      </w:pPr>
      <w:bookmarkStart w:id="2" w:name="_ENREF_2"/>
      <w:r w:rsidRPr="002C7AE8">
        <w:rPr>
          <w:rFonts w:ascii="Calibri" w:hAnsi="Calibri" w:cs="Calibri"/>
          <w:noProof/>
          <w:sz w:val="24"/>
          <w:szCs w:val="24"/>
        </w:rPr>
        <w:t>2. World Health Organization: The WHO Child Growth Standards. Vol. March. 2017.</w:t>
      </w:r>
      <w:bookmarkEnd w:id="2"/>
    </w:p>
    <w:p w:rsidR="00255F3D" w:rsidRPr="002C7AE8" w:rsidRDefault="00255F3D" w:rsidP="002C7AE8">
      <w:pPr>
        <w:spacing w:line="480" w:lineRule="auto"/>
        <w:rPr>
          <w:rFonts w:ascii="Calibri" w:hAnsi="Calibri" w:cs="Calibri"/>
          <w:noProof/>
          <w:sz w:val="24"/>
          <w:szCs w:val="24"/>
        </w:rPr>
      </w:pPr>
    </w:p>
    <w:p w:rsidR="008C4D92" w:rsidRPr="00D326D0" w:rsidRDefault="00101EDB" w:rsidP="002C7AE8">
      <w:pPr>
        <w:spacing w:line="480" w:lineRule="auto"/>
      </w:pPr>
      <w:r w:rsidRPr="002C7AE8">
        <w:rPr>
          <w:sz w:val="24"/>
          <w:szCs w:val="24"/>
        </w:rPr>
        <w:fldChar w:fldCharType="end"/>
      </w:r>
    </w:p>
    <w:sectPr w:rsidR="008C4D92" w:rsidRPr="00D326D0" w:rsidSect="006566AA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EE" w:rsidRDefault="007205EE" w:rsidP="00B9258B">
      <w:pPr>
        <w:spacing w:after="0" w:line="240" w:lineRule="auto"/>
      </w:pPr>
      <w:r>
        <w:separator/>
      </w:r>
    </w:p>
  </w:endnote>
  <w:endnote w:type="continuationSeparator" w:id="0">
    <w:p w:rsidR="007205EE" w:rsidRDefault="007205EE" w:rsidP="00B9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60860"/>
      <w:docPartObj>
        <w:docPartGallery w:val="Page Numbers (Bottom of Page)"/>
        <w:docPartUnique/>
      </w:docPartObj>
    </w:sdtPr>
    <w:sdtContent>
      <w:p w:rsidR="00B9258B" w:rsidRDefault="00101EDB">
        <w:pPr>
          <w:pStyle w:val="Footer"/>
          <w:jc w:val="right"/>
        </w:pPr>
        <w:r>
          <w:fldChar w:fldCharType="begin"/>
        </w:r>
        <w:r w:rsidR="00ED064E">
          <w:instrText xml:space="preserve"> PAGE   \* MERGEFORMAT </w:instrText>
        </w:r>
        <w:r>
          <w:fldChar w:fldCharType="separate"/>
        </w:r>
        <w:r w:rsidR="007A6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58B" w:rsidRDefault="00B92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EE" w:rsidRDefault="007205EE" w:rsidP="00B9258B">
      <w:pPr>
        <w:spacing w:after="0" w:line="240" w:lineRule="auto"/>
      </w:pPr>
      <w:r>
        <w:separator/>
      </w:r>
    </w:p>
  </w:footnote>
  <w:footnote w:type="continuationSeparator" w:id="0">
    <w:p w:rsidR="007205EE" w:rsidRDefault="007205EE" w:rsidP="00B9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Shock Injury Inflam Sepsi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a9ravsxna0pvtesdstv9xve2weps9d2pep9&quot;&gt;Vic&amp;apos;s Library-Saved-Saved-Saved&lt;record-ids&gt;&lt;item&gt;4518&lt;/item&gt;&lt;item&gt;4520&lt;/item&gt;&lt;/record-ids&gt;&lt;/item&gt;&lt;/Libraries&gt;"/>
  </w:docVars>
  <w:rsids>
    <w:rsidRoot w:val="00D974B3"/>
    <w:rsid w:val="00020199"/>
    <w:rsid w:val="00076CE9"/>
    <w:rsid w:val="000B53DE"/>
    <w:rsid w:val="00101EDB"/>
    <w:rsid w:val="00182215"/>
    <w:rsid w:val="001A7CF2"/>
    <w:rsid w:val="00255F3D"/>
    <w:rsid w:val="002763A0"/>
    <w:rsid w:val="002C7AE8"/>
    <w:rsid w:val="003113B9"/>
    <w:rsid w:val="00331E36"/>
    <w:rsid w:val="003424B3"/>
    <w:rsid w:val="003B6543"/>
    <w:rsid w:val="003E369D"/>
    <w:rsid w:val="0044080B"/>
    <w:rsid w:val="0049342E"/>
    <w:rsid w:val="00597553"/>
    <w:rsid w:val="005E5243"/>
    <w:rsid w:val="00605722"/>
    <w:rsid w:val="006303C0"/>
    <w:rsid w:val="006418AA"/>
    <w:rsid w:val="00647EB8"/>
    <w:rsid w:val="006566AA"/>
    <w:rsid w:val="006C6CDE"/>
    <w:rsid w:val="007205EE"/>
    <w:rsid w:val="007A64EE"/>
    <w:rsid w:val="007C79ED"/>
    <w:rsid w:val="007D06FC"/>
    <w:rsid w:val="007E0265"/>
    <w:rsid w:val="00816BC7"/>
    <w:rsid w:val="00820BE8"/>
    <w:rsid w:val="008258C6"/>
    <w:rsid w:val="00836A46"/>
    <w:rsid w:val="008B753A"/>
    <w:rsid w:val="008F2605"/>
    <w:rsid w:val="009634DC"/>
    <w:rsid w:val="009702BB"/>
    <w:rsid w:val="009D63BA"/>
    <w:rsid w:val="00A80D5D"/>
    <w:rsid w:val="00A94D14"/>
    <w:rsid w:val="00B23F88"/>
    <w:rsid w:val="00B62D6B"/>
    <w:rsid w:val="00B861BD"/>
    <w:rsid w:val="00B90F05"/>
    <w:rsid w:val="00B9258B"/>
    <w:rsid w:val="00BE33FD"/>
    <w:rsid w:val="00C26B2A"/>
    <w:rsid w:val="00C27261"/>
    <w:rsid w:val="00C41FFE"/>
    <w:rsid w:val="00D326D0"/>
    <w:rsid w:val="00D86E7A"/>
    <w:rsid w:val="00D974B3"/>
    <w:rsid w:val="00E135DA"/>
    <w:rsid w:val="00E575E8"/>
    <w:rsid w:val="00EA5B11"/>
    <w:rsid w:val="00EB6498"/>
    <w:rsid w:val="00EC75D9"/>
    <w:rsid w:val="00ED064E"/>
    <w:rsid w:val="00FB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58B"/>
  </w:style>
  <w:style w:type="paragraph" w:styleId="Footer">
    <w:name w:val="footer"/>
    <w:basedOn w:val="Normal"/>
    <w:link w:val="FooterChar"/>
    <w:uiPriority w:val="99"/>
    <w:unhideWhenUsed/>
    <w:rsid w:val="00B9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8B"/>
  </w:style>
  <w:style w:type="paragraph" w:styleId="BalloonText">
    <w:name w:val="Balloon Text"/>
    <w:basedOn w:val="Normal"/>
    <w:link w:val="BalloonTextChar"/>
    <w:uiPriority w:val="99"/>
    <w:semiHidden/>
    <w:unhideWhenUsed/>
    <w:rsid w:val="0081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6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Rodoyianni, Victoria</dc:creator>
  <cp:lastModifiedBy>Vic</cp:lastModifiedBy>
  <cp:revision>11</cp:revision>
  <dcterms:created xsi:type="dcterms:W3CDTF">2017-10-11T04:48:00Z</dcterms:created>
  <dcterms:modified xsi:type="dcterms:W3CDTF">2017-10-11T05:09:00Z</dcterms:modified>
</cp:coreProperties>
</file>