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9E" w:rsidRDefault="002F289E" w:rsidP="002F289E">
      <w:r>
        <w:t>Supplemen</w:t>
      </w:r>
      <w:r>
        <w:t>ta</w:t>
      </w:r>
      <w:bookmarkStart w:id="0" w:name="_GoBack"/>
      <w:bookmarkEnd w:id="0"/>
      <w:r>
        <w:t>ry Data 4</w:t>
      </w:r>
    </w:p>
    <w:p w:rsidR="002F289E" w:rsidRDefault="002F289E" w:rsidP="002F289E"/>
    <w:p w:rsidR="002F289E" w:rsidRDefault="002F289E" w:rsidP="002F289E">
      <w:r>
        <w:rPr>
          <w:noProof/>
          <w:lang w:val="en-PH" w:eastAsia="en-PH" w:bidi="ar-SA"/>
        </w:rPr>
        <w:drawing>
          <wp:inline distT="0" distB="0" distL="0" distR="0">
            <wp:extent cx="5486400" cy="3889375"/>
            <wp:effectExtent l="0" t="0" r="0" b="0"/>
            <wp:docPr id="1" name="Picture 1" descr="D:\Anant\2018\July_2018\09_July_2018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ant\2018\July_2018\09_July_2018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88" w:rsidRDefault="00874088"/>
    <w:p w:rsidR="002F289E" w:rsidRDefault="002F289E">
      <w:proofErr w:type="gramStart"/>
      <w:r w:rsidRPr="00D66719">
        <w:rPr>
          <w:b/>
          <w:sz w:val="22"/>
        </w:rPr>
        <w:t>Supplemental Digital Content 4.</w:t>
      </w:r>
      <w:proofErr w:type="gramEnd"/>
      <w:r w:rsidRPr="00D66719">
        <w:rPr>
          <w:b/>
          <w:sz w:val="22"/>
        </w:rPr>
        <w:t xml:space="preserve"> </w:t>
      </w:r>
      <w:r w:rsidRPr="00D66719">
        <w:rPr>
          <w:sz w:val="22"/>
        </w:rPr>
        <w:t>Figure S4</w:t>
      </w:r>
      <w:r w:rsidRPr="00D66719">
        <w:rPr>
          <w:b/>
          <w:sz w:val="22"/>
        </w:rPr>
        <w:t xml:space="preserve">. </w:t>
      </w:r>
      <w:r w:rsidRPr="00D66719">
        <w:rPr>
          <w:sz w:val="22"/>
        </w:rPr>
        <w:t>Cytokine expression by CD4</w:t>
      </w:r>
      <w:r w:rsidRPr="00D66719">
        <w:rPr>
          <w:sz w:val="22"/>
          <w:vertAlign w:val="superscript"/>
        </w:rPr>
        <w:t>+</w:t>
      </w:r>
      <w:r w:rsidRPr="00D66719">
        <w:rPr>
          <w:sz w:val="22"/>
        </w:rPr>
        <w:t xml:space="preserve"> and CD8</w:t>
      </w:r>
      <w:r w:rsidRPr="00D66719">
        <w:rPr>
          <w:sz w:val="22"/>
          <w:vertAlign w:val="superscript"/>
        </w:rPr>
        <w:t>+</w:t>
      </w:r>
      <w:r w:rsidRPr="00D66719">
        <w:rPr>
          <w:sz w:val="22"/>
        </w:rPr>
        <w:t xml:space="preserve"> T cells in</w:t>
      </w:r>
      <w:r w:rsidRPr="004861EF">
        <w:rPr>
          <w:sz w:val="22"/>
        </w:rPr>
        <w:t xml:space="preserve"> experimental </w:t>
      </w:r>
      <w:proofErr w:type="spellStart"/>
      <w:r w:rsidRPr="004861EF">
        <w:rPr>
          <w:sz w:val="22"/>
        </w:rPr>
        <w:t>endotoxemia</w:t>
      </w:r>
      <w:proofErr w:type="spellEnd"/>
      <w:r w:rsidRPr="004861EF">
        <w:rPr>
          <w:sz w:val="22"/>
        </w:rPr>
        <w:t xml:space="preserve"> and in sepsis patients calculated as the percentage of CD45</w:t>
      </w:r>
      <w:r w:rsidRPr="00391D09">
        <w:rPr>
          <w:sz w:val="22"/>
          <w:vertAlign w:val="superscript"/>
        </w:rPr>
        <w:t>+</w:t>
      </w:r>
      <w:r w:rsidRPr="00391D09">
        <w:rPr>
          <w:sz w:val="22"/>
        </w:rPr>
        <w:t xml:space="preserve"> cells present in the PBMC. (A - D) </w:t>
      </w:r>
      <w:r>
        <w:rPr>
          <w:sz w:val="22"/>
          <w:szCs w:val="20"/>
        </w:rPr>
        <w:t>Percentages of TNF-</w:t>
      </w:r>
      <w:r w:rsidRPr="003E41CD">
        <w:rPr>
          <w:sz w:val="22"/>
          <w:szCs w:val="20"/>
        </w:rPr>
        <w:sym w:font="Symbol" w:char="F061"/>
      </w:r>
      <w:r w:rsidRPr="003E41CD">
        <w:rPr>
          <w:sz w:val="22"/>
          <w:szCs w:val="20"/>
          <w:vertAlign w:val="superscript"/>
        </w:rPr>
        <w:t>+</w:t>
      </w:r>
      <w:r w:rsidRPr="003E41CD">
        <w:rPr>
          <w:sz w:val="22"/>
          <w:szCs w:val="20"/>
        </w:rPr>
        <w:t>, IFN-</w:t>
      </w:r>
      <w:r w:rsidRPr="003E41CD">
        <w:rPr>
          <w:sz w:val="22"/>
          <w:szCs w:val="20"/>
        </w:rPr>
        <w:sym w:font="Symbol" w:char="F067"/>
      </w:r>
      <w:r w:rsidRPr="003E41CD">
        <w:rPr>
          <w:sz w:val="22"/>
          <w:szCs w:val="20"/>
          <w:vertAlign w:val="superscript"/>
        </w:rPr>
        <w:t>+</w:t>
      </w:r>
      <w:r w:rsidRPr="003E41CD">
        <w:rPr>
          <w:sz w:val="22"/>
          <w:szCs w:val="20"/>
        </w:rPr>
        <w:t xml:space="preserve"> and TNF-</w:t>
      </w:r>
      <w:r w:rsidRPr="003E41CD">
        <w:rPr>
          <w:sz w:val="22"/>
          <w:szCs w:val="20"/>
        </w:rPr>
        <w:sym w:font="Symbol" w:char="F061"/>
      </w:r>
      <w:r w:rsidRPr="003E41CD">
        <w:rPr>
          <w:sz w:val="22"/>
          <w:szCs w:val="20"/>
          <w:vertAlign w:val="superscript"/>
        </w:rPr>
        <w:t>+</w:t>
      </w:r>
      <w:r w:rsidRPr="003E41CD">
        <w:rPr>
          <w:sz w:val="22"/>
          <w:szCs w:val="20"/>
        </w:rPr>
        <w:t>/IFN-</w:t>
      </w:r>
      <w:r w:rsidRPr="003E41CD">
        <w:rPr>
          <w:sz w:val="22"/>
          <w:szCs w:val="20"/>
        </w:rPr>
        <w:sym w:font="Symbol" w:char="F067"/>
      </w:r>
      <w:r w:rsidRPr="003E41CD">
        <w:rPr>
          <w:sz w:val="22"/>
          <w:szCs w:val="20"/>
          <w:vertAlign w:val="superscript"/>
        </w:rPr>
        <w:t>+</w:t>
      </w:r>
      <w:r w:rsidRPr="003E41CD">
        <w:rPr>
          <w:sz w:val="22"/>
          <w:szCs w:val="20"/>
        </w:rPr>
        <w:t xml:space="preserve"> double positive (legend) CD4</w:t>
      </w:r>
      <w:r w:rsidRPr="003E41CD">
        <w:rPr>
          <w:sz w:val="22"/>
          <w:szCs w:val="20"/>
          <w:vertAlign w:val="superscript"/>
        </w:rPr>
        <w:t>+</w:t>
      </w:r>
      <w:r w:rsidRPr="003E41CD">
        <w:rPr>
          <w:sz w:val="22"/>
          <w:szCs w:val="20"/>
        </w:rPr>
        <w:t xml:space="preserve"> cells or CD8</w:t>
      </w:r>
      <w:r w:rsidRPr="003E41CD">
        <w:rPr>
          <w:sz w:val="22"/>
          <w:szCs w:val="20"/>
          <w:vertAlign w:val="superscript"/>
        </w:rPr>
        <w:t>+</w:t>
      </w:r>
      <w:r w:rsidRPr="003E41CD">
        <w:rPr>
          <w:sz w:val="22"/>
          <w:szCs w:val="20"/>
        </w:rPr>
        <w:t xml:space="preserve"> T cells in the experimental </w:t>
      </w:r>
      <w:proofErr w:type="spellStart"/>
      <w:r w:rsidRPr="003E41CD">
        <w:rPr>
          <w:sz w:val="22"/>
          <w:szCs w:val="20"/>
        </w:rPr>
        <w:t>endotoxemia</w:t>
      </w:r>
      <w:proofErr w:type="spellEnd"/>
      <w:r w:rsidRPr="003E41CD">
        <w:rPr>
          <w:sz w:val="22"/>
          <w:szCs w:val="20"/>
        </w:rPr>
        <w:t xml:space="preserve"> group (n=7) ove</w:t>
      </w:r>
      <w:r>
        <w:rPr>
          <w:sz w:val="22"/>
          <w:szCs w:val="20"/>
        </w:rPr>
        <w:t>r time (C and E) and in HC (n=20</w:t>
      </w:r>
      <w:r w:rsidRPr="003E41CD">
        <w:rPr>
          <w:sz w:val="22"/>
          <w:szCs w:val="20"/>
        </w:rPr>
        <w:t xml:space="preserve">) and sepsis patients </w:t>
      </w:r>
      <w:r w:rsidRPr="003E41CD">
        <w:rPr>
          <w:sz w:val="22"/>
        </w:rPr>
        <w:t xml:space="preserve">on day 1 (n=23), days 3-5 (n=13) and days 7-9 (n=13) </w:t>
      </w:r>
      <w:r w:rsidRPr="004861EF">
        <w:rPr>
          <w:sz w:val="22"/>
        </w:rPr>
        <w:t xml:space="preserve">after onset of septic shock </w:t>
      </w:r>
      <w:r>
        <w:rPr>
          <w:sz w:val="22"/>
          <w:szCs w:val="20"/>
        </w:rPr>
        <w:t xml:space="preserve">(D and F). </w:t>
      </w:r>
      <w:r w:rsidRPr="004861EF">
        <w:rPr>
          <w:sz w:val="22"/>
        </w:rPr>
        <w:t>Bars represent the median; error bars represent range.</w:t>
      </w:r>
      <w:r>
        <w:rPr>
          <w:sz w:val="22"/>
          <w:szCs w:val="20"/>
        </w:rPr>
        <w:t xml:space="preserve"> </w:t>
      </w:r>
      <w:r w:rsidRPr="004861EF">
        <w:rPr>
          <w:sz w:val="22"/>
        </w:rPr>
        <w:t>***</w:t>
      </w:r>
      <w:r w:rsidRPr="004861EF">
        <w:rPr>
          <w:i/>
          <w:sz w:val="22"/>
        </w:rPr>
        <w:t>P&lt;</w:t>
      </w:r>
      <w:r w:rsidRPr="004861EF">
        <w:rPr>
          <w:sz w:val="22"/>
        </w:rPr>
        <w:t>0.001</w:t>
      </w:r>
      <w:r w:rsidRPr="004861EF">
        <w:rPr>
          <w:i/>
          <w:sz w:val="22"/>
        </w:rPr>
        <w:t xml:space="preserve">, </w:t>
      </w:r>
      <w:r w:rsidRPr="004861EF">
        <w:rPr>
          <w:sz w:val="22"/>
        </w:rPr>
        <w:t>**</w:t>
      </w:r>
      <w:r w:rsidRPr="004861EF">
        <w:rPr>
          <w:i/>
          <w:sz w:val="22"/>
        </w:rPr>
        <w:t>P</w:t>
      </w:r>
      <w:r w:rsidRPr="004861EF">
        <w:rPr>
          <w:sz w:val="22"/>
        </w:rPr>
        <w:t>&lt;0.01 and *</w:t>
      </w:r>
      <w:r w:rsidRPr="004861EF">
        <w:rPr>
          <w:i/>
          <w:sz w:val="22"/>
        </w:rPr>
        <w:t>P</w:t>
      </w:r>
      <w:r w:rsidRPr="004861EF">
        <w:rPr>
          <w:sz w:val="22"/>
        </w:rPr>
        <w:t>&lt;0.05 compared to baseline or HC.</w:t>
      </w:r>
    </w:p>
    <w:sectPr w:rsidR="002F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9E"/>
    <w:rsid w:val="002F289E"/>
    <w:rsid w:val="0087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9E"/>
    <w:rPr>
      <w:rFonts w:ascii="Tahoma" w:eastAsia="Times New Roman" w:hAnsi="Tahoma" w:cs="Tahoma"/>
      <w:sz w:val="16"/>
      <w:szCs w:val="16"/>
      <w:lang w:val="en-BZ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BZ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9E"/>
    <w:rPr>
      <w:rFonts w:ascii="Tahoma" w:eastAsia="Times New Roman" w:hAnsi="Tahoma" w:cs="Tahoma"/>
      <w:sz w:val="16"/>
      <w:szCs w:val="16"/>
      <w:lang w:val="en-BZ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2018-07-09T17:52:00Z</dcterms:created>
  <dcterms:modified xsi:type="dcterms:W3CDTF">2018-07-09T17:53:00Z</dcterms:modified>
</cp:coreProperties>
</file>