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0306F" w14:textId="16467352" w:rsidR="00C94FC0" w:rsidRPr="00DC1DD7" w:rsidRDefault="00A60B6F" w:rsidP="00DC1DD7">
      <w:pPr>
        <w:spacing w:line="480" w:lineRule="auto"/>
        <w:rPr>
          <w:b/>
          <w:szCs w:val="22"/>
        </w:rPr>
      </w:pPr>
      <w:r>
        <w:rPr>
          <w:b/>
          <w:szCs w:val="22"/>
        </w:rPr>
        <w:t xml:space="preserve">Determination of </w:t>
      </w:r>
      <w:r w:rsidR="00C94FC0">
        <w:rPr>
          <w:b/>
          <w:szCs w:val="22"/>
        </w:rPr>
        <w:t>Recombinant Tissue Plasminogen Activator (tPA) C</w:t>
      </w:r>
      <w:r w:rsidR="00DD7F84" w:rsidRPr="00F524A7">
        <w:rPr>
          <w:b/>
          <w:szCs w:val="22"/>
        </w:rPr>
        <w:t xml:space="preserve">oncentration </w:t>
      </w:r>
      <w:r>
        <w:rPr>
          <w:b/>
          <w:szCs w:val="22"/>
        </w:rPr>
        <w:t xml:space="preserve">for In Vitro Induction of Hyperfibrinolysis </w:t>
      </w:r>
    </w:p>
    <w:p w14:paraId="555ED3D0" w14:textId="7FE6B534" w:rsidR="00C94FC0" w:rsidRDefault="00A60B6F" w:rsidP="00C94FC0">
      <w:pPr>
        <w:spacing w:line="480" w:lineRule="auto"/>
        <w:ind w:firstLine="720"/>
        <w:rPr>
          <w:sz w:val="22"/>
          <w:szCs w:val="22"/>
        </w:rPr>
      </w:pPr>
      <w:r>
        <w:rPr>
          <w:sz w:val="22"/>
          <w:szCs w:val="22"/>
        </w:rPr>
        <w:t>Rotational Thromboelastometry</w:t>
      </w:r>
      <w:r w:rsidR="00DD7F84">
        <w:rPr>
          <w:sz w:val="22"/>
          <w:szCs w:val="22"/>
        </w:rPr>
        <w:t xml:space="preserve"> (ROTEM</w:t>
      </w:r>
      <w:r>
        <w:rPr>
          <w:sz w:val="22"/>
          <w:szCs w:val="22"/>
        </w:rPr>
        <w:t>®</w:t>
      </w:r>
      <w:r w:rsidR="00DD7F84">
        <w:rPr>
          <w:sz w:val="22"/>
          <w:szCs w:val="22"/>
        </w:rPr>
        <w:t xml:space="preserve">) was utilized to compare the ability of both </w:t>
      </w:r>
      <w:r w:rsidR="00C94FC0">
        <w:rPr>
          <w:sz w:val="22"/>
          <w:szCs w:val="22"/>
        </w:rPr>
        <w:t>intravenous (</w:t>
      </w:r>
      <w:r w:rsidR="00DD7F84">
        <w:rPr>
          <w:sz w:val="22"/>
          <w:szCs w:val="22"/>
        </w:rPr>
        <w:t>IV</w:t>
      </w:r>
      <w:r w:rsidR="00C94FC0">
        <w:rPr>
          <w:sz w:val="22"/>
          <w:szCs w:val="22"/>
        </w:rPr>
        <w:t>)</w:t>
      </w:r>
      <w:r w:rsidR="00DD7F84">
        <w:rPr>
          <w:sz w:val="22"/>
          <w:szCs w:val="22"/>
        </w:rPr>
        <w:t xml:space="preserve"> and </w:t>
      </w:r>
      <w:r w:rsidR="00C94FC0">
        <w:rPr>
          <w:sz w:val="22"/>
          <w:szCs w:val="22"/>
        </w:rPr>
        <w:t>intramuscular (</w:t>
      </w:r>
      <w:r w:rsidR="00DD7F84">
        <w:rPr>
          <w:sz w:val="22"/>
          <w:szCs w:val="22"/>
        </w:rPr>
        <w:t>IM</w:t>
      </w:r>
      <w:r w:rsidR="00C94FC0">
        <w:rPr>
          <w:sz w:val="22"/>
          <w:szCs w:val="22"/>
        </w:rPr>
        <w:t>) tranexamic acid</w:t>
      </w:r>
      <w:r w:rsidR="00DD7F84">
        <w:rPr>
          <w:sz w:val="22"/>
          <w:szCs w:val="22"/>
        </w:rPr>
        <w:t xml:space="preserve"> </w:t>
      </w:r>
      <w:r w:rsidR="00C94FC0">
        <w:rPr>
          <w:sz w:val="22"/>
          <w:szCs w:val="22"/>
        </w:rPr>
        <w:t>(</w:t>
      </w:r>
      <w:r w:rsidR="00DD7F84">
        <w:rPr>
          <w:sz w:val="22"/>
          <w:szCs w:val="22"/>
        </w:rPr>
        <w:t>TXA</w:t>
      </w:r>
      <w:r w:rsidR="00C94FC0">
        <w:rPr>
          <w:sz w:val="22"/>
          <w:szCs w:val="22"/>
        </w:rPr>
        <w:t>)</w:t>
      </w:r>
      <w:r w:rsidR="00DD7F84">
        <w:rPr>
          <w:sz w:val="22"/>
          <w:szCs w:val="22"/>
        </w:rPr>
        <w:t xml:space="preserve"> to reverse </w:t>
      </w:r>
      <w:r w:rsidR="00C94FC0">
        <w:rPr>
          <w:sz w:val="22"/>
          <w:szCs w:val="22"/>
        </w:rPr>
        <w:t>hyper</w:t>
      </w:r>
      <w:r w:rsidR="00DD7F84">
        <w:rPr>
          <w:sz w:val="22"/>
          <w:szCs w:val="22"/>
        </w:rPr>
        <w:t xml:space="preserve">fibrinolysis in this active hemorrhage model. In order to do this, an in vitro model was created. This was chosen over an in vivo model because of the prohibitive cost of </w:t>
      </w:r>
      <w:r w:rsidR="00C94FC0">
        <w:rPr>
          <w:sz w:val="22"/>
          <w:szCs w:val="22"/>
        </w:rPr>
        <w:t>recombinant tissue plasminogen activator (</w:t>
      </w:r>
      <w:r w:rsidR="00DD7F84">
        <w:rPr>
          <w:sz w:val="22"/>
          <w:szCs w:val="22"/>
        </w:rPr>
        <w:t>tPA</w:t>
      </w:r>
      <w:r w:rsidR="00C94FC0">
        <w:rPr>
          <w:sz w:val="22"/>
          <w:szCs w:val="22"/>
        </w:rPr>
        <w:t>)</w:t>
      </w:r>
      <w:r w:rsidR="00DD7F84">
        <w:rPr>
          <w:sz w:val="22"/>
          <w:szCs w:val="22"/>
        </w:rPr>
        <w:t xml:space="preserve"> at the large doses required </w:t>
      </w:r>
      <w:r w:rsidR="00C94FC0">
        <w:rPr>
          <w:sz w:val="22"/>
          <w:szCs w:val="22"/>
        </w:rPr>
        <w:t xml:space="preserve">to induce hyperfibrinolysis in </w:t>
      </w:r>
      <w:r w:rsidR="00DD7F84">
        <w:rPr>
          <w:sz w:val="22"/>
          <w:szCs w:val="22"/>
        </w:rPr>
        <w:t xml:space="preserve">swine. Furthermore, the hemorrhage was completed in a controlled fashion through an arterial catheter and therefore would not be influenced by alterations in coagulation parameters. In vitro models of </w:t>
      </w:r>
      <w:r w:rsidR="00C94FC0">
        <w:rPr>
          <w:sz w:val="22"/>
          <w:szCs w:val="22"/>
        </w:rPr>
        <w:t>hyper</w:t>
      </w:r>
      <w:r w:rsidR="00DD7F84">
        <w:rPr>
          <w:sz w:val="22"/>
          <w:szCs w:val="22"/>
        </w:rPr>
        <w:t>fib</w:t>
      </w:r>
      <w:r w:rsidR="00C94FC0">
        <w:rPr>
          <w:sz w:val="22"/>
          <w:szCs w:val="22"/>
        </w:rPr>
        <w:t xml:space="preserve">rinolysis have been utilized </w:t>
      </w:r>
      <w:r w:rsidR="00DD7F84">
        <w:rPr>
          <w:sz w:val="22"/>
          <w:szCs w:val="22"/>
        </w:rPr>
        <w:t>in swine</w:t>
      </w:r>
      <w:r w:rsidR="00C94FC0">
        <w:rPr>
          <w:noProof/>
          <w:sz w:val="22"/>
          <w:szCs w:val="22"/>
        </w:rPr>
        <w:t xml:space="preserve"> (1)</w:t>
      </w:r>
      <w:r w:rsidR="00DD7F84">
        <w:rPr>
          <w:sz w:val="22"/>
          <w:szCs w:val="22"/>
        </w:rPr>
        <w:t xml:space="preserve">, but the concentration of tPA required to reliably induce </w:t>
      </w:r>
      <w:r w:rsidR="00C94FC0">
        <w:rPr>
          <w:sz w:val="22"/>
          <w:szCs w:val="22"/>
        </w:rPr>
        <w:t>hyper</w:t>
      </w:r>
      <w:r w:rsidR="00DD7F84">
        <w:rPr>
          <w:sz w:val="22"/>
          <w:szCs w:val="22"/>
        </w:rPr>
        <w:t xml:space="preserve">fibrinolysis in a Yorkshire </w:t>
      </w:r>
      <w:r w:rsidR="00C94FC0">
        <w:rPr>
          <w:sz w:val="22"/>
          <w:szCs w:val="22"/>
        </w:rPr>
        <w:t>cross swine had</w:t>
      </w:r>
      <w:r w:rsidR="00DD7F84">
        <w:rPr>
          <w:sz w:val="22"/>
          <w:szCs w:val="22"/>
        </w:rPr>
        <w:t xml:space="preserve"> not been determined. Serial dilutions of tPA had been used to determine required concentrations in other animals by Fletcher, et al. </w:t>
      </w:r>
      <w:r w:rsidR="00C94FC0">
        <w:rPr>
          <w:noProof/>
          <w:sz w:val="22"/>
          <w:szCs w:val="22"/>
        </w:rPr>
        <w:t>(2,3</w:t>
      </w:r>
      <w:r w:rsidR="00DD7F84">
        <w:rPr>
          <w:noProof/>
          <w:sz w:val="22"/>
          <w:szCs w:val="22"/>
        </w:rPr>
        <w:t>)</w:t>
      </w:r>
      <w:r w:rsidR="00DD7F84">
        <w:rPr>
          <w:sz w:val="22"/>
          <w:szCs w:val="22"/>
        </w:rPr>
        <w:t>. Using these examples, a pilot study was performed to answer this question.</w:t>
      </w:r>
    </w:p>
    <w:p w14:paraId="31F0A2F6" w14:textId="777CE486" w:rsidR="00DD7F84" w:rsidRDefault="00C94FC0" w:rsidP="00F5238D">
      <w:pPr>
        <w:spacing w:line="480" w:lineRule="auto"/>
        <w:ind w:firstLine="720"/>
        <w:rPr>
          <w:sz w:val="22"/>
          <w:szCs w:val="22"/>
        </w:rPr>
      </w:pPr>
      <w:r>
        <w:rPr>
          <w:sz w:val="22"/>
          <w:szCs w:val="22"/>
        </w:rPr>
        <w:t xml:space="preserve">tPA </w:t>
      </w:r>
      <w:r w:rsidR="00DD7F84">
        <w:rPr>
          <w:sz w:val="22"/>
          <w:szCs w:val="22"/>
        </w:rPr>
        <w:t>was purchased from Genentech (San Francisco, CA) as 50 mg lyophilized Alteplase (29 million IU). The powder was reconstituted in 50</w:t>
      </w:r>
      <w:r w:rsidR="00A60B6F">
        <w:rPr>
          <w:sz w:val="22"/>
          <w:szCs w:val="22"/>
        </w:rPr>
        <w:t xml:space="preserve"> </w:t>
      </w:r>
      <w:r w:rsidR="00DD7F84">
        <w:rPr>
          <w:sz w:val="22"/>
          <w:szCs w:val="22"/>
        </w:rPr>
        <w:t>mL of sterile water to create a 1</w:t>
      </w:r>
      <w:r w:rsidR="00A60B6F">
        <w:rPr>
          <w:sz w:val="22"/>
          <w:szCs w:val="22"/>
        </w:rPr>
        <w:t xml:space="preserve"> </w:t>
      </w:r>
      <w:r w:rsidR="00DD7F84">
        <w:rPr>
          <w:sz w:val="22"/>
          <w:szCs w:val="22"/>
        </w:rPr>
        <w:t>mg/mL solution. 10</w:t>
      </w:r>
      <w:r w:rsidR="00A60B6F">
        <w:rPr>
          <w:sz w:val="22"/>
          <w:szCs w:val="22"/>
        </w:rPr>
        <w:t xml:space="preserve"> </w:t>
      </w:r>
      <w:r w:rsidR="00A60B6F">
        <w:rPr>
          <w:sz w:val="22"/>
          <w:szCs w:val="22"/>
        </w:rPr>
        <w:sym w:font="Symbol" w:char="F06D"/>
      </w:r>
      <w:r w:rsidR="00DD7F84">
        <w:rPr>
          <w:sz w:val="22"/>
          <w:szCs w:val="22"/>
        </w:rPr>
        <w:t>L was removed and added to 90</w:t>
      </w:r>
      <w:r w:rsidR="00A60B6F">
        <w:rPr>
          <w:sz w:val="22"/>
          <w:szCs w:val="22"/>
        </w:rPr>
        <w:t xml:space="preserve"> </w:t>
      </w:r>
      <w:r w:rsidR="00A60B6F">
        <w:rPr>
          <w:sz w:val="22"/>
          <w:szCs w:val="22"/>
        </w:rPr>
        <w:sym w:font="Symbol" w:char="F06D"/>
      </w:r>
      <w:r w:rsidR="00DD7F84">
        <w:rPr>
          <w:sz w:val="22"/>
          <w:szCs w:val="22"/>
        </w:rPr>
        <w:t xml:space="preserve">L of dH20 for </w:t>
      </w:r>
      <w:r w:rsidR="00A60B6F">
        <w:rPr>
          <w:sz w:val="22"/>
          <w:szCs w:val="22"/>
        </w:rPr>
        <w:t xml:space="preserve">a </w:t>
      </w:r>
      <w:bookmarkStart w:id="0" w:name="_GoBack"/>
      <w:bookmarkEnd w:id="0"/>
      <w:r w:rsidR="00DD7F84">
        <w:rPr>
          <w:sz w:val="22"/>
          <w:szCs w:val="22"/>
        </w:rPr>
        <w:t>new concentration of 100</w:t>
      </w:r>
      <w:r w:rsidR="00A60B6F">
        <w:rPr>
          <w:sz w:val="22"/>
          <w:szCs w:val="22"/>
        </w:rPr>
        <w:t xml:space="preserve"> </w:t>
      </w:r>
      <w:r w:rsidR="00A60B6F">
        <w:rPr>
          <w:sz w:val="22"/>
          <w:szCs w:val="22"/>
        </w:rPr>
        <w:sym w:font="Symbol" w:char="F06D"/>
      </w:r>
      <w:r w:rsidR="00DD7F84">
        <w:rPr>
          <w:sz w:val="22"/>
          <w:szCs w:val="22"/>
        </w:rPr>
        <w:t>g/mL, and the remaining 490</w:t>
      </w:r>
      <w:r w:rsidR="00A60B6F">
        <w:rPr>
          <w:sz w:val="22"/>
          <w:szCs w:val="22"/>
        </w:rPr>
        <w:t xml:space="preserve"> </w:t>
      </w:r>
      <w:r w:rsidR="00A60B6F">
        <w:rPr>
          <w:sz w:val="22"/>
          <w:szCs w:val="22"/>
        </w:rPr>
        <w:sym w:font="Symbol" w:char="F06D"/>
      </w:r>
      <w:r w:rsidR="00DD7F84">
        <w:rPr>
          <w:sz w:val="22"/>
          <w:szCs w:val="22"/>
        </w:rPr>
        <w:t>L was immediately stored at 2-8</w:t>
      </w:r>
      <w:r w:rsidR="00DD7F84" w:rsidRPr="007C5C16">
        <w:rPr>
          <w:sz w:val="22"/>
          <w:szCs w:val="22"/>
          <w:vertAlign w:val="superscript"/>
        </w:rPr>
        <w:t>O</w:t>
      </w:r>
      <w:r>
        <w:rPr>
          <w:sz w:val="22"/>
          <w:szCs w:val="22"/>
        </w:rPr>
        <w:t xml:space="preserve">C </w:t>
      </w:r>
      <w:r w:rsidR="00DD7F84">
        <w:rPr>
          <w:sz w:val="22"/>
          <w:szCs w:val="22"/>
        </w:rPr>
        <w:t xml:space="preserve">for future use. Serial dilutions were then performed with porcine whole blood to create the following final concentrations: 0.5, 1.0, 1.5, 1.72 (=1000 IU), 2.0, 2.5, 3.0, and 3.5 </w:t>
      </w:r>
      <w:r w:rsidR="00A60B6F">
        <w:rPr>
          <w:sz w:val="22"/>
          <w:szCs w:val="22"/>
        </w:rPr>
        <w:sym w:font="Symbol" w:char="F06D"/>
      </w:r>
      <w:r w:rsidR="00DD7F84">
        <w:rPr>
          <w:sz w:val="22"/>
          <w:szCs w:val="22"/>
        </w:rPr>
        <w:t>g/mL. For example, to create the 0.5</w:t>
      </w:r>
      <w:r w:rsidR="00A60B6F">
        <w:rPr>
          <w:sz w:val="22"/>
          <w:szCs w:val="22"/>
        </w:rPr>
        <w:t xml:space="preserve"> </w:t>
      </w:r>
      <w:r w:rsidR="00A60B6F">
        <w:rPr>
          <w:sz w:val="22"/>
          <w:szCs w:val="22"/>
        </w:rPr>
        <w:sym w:font="Symbol" w:char="F06D"/>
      </w:r>
      <w:r w:rsidR="00DD7F84">
        <w:rPr>
          <w:sz w:val="22"/>
          <w:szCs w:val="22"/>
        </w:rPr>
        <w:t>g/mL sample, 5</w:t>
      </w:r>
      <w:r w:rsidR="00A60B6F">
        <w:rPr>
          <w:sz w:val="22"/>
          <w:szCs w:val="22"/>
        </w:rPr>
        <w:t xml:space="preserve"> </w:t>
      </w:r>
      <w:r w:rsidR="00A60B6F">
        <w:rPr>
          <w:sz w:val="22"/>
          <w:szCs w:val="22"/>
        </w:rPr>
        <w:sym w:font="Symbol" w:char="F06D"/>
      </w:r>
      <w:r w:rsidR="00DD7F84">
        <w:rPr>
          <w:sz w:val="22"/>
          <w:szCs w:val="22"/>
        </w:rPr>
        <w:t>L of the 100</w:t>
      </w:r>
      <w:r w:rsidR="00A60B6F">
        <w:rPr>
          <w:sz w:val="22"/>
          <w:szCs w:val="22"/>
        </w:rPr>
        <w:t xml:space="preserve"> </w:t>
      </w:r>
      <w:r w:rsidR="00A60B6F">
        <w:rPr>
          <w:sz w:val="22"/>
          <w:szCs w:val="22"/>
        </w:rPr>
        <w:sym w:font="Symbol" w:char="F06D"/>
      </w:r>
      <w:r w:rsidR="00DD7F84">
        <w:rPr>
          <w:sz w:val="22"/>
          <w:szCs w:val="22"/>
        </w:rPr>
        <w:t>g/mL tPA solution was added 995</w:t>
      </w:r>
      <w:r w:rsidR="00A60B6F">
        <w:rPr>
          <w:sz w:val="22"/>
          <w:szCs w:val="22"/>
        </w:rPr>
        <w:t xml:space="preserve"> </w:t>
      </w:r>
      <w:r w:rsidR="00A60B6F">
        <w:rPr>
          <w:sz w:val="22"/>
          <w:szCs w:val="22"/>
        </w:rPr>
        <w:sym w:font="Symbol" w:char="F06D"/>
      </w:r>
      <w:r w:rsidR="00DD7F84">
        <w:rPr>
          <w:sz w:val="22"/>
          <w:szCs w:val="22"/>
        </w:rPr>
        <w:t>L of whole blood. To create the 1.0</w:t>
      </w:r>
      <w:r w:rsidR="00A60B6F">
        <w:rPr>
          <w:sz w:val="22"/>
          <w:szCs w:val="22"/>
        </w:rPr>
        <w:t xml:space="preserve"> </w:t>
      </w:r>
      <w:r w:rsidR="00A60B6F">
        <w:rPr>
          <w:sz w:val="22"/>
          <w:szCs w:val="22"/>
        </w:rPr>
        <w:sym w:font="Symbol" w:char="F06D"/>
      </w:r>
      <w:r w:rsidR="00DD7F84">
        <w:rPr>
          <w:sz w:val="22"/>
          <w:szCs w:val="22"/>
        </w:rPr>
        <w:t>g/mL tPA solution, 10</w:t>
      </w:r>
      <w:r w:rsidR="00A60B6F">
        <w:rPr>
          <w:sz w:val="22"/>
          <w:szCs w:val="22"/>
        </w:rPr>
        <w:t xml:space="preserve"> </w:t>
      </w:r>
      <w:r w:rsidR="00A60B6F">
        <w:rPr>
          <w:sz w:val="22"/>
          <w:szCs w:val="22"/>
        </w:rPr>
        <w:sym w:font="Symbol" w:char="F06D"/>
      </w:r>
      <w:r w:rsidR="00DD7F84">
        <w:rPr>
          <w:sz w:val="22"/>
          <w:szCs w:val="22"/>
        </w:rPr>
        <w:t>L of the tPA solution was added to 990</w:t>
      </w:r>
      <w:r w:rsidR="00A60B6F">
        <w:rPr>
          <w:sz w:val="22"/>
          <w:szCs w:val="22"/>
        </w:rPr>
        <w:t xml:space="preserve"> </w:t>
      </w:r>
      <w:r w:rsidR="00A60B6F">
        <w:rPr>
          <w:sz w:val="22"/>
          <w:szCs w:val="22"/>
        </w:rPr>
        <w:sym w:font="Symbol" w:char="F06D"/>
      </w:r>
      <w:r w:rsidR="00DD7F84">
        <w:rPr>
          <w:sz w:val="22"/>
          <w:szCs w:val="22"/>
        </w:rPr>
        <w:t>L of whole blood, and so on. 300</w:t>
      </w:r>
      <w:r w:rsidR="00A60B6F">
        <w:rPr>
          <w:sz w:val="22"/>
          <w:szCs w:val="22"/>
        </w:rPr>
        <w:t xml:space="preserve"> </w:t>
      </w:r>
      <w:r w:rsidR="00A60B6F">
        <w:rPr>
          <w:sz w:val="22"/>
          <w:szCs w:val="22"/>
        </w:rPr>
        <w:sym w:font="Symbol" w:char="F06D"/>
      </w:r>
      <w:r w:rsidR="00DD7F84">
        <w:rPr>
          <w:sz w:val="22"/>
          <w:szCs w:val="22"/>
        </w:rPr>
        <w:t>L of these samples (porcine whole blood + tPA) was then mixed with 20</w:t>
      </w:r>
      <w:r w:rsidR="00A60B6F">
        <w:rPr>
          <w:sz w:val="22"/>
          <w:szCs w:val="22"/>
        </w:rPr>
        <w:t xml:space="preserve"> </w:t>
      </w:r>
      <w:r w:rsidR="00A60B6F">
        <w:rPr>
          <w:sz w:val="22"/>
          <w:szCs w:val="22"/>
        </w:rPr>
        <w:sym w:font="Symbol" w:char="F06D"/>
      </w:r>
      <w:r w:rsidR="00DD7F84">
        <w:rPr>
          <w:sz w:val="22"/>
          <w:szCs w:val="22"/>
        </w:rPr>
        <w:t>L Startem and 20</w:t>
      </w:r>
      <w:r w:rsidR="00A60B6F">
        <w:rPr>
          <w:sz w:val="22"/>
          <w:szCs w:val="22"/>
        </w:rPr>
        <w:t xml:space="preserve"> </w:t>
      </w:r>
      <w:r w:rsidR="00A60B6F">
        <w:rPr>
          <w:sz w:val="22"/>
          <w:szCs w:val="22"/>
        </w:rPr>
        <w:sym w:font="Symbol" w:char="F06D"/>
      </w:r>
      <w:r w:rsidR="00DD7F84">
        <w:rPr>
          <w:sz w:val="22"/>
          <w:szCs w:val="22"/>
        </w:rPr>
        <w:t>L Extem and added to the ROTEM</w:t>
      </w:r>
      <w:r w:rsidR="00A60B6F">
        <w:rPr>
          <w:sz w:val="22"/>
          <w:szCs w:val="22"/>
        </w:rPr>
        <w:t>®</w:t>
      </w:r>
      <w:r w:rsidR="00DD7F84">
        <w:rPr>
          <w:sz w:val="22"/>
          <w:szCs w:val="22"/>
        </w:rPr>
        <w:t xml:space="preserve"> plate. The assay was run until LI30 was achieved. The concentration for which </w:t>
      </w:r>
      <w:r>
        <w:rPr>
          <w:sz w:val="22"/>
          <w:szCs w:val="22"/>
        </w:rPr>
        <w:t xml:space="preserve">hyperfibrinolysis was reliably </w:t>
      </w:r>
      <w:r w:rsidR="00DC1DD7">
        <w:rPr>
          <w:sz w:val="22"/>
          <w:szCs w:val="22"/>
        </w:rPr>
        <w:t>corrected</w:t>
      </w:r>
      <w:r w:rsidR="00DD7F84">
        <w:rPr>
          <w:sz w:val="22"/>
          <w:szCs w:val="22"/>
        </w:rPr>
        <w:t xml:space="preserve"> was 3.0</w:t>
      </w:r>
      <w:r w:rsidR="00A60B6F">
        <w:rPr>
          <w:sz w:val="22"/>
          <w:szCs w:val="22"/>
        </w:rPr>
        <w:t xml:space="preserve"> </w:t>
      </w:r>
      <w:r w:rsidR="00A60B6F">
        <w:rPr>
          <w:sz w:val="22"/>
          <w:szCs w:val="22"/>
        </w:rPr>
        <w:sym w:font="Symbol" w:char="F06D"/>
      </w:r>
      <w:r w:rsidR="00DD7F84">
        <w:rPr>
          <w:sz w:val="22"/>
          <w:szCs w:val="22"/>
        </w:rPr>
        <w:t xml:space="preserve">g/mL. This was the concentration chosen for </w:t>
      </w:r>
      <w:r w:rsidR="00DC1DD7">
        <w:rPr>
          <w:sz w:val="22"/>
          <w:szCs w:val="22"/>
        </w:rPr>
        <w:t xml:space="preserve">use in </w:t>
      </w:r>
      <w:r w:rsidR="00DD7F84">
        <w:rPr>
          <w:sz w:val="22"/>
          <w:szCs w:val="22"/>
        </w:rPr>
        <w:t>the larger experiment.</w:t>
      </w:r>
    </w:p>
    <w:p w14:paraId="77A88D62" w14:textId="77777777" w:rsidR="00C94FC0" w:rsidRDefault="00C94FC0" w:rsidP="00C94FC0">
      <w:pPr>
        <w:spacing w:line="480" w:lineRule="auto"/>
        <w:rPr>
          <w:sz w:val="22"/>
          <w:szCs w:val="22"/>
        </w:rPr>
      </w:pPr>
    </w:p>
    <w:p w14:paraId="1844D686" w14:textId="77777777" w:rsidR="00DC1DD7" w:rsidRDefault="00DC1DD7" w:rsidP="00C94FC0">
      <w:pPr>
        <w:spacing w:line="480" w:lineRule="auto"/>
        <w:rPr>
          <w:sz w:val="22"/>
          <w:szCs w:val="22"/>
        </w:rPr>
      </w:pPr>
    </w:p>
    <w:p w14:paraId="23E69824" w14:textId="77777777" w:rsidR="00C94FC0" w:rsidRPr="00C94FC0" w:rsidRDefault="00C94FC0" w:rsidP="00C94FC0">
      <w:pPr>
        <w:spacing w:line="480" w:lineRule="auto"/>
        <w:rPr>
          <w:b/>
          <w:sz w:val="22"/>
          <w:szCs w:val="22"/>
        </w:rPr>
      </w:pPr>
      <w:r w:rsidRPr="00C94FC0">
        <w:rPr>
          <w:b/>
          <w:sz w:val="22"/>
          <w:szCs w:val="22"/>
        </w:rPr>
        <w:lastRenderedPageBreak/>
        <w:t>References</w:t>
      </w:r>
    </w:p>
    <w:p w14:paraId="60675F2A" w14:textId="77777777" w:rsidR="00DD7F84" w:rsidRDefault="00C94FC0" w:rsidP="00F5238D">
      <w:pPr>
        <w:pStyle w:val="Bibliography"/>
        <w:spacing w:line="480" w:lineRule="auto"/>
        <w:rPr>
          <w:rFonts w:eastAsia="Times New Roman"/>
          <w:sz w:val="22"/>
          <w:szCs w:val="22"/>
        </w:rPr>
      </w:pPr>
      <w:r>
        <w:rPr>
          <w:rFonts w:eastAsia="Times New Roman"/>
          <w:sz w:val="22"/>
          <w:szCs w:val="22"/>
        </w:rPr>
        <w:t>1</w:t>
      </w:r>
      <w:r w:rsidR="00DD7F84" w:rsidRPr="00D51D15">
        <w:rPr>
          <w:rFonts w:eastAsia="Times New Roman"/>
          <w:sz w:val="22"/>
          <w:szCs w:val="22"/>
        </w:rPr>
        <w:t xml:space="preserve">. </w:t>
      </w:r>
      <w:r w:rsidR="00DD7F84" w:rsidRPr="00D51D15">
        <w:rPr>
          <w:rFonts w:eastAsia="Times New Roman"/>
          <w:sz w:val="22"/>
          <w:szCs w:val="22"/>
        </w:rPr>
        <w:tab/>
        <w:t xml:space="preserve">Zentai C, van der Meijden PEJ, Braunschweig T, Hueck N, Honickel M, Spronk HMH, et al. Hemostatic Therapy Using Tranexamic Acid and Coagulation Factor Concentrates in a Model of Traumatic Liver Injury. </w:t>
      </w:r>
      <w:r w:rsidR="00DD7F84" w:rsidRPr="00D51D15">
        <w:rPr>
          <w:rFonts w:eastAsia="Times New Roman"/>
          <w:i/>
          <w:sz w:val="22"/>
          <w:szCs w:val="22"/>
        </w:rPr>
        <w:t>Anesth Analg</w:t>
      </w:r>
      <w:r w:rsidR="00DD7F84" w:rsidRPr="00D51D15">
        <w:rPr>
          <w:rFonts w:eastAsia="Times New Roman"/>
          <w:sz w:val="22"/>
          <w:szCs w:val="22"/>
        </w:rPr>
        <w:t xml:space="preserve"> 123(1):38–48, 2016. </w:t>
      </w:r>
    </w:p>
    <w:p w14:paraId="78BAB009" w14:textId="77777777" w:rsidR="00C94FC0" w:rsidRPr="00D51D15" w:rsidRDefault="00C94FC0" w:rsidP="00C94FC0">
      <w:pPr>
        <w:pStyle w:val="Bibliography"/>
        <w:spacing w:line="480" w:lineRule="auto"/>
        <w:rPr>
          <w:rFonts w:eastAsia="Times New Roman"/>
          <w:sz w:val="22"/>
          <w:szCs w:val="22"/>
        </w:rPr>
      </w:pPr>
      <w:r>
        <w:rPr>
          <w:rFonts w:eastAsia="Times New Roman"/>
          <w:sz w:val="22"/>
          <w:szCs w:val="22"/>
        </w:rPr>
        <w:t xml:space="preserve">2. </w:t>
      </w:r>
      <w:r>
        <w:rPr>
          <w:rFonts w:eastAsia="Times New Roman"/>
          <w:sz w:val="22"/>
          <w:szCs w:val="22"/>
        </w:rPr>
        <w:tab/>
      </w:r>
      <w:r w:rsidRPr="00D51D15">
        <w:rPr>
          <w:rFonts w:eastAsia="Times New Roman"/>
          <w:sz w:val="22"/>
          <w:szCs w:val="22"/>
        </w:rPr>
        <w:t xml:space="preserve">Fletcher DJ, Brainard BM, Epstein K, Radcliffe R, Divers T. Therapeutic Plasma Concentrations of Epsilon Aminocaproic Acid and Tranexamic Acid in Horses. </w:t>
      </w:r>
      <w:r w:rsidRPr="00D51D15">
        <w:rPr>
          <w:rFonts w:eastAsia="Times New Roman"/>
          <w:i/>
          <w:sz w:val="22"/>
          <w:szCs w:val="22"/>
        </w:rPr>
        <w:t>J Vet Intern Med</w:t>
      </w:r>
      <w:r w:rsidRPr="00D51D15">
        <w:rPr>
          <w:rFonts w:eastAsia="Times New Roman"/>
          <w:sz w:val="22"/>
          <w:szCs w:val="22"/>
        </w:rPr>
        <w:t xml:space="preserve"> 27(6):1589–95, 2013. </w:t>
      </w:r>
    </w:p>
    <w:p w14:paraId="2D004B0C" w14:textId="77777777" w:rsidR="00C94FC0" w:rsidRPr="00D51D15" w:rsidRDefault="00C94FC0" w:rsidP="00C94FC0">
      <w:pPr>
        <w:pStyle w:val="Bibliography"/>
        <w:spacing w:line="480" w:lineRule="auto"/>
        <w:rPr>
          <w:rFonts w:eastAsia="Times New Roman"/>
          <w:sz w:val="22"/>
          <w:szCs w:val="22"/>
        </w:rPr>
      </w:pPr>
      <w:r>
        <w:rPr>
          <w:rFonts w:eastAsia="Times New Roman"/>
          <w:sz w:val="22"/>
          <w:szCs w:val="22"/>
        </w:rPr>
        <w:t>3</w:t>
      </w:r>
      <w:r w:rsidRPr="00D51D15">
        <w:rPr>
          <w:rFonts w:eastAsia="Times New Roman"/>
          <w:sz w:val="22"/>
          <w:szCs w:val="22"/>
        </w:rPr>
        <w:t xml:space="preserve">. </w:t>
      </w:r>
      <w:r w:rsidRPr="00D51D15">
        <w:rPr>
          <w:rFonts w:eastAsia="Times New Roman"/>
          <w:sz w:val="22"/>
          <w:szCs w:val="22"/>
        </w:rPr>
        <w:tab/>
        <w:t xml:space="preserve">Fletcher DJ, Blackstock KJ, Epstein K, Brainard BM. Evaluation of tranexamic acid and ϵ-aminocaproic acid concentrations required to inhibit fibrinolysis in plasma of dogs and humans. </w:t>
      </w:r>
      <w:r w:rsidRPr="00D51D15">
        <w:rPr>
          <w:rFonts w:eastAsia="Times New Roman"/>
          <w:i/>
          <w:sz w:val="22"/>
          <w:szCs w:val="22"/>
        </w:rPr>
        <w:t>Am J Vet Res</w:t>
      </w:r>
      <w:r w:rsidRPr="00D51D15">
        <w:rPr>
          <w:rFonts w:eastAsia="Times New Roman"/>
          <w:sz w:val="22"/>
          <w:szCs w:val="22"/>
        </w:rPr>
        <w:t xml:space="preserve"> 75(8):731–8, 2014. </w:t>
      </w:r>
    </w:p>
    <w:p w14:paraId="7F4BD5E9" w14:textId="77777777" w:rsidR="00C94FC0" w:rsidRPr="00C94FC0" w:rsidRDefault="00C94FC0" w:rsidP="00C94FC0"/>
    <w:p w14:paraId="1B5A4196" w14:textId="77777777" w:rsidR="00A5639E" w:rsidRDefault="00A60B6F" w:rsidP="00F5238D">
      <w:pPr>
        <w:spacing w:line="480" w:lineRule="auto"/>
      </w:pPr>
    </w:p>
    <w:sectPr w:rsidR="00A5639E" w:rsidSect="00A3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84"/>
    <w:rsid w:val="00025C21"/>
    <w:rsid w:val="00A339C1"/>
    <w:rsid w:val="00A60B6F"/>
    <w:rsid w:val="00C94FC0"/>
    <w:rsid w:val="00DC1DD7"/>
    <w:rsid w:val="00DD7F84"/>
    <w:rsid w:val="00F5238D"/>
    <w:rsid w:val="00FB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14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7F8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D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588</Words>
  <Characters>2283</Characters>
  <Application>Microsoft Macintosh Word</Application>
  <DocSecurity>0</DocSecurity>
  <Lines>175</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Winkler</dc:creator>
  <cp:keywords/>
  <dc:description/>
  <cp:lastModifiedBy>Marguerite Winkler</cp:lastModifiedBy>
  <cp:revision>3</cp:revision>
  <dcterms:created xsi:type="dcterms:W3CDTF">2019-04-17T20:29:00Z</dcterms:created>
  <dcterms:modified xsi:type="dcterms:W3CDTF">2019-04-17T21:33:00Z</dcterms:modified>
</cp:coreProperties>
</file>