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</w:tblGrid>
      <w:tr w:rsidR="00C5769B" w:rsidRPr="00C5769B" w:rsidTr="00C5769B">
        <w:trPr>
          <w:trHeight w:val="20"/>
          <w:jc w:val="center"/>
        </w:trPr>
        <w:tc>
          <w:tcPr>
            <w:tcW w:w="7905" w:type="dxa"/>
            <w:gridSpan w:val="2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C5769B" w:rsidRPr="00C5769B" w:rsidRDefault="00C5769B" w:rsidP="00C5769B">
            <w:pPr>
              <w:pStyle w:val="Subtitle"/>
              <w:spacing w:before="0" w:after="0"/>
              <w:rPr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5769B">
              <w:rPr>
                <w:b/>
                <w:bCs/>
                <w:sz w:val="22"/>
                <w:szCs w:val="22"/>
                <w:lang w:val="en-GB"/>
              </w:rPr>
              <w:t>Included types of simulation technology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769B" w:rsidRPr="00C5769B" w:rsidRDefault="00C5769B" w:rsidP="00C5769B">
            <w:pPr>
              <w:spacing w:before="0" w:after="0" w:line="240" w:lineRule="auto"/>
              <w:jc w:val="center"/>
              <w:rPr>
                <w:b/>
                <w:bCs/>
                <w:sz w:val="20"/>
                <w:lang w:val="en-GB"/>
              </w:rPr>
            </w:pPr>
            <w:r w:rsidRPr="00C5769B">
              <w:rPr>
                <w:b/>
                <w:bCs/>
                <w:sz w:val="20"/>
                <w:lang w:val="en-GB"/>
              </w:rPr>
              <w:t>Included Interventions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769B" w:rsidRPr="00C5769B" w:rsidRDefault="00C5769B" w:rsidP="00C5769B">
            <w:pPr>
              <w:spacing w:before="0" w:after="0" w:line="240" w:lineRule="auto"/>
              <w:jc w:val="center"/>
              <w:rPr>
                <w:b/>
                <w:bCs/>
                <w:sz w:val="20"/>
                <w:lang w:val="en-GB"/>
              </w:rPr>
            </w:pPr>
            <w:r w:rsidRPr="00C5769B">
              <w:rPr>
                <w:b/>
                <w:bCs/>
                <w:sz w:val="20"/>
                <w:lang w:val="en-GB"/>
              </w:rPr>
              <w:t>Description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  <w:tcBorders>
              <w:top w:val="single" w:sz="4" w:space="0" w:color="000000" w:themeColor="text1"/>
            </w:tcBorders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 xml:space="preserve">Low Fidelity Simulators </w:t>
            </w: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Basic models or mannequins used to practice simple physical manoeuvres or procedures.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High Fidelity Simulators</w:t>
            </w:r>
          </w:p>
        </w:tc>
        <w:tc>
          <w:tcPr>
            <w:tcW w:w="4820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Computer Driven, full-length mannequins. Simulated anatomy and physiology that allow handling of complex and high-risk clinical situations in lifelike settings, including team training and integration of multiple simulation devices.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Standardised patients</w:t>
            </w:r>
          </w:p>
        </w:tc>
        <w:tc>
          <w:tcPr>
            <w:tcW w:w="4820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Actors trained to role-play patients, for training and assessment of history taking, physicals, and communication skills.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Screen-based computer simulators</w:t>
            </w:r>
          </w:p>
        </w:tc>
        <w:tc>
          <w:tcPr>
            <w:tcW w:w="4820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 xml:space="preserve">Programs to train and assess clinical knowledge and decision making. </w:t>
            </w:r>
            <w:r w:rsidRPr="00C5769B">
              <w:rPr>
                <w:i/>
                <w:iCs/>
                <w:sz w:val="20"/>
                <w:lang w:val="en-GB"/>
              </w:rPr>
              <w:t>(E.g. Perioperative critical incident management, problem based learning, physical diagnosis in cardiology, acute cardiac life support.)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Complex Task Trainers</w:t>
            </w:r>
          </w:p>
        </w:tc>
        <w:tc>
          <w:tcPr>
            <w:tcW w:w="4820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 xml:space="preserve">High-fidelity visual, audio, touch cues, and actual tools that are integrated with computers. Virtual reality devices and simulator that replicate a clinical setting. </w:t>
            </w:r>
            <w:r w:rsidRPr="00C5769B">
              <w:rPr>
                <w:i/>
                <w:iCs/>
                <w:sz w:val="20"/>
                <w:lang w:val="en-GB"/>
              </w:rPr>
              <w:t>(E.g. ultrasound, bronchoscopy, cardiology, laparoscopic surgery, arthroscopy, sigmoidoscopy, dentistry.)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Human Cadavers</w:t>
            </w:r>
          </w:p>
        </w:tc>
        <w:tc>
          <w:tcPr>
            <w:tcW w:w="4820" w:type="dxa"/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Cadavers or Cadaveric material used to practice physical manoeuvres or procedures.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3085" w:type="dxa"/>
            <w:tcBorders>
              <w:bottom w:val="single" w:sz="24" w:space="0" w:color="000000" w:themeColor="text1"/>
            </w:tcBorders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Animal Simulators</w:t>
            </w:r>
          </w:p>
        </w:tc>
        <w:tc>
          <w:tcPr>
            <w:tcW w:w="4820" w:type="dxa"/>
            <w:tcBorders>
              <w:bottom w:val="single" w:sz="24" w:space="0" w:color="000000" w:themeColor="text1"/>
            </w:tcBorders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>Live Animals, Carcases or parts used to practice physical manoeuvres or procedures.</w:t>
            </w:r>
          </w:p>
        </w:tc>
      </w:tr>
      <w:tr w:rsidR="00C5769B" w:rsidRPr="00C5769B" w:rsidTr="00C5769B">
        <w:trPr>
          <w:trHeight w:val="20"/>
          <w:jc w:val="center"/>
        </w:trPr>
        <w:tc>
          <w:tcPr>
            <w:tcW w:w="7905" w:type="dxa"/>
            <w:gridSpan w:val="2"/>
            <w:tcBorders>
              <w:top w:val="single" w:sz="24" w:space="0" w:color="000000" w:themeColor="text1"/>
            </w:tcBorders>
          </w:tcPr>
          <w:p w:rsidR="00C5769B" w:rsidRPr="00C5769B" w:rsidRDefault="00C5769B" w:rsidP="00C5769B">
            <w:pPr>
              <w:spacing w:before="0" w:after="0" w:line="240" w:lineRule="auto"/>
              <w:rPr>
                <w:sz w:val="20"/>
                <w:lang w:val="en-GB"/>
              </w:rPr>
            </w:pPr>
            <w:r w:rsidRPr="00C5769B">
              <w:rPr>
                <w:sz w:val="20"/>
                <w:lang w:val="en-GB"/>
              </w:rPr>
              <w:t xml:space="preserve">Taken and adapted from </w:t>
            </w:r>
            <w:r w:rsidRPr="00C5769B">
              <w:rPr>
                <w:sz w:val="20"/>
              </w:rPr>
              <w:fldChar w:fldCharType="begin"/>
            </w:r>
            <w:r w:rsidRPr="00C5769B">
              <w:rPr>
                <w:sz w:val="20"/>
                <w:lang w:val="en-GB"/>
              </w:rPr>
              <w:instrText xml:space="preserve"> ADDIN EN.CITE &lt;EndNote&gt;&lt;Cite&gt;&lt;Author&gt;Ziv&lt;/Author&gt;&lt;Year&gt;2003&lt;/Year&gt;&lt;RecNum&gt;870&lt;/RecNum&gt;&lt;DisplayText&gt;(Ziv et al., 2003)&lt;/DisplayText&gt;&lt;record&gt;&lt;rec-number&gt;870&lt;/rec-number&gt;&lt;foreign-keys&gt;&lt;key app="EN" db-id="0tsp92v2jexttye2fw7xa2ep59xrdzezsv55"&gt;870&lt;/key&gt;&lt;/foreign-keys&gt;&lt;ref-type name="Journal Article"&gt;17&lt;/ref-type&gt;&lt;contributors&gt;&lt;authors&gt;&lt;author&gt;Ziv, Amitai&lt;/author&gt;&lt;author&gt;Wolpe, Paul Root&lt;/author&gt;&lt;author&gt;Small, Stephen D.&lt;/author&gt;&lt;author&gt;Glick, Shimon&lt;/author&gt;&lt;/authors&gt;&lt;/contributors&gt;&lt;titles&gt;&lt;title&gt;Simulation-Based Medical Education: An Ethical Imperative&lt;/title&gt;&lt;secondary-title&gt;Academic Medicine&lt;/secondary-title&gt;&lt;/titles&gt;&lt;periodical&gt;&lt;full-title&gt;Academic Medicine&lt;/full-title&gt;&lt;/periodical&gt;&lt;pages&gt;783-788&lt;/pages&gt;&lt;volume&gt;78&lt;/volume&gt;&lt;number&gt;8&lt;/number&gt;&lt;keywords&gt;&lt;keyword&gt;00001888-200308000-00006&lt;/keyword&gt;&lt;/keywords&gt;&lt;dates&gt;&lt;year&gt;2003&lt;/year&gt;&lt;/dates&gt;&lt;isbn&gt;1040-2446&lt;/isbn&gt;&lt;urls&gt;&lt;related-urls&gt;&lt;url&gt;http://journals.lww.com/academicmedicine/Fulltext/2003/08000/Simulation_Based_Medical_Education__An_Ethical.6.aspx&lt;/url&gt;&lt;/related-urls&gt;&lt;/urls&gt;&lt;/record&gt;&lt;/Cite&gt;&lt;/EndNote&gt;</w:instrText>
            </w:r>
            <w:r w:rsidRPr="00C5769B">
              <w:rPr>
                <w:sz w:val="20"/>
              </w:rPr>
              <w:fldChar w:fldCharType="separate"/>
            </w:r>
            <w:r w:rsidRPr="00C5769B">
              <w:rPr>
                <w:noProof/>
                <w:sz w:val="20"/>
                <w:lang w:val="en-GB"/>
              </w:rPr>
              <w:t>(</w:t>
            </w:r>
            <w:hyperlink w:anchor="_ENREF_121" w:tooltip="Ziv, 2003 #870" w:history="1">
              <w:r w:rsidRPr="00C5769B">
                <w:rPr>
                  <w:noProof/>
                  <w:sz w:val="20"/>
                  <w:lang w:val="en-GB"/>
                </w:rPr>
                <w:t>Ziv et al., 2003</w:t>
              </w:r>
            </w:hyperlink>
            <w:r w:rsidRPr="00C5769B">
              <w:rPr>
                <w:noProof/>
                <w:sz w:val="20"/>
                <w:lang w:val="en-GB"/>
              </w:rPr>
              <w:t>)</w:t>
            </w:r>
            <w:r w:rsidRPr="00C5769B">
              <w:rPr>
                <w:sz w:val="20"/>
              </w:rPr>
              <w:fldChar w:fldCharType="end"/>
            </w:r>
          </w:p>
        </w:tc>
      </w:tr>
    </w:tbl>
    <w:p w:rsidR="00BF2767" w:rsidRPr="00C5769B" w:rsidRDefault="00BF2767"/>
    <w:sectPr w:rsidR="00BF2767" w:rsidRPr="00C5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B"/>
    <w:rsid w:val="00652199"/>
    <w:rsid w:val="00BF2767"/>
    <w:rsid w:val="00C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CFC4D-A9CD-48A8-A7E8-DC1F0172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B"/>
    <w:pPr>
      <w:spacing w:before="200" w:after="480" w:line="480" w:lineRule="auto"/>
      <w:jc w:val="both"/>
    </w:pPr>
    <w:rPr>
      <w:sz w:val="24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5769B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769B"/>
    <w:rPr>
      <w:caps/>
      <w:color w:val="595959" w:themeColor="text1" w:themeTint="A6"/>
      <w:spacing w:val="10"/>
      <w:sz w:val="24"/>
      <w:szCs w:val="24"/>
      <w:lang w:eastAsia="en-US" w:bidi="en-US"/>
    </w:rPr>
  </w:style>
  <w:style w:type="table" w:styleId="TableGrid">
    <w:name w:val="Table Grid"/>
    <w:basedOn w:val="TableNormal"/>
    <w:rsid w:val="00C5769B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MacKenzie, Ashli</cp:lastModifiedBy>
  <cp:revision>2</cp:revision>
  <dcterms:created xsi:type="dcterms:W3CDTF">2016-06-30T13:55:00Z</dcterms:created>
  <dcterms:modified xsi:type="dcterms:W3CDTF">2016-06-30T13:55:00Z</dcterms:modified>
</cp:coreProperties>
</file>