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8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985"/>
        <w:gridCol w:w="2126"/>
        <w:gridCol w:w="2268"/>
        <w:gridCol w:w="2268"/>
        <w:gridCol w:w="1653"/>
      </w:tblGrid>
      <w:tr w:rsidR="00833BE7" w:rsidRPr="00833BE7" w:rsidTr="00833BE7">
        <w:trPr>
          <w:trHeight w:val="225"/>
          <w:jc w:val="center"/>
        </w:trPr>
        <w:tc>
          <w:tcPr>
            <w:tcW w:w="149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Table 2. </w:t>
            </w: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Validation</w:t>
            </w:r>
            <w:proofErr w:type="spellEnd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results</w:t>
            </w:r>
            <w:proofErr w:type="spellEnd"/>
          </w:p>
        </w:tc>
      </w:tr>
      <w:tr w:rsidR="00833BE7" w:rsidRPr="00833BE7" w:rsidTr="00833BE7">
        <w:trPr>
          <w:trHeight w:val="450"/>
          <w:jc w:val="center"/>
        </w:trPr>
        <w:tc>
          <w:tcPr>
            <w:tcW w:w="14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</w:tr>
      <w:tr w:rsidR="00833BE7" w:rsidRPr="00833BE7" w:rsidTr="00833BE7">
        <w:trPr>
          <w:trHeight w:val="97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Assessment</w:t>
            </w:r>
            <w:proofErr w:type="spellEnd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tools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Paper(s) included in systematic review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Paper(s) </w:t>
            </w: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validation</w:t>
            </w:r>
            <w:proofErr w:type="spellEnd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evidence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Proposed</w:t>
            </w:r>
            <w:proofErr w:type="spellEnd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use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Scoring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Generalization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Extrapolation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Implications</w:t>
            </w:r>
            <w:proofErr w:type="spellEnd"/>
          </w:p>
        </w:tc>
      </w:tr>
      <w:tr w:rsidR="00833BE7" w:rsidRPr="00225D0D" w:rsidTr="00225D0D">
        <w:trPr>
          <w:trHeight w:val="345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CTS (Clinical Teamwork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Scale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Fransen et al 2012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Guise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Assess teamwork performance in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teams; consisting of gynaecologists, midwives, residents, and nurses; in high-fidelity simulated obstetric emergency scenarios.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provided. The tool was originally validated using scripted performances by actors in simulated standardized scenarios.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, and their training, were provided. The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were intentionally not extensively trained in the use of the tool, as the intention was that the tool would be easy to use without formal training.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validity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-Overall agreement among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measured by kappa statistics, was substantial, and agreement among teamwork levels was high. Concordance (Kendall coefficient) and correlation (Pearson coefficient) was high.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-Reliability of the tool's ratings was also examined by estimating the variance of each component based on generalizability theory.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-The tool was originally validated in a simulated scenario, performed by scripted actors, and therefore the authenticity of the context could be challenged. Observed performance might not reflect desired real-life clinical performance.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294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SNAPPI pre-defined scoring rubric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Weller et al 2014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Weller et al 2014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Assess call-outs by teams; consisting of nurses,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, and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anesthetic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technicians; in simulated post-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anesthesia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care unit crisis scenarios.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provided. Items were created by consensus among five specialist anaesthesiologists with expertise in teamwork and communication training.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 provided. The piloting of the tool was also detailed.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validity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-Pre/Post testing in 'test setting'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-Details for sample size calculations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-Inter-rater agreement, using intra-class correlation was good, in both the pilot, and in the study proper.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factor analysis, or expert-novice analysis, were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-Simulations were held in simulated PACU environments, to resemble real-life PACU environments, and to provide authenticity. Insufficient details about the simulations were reported to verify this assumption.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225D0D">
        <w:trPr>
          <w:trHeight w:val="3233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Teamwork and Patient Care Measure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Fernandez et al 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Fernandez et al 2013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Assess teamwork behaviours and patient care performance in code teams, consisting of medical students, emergency medicine residents, and confederate nurse actors.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were trained, but no details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-Items content validated by external teamwork and clinical subject matter experts.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-Inter-rater reliability using Cohen's kappa showed substantial agreement for teamwork behaviour, and excellent agreement for patient behaviour.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-Higher experience correlated with higher teamwork process measures and higher patient care measures.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-Analysis of covariance showed that the </w:t>
            </w:r>
            <w:proofErr w:type="gram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particular scenario</w:t>
            </w:r>
            <w:proofErr w:type="gram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used for assessment did not influence training outcomes. Analysis of covariance was also used to assess the effect of the training intervention on teamwork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behaviors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and patient care performance.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factor analysis was reported.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406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ANTS (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Anesthetist's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Non-Technical Skills)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Jankouskas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2011, Lee et al 2012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Fletcher et al 2003,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Jankouskas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2007 &amp; 2011, Lee et al 2012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Assess teamwork parameters in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teams; consisting of paediatric nurses, paediatric residents and anaesthesiology residents; in simulated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crisis scenarios.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-Details on item development were provided. The tool was originally created to assess NTS and teamwork behaviours of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. The literature review focused on relevant, general teamwork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behavior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; the tool was created by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; and rated by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received minimal training in rating NTS, and in the use of the tool, to show the tool's ease-of-use.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-A panel of expert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provided item content validity, when using the tool to assess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-Pre/Post testing in 'test setting'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-Internal consistency was high, and interrater agreement was reasonable. 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-The authors argue that interrater agreement likely would be higher with more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factor analysis, or expert-novice analysis, were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-High-fidelity simulations were used, with the assumption that it correlates to real-life clinical practice. 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Insufficient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details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were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provided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to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verify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this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assumption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286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ORTAS (Operating Room Teamwork Assessment Scale)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Paige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Paige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2009,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Paige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Assess team-based performance of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operative teams, consisting of medical and nursing students, in operating room scenarios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-Items were content validated by a panel of relevant content experts.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about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 provided. No details on the selection of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, nor any other descriptive details about the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were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-Pre/Post testing in 'test setting'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consistency, using Cronbach’s alpha, of the scales and subscales, was found to be good and very good respectively.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-Interrater reliability was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-Scales and subscales were validated by using factor analysis.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expert-novice analysis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-Increase in teamwork performance scores post intervention was found both in simulated scenarios and in real-life elective surgical cases, supporting authenticity of the scoring.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225D0D">
        <w:trPr>
          <w:trHeight w:val="4367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TEAM (Team Emergency Assessment Measure)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Rubio-Gurung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2014, Couto et al 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Cooper et al 2010, Cooper et al 2014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Developed to measure teamwork performance in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teams, for both simulated and actual emergencies.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were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-Face and content validity assessed by an international panel of resuscitation experts.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Level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agreement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was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determined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by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content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validity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index.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-Internal consistency was high, and inter-rater reliability was fair.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-Comparison between simulation and actual emergencies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-Construct validity was assessed by using component factor analysis, showing one construct, "teamwork", to explain the majority of the variance.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expert-novice analysis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-Item development, and rating, was done by experienced clinicians and academics who were resuscitation officers, from relevant fields, supporting authenticity of the scoring.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-Since TEAM was developed to be used in actual emergencies, it might come at the expense of the generalization (to maximize extrapolation).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288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KidSIM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Team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Performance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Scale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Sigalet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Sigalet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To evaluate team performance of undergraduate,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health professionals in a simulation-based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curriculum.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background and training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evidence for content validity was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-Interrater agreement and internal consistency, using Cronbach's alpha, were excellent.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-Construct validity was assessed by factor analysis with varimax rotation, resulting in a three-factor solution accounting for </w:t>
            </w:r>
            <w:proofErr w:type="gram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 majority of</w:t>
            </w:r>
            <w:proofErr w:type="gram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the variance.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expert-novice analysis was reported.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225D0D">
        <w:trPr>
          <w:trHeight w:val="3233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NOTECHS (Nontechnical skills evaluation rating scale)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Powers et al 2008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Moorthy et al 2006, Powers et al 2008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Originally developed to assess non-technical skills in aviation, Moorthy et al used the tool to assess NTS in a crisis scenario during a simulated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saphenofemoral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junction high-tie procedure. Powers et al used the tool to assess NTS in surgeons during a novel,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simulated team training for minimally invasive surgery.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-Details on item development was not provided.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were not provided.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 xml:space="preserve">-Expert surgeons participating in the minimal invasive study assessed the content validity of the laparoscopic crisis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endosuite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scenario.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-Content validity of the assessment tool was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-Interrater reliability and internal consistency was determined by Cronbach's alpha, and was found to be high, in both studies, indicating good reliability.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factor analysis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-Expert-novice analysis using Tukey–Kramer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Studentized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range test was done,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favoring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higher scores for experts in </w:t>
            </w:r>
            <w:proofErr w:type="gram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all of</w:t>
            </w:r>
            <w:proofErr w:type="gram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the components of the NTS score, with greater variability in the novice group.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-Details on the authenticity of the simulated environment, and the simulated abdominal model,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-Face validity assessed by participant questionnaire.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288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TLIS (Teamwork Leadership Interpersonal Skills) &amp; ECCS (Emergency Clinical Care Skills)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Pascual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Pascual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2011, https://www.facs.org/education/program/resident-skills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Assess pre- and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posttraining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non-technical skills performance of surgical critical care fellows and in advanced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practioners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in simulated ICU emergency scenarios.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was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were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-The authors reported that the tools were developed from an established curriculum. The curriculum was said to be validated, but no further details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validation evidence was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-Pre/Post testing in 'test setting'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-Interrater reliability for all scores was excellent.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-The simulated scenarios were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descibed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in detail, and were created by relevant field experts to provide authenticity.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-Face validity of the curriculum was evaluated by participant questionnaire.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-The authors discuss the possible effects assessment by TLIS might have on future ICU staffing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-Implications of using the assessment tool was not reported</w:t>
            </w:r>
          </w:p>
        </w:tc>
      </w:tr>
      <w:tr w:rsidR="00833BE7" w:rsidRPr="00225D0D" w:rsidTr="00833BE7">
        <w:trPr>
          <w:trHeight w:val="330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NOTSS (Non-technical Skills for Surgeons)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Abdelshehid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2013, Lee et al 2012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Yule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2006 &amp; 2008,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Abdelshehid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2013, Lee et al 2012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To be used by post-graduate surgeons in theatre to assess non-technical skills of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surgical teams.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-Content validity was derived from the systematic development process with subject matter experts.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-System sensitivity, internal structure, and inter-rater reliability was reported, and found to be high.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-When analysing, a generally accepted criterion for an acceptable level of agreement was used.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Intraclass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correlation coefficient was also calculated, following the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convetion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for acceptable reliability.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-Differences in agreement based on the surgical field of the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was observed. </w:t>
            </w:r>
            <w:proofErr w:type="gram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Also</w:t>
            </w:r>
            <w:proofErr w:type="gram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There were substantial differences in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agreement between different scenarios.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-Arguments for good investment value in using NOTSS were presented, as short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 still reached a high level of agreement and sensitivity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-Implications of using the assessment tool was not reported</w:t>
            </w:r>
          </w:p>
        </w:tc>
      </w:tr>
      <w:tr w:rsidR="00833BE7" w:rsidRPr="00225D0D" w:rsidTr="00225D0D">
        <w:trPr>
          <w:trHeight w:val="2949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lastRenderedPageBreak/>
              <w:t xml:space="preserve">TBR (Team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Behavioral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Rater)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Frengley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Weller et al 2011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Measure teamwork behaviours in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teams in the field of critical care medicine.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and developers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about pilot testing, and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validity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-Internal consistency using Cronbach's alpha was "good" and "excellent" for the factors identified in the factor analysis.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-The analysis of Variance Components found that more subjective items seemed to be more affected by the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-Interrater reliability was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-Construct validity was supported by improved performance of the teams over time, and superior performance by specialists versus trainees.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-Exploratory Factor Analysis showed that items clustered around three factors: “Leadership and Team Coordination”, “Mutual Performance Monitoring”, and “Verbalising Situational Information”.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833BE7" w:rsidTr="00833BE7">
        <w:trPr>
          <w:trHeight w:val="174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TPOT (Trauma Team Performance Observation Tool)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Capella et al 2010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Capella et al 2009 &amp; 2010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To assess the team performance of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teams, during trauma resuscitations.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-No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validation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evidence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provided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further validation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-Pre/Post testing in '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nontest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setting'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further validation evidence provided.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-No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validation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evidence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provided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.</w:t>
            </w:r>
          </w:p>
        </w:tc>
      </w:tr>
      <w:tr w:rsidR="00833BE7" w:rsidRPr="00225D0D" w:rsidTr="00833BE7">
        <w:trPr>
          <w:trHeight w:val="271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SAGAT (Situation Awareness Global Assessment Technique)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Morgan et al 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Hogan et al 2006, Morgan et al 2015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Assessment of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, medical teams' situation awareness.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about initial item development and content validation provided. Details for tool modification was also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were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-Content validity evidence provided for trauma emergency setting, but not for obstetric emergencies.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-Scoring process and scenario development was explained.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-Interrater reliability using Cronbach’s alpha was acceptable.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-Experts scored higher than novices, supporting construct validity.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factor analysis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-SAGAT was compared to a traditional checklist, and Pearson's correlation supported that both measurements measured the same construct.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225D0D">
        <w:trPr>
          <w:trHeight w:val="2949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 xml:space="preserve">CEPTE (Clinical Emergency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Predaredness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 Evaluation)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Kennedy et al 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Kennedy et al 2013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Assessment of team performance and skill in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emergency situations.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was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-The contents of CEPTE was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the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and their training, was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validity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-Pre/Post testing in 'test setting'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-Interrater agreement was reported to be substantial, but the method of calculation was unclearly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-Technical details about the simulations were provided, arguing for the authenticity of the simulations.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-Team performance scores improved from baseline. In situ simulations also showed improvement in team performance. This supports a measurement of actual team performance.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225D0D">
        <w:trPr>
          <w:trHeight w:val="2637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"Checklist of Expected Actions", and "Health Failure Modes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Effects Analysis" (HFMEA)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Daniels et al 2008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Daniels et al 2008,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DeRosier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Assess the clinical and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behavioral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performance of the OB residents during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, simulated, obstetric emergencies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was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about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and their training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-Details on how the tool was modified for the study was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evidence for content validity was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-Interrater variability (using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Savr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) showed substantial agreement across all the checklist items.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-Technical details about the simulations and simulated setting was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discussion about the authenticity of the simulated scenarios.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-Transferability of the perceived learning into real-life situations was not assessed.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366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Videorecordings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analysed qualitatively for language patterns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Minehart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Minehart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-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Analyze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the verbal communication strategies used in a simulated maternal-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fetal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crisis.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-Based on the assumption that language patterns in the OR describe or explain clinical decision making or teamwork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-Details for the method of coding was provided and explained. 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details about the coders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-Demographic data of the participants were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arguments for sampling sufficiency.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-No analysis of the </w:t>
            </w:r>
            <w:proofErr w:type="gram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nurses</w:t>
            </w:r>
            <w:proofErr w:type="gram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communication strategies was done, which might have yielded more wholesome insight into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communication.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-The authors only reported quantitative results; no argument for how language patterns relates to collaborative performance could be made.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-Since the studied situations are not usually handled by novices in real-life clinical practise, the choice of excluding pre-graduates provides authenticity.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225D0D">
        <w:trPr>
          <w:trHeight w:val="4367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"Template Analysis Approach", Qualitative analysis with a priori coding and template analysis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Muller-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Juge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Muller-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Juge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Describe physicians' and nurses' characteristics and behaviours that contribute to teamwork quality in the setting of a simulated hospital internal medicine ward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-Development of a priori codes detailed.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-Details about the coders and their training were provided, and they were of relevant professions.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argument for sampling sufficiency was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-Data triangulation was done through audio- and video-recordings; coding differences were solved by consensus to provide validity to the analysis.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-The authors did not provide any arguments for the presence or absence of observer effect, or how this was dealt with.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</w:r>
            <w:proofErr w:type="gram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-“</w:t>
            </w:r>
            <w:proofErr w:type="gram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High-fidelity” simulations were used to reproduce several clinical situations, and to provide authenticity. The simulated scenarios were clinically relevant and varied.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-The authors argue that their choice of sampling would best represent real-life clinical practice of most internal medicine wards, where the situation is assessed by junior staff-members before a senior staff-member is called. 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evidence to support that the observed performance correlates to relevant real-life practise was provided.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411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TPDSCI (Team Performance During Simulated Crisis Instrument) &amp; CRM checklist (Crisis Resource Management), validation not reported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Calhoun et al 2014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Calhoun et al 2011 &amp; 2014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Assess team performance in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teams in paediatric emergency simulations.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-Details on item development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-Details on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training were provided. Details about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selection were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validity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-Internal consistency was calculated using Cronbach’s alpha and a composite Cronbach alpha to account for intrasubject correlation. Overall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cronbach’s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alpha was 0.72 (acceptable), and the composite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cronbach’s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alpha was 0.69 (questionable).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-Interrater reliability (calculated by ICC) for most items was good or excellent, except for the professionalism domain, which had poor interrater reliability.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evidence for construct validity, and the authors explain the reasons behind this.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-The tools ease-of-use was supported by high interrater reliability, despite no prior training.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313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 xml:space="preserve">KSNPS (Kramer and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Schmalenberg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Nurse-Physician Scale), Collaboration &amp; Satisfaction with Patient Care Decisions (CSPCD) and Clinical Practice Group Cohesion (GC).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Messmer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Kramer &amp;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Schmalenberg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2002 &amp; 2003,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Messmer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et al 2008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Determine the level of nurse-physician collaboration during simulation training.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-Items were developed by qualitatively identifying themes of nurse-physician collaboration in interviews conducted with nurses.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-No argument for sampling sufficiency.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-No evidence for content validity was provided.</w:t>
            </w: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br/>
              <w:t>-Details on item creation and validation for the NACHRI tools were not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-Alpha reliability for the NACHRI tools was reported to be good (&gt;0.80). However, the origin of this statement could not be verified, as we could not gain access to the referenced study.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-Internal consistency, or interrater reliability was not reported for KSNPS.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-No expert-novice analysis, or factor analysis, was reported.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evidence for construct validity was provided.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  <w:tr w:rsidR="00833BE7" w:rsidRPr="00225D0D" w:rsidTr="00833BE7">
        <w:trPr>
          <w:trHeight w:val="204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Kalamazoo Essential Elements Communication Skills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Calhoun et al 2010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Calhoun et al 2009 &amp; 2010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Assess communication of interdisciplinary teams in simulated </w:t>
            </w:r>
            <w:proofErr w:type="spellStart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833BE7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-GB" w:eastAsia="sv-SE"/>
              </w:rPr>
              <w:t xml:space="preserve"> scenarios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 Details on item development were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 xml:space="preserve">- Details about </w:t>
            </w:r>
            <w:proofErr w:type="spellStart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selection or training were not provided.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content validity evidence provided.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-Internal consistency was calculated as Cronbach's alpha, and was found to be "good" for all items.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-Interrater reliability was not reported.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-Factorial analysis provided construct validity evidence by showing that all the dimensions of the tool contributed to a single measured construct.</w:t>
            </w: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-No expert-novice analysis was reported.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BE7" w:rsidRPr="00833BE7" w:rsidRDefault="00833BE7" w:rsidP="0083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833B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-Implications of using the assessment tool was not reported</w:t>
            </w:r>
          </w:p>
        </w:tc>
      </w:tr>
    </w:tbl>
    <w:p w:rsidR="005E28E7" w:rsidRPr="00833BE7" w:rsidRDefault="005E28E7">
      <w:pPr>
        <w:rPr>
          <w:lang w:val="en-GB"/>
        </w:rPr>
      </w:pPr>
      <w:bookmarkStart w:id="0" w:name="_GoBack"/>
      <w:bookmarkEnd w:id="0"/>
    </w:p>
    <w:sectPr w:rsidR="005E28E7" w:rsidRPr="00833BE7" w:rsidSect="00833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7"/>
    <w:rsid w:val="00225D0D"/>
    <w:rsid w:val="005E28E7"/>
    <w:rsid w:val="00833BE7"/>
    <w:rsid w:val="008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5AC3-CF30-49A9-AC67-FD9B9EB9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3355</Words>
  <Characters>17786</Characters>
  <Application>Microsoft Office Word</Application>
  <DocSecurity>0</DocSecurity>
  <Lines>148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2017-06-29T10:56:00Z</dcterms:created>
  <dcterms:modified xsi:type="dcterms:W3CDTF">2017-06-29T11:04:00Z</dcterms:modified>
</cp:coreProperties>
</file>