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FD" w:rsidRPr="001646FF" w:rsidRDefault="00D4220B" w:rsidP="00570EE6">
      <w:pPr>
        <w:pStyle w:val="NoSpacing"/>
        <w:jc w:val="center"/>
        <w:rPr>
          <w:b/>
        </w:rPr>
      </w:pPr>
      <w:r w:rsidRPr="00D4220B">
        <w:rPr>
          <w:b/>
        </w:rPr>
        <w:t>Mayo Clinic Surgical Outcomes Program Recom</w:t>
      </w:r>
      <w:bookmarkStart w:id="0" w:name="_GoBack"/>
      <w:bookmarkEnd w:id="0"/>
      <w:r w:rsidRPr="00D4220B">
        <w:rPr>
          <w:b/>
        </w:rPr>
        <w:t>mendations</w:t>
      </w:r>
      <w:r>
        <w:rPr>
          <w:b/>
        </w:rPr>
        <w:t xml:space="preserve"> for </w:t>
      </w:r>
      <w:r w:rsidR="006A557D">
        <w:rPr>
          <w:b/>
        </w:rPr>
        <w:t xml:space="preserve">Adult </w:t>
      </w:r>
      <w:r w:rsidR="00570EE6" w:rsidRPr="001646FF">
        <w:rPr>
          <w:b/>
        </w:rPr>
        <w:t>Discharge</w:t>
      </w:r>
      <w:r w:rsidR="009B7D3E" w:rsidRPr="001646FF">
        <w:rPr>
          <w:b/>
        </w:rPr>
        <w:t xml:space="preserve"> </w:t>
      </w:r>
      <w:r w:rsidR="00C30E8A" w:rsidRPr="001646FF">
        <w:rPr>
          <w:b/>
        </w:rPr>
        <w:t xml:space="preserve">Opioid </w:t>
      </w:r>
      <w:r w:rsidR="001662FD" w:rsidRPr="001646FF">
        <w:rPr>
          <w:b/>
        </w:rPr>
        <w:t>Prescription</w:t>
      </w:r>
      <w:r>
        <w:rPr>
          <w:b/>
        </w:rPr>
        <w:t>s</w:t>
      </w:r>
    </w:p>
    <w:p w:rsidR="00570EE6" w:rsidRPr="001254A4" w:rsidRDefault="004F29B6" w:rsidP="00570EE6">
      <w:pPr>
        <w:pStyle w:val="NoSpacing"/>
        <w:jc w:val="center"/>
        <w:rPr>
          <w:sz w:val="20"/>
        </w:rPr>
      </w:pPr>
      <w:r w:rsidRPr="001254A4">
        <w:rPr>
          <w:sz w:val="20"/>
        </w:rPr>
        <w:t>(</w:t>
      </w:r>
      <w:r w:rsidR="001254A4" w:rsidRPr="001254A4">
        <w:rPr>
          <w:sz w:val="20"/>
        </w:rPr>
        <w:t xml:space="preserve"># </w:t>
      </w:r>
      <w:proofErr w:type="gramStart"/>
      <w:r w:rsidR="001254A4" w:rsidRPr="001254A4">
        <w:rPr>
          <w:sz w:val="20"/>
        </w:rPr>
        <w:t>of</w:t>
      </w:r>
      <w:proofErr w:type="gramEnd"/>
      <w:r w:rsidR="001254A4" w:rsidRPr="001254A4">
        <w:rPr>
          <w:sz w:val="20"/>
        </w:rPr>
        <w:t xml:space="preserve"> </w:t>
      </w:r>
      <w:r w:rsidR="00B069A3" w:rsidRPr="001254A4">
        <w:rPr>
          <w:sz w:val="20"/>
        </w:rPr>
        <w:t xml:space="preserve">Tabs of </w:t>
      </w:r>
      <w:r w:rsidRPr="001254A4">
        <w:rPr>
          <w:sz w:val="20"/>
          <w:u w:val="single"/>
        </w:rPr>
        <w:t>5</w:t>
      </w:r>
      <w:r w:rsidR="007D2075">
        <w:rPr>
          <w:sz w:val="20"/>
          <w:u w:val="single"/>
        </w:rPr>
        <w:t xml:space="preserve"> </w:t>
      </w:r>
      <w:r w:rsidRPr="001254A4">
        <w:rPr>
          <w:sz w:val="20"/>
          <w:u w:val="single"/>
        </w:rPr>
        <w:t>mg Oxycodone</w:t>
      </w:r>
      <w:r w:rsidRPr="001254A4">
        <w:rPr>
          <w:sz w:val="20"/>
        </w:rPr>
        <w:t xml:space="preserve"> or </w:t>
      </w:r>
      <w:r w:rsidRPr="001254A4">
        <w:rPr>
          <w:sz w:val="20"/>
          <w:u w:val="single"/>
        </w:rPr>
        <w:t>50 mg Tramadol</w:t>
      </w:r>
      <w:r w:rsidRPr="001254A4">
        <w:rPr>
          <w:sz w:val="20"/>
        </w:rPr>
        <w:t>)</w:t>
      </w:r>
    </w:p>
    <w:tbl>
      <w:tblPr>
        <w:tblStyle w:val="TableGrid"/>
        <w:tblW w:w="14032" w:type="dxa"/>
        <w:tblLayout w:type="fixed"/>
        <w:tblLook w:val="04A0" w:firstRow="1" w:lastRow="0" w:firstColumn="1" w:lastColumn="0" w:noHBand="0" w:noVBand="1"/>
      </w:tblPr>
      <w:tblGrid>
        <w:gridCol w:w="288"/>
        <w:gridCol w:w="4788"/>
        <w:gridCol w:w="2592"/>
        <w:gridCol w:w="3888"/>
        <w:gridCol w:w="2476"/>
      </w:tblGrid>
      <w:tr w:rsidR="00804341" w:rsidRPr="003176C6" w:rsidTr="00804341">
        <w:trPr>
          <w:trHeight w:val="56"/>
        </w:trPr>
        <w:tc>
          <w:tcPr>
            <w:tcW w:w="288" w:type="dxa"/>
          </w:tcPr>
          <w:p w:rsidR="00804341" w:rsidRPr="003176C6" w:rsidRDefault="0080434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Align w:val="bottom"/>
          </w:tcPr>
          <w:p w:rsidR="00804341" w:rsidRPr="003176C6" w:rsidRDefault="0080434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804341" w:rsidRPr="001254A4" w:rsidRDefault="00804341" w:rsidP="001254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254A4">
              <w:rPr>
                <w:rFonts w:ascii="Arial" w:hAnsi="Arial" w:cs="Arial"/>
                <w:b/>
                <w:sz w:val="24"/>
                <w:szCs w:val="20"/>
              </w:rPr>
              <w:t xml:space="preserve">Low </w:t>
            </w:r>
            <w:proofErr w:type="spellStart"/>
            <w:r w:rsidRPr="001254A4">
              <w:rPr>
                <w:rFonts w:ascii="Arial" w:hAnsi="Arial" w:cs="Arial"/>
                <w:b/>
                <w:sz w:val="24"/>
                <w:szCs w:val="20"/>
              </w:rPr>
              <w:t>Dose</w:t>
            </w:r>
            <w:r w:rsidRPr="001254A4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88" w:type="dxa"/>
          </w:tcPr>
          <w:p w:rsidR="00804341" w:rsidRPr="001254A4" w:rsidRDefault="00804341" w:rsidP="001254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254A4">
              <w:rPr>
                <w:rFonts w:ascii="Arial" w:hAnsi="Arial" w:cs="Arial"/>
                <w:b/>
                <w:sz w:val="24"/>
                <w:szCs w:val="20"/>
              </w:rPr>
              <w:t xml:space="preserve">Standard </w:t>
            </w:r>
            <w:proofErr w:type="spellStart"/>
            <w:r w:rsidRPr="001254A4">
              <w:rPr>
                <w:rFonts w:ascii="Arial" w:hAnsi="Arial" w:cs="Arial"/>
                <w:b/>
                <w:sz w:val="24"/>
                <w:szCs w:val="20"/>
              </w:rPr>
              <w:t>Dose</w:t>
            </w:r>
            <w:r w:rsidRPr="001254A4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76" w:type="dxa"/>
            <w:shd w:val="clear" w:color="auto" w:fill="D9D9D9" w:themeFill="background1" w:themeFillShade="D9"/>
          </w:tcPr>
          <w:p w:rsidR="00804341" w:rsidRPr="001254A4" w:rsidRDefault="00804341" w:rsidP="001254A4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1254A4">
              <w:rPr>
                <w:rFonts w:ascii="Arial" w:hAnsi="Arial" w:cs="Arial"/>
                <w:b/>
                <w:sz w:val="24"/>
                <w:szCs w:val="20"/>
              </w:rPr>
              <w:t xml:space="preserve">High </w:t>
            </w:r>
            <w:proofErr w:type="spellStart"/>
            <w:r w:rsidRPr="001254A4">
              <w:rPr>
                <w:rFonts w:ascii="Arial" w:hAnsi="Arial" w:cs="Arial"/>
                <w:b/>
                <w:sz w:val="24"/>
                <w:szCs w:val="20"/>
              </w:rPr>
              <w:t>Dose</w:t>
            </w:r>
            <w:r w:rsidRPr="001254A4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c</w:t>
            </w:r>
            <w:proofErr w:type="spellEnd"/>
          </w:p>
        </w:tc>
      </w:tr>
      <w:tr w:rsidR="00E34BB8" w:rsidRPr="003176C6" w:rsidTr="00952AC5">
        <w:trPr>
          <w:cantSplit/>
          <w:trHeight w:val="216"/>
        </w:trPr>
        <w:tc>
          <w:tcPr>
            <w:tcW w:w="288" w:type="dxa"/>
            <w:vMerge w:val="restart"/>
            <w:textDirection w:val="btLr"/>
            <w:vAlign w:val="center"/>
          </w:tcPr>
          <w:p w:rsidR="00E34BB8" w:rsidRPr="00804341" w:rsidRDefault="00E34BB8" w:rsidP="0080434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804341">
              <w:rPr>
                <w:rFonts w:ascii="Arial" w:hAnsi="Arial" w:cs="Arial"/>
                <w:b/>
                <w:color w:val="000000"/>
                <w:sz w:val="16"/>
                <w:szCs w:val="18"/>
              </w:rPr>
              <w:t>General Surgery</w:t>
            </w: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Endoscopy (± PEG)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E34BB8" w:rsidRPr="00592DDF" w:rsidRDefault="00E34BB8" w:rsidP="001A6D3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3888" w:type="dxa"/>
            <w:vMerge w:val="restart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</w:tr>
      <w:tr w:rsidR="00804341" w:rsidRPr="003176C6" w:rsidTr="002025EB">
        <w:trPr>
          <w:trHeight w:val="323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Muscle Biopsy or Excisional Biopsy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592DDF" w:rsidRDefault="00804341" w:rsidP="001A6D3C">
            <w:pPr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3888" w:type="dxa"/>
            <w:vMerge/>
            <w:vAlign w:val="center"/>
          </w:tcPr>
          <w:p w:rsidR="00804341" w:rsidRPr="00E14477" w:rsidRDefault="00804341" w:rsidP="00E02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2025EB" w:rsidRPr="00E14477" w:rsidRDefault="002025EB" w:rsidP="002025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804341" w:rsidRPr="002025EB" w:rsidRDefault="002025EB" w:rsidP="002025EB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 xml:space="preserve">OR*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804341" w:rsidRPr="003176C6" w:rsidTr="002025EB">
        <w:trPr>
          <w:trHeight w:val="216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MIS Cholecystectomy or Appendectomy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sz w:val="18"/>
                <w:szCs w:val="20"/>
                <w:highlight w:val="black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804341" w:rsidRPr="00E14477" w:rsidRDefault="00804341" w:rsidP="00042B6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8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6020F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Tabs Tramadol</w:t>
            </w:r>
          </w:p>
        </w:tc>
        <w:tc>
          <w:tcPr>
            <w:tcW w:w="2476" w:type="dxa"/>
            <w:vMerge w:val="restart"/>
            <w:shd w:val="clear" w:color="auto" w:fill="D9D9D9" w:themeFill="background1" w:themeFillShade="D9"/>
            <w:vAlign w:val="center"/>
          </w:tcPr>
          <w:p w:rsidR="00804341" w:rsidRPr="00E14477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E0234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Tabs Tramadol</w:t>
            </w:r>
          </w:p>
        </w:tc>
      </w:tr>
      <w:tr w:rsidR="00804341" w:rsidRPr="003176C6" w:rsidTr="002025EB">
        <w:trPr>
          <w:trHeight w:val="216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MIS Inguinal Hernia Repair (TAPP or TEPP)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Merge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476" w:type="dxa"/>
            <w:vMerge/>
            <w:shd w:val="clear" w:color="auto" w:fill="D9D9D9" w:themeFill="background1" w:themeFillShade="D9"/>
            <w:vAlign w:val="center"/>
          </w:tcPr>
          <w:p w:rsidR="00804341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804341" w:rsidRPr="003176C6" w:rsidTr="002025EB">
        <w:trPr>
          <w:trHeight w:val="216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 xml:space="preserve">Open Inguinal Hernia Repair 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highlight w:val="black"/>
              </w:rPr>
            </w:pPr>
          </w:p>
        </w:tc>
        <w:tc>
          <w:tcPr>
            <w:tcW w:w="3888" w:type="dxa"/>
            <w:vMerge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476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804341" w:rsidRPr="003176C6" w:rsidTr="002025EB">
        <w:trPr>
          <w:trHeight w:val="216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MIS Bariatric, Benign Foregut, or Adrenal Surgery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highlight w:val="black"/>
              </w:rPr>
            </w:pPr>
          </w:p>
        </w:tc>
        <w:tc>
          <w:tcPr>
            <w:tcW w:w="3888" w:type="dxa"/>
            <w:vMerge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476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E34BB8" w:rsidRPr="003176C6" w:rsidTr="00804341">
        <w:trPr>
          <w:trHeight w:val="64"/>
        </w:trPr>
        <w:tc>
          <w:tcPr>
            <w:tcW w:w="288" w:type="dxa"/>
            <w:vMerge w:val="restart"/>
            <w:textDirection w:val="btLr"/>
            <w:vAlign w:val="center"/>
          </w:tcPr>
          <w:p w:rsidR="00E34BB8" w:rsidRPr="006020F3" w:rsidRDefault="00E34BB8" w:rsidP="00804341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F6ED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Surgical Oncology </w:t>
            </w:r>
          </w:p>
        </w:tc>
        <w:tc>
          <w:tcPr>
            <w:tcW w:w="4788" w:type="dxa"/>
            <w:vAlign w:val="center"/>
          </w:tcPr>
          <w:p w:rsidR="00E34BB8" w:rsidRPr="0016080F" w:rsidRDefault="00E34BB8" w:rsidP="001254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Wide Loc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al Excision or Lumpectomy ± SLN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3888" w:type="dxa"/>
            <w:vAlign w:val="center"/>
          </w:tcPr>
          <w:p w:rsidR="00E34BB8" w:rsidRPr="00E14477" w:rsidRDefault="00E34BB8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5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594E6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Tabs Tramadol</w:t>
            </w:r>
          </w:p>
        </w:tc>
      </w:tr>
      <w:tr w:rsidR="00804341" w:rsidRPr="003176C6" w:rsidTr="00804341">
        <w:trPr>
          <w:trHeight w:val="64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Pr="001928F2" w:rsidRDefault="00CE1CDB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Simple Mastectomy Only ± SLN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Tabs Tramadol</w:t>
            </w:r>
          </w:p>
        </w:tc>
      </w:tr>
      <w:tr w:rsidR="00804341" w:rsidRPr="003176C6" w:rsidTr="00804341">
        <w:trPr>
          <w:trHeight w:val="64"/>
        </w:trPr>
        <w:tc>
          <w:tcPr>
            <w:tcW w:w="288" w:type="dxa"/>
            <w:vMerge/>
          </w:tcPr>
          <w:p w:rsidR="00804341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804341" w:rsidRPr="006020F3" w:rsidRDefault="00804341" w:rsidP="0080434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Mastectomy with Subcutaneous Reconstruction </w:t>
            </w: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 xml:space="preserve">± </w:t>
            </w:r>
            <w:r w:rsidR="00CE1CDB">
              <w:rPr>
                <w:rFonts w:ascii="Arial" w:hAnsi="Arial" w:cs="Arial"/>
                <w:color w:val="000000"/>
                <w:sz w:val="16"/>
                <w:szCs w:val="18"/>
              </w:rPr>
              <w:t>SLN</w:t>
            </w:r>
            <w:r w:rsidR="00C607F6">
              <w:rPr>
                <w:rFonts w:ascii="Arial" w:hAnsi="Arial" w:cs="Arial"/>
                <w:color w:val="000000"/>
                <w:sz w:val="16"/>
                <w:szCs w:val="18"/>
              </w:rPr>
              <w:t>/ALND</w:t>
            </w: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804341" w:rsidRPr="00E14477" w:rsidRDefault="0067788C" w:rsidP="001928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80434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04341"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Tabs Oxycodone</w:t>
            </w:r>
          </w:p>
          <w:p w:rsidR="00804341" w:rsidRPr="00B11073" w:rsidRDefault="00804341" w:rsidP="001928F2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</w:pPr>
            <w:r w:rsidRPr="00B11073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AND</w:t>
            </w:r>
          </w:p>
          <w:p w:rsidR="00804341" w:rsidRPr="00E14477" w:rsidRDefault="0067788C" w:rsidP="001928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="00804341"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804341" w:rsidRPr="00E14477" w:rsidRDefault="0067788C" w:rsidP="001928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="00804341"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804341" w:rsidRPr="00B11073" w:rsidRDefault="00804341" w:rsidP="00B11073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</w:pPr>
            <w:r w:rsidRPr="00B11073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AND</w:t>
            </w:r>
          </w:p>
          <w:p w:rsidR="00804341" w:rsidRPr="00E14477" w:rsidRDefault="00804341" w:rsidP="001928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804341" w:rsidRPr="003176C6" w:rsidTr="00804341">
        <w:trPr>
          <w:trHeight w:val="476"/>
        </w:trPr>
        <w:tc>
          <w:tcPr>
            <w:tcW w:w="288" w:type="dxa"/>
            <w:vMerge/>
          </w:tcPr>
          <w:p w:rsidR="00804341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804341" w:rsidRDefault="00804341" w:rsidP="0080434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Mastectomy with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Submuscular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Reconstruction </w:t>
            </w: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± SLN</w:t>
            </w:r>
            <w:r w:rsidR="00C607F6">
              <w:rPr>
                <w:rFonts w:ascii="Arial" w:hAnsi="Arial" w:cs="Arial"/>
                <w:color w:val="000000"/>
                <w:sz w:val="16"/>
                <w:szCs w:val="18"/>
              </w:rPr>
              <w:t>/ALND</w:t>
            </w:r>
          </w:p>
          <w:p w:rsidR="0067788C" w:rsidRPr="0067788C" w:rsidRDefault="0067788C" w:rsidP="00C607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7788C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C607F6">
              <w:rPr>
                <w:rFonts w:ascii="Arial" w:hAnsi="Arial" w:cs="Arial"/>
                <w:color w:val="000000"/>
                <w:sz w:val="14"/>
                <w:szCs w:val="14"/>
              </w:rPr>
              <w:t>Recommend</w:t>
            </w:r>
            <w:r w:rsidRPr="0067788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24BD5" w:rsidRPr="00524BD5">
              <w:rPr>
                <w:rFonts w:ascii="Arial" w:hAnsi="Arial" w:cs="Arial"/>
                <w:color w:val="000000"/>
                <w:sz w:val="14"/>
                <w:szCs w:val="14"/>
              </w:rPr>
              <w:t>Diazepam</w:t>
            </w:r>
            <w:r w:rsidR="00C607F6">
              <w:rPr>
                <w:rFonts w:ascii="Arial" w:hAnsi="Arial" w:cs="Arial"/>
                <w:color w:val="000000"/>
                <w:sz w:val="14"/>
                <w:szCs w:val="14"/>
              </w:rPr>
              <w:t xml:space="preserve"> 2mg tabs every 6 hours, dispense #60</w:t>
            </w:r>
            <w:r w:rsidRPr="0067788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804341" w:rsidRPr="00E14477" w:rsidRDefault="0067788C" w:rsidP="0080434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80434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04341"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Tabs Oxycodone</w:t>
            </w:r>
          </w:p>
          <w:p w:rsidR="00804341" w:rsidRPr="00B11073" w:rsidRDefault="00804341" w:rsidP="00804341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</w:pPr>
            <w:r w:rsidRPr="00B11073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AND</w:t>
            </w:r>
          </w:p>
          <w:p w:rsidR="00804341" w:rsidRDefault="00804341" w:rsidP="0080434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804341" w:rsidRPr="00E14477" w:rsidRDefault="0067788C" w:rsidP="0080434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804341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04341"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804341" w:rsidRPr="00B11073" w:rsidRDefault="00804341" w:rsidP="00804341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</w:pPr>
            <w:r w:rsidRPr="00B11073">
              <w:rPr>
                <w:rFonts w:ascii="Arial" w:hAnsi="Arial" w:cs="Arial"/>
                <w:color w:val="000000"/>
                <w:sz w:val="12"/>
                <w:szCs w:val="16"/>
                <w:u w:val="single"/>
              </w:rPr>
              <w:t>AND</w:t>
            </w:r>
          </w:p>
          <w:p w:rsidR="00804341" w:rsidRDefault="00804341" w:rsidP="0080434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804341" w:rsidRPr="003176C6" w:rsidTr="00804341">
        <w:trPr>
          <w:trHeight w:val="64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MIS Abdominal Solid Organ Resection</w:t>
            </w:r>
          </w:p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4"/>
                <w:szCs w:val="18"/>
              </w:rPr>
              <w:t>(e.g. Kidney, Spleen, or Liver Wedge)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5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40 Tabs Tramadol</w:t>
            </w:r>
          </w:p>
        </w:tc>
      </w:tr>
      <w:tr w:rsidR="00804341" w:rsidRPr="003176C6" w:rsidTr="00804341">
        <w:trPr>
          <w:trHeight w:val="323"/>
        </w:trPr>
        <w:tc>
          <w:tcPr>
            <w:tcW w:w="288" w:type="dxa"/>
            <w:vMerge/>
          </w:tcPr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804341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 xml:space="preserve">Open Major Abdominal Resection </w:t>
            </w:r>
          </w:p>
          <w:p w:rsidR="00804341" w:rsidRPr="006020F3" w:rsidRDefault="00804341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4"/>
                <w:szCs w:val="18"/>
              </w:rPr>
              <w:t xml:space="preserve">(e.g. Whipple, </w:t>
            </w:r>
            <w:proofErr w:type="spellStart"/>
            <w:r w:rsidRPr="006020F3">
              <w:rPr>
                <w:rFonts w:ascii="Arial" w:hAnsi="Arial" w:cs="Arial"/>
                <w:color w:val="000000"/>
                <w:sz w:val="14"/>
                <w:szCs w:val="18"/>
              </w:rPr>
              <w:t>Esophagectomy</w:t>
            </w:r>
            <w:proofErr w:type="spellEnd"/>
            <w:r w:rsidRPr="006020F3">
              <w:rPr>
                <w:rFonts w:ascii="Arial" w:hAnsi="Arial" w:cs="Arial"/>
                <w:color w:val="000000"/>
                <w:sz w:val="14"/>
                <w:szCs w:val="18"/>
              </w:rPr>
              <w:t>, or Liver Resection)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804341" w:rsidRPr="006D097A" w:rsidRDefault="00804341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60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0 Tabs Oxycodone</w:t>
            </w:r>
          </w:p>
          <w:p w:rsidR="00804341" w:rsidRPr="00E14477" w:rsidRDefault="00804341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804341" w:rsidRPr="00E14477" w:rsidRDefault="00804341" w:rsidP="00594E6E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E34BB8" w:rsidRPr="003176C6" w:rsidTr="00804341">
        <w:trPr>
          <w:cantSplit/>
          <w:trHeight w:val="701"/>
        </w:trPr>
        <w:tc>
          <w:tcPr>
            <w:tcW w:w="288" w:type="dxa"/>
            <w:textDirection w:val="btLr"/>
            <w:vAlign w:val="center"/>
          </w:tcPr>
          <w:p w:rsidR="00E34BB8" w:rsidRPr="00804341" w:rsidRDefault="00E34BB8" w:rsidP="00804341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C</w:t>
            </w:r>
            <w:r w:rsidRPr="00804341">
              <w:rPr>
                <w:rFonts w:ascii="Arial" w:hAnsi="Arial" w:cs="Arial"/>
                <w:b/>
                <w:color w:val="000000"/>
                <w:sz w:val="16"/>
                <w:szCs w:val="18"/>
              </w:rPr>
              <w:t>RS</w:t>
            </w:r>
          </w:p>
        </w:tc>
        <w:tc>
          <w:tcPr>
            <w:tcW w:w="4788" w:type="dxa"/>
            <w:vAlign w:val="center"/>
          </w:tcPr>
          <w:p w:rsidR="00E34BB8" w:rsidRDefault="00E34BB8" w:rsidP="008D615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MIS or Open Bowel Resection (Colon or Small Bowel)</w:t>
            </w:r>
          </w:p>
          <w:p w:rsidR="00E34BB8" w:rsidRPr="004E43D7" w:rsidRDefault="00E34BB8" w:rsidP="006B53F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(Rectal surgery, resection w/ ostomy, larger incisions, non-cancer surgery, and major MIS cases may require higher dose)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3888" w:type="dxa"/>
            <w:vAlign w:val="center"/>
          </w:tcPr>
          <w:p w:rsidR="00E34BB8" w:rsidRPr="00E14477" w:rsidRDefault="00E34BB8" w:rsidP="008D61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E34BB8" w:rsidRPr="00E14477" w:rsidRDefault="00E34BB8" w:rsidP="008D615F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Default="00E34BB8" w:rsidP="008D61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8D61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E34BB8" w:rsidRPr="00E14477" w:rsidRDefault="00E34BB8" w:rsidP="008D615F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Default="00E34BB8" w:rsidP="008D615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E34BB8" w:rsidRPr="003176C6" w:rsidTr="00804341">
        <w:trPr>
          <w:trHeight w:val="287"/>
        </w:trPr>
        <w:tc>
          <w:tcPr>
            <w:tcW w:w="288" w:type="dxa"/>
            <w:vMerge w:val="restart"/>
            <w:textDirection w:val="btLr"/>
            <w:vAlign w:val="center"/>
          </w:tcPr>
          <w:p w:rsidR="00E34BB8" w:rsidRPr="006D097A" w:rsidRDefault="00E34BB8" w:rsidP="00804341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Vascular, Thoracic &amp; Endocrine</w:t>
            </w: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Bronchoscopy or Upper Endoscopy (±Dilation)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3888" w:type="dxa"/>
            <w:vMerge w:val="restart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592DDF" w:rsidRDefault="00E34BB8" w:rsidP="00C67BC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NSAIDS/</w:t>
            </w:r>
            <w:r w:rsidRPr="00E34BB8">
              <w:rPr>
                <w:rFonts w:ascii="Arial" w:hAnsi="Arial" w:cs="Arial"/>
                <w:color w:val="000000"/>
                <w:sz w:val="16"/>
                <w:szCs w:val="20"/>
              </w:rPr>
              <w:t>Acetaminophen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6"/>
                <w:szCs w:val="20"/>
              </w:rPr>
              <w:t>Only</w:t>
            </w:r>
          </w:p>
        </w:tc>
      </w:tr>
      <w:tr w:rsidR="00E34BB8" w:rsidRPr="003176C6" w:rsidTr="00804341">
        <w:trPr>
          <w:trHeight w:val="105"/>
        </w:trPr>
        <w:tc>
          <w:tcPr>
            <w:tcW w:w="288" w:type="dxa"/>
            <w:vMerge/>
          </w:tcPr>
          <w:p w:rsidR="00E34BB8" w:rsidRPr="006020F3" w:rsidRDefault="00E34BB8" w:rsidP="00B11073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E34BB8" w:rsidRPr="00F84882" w:rsidRDefault="00E34BB8" w:rsidP="00B11073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Percutaneous Endovascular or Vascular Access Procedure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</w:t>
            </w: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14477">
              <w:rPr>
                <w:rFonts w:ascii="Arial" w:hAnsi="Arial" w:cs="Arial"/>
                <w:color w:val="000000"/>
                <w:sz w:val="14"/>
                <w:szCs w:val="16"/>
              </w:rPr>
              <w:t xml:space="preserve">(Cut-downs, Complex Endovascular,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and AV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</w:rPr>
              <w:t>Superficialization</w:t>
            </w:r>
            <w:proofErr w:type="spellEnd"/>
            <w:r w:rsidRPr="00E14477">
              <w:rPr>
                <w:rFonts w:ascii="Arial" w:hAnsi="Arial" w:cs="Arial"/>
                <w:color w:val="000000"/>
                <w:sz w:val="14"/>
                <w:szCs w:val="16"/>
              </w:rPr>
              <w:t xml:space="preserve"> may require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additional</w:t>
            </w:r>
            <w:r w:rsidRPr="00E14477">
              <w:rPr>
                <w:rFonts w:ascii="Arial" w:hAnsi="Arial" w:cs="Arial"/>
                <w:color w:val="000000"/>
                <w:sz w:val="14"/>
                <w:szCs w:val="16"/>
              </w:rPr>
              <w:t xml:space="preserve"> opioids)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E34BB8" w:rsidRPr="006D097A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Merge/>
            <w:vAlign w:val="center"/>
          </w:tcPr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5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Tabs Tramadol</w:t>
            </w:r>
          </w:p>
        </w:tc>
      </w:tr>
      <w:tr w:rsidR="00E34BB8" w:rsidRPr="003176C6" w:rsidTr="00804341">
        <w:trPr>
          <w:trHeight w:val="105"/>
        </w:trPr>
        <w:tc>
          <w:tcPr>
            <w:tcW w:w="288" w:type="dxa"/>
            <w:vMerge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Carotid Endarterectomy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E34BB8" w:rsidRPr="006D097A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Merge/>
            <w:vAlign w:val="center"/>
          </w:tcPr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AF6E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8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AF6E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Tabs Tramadol</w:t>
            </w:r>
          </w:p>
        </w:tc>
      </w:tr>
      <w:tr w:rsidR="00E34BB8" w:rsidRPr="003176C6" w:rsidTr="00804341">
        <w:trPr>
          <w:trHeight w:val="105"/>
        </w:trPr>
        <w:tc>
          <w:tcPr>
            <w:tcW w:w="288" w:type="dxa"/>
            <w:vMerge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 xml:space="preserve">Thyroid/Parathyroid Surgery, </w:t>
            </w:r>
            <w:proofErr w:type="spellStart"/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Mediastinoscopy</w:t>
            </w:r>
            <w:proofErr w:type="spellEnd"/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, or POEM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E34BB8" w:rsidRPr="006D097A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E34BB8" w:rsidRPr="00E14477" w:rsidRDefault="00E34BB8" w:rsidP="000A17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0A17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0A17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0A17E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Tabs Tramadol</w:t>
            </w:r>
          </w:p>
        </w:tc>
      </w:tr>
      <w:tr w:rsidR="00E34BB8" w:rsidRPr="003176C6" w:rsidTr="00804341">
        <w:trPr>
          <w:trHeight w:val="105"/>
        </w:trPr>
        <w:tc>
          <w:tcPr>
            <w:tcW w:w="288" w:type="dxa"/>
            <w:vMerge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VATS Procedure (Pulmonary or Mediastinal)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E34BB8" w:rsidRPr="006D097A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40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2D26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60 Tabs Tramadol</w:t>
            </w:r>
          </w:p>
        </w:tc>
      </w:tr>
      <w:tr w:rsidR="00E34BB8" w:rsidRPr="003176C6" w:rsidTr="00804341">
        <w:trPr>
          <w:trHeight w:val="105"/>
        </w:trPr>
        <w:tc>
          <w:tcPr>
            <w:tcW w:w="288" w:type="dxa"/>
            <w:vMerge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788" w:type="dxa"/>
            <w:vAlign w:val="center"/>
          </w:tcPr>
          <w:p w:rsidR="00E34BB8" w:rsidRPr="006020F3" w:rsidRDefault="00E34BB8" w:rsidP="001254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020F3">
              <w:rPr>
                <w:rFonts w:ascii="Arial" w:hAnsi="Arial" w:cs="Arial"/>
                <w:color w:val="000000"/>
                <w:sz w:val="16"/>
                <w:szCs w:val="18"/>
              </w:rPr>
              <w:t>Thoracotomy (Pulmonary, Pleural, or Chest Wall)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5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6D097A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8 Tabs Tramadol</w:t>
            </w:r>
          </w:p>
        </w:tc>
        <w:tc>
          <w:tcPr>
            <w:tcW w:w="3888" w:type="dxa"/>
            <w:vAlign w:val="center"/>
          </w:tcPr>
          <w:p w:rsidR="00E34BB8" w:rsidRPr="00E14477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80 Tabs Tramadol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:rsidR="00E34BB8" w:rsidRPr="00E14477" w:rsidRDefault="00E34BB8" w:rsidP="00E023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60 Tabs Oxycodone</w:t>
            </w:r>
          </w:p>
          <w:p w:rsidR="00E34BB8" w:rsidRPr="00E14477" w:rsidRDefault="00E34BB8" w:rsidP="00E14477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OR*</w:t>
            </w:r>
          </w:p>
          <w:p w:rsidR="00E34BB8" w:rsidRPr="00E14477" w:rsidRDefault="00E34BB8" w:rsidP="00E0234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144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Tabs Tramadol</w:t>
            </w:r>
          </w:p>
        </w:tc>
      </w:tr>
    </w:tbl>
    <w:p w:rsidR="00570EE6" w:rsidRPr="0025305D" w:rsidRDefault="00026225" w:rsidP="00026225">
      <w:pPr>
        <w:pStyle w:val="NoSpacing"/>
        <w:ind w:left="2160" w:firstLine="720"/>
        <w:jc w:val="center"/>
        <w:rPr>
          <w:b/>
          <w:sz w:val="18"/>
        </w:rPr>
      </w:pPr>
      <w:r w:rsidRPr="0025305D">
        <w:rPr>
          <w:b/>
          <w:sz w:val="18"/>
        </w:rPr>
        <w:t xml:space="preserve">             </w:t>
      </w:r>
      <w:r w:rsidR="00804341">
        <w:rPr>
          <w:b/>
          <w:sz w:val="18"/>
        </w:rPr>
        <w:tab/>
      </w:r>
      <w:r w:rsidR="00804341">
        <w:rPr>
          <w:b/>
          <w:sz w:val="18"/>
        </w:rPr>
        <w:tab/>
        <w:t xml:space="preserve">      </w:t>
      </w:r>
      <w:r w:rsidRPr="0025305D">
        <w:rPr>
          <w:b/>
          <w:sz w:val="18"/>
        </w:rPr>
        <w:t xml:space="preserve"> </w:t>
      </w:r>
      <w:r w:rsidR="009B7D3E" w:rsidRPr="0025305D">
        <w:rPr>
          <w:b/>
          <w:sz w:val="18"/>
        </w:rPr>
        <w:t xml:space="preserve">Factors Shown to Influence </w:t>
      </w:r>
      <w:r w:rsidR="0086281B" w:rsidRPr="0025305D">
        <w:rPr>
          <w:b/>
          <w:sz w:val="18"/>
        </w:rPr>
        <w:t xml:space="preserve">Opioid Usage </w:t>
      </w:r>
      <w:proofErr w:type="gramStart"/>
      <w:r w:rsidR="00E62661">
        <w:rPr>
          <w:b/>
          <w:sz w:val="18"/>
        </w:rPr>
        <w:t>A</w:t>
      </w:r>
      <w:r w:rsidR="00251ABC" w:rsidRPr="0025305D">
        <w:rPr>
          <w:b/>
          <w:sz w:val="18"/>
        </w:rPr>
        <w:t>fter</w:t>
      </w:r>
      <w:proofErr w:type="gramEnd"/>
      <w:r w:rsidR="0086281B" w:rsidRPr="0025305D">
        <w:rPr>
          <w:b/>
          <w:sz w:val="18"/>
        </w:rPr>
        <w:t xml:space="preserve"> Discharge</w:t>
      </w:r>
    </w:p>
    <w:p w:rsidR="003112A5" w:rsidRPr="00804341" w:rsidRDefault="00AC5964" w:rsidP="00952AC5">
      <w:pPr>
        <w:pStyle w:val="NoSpacing"/>
        <w:spacing w:before="20"/>
        <w:ind w:left="4320" w:firstLine="720"/>
        <w:rPr>
          <w:sz w:val="16"/>
        </w:rPr>
      </w:pPr>
      <w:r w:rsidRPr="00804341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7633A" wp14:editId="04A67A1F">
                <wp:simplePos x="0" y="0"/>
                <wp:positionH relativeFrom="column">
                  <wp:posOffset>3152633</wp:posOffset>
                </wp:positionH>
                <wp:positionV relativeFrom="paragraph">
                  <wp:posOffset>-1298</wp:posOffset>
                </wp:positionV>
                <wp:extent cx="5709465" cy="635"/>
                <wp:effectExtent l="0" t="95250" r="0" b="1136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4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25pt;margin-top:-.1pt;width:449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OeOQIAAII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" strokeweight="2.25pt">
                <v:stroke startarrow="block" endarrow="block"/>
              </v:shape>
            </w:pict>
          </mc:Fallback>
        </mc:AlternateContent>
      </w:r>
      <w:r w:rsidR="00804341">
        <w:rPr>
          <w:sz w:val="16"/>
        </w:rPr>
        <w:t xml:space="preserve">   </w:t>
      </w:r>
      <w:r w:rsidR="009B7D3E" w:rsidRPr="00804341">
        <w:rPr>
          <w:sz w:val="16"/>
        </w:rPr>
        <w:t>Opioid Naïve</w:t>
      </w:r>
      <w:r w:rsidR="009B7D3E" w:rsidRPr="00804341">
        <w:rPr>
          <w:sz w:val="16"/>
        </w:rPr>
        <w:tab/>
      </w:r>
      <w:r w:rsidR="009B7D3E" w:rsidRPr="00804341">
        <w:rPr>
          <w:sz w:val="16"/>
        </w:rPr>
        <w:tab/>
      </w:r>
      <w:r w:rsidR="009B7D3E" w:rsidRPr="00804341">
        <w:rPr>
          <w:sz w:val="16"/>
        </w:rPr>
        <w:tab/>
      </w:r>
      <w:r w:rsidR="009B7D3E" w:rsidRPr="00804341">
        <w:rPr>
          <w:sz w:val="16"/>
        </w:rPr>
        <w:tab/>
      </w:r>
      <w:r w:rsidR="009B7D3E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9C6732" w:rsidRPr="00804341">
        <w:rPr>
          <w:sz w:val="16"/>
        </w:rPr>
        <w:t>Pre-operative Opioid Users</w:t>
      </w:r>
    </w:p>
    <w:p w:rsidR="009C6732" w:rsidRPr="00804341" w:rsidRDefault="00804341" w:rsidP="00804341">
      <w:pPr>
        <w:pStyle w:val="NoSpacing"/>
        <w:ind w:left="4320" w:firstLine="720"/>
        <w:rPr>
          <w:sz w:val="16"/>
        </w:rPr>
      </w:pPr>
      <w:r>
        <w:rPr>
          <w:sz w:val="16"/>
        </w:rPr>
        <w:t xml:space="preserve">   </w:t>
      </w:r>
      <w:r w:rsidR="00D57131" w:rsidRPr="00804341">
        <w:rPr>
          <w:sz w:val="16"/>
        </w:rPr>
        <w:t xml:space="preserve">Older </w:t>
      </w:r>
      <w:r w:rsidR="001535EA" w:rsidRPr="00804341">
        <w:rPr>
          <w:sz w:val="16"/>
        </w:rPr>
        <w:t>Age, Lower BMI</w:t>
      </w:r>
      <w:r w:rsidR="00A25800">
        <w:rPr>
          <w:sz w:val="16"/>
        </w:rPr>
        <w:t>, Longer LOS</w:t>
      </w:r>
      <w:r w:rsidR="00026225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1F2913">
        <w:rPr>
          <w:sz w:val="16"/>
        </w:rPr>
        <w:tab/>
      </w:r>
      <w:r w:rsidR="003112A5" w:rsidRPr="00804341">
        <w:rPr>
          <w:sz w:val="16"/>
        </w:rPr>
        <w:t xml:space="preserve">Younger </w:t>
      </w:r>
      <w:r w:rsidR="00360C29">
        <w:rPr>
          <w:sz w:val="16"/>
        </w:rPr>
        <w:t>Age</w:t>
      </w:r>
    </w:p>
    <w:p w:rsidR="003112A5" w:rsidRPr="00804341" w:rsidRDefault="00804341" w:rsidP="00804341">
      <w:pPr>
        <w:pStyle w:val="NoSpacing"/>
        <w:ind w:left="4320" w:firstLine="720"/>
        <w:rPr>
          <w:sz w:val="16"/>
        </w:rPr>
      </w:pPr>
      <w:r>
        <w:rPr>
          <w:sz w:val="16"/>
        </w:rPr>
        <w:t xml:space="preserve">   </w:t>
      </w:r>
      <w:r w:rsidR="00576CCD" w:rsidRPr="00804341">
        <w:rPr>
          <w:sz w:val="16"/>
        </w:rPr>
        <w:t>Lower Pain Score at Discharge</w:t>
      </w:r>
      <w:r w:rsidR="00576CCD" w:rsidRPr="00804341">
        <w:rPr>
          <w:sz w:val="16"/>
        </w:rPr>
        <w:tab/>
      </w:r>
      <w:r w:rsidR="003112A5" w:rsidRPr="00804341">
        <w:rPr>
          <w:sz w:val="16"/>
        </w:rPr>
        <w:tab/>
      </w:r>
      <w:r w:rsidR="003112A5" w:rsidRPr="00804341">
        <w:rPr>
          <w:sz w:val="16"/>
        </w:rPr>
        <w:tab/>
      </w:r>
      <w:r w:rsidR="00576CCD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185F32" w:rsidRPr="00804341">
        <w:rPr>
          <w:sz w:val="16"/>
        </w:rPr>
        <w:t>Higher Pain Score at Discharge</w:t>
      </w:r>
    </w:p>
    <w:p w:rsidR="00952AC5" w:rsidRPr="00804341" w:rsidRDefault="00804341" w:rsidP="00952AC5">
      <w:pPr>
        <w:pStyle w:val="NoSpacing"/>
        <w:ind w:left="4320" w:firstLine="720"/>
        <w:rPr>
          <w:sz w:val="16"/>
        </w:rPr>
      </w:pPr>
      <w:r>
        <w:rPr>
          <w:sz w:val="16"/>
        </w:rPr>
        <w:t xml:space="preserve">   </w:t>
      </w:r>
      <w:r w:rsidR="009E19B4" w:rsidRPr="00804341">
        <w:rPr>
          <w:sz w:val="16"/>
        </w:rPr>
        <w:t>Low I</w:t>
      </w:r>
      <w:r w:rsidR="00185F32" w:rsidRPr="00804341">
        <w:rPr>
          <w:sz w:val="16"/>
        </w:rPr>
        <w:t xml:space="preserve">n-hospital </w:t>
      </w:r>
      <w:r w:rsidR="009E19B4" w:rsidRPr="00804341">
        <w:rPr>
          <w:sz w:val="16"/>
        </w:rPr>
        <w:t>Opioid U</w:t>
      </w:r>
      <w:r w:rsidR="00185F32" w:rsidRPr="00804341">
        <w:rPr>
          <w:sz w:val="16"/>
        </w:rPr>
        <w:t>se</w:t>
      </w:r>
      <w:r w:rsidR="009E19B4" w:rsidRPr="00804341">
        <w:rPr>
          <w:sz w:val="16"/>
        </w:rPr>
        <w:tab/>
      </w:r>
      <w:r w:rsidR="009E19B4" w:rsidRPr="00804341">
        <w:rPr>
          <w:sz w:val="16"/>
        </w:rPr>
        <w:tab/>
      </w:r>
      <w:r w:rsidR="00D57131" w:rsidRPr="00804341">
        <w:rPr>
          <w:sz w:val="16"/>
        </w:rPr>
        <w:tab/>
      </w:r>
      <w:r w:rsidR="00026225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E33204" w:rsidRPr="00804341">
        <w:rPr>
          <w:sz w:val="16"/>
        </w:rPr>
        <w:tab/>
      </w:r>
      <w:r w:rsidR="00760041" w:rsidRPr="00804341">
        <w:rPr>
          <w:sz w:val="16"/>
        </w:rPr>
        <w:tab/>
      </w:r>
      <w:r w:rsidR="00185F32" w:rsidRPr="00804341">
        <w:rPr>
          <w:sz w:val="16"/>
        </w:rPr>
        <w:t xml:space="preserve">High </w:t>
      </w:r>
      <w:r w:rsidR="009E19B4" w:rsidRPr="00804341">
        <w:rPr>
          <w:sz w:val="16"/>
        </w:rPr>
        <w:t>I</w:t>
      </w:r>
      <w:r w:rsidR="00185F32" w:rsidRPr="00804341">
        <w:rPr>
          <w:sz w:val="16"/>
        </w:rPr>
        <w:t xml:space="preserve">n-hospital </w:t>
      </w:r>
      <w:r w:rsidR="009E19B4" w:rsidRPr="00804341">
        <w:rPr>
          <w:sz w:val="16"/>
        </w:rPr>
        <w:t>Opioid U</w:t>
      </w:r>
      <w:r w:rsidR="00185F32" w:rsidRPr="00804341">
        <w:rPr>
          <w:sz w:val="16"/>
        </w:rPr>
        <w:t xml:space="preserve">se </w:t>
      </w:r>
    </w:p>
    <w:p w:rsidR="006020F3" w:rsidRPr="006020F3" w:rsidRDefault="006020F3" w:rsidP="006020F3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FC43D6">
        <w:rPr>
          <w:b/>
          <w:sz w:val="20"/>
          <w:szCs w:val="20"/>
        </w:rPr>
        <w:t xml:space="preserve">Prescribing a combination of Tramadol and Oxycodone is </w:t>
      </w:r>
      <w:r w:rsidR="002025EB">
        <w:rPr>
          <w:b/>
          <w:sz w:val="20"/>
          <w:szCs w:val="20"/>
        </w:rPr>
        <w:t>acceptable</w:t>
      </w:r>
      <w:r w:rsidRPr="00FC43D6">
        <w:rPr>
          <w:b/>
          <w:sz w:val="20"/>
          <w:szCs w:val="20"/>
        </w:rPr>
        <w:t xml:space="preserve"> depending on the patients expected needs</w:t>
      </w:r>
      <w:r w:rsidR="00FC43D6">
        <w:rPr>
          <w:sz w:val="20"/>
          <w:szCs w:val="20"/>
        </w:rPr>
        <w:t>.  H</w:t>
      </w:r>
      <w:r w:rsidRPr="006020F3">
        <w:rPr>
          <w:sz w:val="20"/>
          <w:szCs w:val="20"/>
        </w:rPr>
        <w:t>owever</w:t>
      </w:r>
      <w:r w:rsidR="00650214">
        <w:rPr>
          <w:sz w:val="20"/>
          <w:szCs w:val="20"/>
        </w:rPr>
        <w:t>,</w:t>
      </w:r>
      <w:r w:rsidRPr="006020F3">
        <w:rPr>
          <w:sz w:val="20"/>
          <w:szCs w:val="20"/>
        </w:rPr>
        <w:t xml:space="preserve"> if both medications are prescribed</w:t>
      </w:r>
      <w:r w:rsidR="000C30E2">
        <w:rPr>
          <w:sz w:val="20"/>
          <w:szCs w:val="20"/>
        </w:rPr>
        <w:t>,</w:t>
      </w:r>
      <w:r w:rsidRPr="006020F3">
        <w:rPr>
          <w:sz w:val="20"/>
          <w:szCs w:val="20"/>
        </w:rPr>
        <w:t xml:space="preserve"> the number of </w:t>
      </w:r>
      <w:r w:rsidR="00650214">
        <w:rPr>
          <w:sz w:val="20"/>
          <w:szCs w:val="20"/>
        </w:rPr>
        <w:t xml:space="preserve">tabs of </w:t>
      </w:r>
      <w:r w:rsidRPr="006020F3">
        <w:rPr>
          <w:sz w:val="20"/>
          <w:szCs w:val="20"/>
        </w:rPr>
        <w:t>each should be reduced</w:t>
      </w:r>
      <w:r w:rsidR="00FC43D6">
        <w:rPr>
          <w:sz w:val="20"/>
          <w:szCs w:val="20"/>
        </w:rPr>
        <w:t>. For example</w:t>
      </w:r>
      <w:r w:rsidR="000C30E2">
        <w:rPr>
          <w:sz w:val="20"/>
          <w:szCs w:val="20"/>
        </w:rPr>
        <w:t>,</w:t>
      </w:r>
      <w:r w:rsidR="00FC43D6">
        <w:rPr>
          <w:sz w:val="20"/>
          <w:szCs w:val="20"/>
        </w:rPr>
        <w:t xml:space="preserve"> </w:t>
      </w:r>
      <w:r w:rsidRPr="006020F3">
        <w:rPr>
          <w:sz w:val="20"/>
          <w:szCs w:val="20"/>
        </w:rPr>
        <w:t xml:space="preserve">if “20 Tabs Oxycodone OR 30 Tabs Tramadol” </w:t>
      </w:r>
      <w:r w:rsidR="000056E2">
        <w:rPr>
          <w:sz w:val="20"/>
          <w:szCs w:val="20"/>
        </w:rPr>
        <w:t>is</w:t>
      </w:r>
      <w:r w:rsidRPr="006020F3">
        <w:rPr>
          <w:sz w:val="20"/>
          <w:szCs w:val="20"/>
        </w:rPr>
        <w:t xml:space="preserve"> recommended then prescribing 10 Tabs of Oxycodone AND 15 Tabs o</w:t>
      </w:r>
      <w:r w:rsidR="00FC43D6">
        <w:rPr>
          <w:sz w:val="20"/>
          <w:szCs w:val="20"/>
        </w:rPr>
        <w:t>f Tramadol would be appropriate</w:t>
      </w:r>
      <w:r w:rsidR="000056E2">
        <w:rPr>
          <w:sz w:val="20"/>
          <w:szCs w:val="20"/>
        </w:rPr>
        <w:t xml:space="preserve">. However, </w:t>
      </w:r>
      <w:r w:rsidRPr="006020F3">
        <w:rPr>
          <w:sz w:val="20"/>
          <w:szCs w:val="20"/>
        </w:rPr>
        <w:t xml:space="preserve">prescribing a total of 50 tabs </w:t>
      </w:r>
      <w:r w:rsidR="00FC43D6">
        <w:rPr>
          <w:sz w:val="20"/>
          <w:szCs w:val="20"/>
        </w:rPr>
        <w:t>would be more than the patient would be expected to need</w:t>
      </w:r>
      <w:r w:rsidRPr="006020F3">
        <w:rPr>
          <w:sz w:val="20"/>
          <w:szCs w:val="20"/>
        </w:rPr>
        <w:t>.</w:t>
      </w:r>
      <w:r w:rsidR="00E14477">
        <w:rPr>
          <w:sz w:val="20"/>
          <w:szCs w:val="20"/>
        </w:rPr>
        <w:t xml:space="preserve"> In addition</w:t>
      </w:r>
      <w:r w:rsidR="00650214">
        <w:rPr>
          <w:sz w:val="20"/>
          <w:szCs w:val="20"/>
        </w:rPr>
        <w:t>,</w:t>
      </w:r>
      <w:r w:rsidR="00E14477">
        <w:rPr>
          <w:sz w:val="20"/>
          <w:szCs w:val="20"/>
        </w:rPr>
        <w:t xml:space="preserve"> </w:t>
      </w:r>
      <w:r>
        <w:rPr>
          <w:sz w:val="20"/>
          <w:szCs w:val="20"/>
        </w:rPr>
        <w:t>patients</w:t>
      </w:r>
      <w:r w:rsidR="00E14477">
        <w:rPr>
          <w:sz w:val="20"/>
          <w:szCs w:val="20"/>
        </w:rPr>
        <w:t xml:space="preserve"> receiving opioids </w:t>
      </w:r>
      <w:r>
        <w:rPr>
          <w:sz w:val="20"/>
          <w:szCs w:val="20"/>
        </w:rPr>
        <w:t>should still be encouraged to use</w:t>
      </w:r>
      <w:r w:rsidRPr="0045661B">
        <w:t xml:space="preserve"> </w:t>
      </w:r>
      <w:r w:rsidR="00E34BB8">
        <w:rPr>
          <w:sz w:val="20"/>
          <w:szCs w:val="20"/>
        </w:rPr>
        <w:t>NSAIDS/Acetaminophen</w:t>
      </w:r>
      <w:r>
        <w:rPr>
          <w:sz w:val="20"/>
          <w:szCs w:val="20"/>
        </w:rPr>
        <w:t>, if not contraindicated, a</w:t>
      </w:r>
      <w:r w:rsidR="000C30E2">
        <w:rPr>
          <w:sz w:val="20"/>
          <w:szCs w:val="20"/>
        </w:rPr>
        <w:t>nd these should be taken around-the-</w:t>
      </w:r>
      <w:r>
        <w:rPr>
          <w:sz w:val="20"/>
          <w:szCs w:val="20"/>
        </w:rPr>
        <w:t>clock with opioids being used only as needed for breakthrough pain.</w:t>
      </w:r>
    </w:p>
    <w:p w:rsidR="00164E83" w:rsidRPr="009C1589" w:rsidRDefault="00067FB8" w:rsidP="006020F3">
      <w:pPr>
        <w:spacing w:after="120"/>
        <w:ind w:left="720"/>
        <w:rPr>
          <w:sz w:val="20"/>
          <w:szCs w:val="20"/>
        </w:rPr>
      </w:pPr>
      <w:proofErr w:type="gramStart"/>
      <w:r w:rsidRPr="009C1589">
        <w:rPr>
          <w:sz w:val="20"/>
          <w:szCs w:val="20"/>
          <w:vertAlign w:val="superscript"/>
        </w:rPr>
        <w:t>a</w:t>
      </w:r>
      <w:proofErr w:type="gramEnd"/>
      <w:r w:rsidR="00DE5DDC" w:rsidRPr="009C1589">
        <w:rPr>
          <w:sz w:val="20"/>
          <w:szCs w:val="20"/>
          <w:vertAlign w:val="superscript"/>
        </w:rPr>
        <w:t xml:space="preserve"> </w:t>
      </w:r>
      <w:r w:rsidR="00E91AAB" w:rsidRPr="009C1589">
        <w:rPr>
          <w:b/>
          <w:sz w:val="20"/>
          <w:szCs w:val="20"/>
        </w:rPr>
        <w:t>Consideration for Low/No Opioid Dosing</w:t>
      </w:r>
      <w:r w:rsidR="00E91AAB" w:rsidRPr="009C1589">
        <w:rPr>
          <w:sz w:val="20"/>
          <w:szCs w:val="20"/>
        </w:rPr>
        <w:t xml:space="preserve">: </w:t>
      </w:r>
      <w:r w:rsidR="00164E83" w:rsidRPr="009C1589">
        <w:rPr>
          <w:sz w:val="20"/>
          <w:szCs w:val="20"/>
        </w:rPr>
        <w:t xml:space="preserve">When selecting patients for </w:t>
      </w:r>
      <w:r w:rsidR="00E07D6C" w:rsidRPr="009C1589">
        <w:rPr>
          <w:sz w:val="20"/>
          <w:szCs w:val="20"/>
        </w:rPr>
        <w:t>low</w:t>
      </w:r>
      <w:r w:rsidR="004923E2" w:rsidRPr="009C1589">
        <w:rPr>
          <w:sz w:val="20"/>
          <w:szCs w:val="20"/>
        </w:rPr>
        <w:t>/no</w:t>
      </w:r>
      <w:r w:rsidR="00E07D6C" w:rsidRPr="009C1589">
        <w:rPr>
          <w:sz w:val="20"/>
          <w:szCs w:val="20"/>
        </w:rPr>
        <w:t xml:space="preserve"> opioid</w:t>
      </w:r>
      <w:r w:rsidR="00164E83" w:rsidRPr="009C1589">
        <w:rPr>
          <w:sz w:val="20"/>
          <w:szCs w:val="20"/>
        </w:rPr>
        <w:t xml:space="preserve"> dosing it is important to note that </w:t>
      </w:r>
      <w:r w:rsidR="00BD1B5B">
        <w:rPr>
          <w:sz w:val="20"/>
          <w:szCs w:val="20"/>
        </w:rPr>
        <w:t>prospective survey</w:t>
      </w:r>
      <w:r w:rsidR="00164E83" w:rsidRPr="009C1589">
        <w:rPr>
          <w:sz w:val="20"/>
          <w:szCs w:val="20"/>
        </w:rPr>
        <w:t xml:space="preserve"> d</w:t>
      </w:r>
      <w:r w:rsidR="00570EE6" w:rsidRPr="009C1589">
        <w:rPr>
          <w:sz w:val="20"/>
          <w:szCs w:val="20"/>
        </w:rPr>
        <w:t>ata</w:t>
      </w:r>
      <w:r w:rsidR="00BD1B5B">
        <w:rPr>
          <w:sz w:val="20"/>
          <w:szCs w:val="20"/>
        </w:rPr>
        <w:t xml:space="preserve"> on opioid utilization</w:t>
      </w:r>
      <w:r w:rsidR="00570EE6" w:rsidRPr="009C1589">
        <w:rPr>
          <w:sz w:val="20"/>
          <w:szCs w:val="20"/>
        </w:rPr>
        <w:t xml:space="preserve"> </w:t>
      </w:r>
      <w:r w:rsidR="00BD1B5B">
        <w:rPr>
          <w:sz w:val="20"/>
          <w:szCs w:val="20"/>
        </w:rPr>
        <w:t>suggests</w:t>
      </w:r>
      <w:r w:rsidR="004923E2" w:rsidRPr="009C1589">
        <w:rPr>
          <w:sz w:val="20"/>
          <w:szCs w:val="20"/>
        </w:rPr>
        <w:t xml:space="preserve"> that </w:t>
      </w:r>
      <w:r w:rsidR="003A0353" w:rsidRPr="009C1589">
        <w:rPr>
          <w:sz w:val="20"/>
          <w:szCs w:val="20"/>
        </w:rPr>
        <w:t>a significant proportion of</w:t>
      </w:r>
      <w:r w:rsidR="00C30E8A" w:rsidRPr="009C1589">
        <w:rPr>
          <w:sz w:val="20"/>
          <w:szCs w:val="20"/>
        </w:rPr>
        <w:t xml:space="preserve"> patients do </w:t>
      </w:r>
      <w:r w:rsidR="004923E2" w:rsidRPr="009C1589">
        <w:rPr>
          <w:sz w:val="20"/>
          <w:szCs w:val="20"/>
        </w:rPr>
        <w:t>not ne</w:t>
      </w:r>
      <w:r w:rsidR="003A0353" w:rsidRPr="009C1589">
        <w:rPr>
          <w:sz w:val="20"/>
          <w:szCs w:val="20"/>
        </w:rPr>
        <w:t>ed any opioids after discharge. H</w:t>
      </w:r>
      <w:r w:rsidR="004923E2" w:rsidRPr="009C1589">
        <w:rPr>
          <w:sz w:val="20"/>
          <w:szCs w:val="20"/>
        </w:rPr>
        <w:t>owever</w:t>
      </w:r>
      <w:r w:rsidR="003A0353" w:rsidRPr="009C1589">
        <w:rPr>
          <w:sz w:val="20"/>
          <w:szCs w:val="20"/>
        </w:rPr>
        <w:t>,</w:t>
      </w:r>
      <w:r w:rsidR="004923E2" w:rsidRPr="009C1589">
        <w:rPr>
          <w:sz w:val="20"/>
          <w:szCs w:val="20"/>
        </w:rPr>
        <w:t xml:space="preserve"> consideration should be made for</w:t>
      </w:r>
      <w:r w:rsidR="00164E83" w:rsidRPr="009C1589">
        <w:rPr>
          <w:sz w:val="20"/>
          <w:szCs w:val="20"/>
        </w:rPr>
        <w:t xml:space="preserve"> anticipated intensity of pain associated with the patient’s condition, patient access to clinical follow-up, and the extent to which non-opioid analgesics may be utilized for adjunctive pain management (e.g., patients with contraindications to </w:t>
      </w:r>
      <w:r w:rsidR="00E34BB8">
        <w:rPr>
          <w:sz w:val="20"/>
          <w:szCs w:val="20"/>
        </w:rPr>
        <w:t>NSAIDS/Acetaminophen</w:t>
      </w:r>
      <w:r w:rsidR="00E34BB8" w:rsidRPr="009C1589">
        <w:rPr>
          <w:sz w:val="20"/>
          <w:szCs w:val="20"/>
        </w:rPr>
        <w:t xml:space="preserve"> </w:t>
      </w:r>
      <w:r w:rsidR="00164E83" w:rsidRPr="009C1589">
        <w:rPr>
          <w:sz w:val="20"/>
          <w:szCs w:val="20"/>
        </w:rPr>
        <w:t xml:space="preserve">may require a </w:t>
      </w:r>
      <w:r w:rsidR="00C30E8A" w:rsidRPr="009C1589">
        <w:rPr>
          <w:sz w:val="20"/>
          <w:szCs w:val="20"/>
        </w:rPr>
        <w:t>standard</w:t>
      </w:r>
      <w:r w:rsidR="00164E83" w:rsidRPr="009C1589">
        <w:rPr>
          <w:sz w:val="20"/>
          <w:szCs w:val="20"/>
        </w:rPr>
        <w:t xml:space="preserve"> level of opioids). Also consider </w:t>
      </w:r>
      <w:r w:rsidR="003A0353" w:rsidRPr="009C1589">
        <w:rPr>
          <w:sz w:val="20"/>
          <w:szCs w:val="20"/>
        </w:rPr>
        <w:t>using</w:t>
      </w:r>
      <w:r w:rsidR="00164E83" w:rsidRPr="009C1589">
        <w:rPr>
          <w:sz w:val="20"/>
          <w:szCs w:val="20"/>
        </w:rPr>
        <w:t xml:space="preserve"> regional analge</w:t>
      </w:r>
      <w:r w:rsidR="003A0353" w:rsidRPr="009C1589">
        <w:rPr>
          <w:sz w:val="20"/>
          <w:szCs w:val="20"/>
        </w:rPr>
        <w:t xml:space="preserve">sia/anesthesia techniques </w:t>
      </w:r>
      <w:r w:rsidR="00164E83" w:rsidRPr="009C1589">
        <w:rPr>
          <w:sz w:val="20"/>
          <w:szCs w:val="20"/>
        </w:rPr>
        <w:t xml:space="preserve">in patients going home without </w:t>
      </w:r>
      <w:r w:rsidR="004923E2" w:rsidRPr="009C1589">
        <w:rPr>
          <w:sz w:val="20"/>
          <w:szCs w:val="20"/>
        </w:rPr>
        <w:t>opioids</w:t>
      </w:r>
      <w:r w:rsidR="00164E83" w:rsidRPr="009C1589">
        <w:rPr>
          <w:sz w:val="20"/>
          <w:szCs w:val="20"/>
        </w:rPr>
        <w:t>. It is also important to note that while providing refills requires extra cost and time to providers</w:t>
      </w:r>
      <w:r w:rsidR="00C30E8A" w:rsidRPr="009C1589">
        <w:rPr>
          <w:sz w:val="20"/>
          <w:szCs w:val="20"/>
        </w:rPr>
        <w:t>,</w:t>
      </w:r>
      <w:r w:rsidR="00164E83" w:rsidRPr="009C1589">
        <w:rPr>
          <w:sz w:val="20"/>
          <w:szCs w:val="20"/>
        </w:rPr>
        <w:t xml:space="preserve"> </w:t>
      </w:r>
      <w:r w:rsidR="00C30E8A" w:rsidRPr="009C1589">
        <w:rPr>
          <w:sz w:val="20"/>
          <w:szCs w:val="20"/>
        </w:rPr>
        <w:t xml:space="preserve">internal </w:t>
      </w:r>
      <w:r w:rsidR="00164E83" w:rsidRPr="009C1589">
        <w:rPr>
          <w:sz w:val="20"/>
          <w:szCs w:val="20"/>
        </w:rPr>
        <w:t xml:space="preserve">data overwhelming supports that patients found it easy to get a refill after discharge when needed. Prescribing higher opioids to avoid the inconvenience of a refill should </w:t>
      </w:r>
      <w:r w:rsidR="00C06987">
        <w:rPr>
          <w:sz w:val="20"/>
          <w:szCs w:val="20"/>
        </w:rPr>
        <w:t>be avoided</w:t>
      </w:r>
      <w:r w:rsidR="00164E83" w:rsidRPr="009C1589">
        <w:rPr>
          <w:sz w:val="20"/>
          <w:szCs w:val="20"/>
        </w:rPr>
        <w:t xml:space="preserve">. </w:t>
      </w:r>
    </w:p>
    <w:p w:rsidR="00C30E8A" w:rsidRPr="009C1589" w:rsidRDefault="00067FB8" w:rsidP="006020F3">
      <w:pPr>
        <w:spacing w:after="120"/>
        <w:ind w:left="720"/>
        <w:rPr>
          <w:sz w:val="20"/>
          <w:szCs w:val="20"/>
        </w:rPr>
      </w:pPr>
      <w:proofErr w:type="gramStart"/>
      <w:r w:rsidRPr="009C1589">
        <w:rPr>
          <w:sz w:val="20"/>
          <w:szCs w:val="20"/>
          <w:vertAlign w:val="superscript"/>
        </w:rPr>
        <w:t>b</w:t>
      </w:r>
      <w:proofErr w:type="gramEnd"/>
      <w:r w:rsidR="00DE5DDC" w:rsidRPr="009C1589">
        <w:rPr>
          <w:sz w:val="20"/>
          <w:szCs w:val="20"/>
          <w:vertAlign w:val="superscript"/>
        </w:rPr>
        <w:t xml:space="preserve"> </w:t>
      </w:r>
      <w:r w:rsidR="00E91AAB" w:rsidRPr="009C1589">
        <w:rPr>
          <w:b/>
          <w:sz w:val="20"/>
          <w:szCs w:val="20"/>
        </w:rPr>
        <w:t>Consideration for Standard Opioid Dosing</w:t>
      </w:r>
      <w:r w:rsidR="00B44F46" w:rsidRPr="009C1589">
        <w:rPr>
          <w:sz w:val="20"/>
          <w:szCs w:val="20"/>
        </w:rPr>
        <w:t>:</w:t>
      </w:r>
      <w:r w:rsidR="00E91AAB" w:rsidRPr="009C1589">
        <w:rPr>
          <w:sz w:val="20"/>
          <w:szCs w:val="20"/>
        </w:rPr>
        <w:t xml:space="preserve"> If opioids are deemed appropriate to manage postoperative pain, the prescription should be for the lowest possible strength of a short-acting opioid for the shortest duration of time based on anticipated pain, with a plan to taper as healing progresses. </w:t>
      </w:r>
      <w:r w:rsidR="00BD1B5B">
        <w:rPr>
          <w:sz w:val="20"/>
          <w:szCs w:val="20"/>
        </w:rPr>
        <w:t>The</w:t>
      </w:r>
      <w:r w:rsidR="003A0353" w:rsidRPr="009C1589">
        <w:rPr>
          <w:sz w:val="20"/>
          <w:szCs w:val="20"/>
        </w:rPr>
        <w:t xml:space="preserve"> recommended amounts in this group exceed self-reported use of 75% of </w:t>
      </w:r>
      <w:r w:rsidR="00BD1B5B" w:rsidRPr="009C1589">
        <w:rPr>
          <w:sz w:val="20"/>
          <w:szCs w:val="20"/>
        </w:rPr>
        <w:t>patients;</w:t>
      </w:r>
      <w:r w:rsidR="00BD1B5B">
        <w:rPr>
          <w:sz w:val="20"/>
          <w:szCs w:val="20"/>
        </w:rPr>
        <w:t xml:space="preserve"> however,</w:t>
      </w:r>
      <w:r w:rsidR="003A0353" w:rsidRPr="009C1589">
        <w:rPr>
          <w:sz w:val="20"/>
          <w:szCs w:val="20"/>
        </w:rPr>
        <w:t xml:space="preserve"> many patients use </w:t>
      </w:r>
      <w:r w:rsidR="00BD1B5B">
        <w:rPr>
          <w:sz w:val="20"/>
          <w:szCs w:val="20"/>
        </w:rPr>
        <w:t xml:space="preserve">only </w:t>
      </w:r>
      <w:r w:rsidR="003A0353" w:rsidRPr="009C1589">
        <w:rPr>
          <w:sz w:val="20"/>
          <w:szCs w:val="20"/>
        </w:rPr>
        <w:t xml:space="preserve">0-5 pills. </w:t>
      </w:r>
      <w:r w:rsidR="00CF14E9" w:rsidRPr="009C1589">
        <w:rPr>
          <w:sz w:val="20"/>
          <w:szCs w:val="20"/>
        </w:rPr>
        <w:t xml:space="preserve">Prescribing less </w:t>
      </w:r>
      <w:proofErr w:type="gramStart"/>
      <w:r w:rsidR="00CF14E9" w:rsidRPr="009C1589">
        <w:rPr>
          <w:sz w:val="20"/>
          <w:szCs w:val="20"/>
        </w:rPr>
        <w:t>opioids</w:t>
      </w:r>
      <w:proofErr w:type="gramEnd"/>
      <w:r w:rsidR="00CF14E9" w:rsidRPr="009C1589">
        <w:rPr>
          <w:sz w:val="20"/>
          <w:szCs w:val="20"/>
        </w:rPr>
        <w:t xml:space="preserve"> has not been shown to increase refill rates. </w:t>
      </w:r>
      <w:r w:rsidR="003A0353" w:rsidRPr="009C1589">
        <w:rPr>
          <w:sz w:val="20"/>
          <w:szCs w:val="20"/>
        </w:rPr>
        <w:t>Recommendations are for patients with no preoperative opioid use.</w:t>
      </w:r>
    </w:p>
    <w:p w:rsidR="00E91AAB" w:rsidRPr="009C1589" w:rsidRDefault="00067FB8" w:rsidP="006020F3">
      <w:pPr>
        <w:spacing w:after="120"/>
        <w:ind w:left="720"/>
        <w:rPr>
          <w:sz w:val="20"/>
          <w:szCs w:val="20"/>
        </w:rPr>
      </w:pPr>
      <w:proofErr w:type="gramStart"/>
      <w:r w:rsidRPr="009C1589">
        <w:rPr>
          <w:sz w:val="20"/>
          <w:szCs w:val="20"/>
          <w:vertAlign w:val="superscript"/>
        </w:rPr>
        <w:t>c</w:t>
      </w:r>
      <w:proofErr w:type="gramEnd"/>
      <w:r w:rsidR="00DE5DDC" w:rsidRPr="009C1589">
        <w:rPr>
          <w:sz w:val="20"/>
          <w:szCs w:val="20"/>
          <w:vertAlign w:val="superscript"/>
        </w:rPr>
        <w:t xml:space="preserve"> </w:t>
      </w:r>
      <w:r w:rsidR="00E91AAB" w:rsidRPr="009C1589">
        <w:rPr>
          <w:b/>
          <w:sz w:val="20"/>
          <w:szCs w:val="20"/>
        </w:rPr>
        <w:t>Consideration for High Opioid Dosing</w:t>
      </w:r>
      <w:r w:rsidR="00E91AAB" w:rsidRPr="009C1589">
        <w:rPr>
          <w:sz w:val="20"/>
          <w:szCs w:val="20"/>
        </w:rPr>
        <w:t>:</w:t>
      </w:r>
      <w:r w:rsidR="00164E83" w:rsidRPr="009C1589">
        <w:rPr>
          <w:sz w:val="20"/>
          <w:szCs w:val="20"/>
        </w:rPr>
        <w:t xml:space="preserve"> </w:t>
      </w:r>
      <w:r w:rsidR="00E91AAB" w:rsidRPr="009C1589">
        <w:rPr>
          <w:sz w:val="20"/>
          <w:szCs w:val="20"/>
        </w:rPr>
        <w:t xml:space="preserve">Pre-operative </w:t>
      </w:r>
      <w:r w:rsidR="00BD1B5B">
        <w:rPr>
          <w:sz w:val="20"/>
          <w:szCs w:val="20"/>
        </w:rPr>
        <w:t xml:space="preserve">opioid </w:t>
      </w:r>
      <w:r w:rsidR="00E91AAB" w:rsidRPr="009C1589">
        <w:rPr>
          <w:sz w:val="20"/>
          <w:szCs w:val="20"/>
        </w:rPr>
        <w:t xml:space="preserve">users </w:t>
      </w:r>
      <w:r w:rsidR="00BD1B5B">
        <w:rPr>
          <w:sz w:val="20"/>
          <w:szCs w:val="20"/>
        </w:rPr>
        <w:t xml:space="preserve">should in general be included in these group. </w:t>
      </w:r>
      <w:r w:rsidR="00520B24">
        <w:rPr>
          <w:sz w:val="20"/>
          <w:szCs w:val="20"/>
        </w:rPr>
        <w:t>P</w:t>
      </w:r>
      <w:r w:rsidR="00164E83" w:rsidRPr="009C1589">
        <w:rPr>
          <w:sz w:val="20"/>
          <w:szCs w:val="20"/>
        </w:rPr>
        <w:t xml:space="preserve">atients who are taking </w:t>
      </w:r>
      <w:r w:rsidR="00E91AAB" w:rsidRPr="009C1589">
        <w:rPr>
          <w:sz w:val="20"/>
          <w:szCs w:val="20"/>
        </w:rPr>
        <w:t>high</w:t>
      </w:r>
      <w:r w:rsidR="00BD1B5B">
        <w:rPr>
          <w:sz w:val="20"/>
          <w:szCs w:val="20"/>
        </w:rPr>
        <w:t xml:space="preserve"> doses of opioids, long-acting opioids, or have a pain management contracts</w:t>
      </w:r>
      <w:r w:rsidR="003A0353" w:rsidRPr="009C1589">
        <w:rPr>
          <w:sz w:val="20"/>
          <w:szCs w:val="20"/>
        </w:rPr>
        <w:t xml:space="preserve"> </w:t>
      </w:r>
      <w:r w:rsidR="00164E83" w:rsidRPr="009C1589">
        <w:rPr>
          <w:sz w:val="20"/>
          <w:szCs w:val="20"/>
        </w:rPr>
        <w:t>preo</w:t>
      </w:r>
      <w:r w:rsidR="003A0353" w:rsidRPr="009C1589">
        <w:rPr>
          <w:sz w:val="20"/>
          <w:szCs w:val="20"/>
        </w:rPr>
        <w:t xml:space="preserve">peratively fall outside of these recommendations </w:t>
      </w:r>
      <w:r w:rsidR="00164E83" w:rsidRPr="009C1589">
        <w:rPr>
          <w:sz w:val="20"/>
          <w:szCs w:val="20"/>
        </w:rPr>
        <w:t xml:space="preserve">and a postoperative pain management plan should be developed before surgery in coordination with their primary prescriber. </w:t>
      </w:r>
      <w:r w:rsidR="00BE0DD9">
        <w:rPr>
          <w:sz w:val="20"/>
          <w:szCs w:val="20"/>
        </w:rPr>
        <w:t>When prescribing high doses of opioids it is important to discuss the risk of opioids, including respiratory depression and addiction</w:t>
      </w:r>
      <w:r w:rsidR="009C0019">
        <w:rPr>
          <w:sz w:val="20"/>
          <w:szCs w:val="20"/>
        </w:rPr>
        <w:t>,</w:t>
      </w:r>
      <w:r w:rsidR="00BE0DD9">
        <w:rPr>
          <w:sz w:val="20"/>
          <w:szCs w:val="20"/>
        </w:rPr>
        <w:t xml:space="preserve"> with the patient. </w:t>
      </w:r>
    </w:p>
    <w:p w:rsidR="00381444" w:rsidRPr="009C1589" w:rsidRDefault="00381444" w:rsidP="006020F3">
      <w:pPr>
        <w:spacing w:after="0" w:line="240" w:lineRule="auto"/>
        <w:rPr>
          <w:sz w:val="20"/>
          <w:szCs w:val="20"/>
        </w:rPr>
      </w:pPr>
      <w:r w:rsidRPr="009C1589">
        <w:rPr>
          <w:b/>
          <w:sz w:val="20"/>
          <w:szCs w:val="20"/>
        </w:rPr>
        <w:t xml:space="preserve">Counseling: </w:t>
      </w:r>
    </w:p>
    <w:p w:rsidR="00381444" w:rsidRPr="009C1589" w:rsidRDefault="00381444" w:rsidP="00952AC5">
      <w:pPr>
        <w:spacing w:after="60" w:line="240" w:lineRule="auto"/>
        <w:rPr>
          <w:i/>
          <w:sz w:val="20"/>
          <w:szCs w:val="20"/>
        </w:rPr>
      </w:pPr>
      <w:r w:rsidRPr="009C1589">
        <w:rPr>
          <w:i/>
          <w:sz w:val="20"/>
          <w:szCs w:val="20"/>
        </w:rPr>
        <w:tab/>
        <w:t>Patients should be instructed before the procedure about their anticipated healing time, and that pain is a normal and expected part of the recovery process.</w:t>
      </w:r>
    </w:p>
    <w:p w:rsidR="00CF14E9" w:rsidRPr="009C1589" w:rsidRDefault="00381444" w:rsidP="00952AC5">
      <w:pPr>
        <w:spacing w:after="60" w:line="240" w:lineRule="auto"/>
        <w:rPr>
          <w:i/>
          <w:sz w:val="20"/>
          <w:szCs w:val="20"/>
        </w:rPr>
      </w:pPr>
      <w:r w:rsidRPr="009C1589">
        <w:rPr>
          <w:i/>
          <w:sz w:val="20"/>
          <w:szCs w:val="20"/>
        </w:rPr>
        <w:tab/>
      </w:r>
      <w:r w:rsidR="00CF14E9" w:rsidRPr="009C1589">
        <w:rPr>
          <w:i/>
          <w:sz w:val="20"/>
          <w:szCs w:val="20"/>
        </w:rPr>
        <w:t xml:space="preserve">Patients should be instructed on the expected duration of needing opioids, and that most patients should be off opioids 5-7 days after discharge. </w:t>
      </w:r>
    </w:p>
    <w:p w:rsidR="00381444" w:rsidRPr="009C1589" w:rsidRDefault="00381444" w:rsidP="00952AC5">
      <w:pPr>
        <w:spacing w:after="60" w:line="240" w:lineRule="auto"/>
        <w:ind w:firstLine="720"/>
        <w:rPr>
          <w:i/>
          <w:sz w:val="20"/>
          <w:szCs w:val="20"/>
        </w:rPr>
      </w:pPr>
      <w:r w:rsidRPr="009C1589">
        <w:rPr>
          <w:i/>
          <w:sz w:val="20"/>
          <w:szCs w:val="20"/>
        </w:rPr>
        <w:t>All patients should be instructed on the use of non-opioid pain medication</w:t>
      </w:r>
      <w:r w:rsidR="00245134">
        <w:rPr>
          <w:i/>
          <w:sz w:val="20"/>
          <w:szCs w:val="20"/>
        </w:rPr>
        <w:t xml:space="preserve"> if they are not contraindicated</w:t>
      </w:r>
      <w:r w:rsidRPr="009C1589">
        <w:rPr>
          <w:i/>
          <w:sz w:val="20"/>
          <w:szCs w:val="20"/>
        </w:rPr>
        <w:t xml:space="preserve">, regardless of </w:t>
      </w:r>
      <w:r w:rsidR="00DE5DDC" w:rsidRPr="009C1589">
        <w:rPr>
          <w:i/>
          <w:sz w:val="20"/>
          <w:szCs w:val="20"/>
        </w:rPr>
        <w:t>dosing group selected</w:t>
      </w:r>
      <w:r w:rsidRPr="009C1589">
        <w:rPr>
          <w:i/>
          <w:sz w:val="20"/>
          <w:szCs w:val="20"/>
        </w:rPr>
        <w:t xml:space="preserve">. </w:t>
      </w:r>
    </w:p>
    <w:p w:rsidR="00381444" w:rsidRPr="009C1589" w:rsidRDefault="00381444" w:rsidP="00952AC5">
      <w:pPr>
        <w:spacing w:after="60" w:line="240" w:lineRule="auto"/>
        <w:rPr>
          <w:i/>
          <w:sz w:val="20"/>
          <w:szCs w:val="20"/>
        </w:rPr>
      </w:pPr>
      <w:r w:rsidRPr="009C1589">
        <w:rPr>
          <w:i/>
          <w:sz w:val="20"/>
          <w:szCs w:val="20"/>
        </w:rPr>
        <w:tab/>
        <w:t xml:space="preserve">Patients should be instructed on the risk of opioids, </w:t>
      </w:r>
      <w:r w:rsidR="00DE5DDC" w:rsidRPr="009C1589">
        <w:rPr>
          <w:i/>
          <w:sz w:val="20"/>
          <w:szCs w:val="20"/>
        </w:rPr>
        <w:t xml:space="preserve">including the risk of addition. </w:t>
      </w:r>
    </w:p>
    <w:p w:rsidR="00067FB8" w:rsidRPr="006020F3" w:rsidRDefault="00067FB8" w:rsidP="00952AC5">
      <w:pPr>
        <w:spacing w:after="60" w:line="240" w:lineRule="auto"/>
        <w:rPr>
          <w:i/>
          <w:sz w:val="20"/>
          <w:szCs w:val="20"/>
        </w:rPr>
      </w:pPr>
      <w:r w:rsidRPr="009C1589">
        <w:rPr>
          <w:i/>
          <w:sz w:val="20"/>
          <w:szCs w:val="20"/>
        </w:rPr>
        <w:tab/>
      </w:r>
      <w:r w:rsidR="00CF14E9" w:rsidRPr="009C1589">
        <w:rPr>
          <w:i/>
          <w:sz w:val="20"/>
          <w:szCs w:val="20"/>
        </w:rPr>
        <w:t>Very few patients dispose of un-used opioids appropriately. Providers should instruct patients</w:t>
      </w:r>
      <w:r w:rsidRPr="009C1589">
        <w:rPr>
          <w:i/>
          <w:sz w:val="20"/>
          <w:szCs w:val="20"/>
        </w:rPr>
        <w:t xml:space="preserve"> on </w:t>
      </w:r>
      <w:r w:rsidR="00CF14E9" w:rsidRPr="009C1589">
        <w:rPr>
          <w:i/>
          <w:sz w:val="20"/>
          <w:szCs w:val="20"/>
        </w:rPr>
        <w:t xml:space="preserve">the </w:t>
      </w:r>
      <w:r w:rsidRPr="009C1589">
        <w:rPr>
          <w:i/>
          <w:sz w:val="20"/>
          <w:szCs w:val="20"/>
        </w:rPr>
        <w:t xml:space="preserve">safe disposal of opioids. </w:t>
      </w:r>
    </w:p>
    <w:p w:rsidR="008C1578" w:rsidRPr="00067FB8" w:rsidRDefault="00FA5CC4" w:rsidP="00067FB8">
      <w:pPr>
        <w:spacing w:after="0" w:line="240" w:lineRule="auto"/>
        <w:rPr>
          <w:sz w:val="16"/>
        </w:rPr>
      </w:pPr>
      <w:r w:rsidRPr="00067FB8">
        <w:rPr>
          <w:b/>
          <w:sz w:val="16"/>
        </w:rPr>
        <w:t>References</w:t>
      </w:r>
      <w:r w:rsidRPr="00067FB8">
        <w:rPr>
          <w:sz w:val="16"/>
        </w:rPr>
        <w:t xml:space="preserve">: </w:t>
      </w:r>
    </w:p>
    <w:p w:rsidR="00FA5CC4" w:rsidRPr="00067FB8" w:rsidRDefault="00FA5CC4" w:rsidP="00067FB8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067FB8">
        <w:rPr>
          <w:sz w:val="16"/>
          <w:szCs w:val="20"/>
        </w:rPr>
        <w:t xml:space="preserve">Thiels CA, Anderson SS, Ubl DS, Hanson KT, Bergquist WJ, Gray RJ, Gazelka HM, Cima RR, Habermann EB. Wide Variation and </w:t>
      </w:r>
      <w:proofErr w:type="spellStart"/>
      <w:r w:rsidRPr="00067FB8">
        <w:rPr>
          <w:sz w:val="16"/>
          <w:szCs w:val="20"/>
        </w:rPr>
        <w:t>Overprescription</w:t>
      </w:r>
      <w:proofErr w:type="spellEnd"/>
      <w:r w:rsidRPr="00067FB8">
        <w:rPr>
          <w:sz w:val="16"/>
          <w:szCs w:val="20"/>
        </w:rPr>
        <w:t xml:space="preserve"> of Opioids </w:t>
      </w:r>
      <w:r w:rsidR="00381444" w:rsidRPr="00067FB8">
        <w:rPr>
          <w:sz w:val="16"/>
          <w:szCs w:val="20"/>
        </w:rPr>
        <w:t>after</w:t>
      </w:r>
      <w:r w:rsidRPr="00067FB8">
        <w:rPr>
          <w:sz w:val="16"/>
          <w:szCs w:val="20"/>
        </w:rPr>
        <w:t xml:space="preserve"> Elective Surgery. Annals of Surgery. 2017 Oct</w:t>
      </w:r>
      <w:proofErr w:type="gramStart"/>
      <w:r w:rsidRPr="00067FB8">
        <w:rPr>
          <w:sz w:val="16"/>
          <w:szCs w:val="20"/>
        </w:rPr>
        <w:t>;266</w:t>
      </w:r>
      <w:proofErr w:type="gramEnd"/>
      <w:r w:rsidRPr="00067FB8">
        <w:rPr>
          <w:sz w:val="16"/>
          <w:szCs w:val="20"/>
        </w:rPr>
        <w:t>(4):564-573.</w:t>
      </w:r>
    </w:p>
    <w:p w:rsidR="00FA5CC4" w:rsidRDefault="00FA5CC4" w:rsidP="00067FB8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067FB8">
        <w:rPr>
          <w:sz w:val="16"/>
          <w:szCs w:val="20"/>
        </w:rPr>
        <w:t xml:space="preserve">Thiels CA, Ubl DS, Yost KJ, Dowdy SC, Mabry TM, Gazelka HM, Cima RR, Habermann EB. Significant Numbers of Patients Require No Opioids After Discharge: Results of a Prospective Multicenter Initiative Aimed at Developing Opioid Prescribing Guidelines for 25 Elective Surgeries. </w:t>
      </w:r>
      <w:r w:rsidR="00952AC5">
        <w:rPr>
          <w:sz w:val="16"/>
          <w:szCs w:val="20"/>
        </w:rPr>
        <w:t>Under Review.</w:t>
      </w:r>
    </w:p>
    <w:p w:rsidR="00952AC5" w:rsidRPr="00067FB8" w:rsidRDefault="00952AC5" w:rsidP="00952AC5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952AC5">
        <w:rPr>
          <w:sz w:val="16"/>
          <w:szCs w:val="20"/>
        </w:rPr>
        <w:t xml:space="preserve">Thiels CA, Britain MK, </w:t>
      </w:r>
      <w:proofErr w:type="spellStart"/>
      <w:r w:rsidRPr="00952AC5">
        <w:rPr>
          <w:sz w:val="16"/>
          <w:szCs w:val="20"/>
        </w:rPr>
        <w:t>Dudakovic</w:t>
      </w:r>
      <w:proofErr w:type="spellEnd"/>
      <w:r w:rsidRPr="00952AC5">
        <w:rPr>
          <w:sz w:val="16"/>
          <w:szCs w:val="20"/>
        </w:rPr>
        <w:t xml:space="preserve"> A, Bergquist WJ, Booth-</w:t>
      </w:r>
      <w:proofErr w:type="spellStart"/>
      <w:r w:rsidRPr="00952AC5">
        <w:rPr>
          <w:sz w:val="16"/>
          <w:szCs w:val="20"/>
        </w:rPr>
        <w:t>Kowalczyk</w:t>
      </w:r>
      <w:proofErr w:type="spellEnd"/>
      <w:r w:rsidRPr="00952AC5">
        <w:rPr>
          <w:sz w:val="16"/>
          <w:szCs w:val="20"/>
        </w:rPr>
        <w:t xml:space="preserve"> AL, Nickel SR, Moran MJ, Jakub JW. Optimizing Opioid Prescribing Practices after Mastectomy with Immediate Reconstruction. American Society of Breast Surgeons Annual Meeting. Las Vegas, NV. April 28th, 2017.</w:t>
      </w:r>
    </w:p>
    <w:p w:rsidR="00FA5CC4" w:rsidRPr="00067FB8" w:rsidRDefault="00027198" w:rsidP="00067FB8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067FB8">
        <w:rPr>
          <w:sz w:val="16"/>
          <w:szCs w:val="20"/>
        </w:rPr>
        <w:t xml:space="preserve">Hill MV, McMahon ML, </w:t>
      </w:r>
      <w:proofErr w:type="spellStart"/>
      <w:r w:rsidRPr="00067FB8">
        <w:rPr>
          <w:sz w:val="16"/>
          <w:szCs w:val="20"/>
        </w:rPr>
        <w:t>Stucke</w:t>
      </w:r>
      <w:proofErr w:type="spellEnd"/>
      <w:r w:rsidRPr="00067FB8">
        <w:rPr>
          <w:sz w:val="16"/>
          <w:szCs w:val="20"/>
        </w:rPr>
        <w:t xml:space="preserve"> RS, Barth RJ. Wide Variation and Excessive Dosage of Opioid Prescriptions for Common General Surgical Procedures. Annals of Surgery. 2017 Apr</w:t>
      </w:r>
      <w:proofErr w:type="gramStart"/>
      <w:r w:rsidRPr="00067FB8">
        <w:rPr>
          <w:sz w:val="16"/>
          <w:szCs w:val="20"/>
        </w:rPr>
        <w:t>;265</w:t>
      </w:r>
      <w:proofErr w:type="gramEnd"/>
      <w:r w:rsidRPr="00067FB8">
        <w:rPr>
          <w:sz w:val="16"/>
          <w:szCs w:val="20"/>
        </w:rPr>
        <w:t>(4):709-714.</w:t>
      </w:r>
    </w:p>
    <w:p w:rsidR="00C573ED" w:rsidRDefault="00C573ED" w:rsidP="00C573ED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>Hill MV</w:t>
      </w:r>
      <w:r w:rsidRPr="00067FB8">
        <w:rPr>
          <w:sz w:val="16"/>
          <w:szCs w:val="20"/>
        </w:rPr>
        <w:t xml:space="preserve">, </w:t>
      </w:r>
      <w:proofErr w:type="spellStart"/>
      <w:r w:rsidRPr="00067FB8">
        <w:rPr>
          <w:sz w:val="16"/>
          <w:szCs w:val="20"/>
        </w:rPr>
        <w:t>Stucke</w:t>
      </w:r>
      <w:proofErr w:type="spellEnd"/>
      <w:r w:rsidRPr="00067FB8">
        <w:rPr>
          <w:sz w:val="16"/>
          <w:szCs w:val="20"/>
        </w:rPr>
        <w:t xml:space="preserve"> RS, </w:t>
      </w:r>
      <w:proofErr w:type="spellStart"/>
      <w:r>
        <w:rPr>
          <w:sz w:val="16"/>
          <w:szCs w:val="20"/>
        </w:rPr>
        <w:t>Billmeier</w:t>
      </w:r>
      <w:proofErr w:type="spellEnd"/>
      <w:r>
        <w:rPr>
          <w:sz w:val="16"/>
          <w:szCs w:val="20"/>
        </w:rPr>
        <w:t xml:space="preserve"> SE, Kelly JL, </w:t>
      </w:r>
      <w:r w:rsidRPr="00067FB8">
        <w:rPr>
          <w:sz w:val="16"/>
          <w:szCs w:val="20"/>
        </w:rPr>
        <w:t>Barth RJ</w:t>
      </w:r>
      <w:r>
        <w:rPr>
          <w:sz w:val="16"/>
          <w:szCs w:val="20"/>
        </w:rPr>
        <w:t xml:space="preserve">. </w:t>
      </w:r>
      <w:r w:rsidRPr="00067FB8">
        <w:rPr>
          <w:sz w:val="16"/>
          <w:szCs w:val="20"/>
        </w:rPr>
        <w:t>A Guideline for Discharge Opioid Prescriptions after Inpatient General Surgical Procedures. </w:t>
      </w:r>
      <w:r w:rsidRPr="00067FB8">
        <w:rPr>
          <w:i/>
          <w:iCs/>
          <w:sz w:val="18"/>
        </w:rPr>
        <w:t>Journal of the American College of Surgeons</w:t>
      </w:r>
      <w:r>
        <w:rPr>
          <w:sz w:val="16"/>
          <w:szCs w:val="20"/>
        </w:rPr>
        <w:t xml:space="preserve">. </w:t>
      </w:r>
      <w:proofErr w:type="spellStart"/>
      <w:r>
        <w:rPr>
          <w:sz w:val="16"/>
          <w:szCs w:val="20"/>
        </w:rPr>
        <w:t>Epub</w:t>
      </w:r>
      <w:proofErr w:type="spellEnd"/>
      <w:r>
        <w:rPr>
          <w:sz w:val="16"/>
          <w:szCs w:val="20"/>
        </w:rPr>
        <w:t xml:space="preserve">. </w:t>
      </w:r>
    </w:p>
    <w:p w:rsidR="00225228" w:rsidRPr="00067FB8" w:rsidRDefault="00225228" w:rsidP="00067FB8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067FB8">
        <w:rPr>
          <w:sz w:val="16"/>
          <w:szCs w:val="20"/>
        </w:rPr>
        <w:t xml:space="preserve">Institute for Clinical Systems Improvement &amp; Mayo Clinic Opioid Acute Pain Postoperative Prescribing Guidelines, Draft 2017. </w:t>
      </w:r>
    </w:p>
    <w:p w:rsidR="00225228" w:rsidRPr="00067FB8" w:rsidRDefault="00027198" w:rsidP="00067FB8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 w:rsidRPr="00067FB8">
        <w:rPr>
          <w:sz w:val="16"/>
          <w:szCs w:val="20"/>
        </w:rPr>
        <w:t xml:space="preserve">Michigan Open Network. Opioid Prescribing Recommendations for Opioid-naïve Patients. </w:t>
      </w:r>
      <w:r w:rsidR="00E91518">
        <w:rPr>
          <w:sz w:val="16"/>
          <w:szCs w:val="20"/>
        </w:rPr>
        <w:t xml:space="preserve">2017. </w:t>
      </w:r>
      <w:hyperlink r:id="rId8" w:history="1">
        <w:r w:rsidRPr="00067FB8">
          <w:rPr>
            <w:rStyle w:val="Hyperlink"/>
            <w:color w:val="auto"/>
            <w:sz w:val="16"/>
            <w:szCs w:val="20"/>
            <w:u w:val="none"/>
          </w:rPr>
          <w:t>https://opioidprescribing.info/</w:t>
        </w:r>
      </w:hyperlink>
      <w:r w:rsidRPr="00067FB8">
        <w:rPr>
          <w:sz w:val="16"/>
          <w:szCs w:val="20"/>
        </w:rPr>
        <w:t xml:space="preserve"> </w:t>
      </w:r>
    </w:p>
    <w:p w:rsidR="009C1589" w:rsidRPr="00067FB8" w:rsidRDefault="009C1589" w:rsidP="009C1589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Mayo Clinic </w:t>
      </w:r>
      <w:r w:rsidRPr="009C1589">
        <w:rPr>
          <w:sz w:val="16"/>
          <w:szCs w:val="20"/>
        </w:rPr>
        <w:t>Guideline</w:t>
      </w:r>
      <w:r>
        <w:rPr>
          <w:sz w:val="16"/>
          <w:szCs w:val="20"/>
        </w:rPr>
        <w:t xml:space="preserve">s for Acute Opioid Prescribing. </w:t>
      </w:r>
      <w:r w:rsidR="00E91518">
        <w:rPr>
          <w:sz w:val="16"/>
          <w:szCs w:val="20"/>
        </w:rPr>
        <w:t>2017.</w:t>
      </w:r>
      <w:r w:rsidRPr="009C1589">
        <w:rPr>
          <w:sz w:val="16"/>
          <w:szCs w:val="20"/>
        </w:rPr>
        <w:t xml:space="preserve"> https://askmayoexpert.mayoclinic.org/documents/mayo-clinic-guidelines-for-acute-opioid-prescribing/DOC-20346171</w:t>
      </w:r>
    </w:p>
    <w:sectPr w:rsidR="009C1589" w:rsidRPr="00067FB8" w:rsidSect="00570EE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3E" w:rsidRDefault="009B7D3E" w:rsidP="009B7D3E">
      <w:pPr>
        <w:spacing w:after="0" w:line="240" w:lineRule="auto"/>
      </w:pPr>
      <w:r>
        <w:separator/>
      </w:r>
    </w:p>
  </w:endnote>
  <w:endnote w:type="continuationSeparator" w:id="0">
    <w:p w:rsidR="009B7D3E" w:rsidRDefault="009B7D3E" w:rsidP="009B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8A" w:rsidRPr="00DE5DDC" w:rsidRDefault="00C30E8A" w:rsidP="00C30E8A">
    <w:pPr>
      <w:jc w:val="center"/>
      <w:rPr>
        <w:color w:val="FF0000"/>
        <w:sz w:val="20"/>
      </w:rPr>
    </w:pPr>
    <w:r w:rsidRPr="00DE5DDC">
      <w:rPr>
        <w:color w:val="FF0000"/>
        <w:sz w:val="20"/>
      </w:rPr>
      <w:t>Clinical judgment and division level guidelines should supersede these recommendations as indicated.</w:t>
    </w:r>
    <w:bookmarkStart w:id="1" w:name="_pr2f8i5b1bn7"/>
    <w:bookmarkStart w:id="2" w:name="_or41asjpsj72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3E" w:rsidRDefault="009B7D3E" w:rsidP="009B7D3E">
      <w:pPr>
        <w:spacing w:after="0" w:line="240" w:lineRule="auto"/>
      </w:pPr>
      <w:r>
        <w:separator/>
      </w:r>
    </w:p>
  </w:footnote>
  <w:footnote w:type="continuationSeparator" w:id="0">
    <w:p w:rsidR="009B7D3E" w:rsidRDefault="009B7D3E" w:rsidP="009B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3E" w:rsidRPr="001F2212" w:rsidRDefault="001E798F" w:rsidP="009B7D3E">
    <w:pPr>
      <w:pStyle w:val="Header"/>
      <w:jc w:val="right"/>
      <w:rPr>
        <w:i/>
      </w:rPr>
    </w:pPr>
    <w:r>
      <w:rPr>
        <w:i/>
      </w:rPr>
      <w:t>Updated</w:t>
    </w:r>
    <w:r w:rsidR="001F2212" w:rsidRPr="001F2212">
      <w:rPr>
        <w:i/>
      </w:rPr>
      <w:t xml:space="preserve"> </w:t>
    </w:r>
    <w:r w:rsidR="008B66F8">
      <w:rPr>
        <w:i/>
      </w:rPr>
      <w:t>March</w:t>
    </w:r>
    <w:r w:rsidR="001F2212" w:rsidRPr="001F2212">
      <w:rPr>
        <w:i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56B"/>
    <w:multiLevelType w:val="hybridMultilevel"/>
    <w:tmpl w:val="8012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BB5"/>
    <w:multiLevelType w:val="multilevel"/>
    <w:tmpl w:val="B5AAC1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AFD09A4"/>
    <w:multiLevelType w:val="hybridMultilevel"/>
    <w:tmpl w:val="0726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4931"/>
    <w:multiLevelType w:val="hybridMultilevel"/>
    <w:tmpl w:val="0E4A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6"/>
    <w:rsid w:val="000056E2"/>
    <w:rsid w:val="00023197"/>
    <w:rsid w:val="000257F0"/>
    <w:rsid w:val="00026225"/>
    <w:rsid w:val="00027198"/>
    <w:rsid w:val="00034398"/>
    <w:rsid w:val="00042B61"/>
    <w:rsid w:val="000447F7"/>
    <w:rsid w:val="00050BA7"/>
    <w:rsid w:val="00061DD1"/>
    <w:rsid w:val="00067FB8"/>
    <w:rsid w:val="00071F82"/>
    <w:rsid w:val="00093D63"/>
    <w:rsid w:val="000A5469"/>
    <w:rsid w:val="000C30E2"/>
    <w:rsid w:val="000D7C09"/>
    <w:rsid w:val="000F2846"/>
    <w:rsid w:val="000F4D7B"/>
    <w:rsid w:val="001071F0"/>
    <w:rsid w:val="0011297B"/>
    <w:rsid w:val="00113796"/>
    <w:rsid w:val="001254A4"/>
    <w:rsid w:val="00153139"/>
    <w:rsid w:val="001535EA"/>
    <w:rsid w:val="0016080F"/>
    <w:rsid w:val="001646FF"/>
    <w:rsid w:val="00164E83"/>
    <w:rsid w:val="001662FD"/>
    <w:rsid w:val="00184671"/>
    <w:rsid w:val="00185F32"/>
    <w:rsid w:val="0019082F"/>
    <w:rsid w:val="00191FCD"/>
    <w:rsid w:val="001928F2"/>
    <w:rsid w:val="0019436C"/>
    <w:rsid w:val="001A6D3C"/>
    <w:rsid w:val="001A7827"/>
    <w:rsid w:val="001C6099"/>
    <w:rsid w:val="001C7437"/>
    <w:rsid w:val="001E50C8"/>
    <w:rsid w:val="001E798F"/>
    <w:rsid w:val="001F14F0"/>
    <w:rsid w:val="001F2212"/>
    <w:rsid w:val="001F2913"/>
    <w:rsid w:val="002025EB"/>
    <w:rsid w:val="00211164"/>
    <w:rsid w:val="00225228"/>
    <w:rsid w:val="00245134"/>
    <w:rsid w:val="00251ABC"/>
    <w:rsid w:val="0025305D"/>
    <w:rsid w:val="00254DCF"/>
    <w:rsid w:val="002672DA"/>
    <w:rsid w:val="00270A6B"/>
    <w:rsid w:val="002C5F0A"/>
    <w:rsid w:val="002D261B"/>
    <w:rsid w:val="003112A5"/>
    <w:rsid w:val="00311DCC"/>
    <w:rsid w:val="0031255D"/>
    <w:rsid w:val="003125DC"/>
    <w:rsid w:val="003176C6"/>
    <w:rsid w:val="00322583"/>
    <w:rsid w:val="0033252E"/>
    <w:rsid w:val="00353A6D"/>
    <w:rsid w:val="00360C29"/>
    <w:rsid w:val="00364E28"/>
    <w:rsid w:val="00381444"/>
    <w:rsid w:val="003854CA"/>
    <w:rsid w:val="003900C6"/>
    <w:rsid w:val="003A0353"/>
    <w:rsid w:val="003C2740"/>
    <w:rsid w:val="003C3A88"/>
    <w:rsid w:val="003E1FD9"/>
    <w:rsid w:val="003E2715"/>
    <w:rsid w:val="003F2E7B"/>
    <w:rsid w:val="003F7937"/>
    <w:rsid w:val="003F7AD0"/>
    <w:rsid w:val="00412E54"/>
    <w:rsid w:val="004170EC"/>
    <w:rsid w:val="00433F26"/>
    <w:rsid w:val="0045179E"/>
    <w:rsid w:val="0045661B"/>
    <w:rsid w:val="004703BF"/>
    <w:rsid w:val="00471835"/>
    <w:rsid w:val="00475158"/>
    <w:rsid w:val="004923E2"/>
    <w:rsid w:val="00497087"/>
    <w:rsid w:val="004C4905"/>
    <w:rsid w:val="004D68EC"/>
    <w:rsid w:val="004D78AA"/>
    <w:rsid w:val="004D7B35"/>
    <w:rsid w:val="004E43D7"/>
    <w:rsid w:val="004E58DE"/>
    <w:rsid w:val="004E78D4"/>
    <w:rsid w:val="004F258B"/>
    <w:rsid w:val="004F29B6"/>
    <w:rsid w:val="004F3FDF"/>
    <w:rsid w:val="00506C3B"/>
    <w:rsid w:val="00520B24"/>
    <w:rsid w:val="00524BD5"/>
    <w:rsid w:val="0053657B"/>
    <w:rsid w:val="005405A3"/>
    <w:rsid w:val="005437F6"/>
    <w:rsid w:val="0055268D"/>
    <w:rsid w:val="00570EE6"/>
    <w:rsid w:val="0057209F"/>
    <w:rsid w:val="005731E7"/>
    <w:rsid w:val="005761FA"/>
    <w:rsid w:val="00576CCD"/>
    <w:rsid w:val="00592DDF"/>
    <w:rsid w:val="00594E6E"/>
    <w:rsid w:val="005A7918"/>
    <w:rsid w:val="005C6B8C"/>
    <w:rsid w:val="005D60C5"/>
    <w:rsid w:val="006020F3"/>
    <w:rsid w:val="0061137C"/>
    <w:rsid w:val="00634023"/>
    <w:rsid w:val="006419D3"/>
    <w:rsid w:val="00647D23"/>
    <w:rsid w:val="00650214"/>
    <w:rsid w:val="006521DF"/>
    <w:rsid w:val="006543B1"/>
    <w:rsid w:val="00666058"/>
    <w:rsid w:val="0067788C"/>
    <w:rsid w:val="006957C2"/>
    <w:rsid w:val="006A0FD2"/>
    <w:rsid w:val="006A557D"/>
    <w:rsid w:val="006B53F7"/>
    <w:rsid w:val="006C55FB"/>
    <w:rsid w:val="006D097A"/>
    <w:rsid w:val="0070235C"/>
    <w:rsid w:val="00743520"/>
    <w:rsid w:val="00760041"/>
    <w:rsid w:val="007C01E0"/>
    <w:rsid w:val="007C648E"/>
    <w:rsid w:val="007C7048"/>
    <w:rsid w:val="007D2075"/>
    <w:rsid w:val="007E14BF"/>
    <w:rsid w:val="00804341"/>
    <w:rsid w:val="0080486C"/>
    <w:rsid w:val="00806DE8"/>
    <w:rsid w:val="00845A55"/>
    <w:rsid w:val="0086281B"/>
    <w:rsid w:val="00867576"/>
    <w:rsid w:val="00893C1F"/>
    <w:rsid w:val="008B1637"/>
    <w:rsid w:val="008B2E60"/>
    <w:rsid w:val="008B66F8"/>
    <w:rsid w:val="008C1578"/>
    <w:rsid w:val="008D615F"/>
    <w:rsid w:val="0091385E"/>
    <w:rsid w:val="009221D2"/>
    <w:rsid w:val="009272EC"/>
    <w:rsid w:val="00927F81"/>
    <w:rsid w:val="00952AC5"/>
    <w:rsid w:val="00962BD3"/>
    <w:rsid w:val="00971517"/>
    <w:rsid w:val="00977450"/>
    <w:rsid w:val="00981418"/>
    <w:rsid w:val="009A1160"/>
    <w:rsid w:val="009A58FF"/>
    <w:rsid w:val="009B406A"/>
    <w:rsid w:val="009B7D3E"/>
    <w:rsid w:val="009C0019"/>
    <w:rsid w:val="009C1589"/>
    <w:rsid w:val="009C6732"/>
    <w:rsid w:val="009D7D7B"/>
    <w:rsid w:val="009E19B4"/>
    <w:rsid w:val="009E3588"/>
    <w:rsid w:val="00A25800"/>
    <w:rsid w:val="00A32623"/>
    <w:rsid w:val="00A535DB"/>
    <w:rsid w:val="00A65DC7"/>
    <w:rsid w:val="00A7273F"/>
    <w:rsid w:val="00A744FB"/>
    <w:rsid w:val="00A8673D"/>
    <w:rsid w:val="00AC5964"/>
    <w:rsid w:val="00AF6ED9"/>
    <w:rsid w:val="00AF7F51"/>
    <w:rsid w:val="00B069A3"/>
    <w:rsid w:val="00B11073"/>
    <w:rsid w:val="00B11CAE"/>
    <w:rsid w:val="00B17338"/>
    <w:rsid w:val="00B44F46"/>
    <w:rsid w:val="00B45379"/>
    <w:rsid w:val="00B52A44"/>
    <w:rsid w:val="00B55736"/>
    <w:rsid w:val="00B90038"/>
    <w:rsid w:val="00BD0BAF"/>
    <w:rsid w:val="00BD1B5B"/>
    <w:rsid w:val="00BE0DD9"/>
    <w:rsid w:val="00BF3B3D"/>
    <w:rsid w:val="00C06987"/>
    <w:rsid w:val="00C105E5"/>
    <w:rsid w:val="00C30E8A"/>
    <w:rsid w:val="00C31097"/>
    <w:rsid w:val="00C325B8"/>
    <w:rsid w:val="00C439B4"/>
    <w:rsid w:val="00C43A5E"/>
    <w:rsid w:val="00C555FB"/>
    <w:rsid w:val="00C573ED"/>
    <w:rsid w:val="00C607F6"/>
    <w:rsid w:val="00C66F71"/>
    <w:rsid w:val="00C712E8"/>
    <w:rsid w:val="00C93CBB"/>
    <w:rsid w:val="00C96573"/>
    <w:rsid w:val="00CC665F"/>
    <w:rsid w:val="00CD5C91"/>
    <w:rsid w:val="00CE1CDB"/>
    <w:rsid w:val="00CF09AE"/>
    <w:rsid w:val="00CF14E9"/>
    <w:rsid w:val="00CF7AA4"/>
    <w:rsid w:val="00D02D06"/>
    <w:rsid w:val="00D15752"/>
    <w:rsid w:val="00D20633"/>
    <w:rsid w:val="00D25A1D"/>
    <w:rsid w:val="00D267DA"/>
    <w:rsid w:val="00D328F6"/>
    <w:rsid w:val="00D41972"/>
    <w:rsid w:val="00D4220B"/>
    <w:rsid w:val="00D42B4E"/>
    <w:rsid w:val="00D479A1"/>
    <w:rsid w:val="00D57131"/>
    <w:rsid w:val="00D6024B"/>
    <w:rsid w:val="00D74732"/>
    <w:rsid w:val="00D80F5E"/>
    <w:rsid w:val="00D87CE0"/>
    <w:rsid w:val="00D95387"/>
    <w:rsid w:val="00DB17E9"/>
    <w:rsid w:val="00DD7DEB"/>
    <w:rsid w:val="00DE055C"/>
    <w:rsid w:val="00DE105D"/>
    <w:rsid w:val="00DE4362"/>
    <w:rsid w:val="00DE5DDC"/>
    <w:rsid w:val="00DE65AF"/>
    <w:rsid w:val="00E0234F"/>
    <w:rsid w:val="00E07D6C"/>
    <w:rsid w:val="00E12A5C"/>
    <w:rsid w:val="00E14477"/>
    <w:rsid w:val="00E16019"/>
    <w:rsid w:val="00E33204"/>
    <w:rsid w:val="00E34BB8"/>
    <w:rsid w:val="00E524F4"/>
    <w:rsid w:val="00E62661"/>
    <w:rsid w:val="00E91518"/>
    <w:rsid w:val="00E91AAB"/>
    <w:rsid w:val="00E92D73"/>
    <w:rsid w:val="00E97844"/>
    <w:rsid w:val="00EC1C8E"/>
    <w:rsid w:val="00EC73FA"/>
    <w:rsid w:val="00EF348D"/>
    <w:rsid w:val="00F05C0B"/>
    <w:rsid w:val="00F5050B"/>
    <w:rsid w:val="00F55295"/>
    <w:rsid w:val="00F7185B"/>
    <w:rsid w:val="00F84882"/>
    <w:rsid w:val="00F953F7"/>
    <w:rsid w:val="00FA1E9E"/>
    <w:rsid w:val="00FA396D"/>
    <w:rsid w:val="00FA5CC4"/>
    <w:rsid w:val="00FB2C8A"/>
    <w:rsid w:val="00FC43D6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EE6"/>
    <w:pPr>
      <w:spacing w:after="0" w:line="240" w:lineRule="auto"/>
    </w:pPr>
  </w:style>
  <w:style w:type="table" w:styleId="TableGrid">
    <w:name w:val="Table Grid"/>
    <w:basedOn w:val="TableNormal"/>
    <w:uiPriority w:val="59"/>
    <w:rsid w:val="0057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E"/>
  </w:style>
  <w:style w:type="paragraph" w:styleId="Footer">
    <w:name w:val="footer"/>
    <w:basedOn w:val="Normal"/>
    <w:link w:val="FooterChar"/>
    <w:uiPriority w:val="99"/>
    <w:unhideWhenUsed/>
    <w:rsid w:val="009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E"/>
  </w:style>
  <w:style w:type="character" w:styleId="CommentReference">
    <w:name w:val="annotation reference"/>
    <w:basedOn w:val="DefaultParagraphFont"/>
    <w:uiPriority w:val="99"/>
    <w:semiHidden/>
    <w:unhideWhenUsed/>
    <w:rsid w:val="00FA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1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2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EE6"/>
    <w:pPr>
      <w:spacing w:after="0" w:line="240" w:lineRule="auto"/>
    </w:pPr>
  </w:style>
  <w:style w:type="table" w:styleId="TableGrid">
    <w:name w:val="Table Grid"/>
    <w:basedOn w:val="TableNormal"/>
    <w:uiPriority w:val="59"/>
    <w:rsid w:val="0057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E"/>
  </w:style>
  <w:style w:type="paragraph" w:styleId="Footer">
    <w:name w:val="footer"/>
    <w:basedOn w:val="Normal"/>
    <w:link w:val="FooterChar"/>
    <w:uiPriority w:val="99"/>
    <w:unhideWhenUsed/>
    <w:rsid w:val="009B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E"/>
  </w:style>
  <w:style w:type="character" w:styleId="CommentReference">
    <w:name w:val="annotation reference"/>
    <w:basedOn w:val="DefaultParagraphFont"/>
    <w:uiPriority w:val="99"/>
    <w:semiHidden/>
    <w:unhideWhenUsed/>
    <w:rsid w:val="00FA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1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2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oidprescribing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A Thiels</dc:creator>
  <cp:lastModifiedBy>Cornelius A Thiels</cp:lastModifiedBy>
  <cp:revision>18</cp:revision>
  <cp:lastPrinted>2018-01-06T17:24:00Z</cp:lastPrinted>
  <dcterms:created xsi:type="dcterms:W3CDTF">2018-02-22T01:08:00Z</dcterms:created>
  <dcterms:modified xsi:type="dcterms:W3CDTF">2018-03-19T19:57:00Z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-991384163</vt:i4>
  </property>
</Properties>
</file>