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70BEE" w14:textId="77777777" w:rsidR="005E5A78" w:rsidRPr="00B44F29" w:rsidRDefault="005E5A78" w:rsidP="005E5A78">
      <w:pPr>
        <w:pStyle w:val="FigureTableheading"/>
        <w:spacing w:line="480" w:lineRule="auto"/>
      </w:pPr>
      <w:r>
        <w:t>Supplement t</w:t>
      </w:r>
      <w:r w:rsidRPr="00B44F29">
        <w:t xml:space="preserve">able </w:t>
      </w:r>
      <w:r>
        <w:t>1</w:t>
      </w:r>
      <w:r w:rsidRPr="00B44F29">
        <w:t xml:space="preserve"> Risk factors and their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5E5A78" w:rsidRPr="00B44F29" w14:paraId="3D1FC68C" w14:textId="77777777" w:rsidTr="005C4E56">
        <w:tc>
          <w:tcPr>
            <w:tcW w:w="3369" w:type="dxa"/>
          </w:tcPr>
          <w:p w14:paraId="13219F40" w14:textId="77777777" w:rsidR="005E5A78" w:rsidRPr="0001300B" w:rsidRDefault="005E5A78" w:rsidP="005C4E56">
            <w:pPr>
              <w:spacing w:line="480" w:lineRule="auto"/>
              <w:rPr>
                <w:b/>
              </w:rPr>
            </w:pPr>
            <w:r w:rsidRPr="0001300B">
              <w:rPr>
                <w:b/>
              </w:rPr>
              <w:t>Risk factors</w:t>
            </w:r>
          </w:p>
        </w:tc>
        <w:tc>
          <w:tcPr>
            <w:tcW w:w="5873" w:type="dxa"/>
          </w:tcPr>
          <w:p w14:paraId="0BE72269" w14:textId="77777777" w:rsidR="005E5A78" w:rsidRPr="0001300B" w:rsidRDefault="005E5A78" w:rsidP="005C4E56">
            <w:pPr>
              <w:spacing w:line="480" w:lineRule="auto"/>
              <w:rPr>
                <w:b/>
              </w:rPr>
            </w:pPr>
            <w:r w:rsidRPr="0001300B">
              <w:rPr>
                <w:b/>
              </w:rPr>
              <w:t>Definition</w:t>
            </w:r>
          </w:p>
        </w:tc>
      </w:tr>
      <w:tr w:rsidR="005E5A78" w:rsidRPr="00B44F29" w14:paraId="78248B64" w14:textId="77777777" w:rsidTr="005C4E56">
        <w:tc>
          <w:tcPr>
            <w:tcW w:w="3369" w:type="dxa"/>
          </w:tcPr>
          <w:p w14:paraId="0710CFBD" w14:textId="77777777" w:rsidR="005E5A78" w:rsidRPr="00B44F29" w:rsidRDefault="005E5A78" w:rsidP="005C4E56">
            <w:pPr>
              <w:spacing w:line="480" w:lineRule="auto"/>
            </w:pPr>
            <w:r w:rsidRPr="00B44F29">
              <w:t>Maternal age</w:t>
            </w:r>
          </w:p>
        </w:tc>
        <w:tc>
          <w:tcPr>
            <w:tcW w:w="5873" w:type="dxa"/>
          </w:tcPr>
          <w:p w14:paraId="2AFE4833" w14:textId="77777777" w:rsidR="005E5A78" w:rsidRPr="00B44F29" w:rsidRDefault="005E5A78" w:rsidP="005C4E56">
            <w:pPr>
              <w:spacing w:line="480" w:lineRule="auto"/>
            </w:pPr>
            <w:proofErr w:type="gramStart"/>
            <w:r w:rsidRPr="00B44F29">
              <w:t>Age at start of admission field in HES.</w:t>
            </w:r>
            <w:proofErr w:type="gramEnd"/>
            <w:r w:rsidRPr="00B44F29">
              <w:t xml:space="preserve"> Values were re-coded into 6 categories: 15-19, 20-24, 25-29, 30-34, 35-39, 40 and over</w:t>
            </w:r>
          </w:p>
        </w:tc>
      </w:tr>
      <w:tr w:rsidR="005E5A78" w:rsidRPr="00B44F29" w14:paraId="35072271" w14:textId="77777777" w:rsidTr="005C4E56">
        <w:tc>
          <w:tcPr>
            <w:tcW w:w="3369" w:type="dxa"/>
          </w:tcPr>
          <w:p w14:paraId="2D046461" w14:textId="77777777" w:rsidR="005E5A78" w:rsidRPr="00B44F29" w:rsidRDefault="005E5A78" w:rsidP="005C4E56">
            <w:pPr>
              <w:spacing w:line="480" w:lineRule="auto"/>
            </w:pPr>
            <w:r w:rsidRPr="00B44F29">
              <w:t>Multiple gestation</w:t>
            </w:r>
          </w:p>
        </w:tc>
        <w:tc>
          <w:tcPr>
            <w:tcW w:w="5873" w:type="dxa"/>
          </w:tcPr>
          <w:p w14:paraId="1C8BAA0B" w14:textId="77777777" w:rsidR="005E5A78" w:rsidRPr="00B44F29" w:rsidRDefault="005E5A78" w:rsidP="005C4E56">
            <w:pPr>
              <w:spacing w:line="480" w:lineRule="auto"/>
            </w:pPr>
            <w:r w:rsidRPr="00B44F29">
              <w:t>ICD-10 code in any diagnosis field coded as multiple gestation (O30) from delivery or spontaneous abortion associated with hospitalisation admission</w:t>
            </w:r>
          </w:p>
        </w:tc>
      </w:tr>
      <w:tr w:rsidR="005E5A78" w:rsidRPr="00B44F29" w14:paraId="703B6FD1" w14:textId="77777777" w:rsidTr="005C4E56">
        <w:tc>
          <w:tcPr>
            <w:tcW w:w="3369" w:type="dxa"/>
          </w:tcPr>
          <w:p w14:paraId="6DC11699" w14:textId="77777777" w:rsidR="005E5A78" w:rsidRPr="00B44F29" w:rsidRDefault="005E5A78" w:rsidP="005C4E56">
            <w:pPr>
              <w:spacing w:line="480" w:lineRule="auto"/>
            </w:pPr>
            <w:r w:rsidRPr="00B44F29">
              <w:t>Parity</w:t>
            </w:r>
          </w:p>
        </w:tc>
        <w:tc>
          <w:tcPr>
            <w:tcW w:w="5873" w:type="dxa"/>
          </w:tcPr>
          <w:p w14:paraId="238CEBB6" w14:textId="77777777" w:rsidR="005E5A78" w:rsidRPr="00B44F29" w:rsidRDefault="005E5A78" w:rsidP="005C4E56">
            <w:pPr>
              <w:spacing w:line="480" w:lineRule="auto"/>
            </w:pPr>
            <w:r w:rsidRPr="00B44F29">
              <w:t>Number of previous pregnancies ‘</w:t>
            </w:r>
            <w:proofErr w:type="spellStart"/>
            <w:r w:rsidRPr="00B44F29">
              <w:t>numpreg</w:t>
            </w:r>
            <w:proofErr w:type="spellEnd"/>
            <w:r w:rsidRPr="00B44F29">
              <w:t xml:space="preserve">’ field in HES maternity tail; however, where this value were missing, we identified previous pregnancies by linking historical health records using the woman’s HESID back to 1997. Values were re-corded into 2 categories: </w:t>
            </w:r>
            <w:proofErr w:type="spellStart"/>
            <w:r w:rsidRPr="00B44F29">
              <w:t>primiparous</w:t>
            </w:r>
            <w:proofErr w:type="spellEnd"/>
            <w:r w:rsidRPr="00B44F29">
              <w:t xml:space="preserve"> and multiparous</w:t>
            </w:r>
          </w:p>
        </w:tc>
      </w:tr>
      <w:tr w:rsidR="005E5A78" w:rsidRPr="00B44F29" w14:paraId="4731972E" w14:textId="77777777" w:rsidTr="005C4E56">
        <w:tc>
          <w:tcPr>
            <w:tcW w:w="3369" w:type="dxa"/>
          </w:tcPr>
          <w:p w14:paraId="333DA8CD" w14:textId="77777777" w:rsidR="005E5A78" w:rsidRPr="00B44F29" w:rsidRDefault="005E5A78" w:rsidP="005C4E56">
            <w:pPr>
              <w:spacing w:line="480" w:lineRule="auto"/>
            </w:pPr>
            <w:r w:rsidRPr="00B44F29">
              <w:t xml:space="preserve">Previous emergency admission </w:t>
            </w:r>
          </w:p>
          <w:p w14:paraId="5F818E52" w14:textId="77777777" w:rsidR="005E5A78" w:rsidRPr="00B44F29" w:rsidRDefault="005E5A78" w:rsidP="005C4E56">
            <w:pPr>
              <w:spacing w:line="480" w:lineRule="auto"/>
            </w:pPr>
            <w:r w:rsidRPr="00B44F29">
              <w:t>(year prior to pregnancy)</w:t>
            </w:r>
          </w:p>
        </w:tc>
        <w:tc>
          <w:tcPr>
            <w:tcW w:w="5873" w:type="dxa"/>
          </w:tcPr>
          <w:p w14:paraId="083DD56E" w14:textId="77777777" w:rsidR="005E5A78" w:rsidRPr="00B44F29" w:rsidRDefault="005E5A78" w:rsidP="005C4E56">
            <w:pPr>
              <w:spacing w:line="480" w:lineRule="auto"/>
            </w:pPr>
            <w:r w:rsidRPr="00B44F29">
              <w:t>Method of admission field in HES (value: 21-28) from woman’s historical medical records</w:t>
            </w:r>
          </w:p>
        </w:tc>
      </w:tr>
      <w:tr w:rsidR="005E5A78" w:rsidRPr="00B44F29" w14:paraId="6820C009" w14:textId="77777777" w:rsidTr="005C4E56">
        <w:tc>
          <w:tcPr>
            <w:tcW w:w="3369" w:type="dxa"/>
          </w:tcPr>
          <w:p w14:paraId="54819EB8" w14:textId="77777777" w:rsidR="005E5A78" w:rsidRPr="00B44F29" w:rsidRDefault="005E5A78" w:rsidP="005C4E56">
            <w:pPr>
              <w:spacing w:line="480" w:lineRule="auto"/>
            </w:pPr>
            <w:r w:rsidRPr="00B44F29">
              <w:t>Socio-economic deprivation</w:t>
            </w:r>
          </w:p>
        </w:tc>
        <w:tc>
          <w:tcPr>
            <w:tcW w:w="5873" w:type="dxa"/>
          </w:tcPr>
          <w:p w14:paraId="0BB2DEF9" w14:textId="77777777" w:rsidR="005E5A78" w:rsidRPr="00B44F29" w:rsidRDefault="005E5A78" w:rsidP="005C4E56">
            <w:pPr>
              <w:spacing w:line="480" w:lineRule="auto"/>
            </w:pPr>
            <w:proofErr w:type="spellStart"/>
            <w:r w:rsidRPr="00B44F29">
              <w:t>Carstairs</w:t>
            </w:r>
            <w:proofErr w:type="spellEnd"/>
            <w:r w:rsidRPr="00B44F29">
              <w:t xml:space="preserve"> quintile from delivery or spontaneous abortion associated with hospitalisation admission</w:t>
            </w:r>
            <w:r w:rsidRPr="00B44F29" w:rsidDel="00500B07">
              <w:rPr>
                <w:vertAlign w:val="superscript"/>
              </w:rPr>
              <w:t xml:space="preserve"> </w:t>
            </w:r>
          </w:p>
        </w:tc>
      </w:tr>
      <w:tr w:rsidR="005E5A78" w:rsidRPr="00B44F29" w14:paraId="7480B115" w14:textId="77777777" w:rsidTr="005C4E56">
        <w:tc>
          <w:tcPr>
            <w:tcW w:w="3369" w:type="dxa"/>
          </w:tcPr>
          <w:p w14:paraId="4B740158" w14:textId="77777777" w:rsidR="005E5A78" w:rsidRPr="00B44F29" w:rsidRDefault="005E5A78" w:rsidP="005C4E56">
            <w:pPr>
              <w:spacing w:line="480" w:lineRule="auto"/>
            </w:pPr>
            <w:r w:rsidRPr="00B44F29">
              <w:t>Co-morbidities</w:t>
            </w:r>
          </w:p>
        </w:tc>
        <w:tc>
          <w:tcPr>
            <w:tcW w:w="5873" w:type="dxa"/>
          </w:tcPr>
          <w:p w14:paraId="3C647246" w14:textId="77777777" w:rsidR="005E5A78" w:rsidRPr="00B44F29" w:rsidRDefault="005E5A78" w:rsidP="005C4E56">
            <w:pPr>
              <w:spacing w:line="480" w:lineRule="auto"/>
            </w:pPr>
            <w:proofErr w:type="spellStart"/>
            <w:r w:rsidRPr="00B44F29">
              <w:t>Charlson</w:t>
            </w:r>
            <w:proofErr w:type="spellEnd"/>
            <w:r w:rsidRPr="00B44F29">
              <w:t xml:space="preserve"> score from delivery or spontaneous abortion associated with hospitalisation admission</w:t>
            </w:r>
            <w:r w:rsidRPr="00B44F29" w:rsidDel="00500B07">
              <w:t xml:space="preserve"> </w:t>
            </w:r>
            <w:r>
              <w:t>(</w:t>
            </w:r>
            <w:proofErr w:type="spellStart"/>
            <w:r w:rsidRPr="00195586">
              <w:rPr>
                <w:color w:val="FF0000"/>
              </w:rPr>
              <w:t>Charl</w:t>
            </w:r>
            <w:r>
              <w:rPr>
                <w:color w:val="FF0000"/>
              </w:rPr>
              <w:t>s</w:t>
            </w:r>
            <w:r w:rsidRPr="00195586">
              <w:rPr>
                <w:color w:val="FF0000"/>
              </w:rPr>
              <w:t>on</w:t>
            </w:r>
            <w:proofErr w:type="spellEnd"/>
            <w:r w:rsidRPr="00195586">
              <w:rPr>
                <w:color w:val="FF0000"/>
              </w:rPr>
              <w:t xml:space="preserve"> score includes: </w:t>
            </w:r>
            <w:r>
              <w:t xml:space="preserve"> </w:t>
            </w:r>
            <w:r w:rsidRPr="007E4E52">
              <w:rPr>
                <w:color w:val="FF0000"/>
              </w:rPr>
              <w:t xml:space="preserve">myocardial infarction, congestive heart failure, peripheral vascular disease, cerebrovascular disease, dementia, COPD, connective tissue disease, peptic ulcer disease, diabetes mellitus, moderate to severe chronic kidney disease, hemiplegia, </w:t>
            </w:r>
            <w:proofErr w:type="spellStart"/>
            <w:r w:rsidRPr="007E4E52">
              <w:rPr>
                <w:color w:val="FF0000"/>
              </w:rPr>
              <w:t>leukemia</w:t>
            </w:r>
            <w:proofErr w:type="spellEnd"/>
            <w:r w:rsidRPr="007E4E52">
              <w:rPr>
                <w:color w:val="FF0000"/>
              </w:rPr>
              <w:t xml:space="preserve">, malignant lymphoma, solid </w:t>
            </w:r>
            <w:proofErr w:type="spellStart"/>
            <w:r w:rsidRPr="007E4E52">
              <w:rPr>
                <w:color w:val="FF0000"/>
              </w:rPr>
              <w:t>tumor</w:t>
            </w:r>
            <w:proofErr w:type="spellEnd"/>
            <w:r w:rsidRPr="007E4E52">
              <w:rPr>
                <w:color w:val="FF0000"/>
              </w:rPr>
              <w:t>, liver disease, AIDS</w:t>
            </w:r>
            <w:r>
              <w:t>)</w:t>
            </w:r>
          </w:p>
        </w:tc>
      </w:tr>
      <w:tr w:rsidR="005E5A78" w:rsidRPr="00B44F29" w14:paraId="369F2354" w14:textId="77777777" w:rsidTr="005C4E56">
        <w:tc>
          <w:tcPr>
            <w:tcW w:w="3369" w:type="dxa"/>
          </w:tcPr>
          <w:p w14:paraId="081661AD" w14:textId="77777777" w:rsidR="005E5A78" w:rsidRPr="00B44F29" w:rsidRDefault="005E5A78" w:rsidP="005C4E56">
            <w:pPr>
              <w:spacing w:line="480" w:lineRule="auto"/>
            </w:pPr>
            <w:r w:rsidRPr="00B44F29">
              <w:lastRenderedPageBreak/>
              <w:t>Co-morbidities</w:t>
            </w:r>
          </w:p>
          <w:p w14:paraId="5DADE4AA" w14:textId="77777777" w:rsidR="005E5A78" w:rsidRPr="00B44F29" w:rsidRDefault="005E5A78" w:rsidP="005C4E56">
            <w:pPr>
              <w:spacing w:line="480" w:lineRule="auto"/>
            </w:pPr>
            <w:r w:rsidRPr="00B44F29">
              <w:t>(prior to pregnancy)</w:t>
            </w:r>
          </w:p>
        </w:tc>
        <w:tc>
          <w:tcPr>
            <w:tcW w:w="5873" w:type="dxa"/>
          </w:tcPr>
          <w:p w14:paraId="732A3E26" w14:textId="77777777" w:rsidR="005E5A78" w:rsidRPr="00B44F29" w:rsidRDefault="005E5A78" w:rsidP="005C4E56">
            <w:pPr>
              <w:spacing w:line="480" w:lineRule="auto"/>
            </w:pPr>
            <w:proofErr w:type="spellStart"/>
            <w:r w:rsidRPr="00B44F29">
              <w:t>Charlson</w:t>
            </w:r>
            <w:proofErr w:type="spellEnd"/>
            <w:r w:rsidRPr="00B44F29">
              <w:t xml:space="preserve"> score (from admissions within 3 years prior to pregnancy)</w:t>
            </w:r>
          </w:p>
        </w:tc>
      </w:tr>
      <w:tr w:rsidR="005E5A78" w:rsidRPr="00B44F29" w14:paraId="67A0FC0C" w14:textId="77777777" w:rsidTr="005C4E56">
        <w:tc>
          <w:tcPr>
            <w:tcW w:w="3369" w:type="dxa"/>
          </w:tcPr>
          <w:p w14:paraId="121B1A2C" w14:textId="77777777" w:rsidR="005E5A78" w:rsidRPr="00B44F29" w:rsidRDefault="005E5A78" w:rsidP="005C4E56">
            <w:pPr>
              <w:spacing w:line="480" w:lineRule="auto"/>
            </w:pPr>
            <w:r w:rsidRPr="00B44F29">
              <w:t xml:space="preserve">Gestational diabetes </w:t>
            </w:r>
          </w:p>
        </w:tc>
        <w:tc>
          <w:tcPr>
            <w:tcW w:w="5873" w:type="dxa"/>
          </w:tcPr>
          <w:p w14:paraId="34C7B67E" w14:textId="77777777" w:rsidR="005E5A78" w:rsidRPr="00B44F29" w:rsidRDefault="005E5A78" w:rsidP="005C4E56">
            <w:pPr>
              <w:spacing w:line="480" w:lineRule="auto"/>
            </w:pPr>
            <w:r w:rsidRPr="00B44F29">
              <w:t>ICD-10 code in any diagnosis field (from delivery or spontaneous abortion associated with hospitalisation admission):</w:t>
            </w:r>
          </w:p>
          <w:p w14:paraId="6CB0D590" w14:textId="77777777" w:rsidR="005E5A78" w:rsidRPr="00B44F29" w:rsidRDefault="005E5A78" w:rsidP="005C4E56">
            <w:pPr>
              <w:spacing w:line="480" w:lineRule="auto"/>
            </w:pPr>
            <w:r w:rsidRPr="00B44F29">
              <w:t>O24 – Diabetes mellitus in pregnancy</w:t>
            </w:r>
          </w:p>
          <w:p w14:paraId="56FDF4B1" w14:textId="77777777" w:rsidR="005E5A78" w:rsidRPr="00B44F29" w:rsidRDefault="005E5A78" w:rsidP="005C4E56">
            <w:pPr>
              <w:spacing w:line="480" w:lineRule="auto"/>
            </w:pPr>
          </w:p>
        </w:tc>
      </w:tr>
      <w:tr w:rsidR="005E5A78" w:rsidRPr="00B44F29" w14:paraId="5F9EED37" w14:textId="77777777" w:rsidTr="005C4E56">
        <w:tc>
          <w:tcPr>
            <w:tcW w:w="3369" w:type="dxa"/>
          </w:tcPr>
          <w:p w14:paraId="25F238B8" w14:textId="77777777" w:rsidR="005E5A78" w:rsidRPr="00B44F29" w:rsidRDefault="005E5A78" w:rsidP="005C4E56">
            <w:pPr>
              <w:spacing w:line="480" w:lineRule="auto"/>
            </w:pPr>
            <w:r w:rsidRPr="00B44F29">
              <w:t>Hypertension/preeclampsia</w:t>
            </w:r>
          </w:p>
        </w:tc>
        <w:tc>
          <w:tcPr>
            <w:tcW w:w="5873" w:type="dxa"/>
          </w:tcPr>
          <w:p w14:paraId="5876B4F2" w14:textId="77777777" w:rsidR="005E5A78" w:rsidRPr="00B44F29" w:rsidRDefault="005E5A78" w:rsidP="005C4E56">
            <w:pPr>
              <w:spacing w:line="480" w:lineRule="auto"/>
            </w:pPr>
            <w:r w:rsidRPr="00B44F29">
              <w:t>ICD-10 code in any diagnosis  field (from delivery or spontaneous abortion associated with hospitalisation admission):</w:t>
            </w:r>
          </w:p>
          <w:p w14:paraId="5D089A67" w14:textId="77777777" w:rsidR="005E5A78" w:rsidRPr="00B44F29" w:rsidRDefault="005E5A78" w:rsidP="005C4E56">
            <w:pPr>
              <w:spacing w:line="480" w:lineRule="auto"/>
            </w:pPr>
            <w:r w:rsidRPr="00B44F29">
              <w:t xml:space="preserve">O10 – Pre-existing hypertension complicating pregnancy, childbirth and the </w:t>
            </w:r>
            <w:proofErr w:type="spellStart"/>
            <w:r w:rsidRPr="00B44F29">
              <w:t>puerperium</w:t>
            </w:r>
            <w:proofErr w:type="spellEnd"/>
          </w:p>
          <w:p w14:paraId="2E18503D" w14:textId="77777777" w:rsidR="005E5A78" w:rsidRPr="00B44F29" w:rsidRDefault="005E5A78" w:rsidP="005C4E56">
            <w:pPr>
              <w:spacing w:line="480" w:lineRule="auto"/>
            </w:pPr>
            <w:r w:rsidRPr="00B44F29">
              <w:t>O11 – Pre-existing hypertensive disorder with superimposed proteinuria</w:t>
            </w:r>
          </w:p>
          <w:p w14:paraId="75CB006F" w14:textId="77777777" w:rsidR="005E5A78" w:rsidRPr="00B44F29" w:rsidRDefault="005E5A78" w:rsidP="005C4E56">
            <w:pPr>
              <w:spacing w:line="480" w:lineRule="auto"/>
            </w:pPr>
            <w:r w:rsidRPr="00B44F29">
              <w:t>O12 – Gestational [pregnancy-induced] oedema and proteinuria without hypertension</w:t>
            </w:r>
          </w:p>
          <w:p w14:paraId="07DC9F15" w14:textId="77777777" w:rsidR="005E5A78" w:rsidRPr="00B44F29" w:rsidRDefault="005E5A78" w:rsidP="005C4E56">
            <w:pPr>
              <w:spacing w:line="480" w:lineRule="auto"/>
            </w:pPr>
            <w:r w:rsidRPr="00B44F29">
              <w:t>O13 – Gestational [pregnancy-induced] hypertension without significant proteinuria</w:t>
            </w:r>
          </w:p>
          <w:p w14:paraId="35CFACBD" w14:textId="77777777" w:rsidR="005E5A78" w:rsidRPr="00B44F29" w:rsidRDefault="005E5A78" w:rsidP="005C4E56">
            <w:pPr>
              <w:spacing w:line="480" w:lineRule="auto"/>
            </w:pPr>
            <w:r w:rsidRPr="00B44F29">
              <w:t>O14 – Gestational [</w:t>
            </w:r>
            <w:proofErr w:type="spellStart"/>
            <w:r w:rsidRPr="00B44F29">
              <w:t>pregancy</w:t>
            </w:r>
            <w:proofErr w:type="spellEnd"/>
            <w:r w:rsidRPr="00B44F29">
              <w:t>-induced] hypertension with significant proteinuria</w:t>
            </w:r>
          </w:p>
          <w:p w14:paraId="7B22ACC4" w14:textId="77777777" w:rsidR="005E5A78" w:rsidRPr="00B44F29" w:rsidRDefault="005E5A78" w:rsidP="005C4E56">
            <w:pPr>
              <w:spacing w:line="480" w:lineRule="auto"/>
            </w:pPr>
            <w:r w:rsidRPr="00B44F29">
              <w:t xml:space="preserve">O15 – </w:t>
            </w:r>
            <w:proofErr w:type="spellStart"/>
            <w:r w:rsidRPr="00B44F29">
              <w:t>Eclampsia</w:t>
            </w:r>
            <w:proofErr w:type="spellEnd"/>
          </w:p>
          <w:p w14:paraId="7C4AE0CC" w14:textId="77777777" w:rsidR="005E5A78" w:rsidRPr="00B44F29" w:rsidRDefault="005E5A78" w:rsidP="005C4E56">
            <w:pPr>
              <w:spacing w:line="480" w:lineRule="auto"/>
            </w:pPr>
            <w:r w:rsidRPr="00B44F29">
              <w:t xml:space="preserve">O16 – </w:t>
            </w:r>
            <w:proofErr w:type="spellStart"/>
            <w:r w:rsidRPr="00B44F29">
              <w:t>Unspecidied</w:t>
            </w:r>
            <w:proofErr w:type="spellEnd"/>
            <w:r w:rsidRPr="00B44F29">
              <w:t xml:space="preserve"> maternal hypertension</w:t>
            </w:r>
          </w:p>
        </w:tc>
      </w:tr>
      <w:tr w:rsidR="005E5A78" w:rsidRPr="00B44F29" w14:paraId="74BBA6A9" w14:textId="77777777" w:rsidTr="005C4E56">
        <w:tc>
          <w:tcPr>
            <w:tcW w:w="3369" w:type="dxa"/>
          </w:tcPr>
          <w:p w14:paraId="6EFF419A" w14:textId="77777777" w:rsidR="005E5A78" w:rsidRPr="00B44F29" w:rsidRDefault="005E5A78" w:rsidP="005C4E56">
            <w:pPr>
              <w:spacing w:line="480" w:lineRule="auto"/>
            </w:pPr>
            <w:r w:rsidRPr="00B44F29">
              <w:t>Cardiac diseases</w:t>
            </w:r>
          </w:p>
        </w:tc>
        <w:tc>
          <w:tcPr>
            <w:tcW w:w="5873" w:type="dxa"/>
          </w:tcPr>
          <w:p w14:paraId="51849CFE" w14:textId="77777777" w:rsidR="005E5A78" w:rsidRPr="00B44F29" w:rsidRDefault="005E5A78" w:rsidP="005C4E56">
            <w:pPr>
              <w:spacing w:line="480" w:lineRule="auto"/>
            </w:pPr>
            <w:r w:rsidRPr="00B44F29">
              <w:t>ICD-10 code in any diagnosis field (from delivery or spontaneous abortion associated with hospitalisation admission):</w:t>
            </w:r>
          </w:p>
          <w:p w14:paraId="67879343" w14:textId="77777777" w:rsidR="005E5A78" w:rsidRPr="00B44F29" w:rsidRDefault="005E5A78" w:rsidP="005C4E56">
            <w:pPr>
              <w:spacing w:line="480" w:lineRule="auto"/>
            </w:pPr>
            <w:r w:rsidRPr="00B44F29">
              <w:lastRenderedPageBreak/>
              <w:t xml:space="preserve">I05 – Rheumatic mitral valve </w:t>
            </w:r>
            <w:proofErr w:type="spellStart"/>
            <w:r w:rsidRPr="00B44F29">
              <w:t>dideases</w:t>
            </w:r>
            <w:proofErr w:type="spellEnd"/>
          </w:p>
          <w:p w14:paraId="57296D1F" w14:textId="77777777" w:rsidR="005E5A78" w:rsidRPr="00B44F29" w:rsidRDefault="005E5A78" w:rsidP="005C4E56">
            <w:pPr>
              <w:spacing w:line="480" w:lineRule="auto"/>
            </w:pPr>
            <w:r w:rsidRPr="00B44F29">
              <w:t xml:space="preserve">I06 – </w:t>
            </w:r>
            <w:proofErr w:type="spellStart"/>
            <w:r w:rsidRPr="00B44F29">
              <w:t>Reumatic</w:t>
            </w:r>
            <w:proofErr w:type="spellEnd"/>
            <w:r w:rsidRPr="00B44F29">
              <w:t xml:space="preserve"> aortic valve diseases</w:t>
            </w:r>
          </w:p>
          <w:p w14:paraId="6B4C1ACC" w14:textId="77777777" w:rsidR="005E5A78" w:rsidRPr="00B44F29" w:rsidRDefault="005E5A78" w:rsidP="005C4E56">
            <w:pPr>
              <w:spacing w:line="480" w:lineRule="auto"/>
            </w:pPr>
            <w:r w:rsidRPr="00B44F29">
              <w:t xml:space="preserve">I07 – </w:t>
            </w:r>
            <w:proofErr w:type="spellStart"/>
            <w:r w:rsidRPr="00B44F29">
              <w:t>Reumatic</w:t>
            </w:r>
            <w:proofErr w:type="spellEnd"/>
            <w:r w:rsidRPr="00B44F29">
              <w:t xml:space="preserve"> tricuspid valve diseases</w:t>
            </w:r>
          </w:p>
          <w:p w14:paraId="61ACEA76" w14:textId="77777777" w:rsidR="005E5A78" w:rsidRPr="00B44F29" w:rsidRDefault="005E5A78" w:rsidP="005C4E56">
            <w:pPr>
              <w:spacing w:line="480" w:lineRule="auto"/>
            </w:pPr>
            <w:r w:rsidRPr="00B44F29">
              <w:t>I08 – Multiple valve diseases</w:t>
            </w:r>
          </w:p>
          <w:p w14:paraId="41AB8F5A" w14:textId="77777777" w:rsidR="005E5A78" w:rsidRPr="00B44F29" w:rsidRDefault="005E5A78" w:rsidP="005C4E56">
            <w:pPr>
              <w:spacing w:line="480" w:lineRule="auto"/>
            </w:pPr>
            <w:r w:rsidRPr="00B44F29">
              <w:t xml:space="preserve">I09 – </w:t>
            </w:r>
            <w:proofErr w:type="spellStart"/>
            <w:r w:rsidRPr="00B44F29">
              <w:t>othetr</w:t>
            </w:r>
            <w:proofErr w:type="spellEnd"/>
            <w:r w:rsidRPr="00B44F29">
              <w:t xml:space="preserve"> rheumatic heart diseases</w:t>
            </w:r>
          </w:p>
          <w:p w14:paraId="6DA74B68" w14:textId="77777777" w:rsidR="005E5A78" w:rsidRPr="00B44F29" w:rsidRDefault="005E5A78" w:rsidP="005C4E56">
            <w:pPr>
              <w:spacing w:line="480" w:lineRule="auto"/>
            </w:pPr>
            <w:r w:rsidRPr="00B44F29">
              <w:t>I10 – Essential (primary) hypertension</w:t>
            </w:r>
          </w:p>
          <w:p w14:paraId="4604BB35" w14:textId="77777777" w:rsidR="005E5A78" w:rsidRPr="00B44F29" w:rsidRDefault="005E5A78" w:rsidP="005C4E56">
            <w:pPr>
              <w:spacing w:line="480" w:lineRule="auto"/>
            </w:pPr>
            <w:r w:rsidRPr="00B44F29">
              <w:t>I11 – Hypertensive heart disease</w:t>
            </w:r>
          </w:p>
          <w:p w14:paraId="3E8EC5C8" w14:textId="77777777" w:rsidR="005E5A78" w:rsidRPr="00B44F29" w:rsidRDefault="005E5A78" w:rsidP="005C4E56">
            <w:pPr>
              <w:spacing w:line="480" w:lineRule="auto"/>
            </w:pPr>
            <w:r w:rsidRPr="00B44F29">
              <w:t>I12 – Hypertensive renal disease</w:t>
            </w:r>
          </w:p>
          <w:p w14:paraId="06466838" w14:textId="77777777" w:rsidR="005E5A78" w:rsidRPr="00B44F29" w:rsidRDefault="005E5A78" w:rsidP="005C4E56">
            <w:pPr>
              <w:spacing w:line="480" w:lineRule="auto"/>
            </w:pPr>
            <w:r w:rsidRPr="00B44F29">
              <w:t>I13 – hypertensive heart and renal disease</w:t>
            </w:r>
          </w:p>
          <w:p w14:paraId="5618E8A9" w14:textId="77777777" w:rsidR="005E5A78" w:rsidRPr="00B44F29" w:rsidRDefault="005E5A78" w:rsidP="005C4E56">
            <w:pPr>
              <w:spacing w:line="480" w:lineRule="auto"/>
            </w:pPr>
            <w:r w:rsidRPr="00B44F29">
              <w:t>I15 – Secondary hypertension</w:t>
            </w:r>
          </w:p>
          <w:p w14:paraId="14A27DB4" w14:textId="77777777" w:rsidR="005E5A78" w:rsidRPr="00B44F29" w:rsidRDefault="005E5A78" w:rsidP="005C4E56">
            <w:pPr>
              <w:spacing w:line="480" w:lineRule="auto"/>
            </w:pPr>
            <w:r w:rsidRPr="00B44F29">
              <w:t>I20 – Angina pectoris</w:t>
            </w:r>
          </w:p>
          <w:p w14:paraId="38BD21DB" w14:textId="77777777" w:rsidR="005E5A78" w:rsidRPr="00B44F29" w:rsidRDefault="005E5A78" w:rsidP="005C4E56">
            <w:pPr>
              <w:spacing w:line="480" w:lineRule="auto"/>
            </w:pPr>
            <w:r w:rsidRPr="00B44F29">
              <w:t>I23 – Certain current complications following acute myocardial infarction</w:t>
            </w:r>
          </w:p>
          <w:p w14:paraId="4AC8A2A1" w14:textId="77777777" w:rsidR="005E5A78" w:rsidRPr="00B44F29" w:rsidRDefault="005E5A78" w:rsidP="005C4E56">
            <w:pPr>
              <w:spacing w:line="480" w:lineRule="auto"/>
            </w:pPr>
            <w:r w:rsidRPr="00B44F29">
              <w:t>I24 – Other acute ischaemic heart diseases</w:t>
            </w:r>
          </w:p>
          <w:p w14:paraId="0E13CCB0" w14:textId="77777777" w:rsidR="005E5A78" w:rsidRPr="00B44F29" w:rsidRDefault="005E5A78" w:rsidP="005C4E56">
            <w:pPr>
              <w:spacing w:line="480" w:lineRule="auto"/>
            </w:pPr>
            <w:r w:rsidRPr="00B44F29">
              <w:t>I25 – Chronic ischaemic heart disease (excluding I25.2 – Old myocardial infarction)</w:t>
            </w:r>
          </w:p>
          <w:p w14:paraId="28A03961" w14:textId="77777777" w:rsidR="005E5A78" w:rsidRPr="00B44F29" w:rsidRDefault="005E5A78" w:rsidP="005C4E56">
            <w:pPr>
              <w:spacing w:line="480" w:lineRule="auto"/>
            </w:pPr>
            <w:r w:rsidRPr="00B44F29">
              <w:t>I27 – Other pulmonary heart diseases</w:t>
            </w:r>
          </w:p>
          <w:p w14:paraId="25C615FB" w14:textId="77777777" w:rsidR="005E5A78" w:rsidRPr="00B44F29" w:rsidRDefault="005E5A78" w:rsidP="005C4E56">
            <w:pPr>
              <w:spacing w:line="480" w:lineRule="auto"/>
            </w:pPr>
            <w:r w:rsidRPr="00B44F29">
              <w:t>I28 – Other diseases of pulmonary vessels</w:t>
            </w:r>
          </w:p>
          <w:p w14:paraId="3B460C8F" w14:textId="77777777" w:rsidR="005E5A78" w:rsidRPr="00B44F29" w:rsidRDefault="005E5A78" w:rsidP="005C4E56">
            <w:pPr>
              <w:spacing w:line="480" w:lineRule="auto"/>
            </w:pPr>
            <w:r w:rsidRPr="00B44F29">
              <w:t>I30-I52 – Other forms of heart disease</w:t>
            </w:r>
          </w:p>
          <w:p w14:paraId="095CA3A4" w14:textId="77777777" w:rsidR="005E5A78" w:rsidRPr="00B44F29" w:rsidRDefault="005E5A78" w:rsidP="005C4E56">
            <w:pPr>
              <w:spacing w:line="480" w:lineRule="auto"/>
            </w:pPr>
            <w:r w:rsidRPr="00B44F29">
              <w:t>Q20 – Congenital malformations of cardiac chambers and connections</w:t>
            </w:r>
          </w:p>
          <w:p w14:paraId="41FE8E50" w14:textId="77777777" w:rsidR="005E5A78" w:rsidRPr="00B44F29" w:rsidRDefault="005E5A78" w:rsidP="005C4E56">
            <w:pPr>
              <w:spacing w:line="480" w:lineRule="auto"/>
            </w:pPr>
            <w:r w:rsidRPr="00B44F29">
              <w:t>Q21 – Congenital malformations of cardiac septa</w:t>
            </w:r>
          </w:p>
          <w:p w14:paraId="5DA674B1" w14:textId="77777777" w:rsidR="005E5A78" w:rsidRPr="00B44F29" w:rsidRDefault="005E5A78" w:rsidP="005C4E56">
            <w:pPr>
              <w:spacing w:line="480" w:lineRule="auto"/>
            </w:pPr>
            <w:r w:rsidRPr="00B44F29">
              <w:t>Q22 – Congenital malformations of pulmonary and tricuspid valves</w:t>
            </w:r>
          </w:p>
          <w:p w14:paraId="55D79E24" w14:textId="77777777" w:rsidR="005E5A78" w:rsidRPr="00B44F29" w:rsidRDefault="005E5A78" w:rsidP="005C4E56">
            <w:pPr>
              <w:spacing w:line="480" w:lineRule="auto"/>
            </w:pPr>
            <w:r w:rsidRPr="00B44F29">
              <w:t>Q23 – Congenital malformations of aortic and mitral valves</w:t>
            </w:r>
          </w:p>
          <w:p w14:paraId="4BDA9DE0" w14:textId="77777777" w:rsidR="005E5A78" w:rsidRPr="00B44F29" w:rsidRDefault="005E5A78" w:rsidP="005C4E56">
            <w:pPr>
              <w:spacing w:line="480" w:lineRule="auto"/>
            </w:pPr>
            <w:r w:rsidRPr="00B44F29">
              <w:lastRenderedPageBreak/>
              <w:t>Q24 – Other congenital malformations of heart</w:t>
            </w:r>
          </w:p>
          <w:p w14:paraId="1CE76934" w14:textId="77777777" w:rsidR="005E5A78" w:rsidRPr="00B44F29" w:rsidRDefault="005E5A78" w:rsidP="005C4E56">
            <w:pPr>
              <w:spacing w:line="480" w:lineRule="auto"/>
            </w:pPr>
            <w:r w:rsidRPr="00B44F29">
              <w:t>Q25 – Congenital malformations of great arteries</w:t>
            </w:r>
          </w:p>
        </w:tc>
      </w:tr>
      <w:tr w:rsidR="005E5A78" w:rsidRPr="00B44F29" w14:paraId="7AA484AC" w14:textId="77777777" w:rsidTr="005C4E56">
        <w:tc>
          <w:tcPr>
            <w:tcW w:w="3369" w:type="dxa"/>
          </w:tcPr>
          <w:p w14:paraId="5DF59921" w14:textId="77777777" w:rsidR="005E5A78" w:rsidRDefault="005E5A78" w:rsidP="005C4E56">
            <w:pPr>
              <w:spacing w:line="480" w:lineRule="auto"/>
            </w:pPr>
            <w:r w:rsidRPr="00B44F29">
              <w:lastRenderedPageBreak/>
              <w:t>Operations on amniotic cavity</w:t>
            </w:r>
          </w:p>
          <w:p w14:paraId="32006ADE" w14:textId="77777777" w:rsidR="005E5A78" w:rsidRPr="00B44F29" w:rsidRDefault="005E5A78" w:rsidP="005C4E56">
            <w:pPr>
              <w:spacing w:line="480" w:lineRule="auto"/>
            </w:pPr>
            <w:r>
              <w:t xml:space="preserve">(e.g. </w:t>
            </w:r>
            <w:r w:rsidRPr="005E5A78">
              <w:rPr>
                <w:color w:val="FF0000"/>
              </w:rPr>
              <w:t>Amniocentesis, sampling of chorionic villus</w:t>
            </w:r>
            <w:r>
              <w:t>)</w:t>
            </w:r>
          </w:p>
        </w:tc>
        <w:tc>
          <w:tcPr>
            <w:tcW w:w="5873" w:type="dxa"/>
          </w:tcPr>
          <w:p w14:paraId="303247AA" w14:textId="77777777" w:rsidR="005E5A78" w:rsidRDefault="005E5A78" w:rsidP="005E5A78">
            <w:pPr>
              <w:spacing w:line="480" w:lineRule="auto"/>
            </w:pPr>
            <w:r w:rsidRPr="00B44F29">
              <w:t>OPCS code in any procedure field from admissions within pregnancy</w:t>
            </w:r>
            <w:r>
              <w:t>:</w:t>
            </w:r>
          </w:p>
          <w:p w14:paraId="5510A55B" w14:textId="217E865C" w:rsidR="005E5A78" w:rsidRPr="00B44F29" w:rsidRDefault="005E5A78" w:rsidP="005E5A78">
            <w:pPr>
              <w:spacing w:line="480" w:lineRule="auto"/>
            </w:pPr>
            <w:r>
              <w:t>R10 – Other operations on amniotic cavity</w:t>
            </w:r>
            <w:bookmarkStart w:id="0" w:name="_GoBack"/>
            <w:bookmarkEnd w:id="0"/>
          </w:p>
        </w:tc>
      </w:tr>
      <w:tr w:rsidR="005E5A78" w:rsidRPr="00B44F29" w14:paraId="785D8468" w14:textId="77777777" w:rsidTr="005C4E56">
        <w:tc>
          <w:tcPr>
            <w:tcW w:w="3369" w:type="dxa"/>
          </w:tcPr>
          <w:p w14:paraId="1482BAEA" w14:textId="13F40BDE" w:rsidR="005E5A78" w:rsidRPr="00B44F29" w:rsidRDefault="005E5A78" w:rsidP="005C4E56">
            <w:pPr>
              <w:spacing w:line="480" w:lineRule="auto"/>
            </w:pPr>
            <w:r w:rsidRPr="00B44F29">
              <w:t>Obstetric surgery</w:t>
            </w:r>
          </w:p>
        </w:tc>
        <w:tc>
          <w:tcPr>
            <w:tcW w:w="5873" w:type="dxa"/>
          </w:tcPr>
          <w:p w14:paraId="76496338" w14:textId="77777777" w:rsidR="005E5A78" w:rsidRPr="00B44F29" w:rsidRDefault="005E5A78" w:rsidP="005C4E56">
            <w:pPr>
              <w:spacing w:line="480" w:lineRule="auto"/>
            </w:pPr>
            <w:r w:rsidRPr="00B44F29">
              <w:t>OPSC code in any diagnosis field (from admissions within pregnancy):</w:t>
            </w:r>
          </w:p>
          <w:p w14:paraId="78704EBB" w14:textId="77777777" w:rsidR="005E5A78" w:rsidRPr="00B44F29" w:rsidRDefault="005E5A78" w:rsidP="005C4E56">
            <w:pPr>
              <w:spacing w:line="480" w:lineRule="auto"/>
            </w:pPr>
            <w:r w:rsidRPr="00B44F29">
              <w:t>R01 – Therapeutic endoscopic operations on foetus</w:t>
            </w:r>
          </w:p>
          <w:p w14:paraId="078951A6" w14:textId="77777777" w:rsidR="005E5A78" w:rsidRPr="00B44F29" w:rsidRDefault="005E5A78" w:rsidP="005C4E56">
            <w:pPr>
              <w:spacing w:line="480" w:lineRule="auto"/>
            </w:pPr>
            <w:r w:rsidRPr="00B44F29">
              <w:t>R02 – Diagnostic endoscopic examination of foetus</w:t>
            </w:r>
          </w:p>
          <w:p w14:paraId="3A0E0E91" w14:textId="77777777" w:rsidR="005E5A78" w:rsidRPr="00B44F29" w:rsidRDefault="005E5A78" w:rsidP="005C4E56">
            <w:pPr>
              <w:spacing w:line="480" w:lineRule="auto"/>
            </w:pPr>
            <w:r w:rsidRPr="00B44F29">
              <w:t>R04 – Therapeutic percutaneous operations on foetus</w:t>
            </w:r>
          </w:p>
          <w:p w14:paraId="4851B288" w14:textId="77777777" w:rsidR="005E5A78" w:rsidRPr="00B44F29" w:rsidRDefault="005E5A78" w:rsidP="005C4E56">
            <w:pPr>
              <w:spacing w:line="480" w:lineRule="auto"/>
            </w:pPr>
            <w:r w:rsidRPr="00B44F29">
              <w:t xml:space="preserve">R05 – Diagnostic percutaneous examination of foetus </w:t>
            </w:r>
          </w:p>
          <w:p w14:paraId="013AEDCB" w14:textId="77777777" w:rsidR="005E5A78" w:rsidRPr="00B44F29" w:rsidRDefault="005E5A78" w:rsidP="005C4E56">
            <w:pPr>
              <w:spacing w:line="480" w:lineRule="auto"/>
            </w:pPr>
            <w:r w:rsidRPr="00B44F29">
              <w:t>R07 – Therapeutic endoscopic operations for twin-twin transfusion syndrome</w:t>
            </w:r>
          </w:p>
          <w:p w14:paraId="4CC124D1" w14:textId="77777777" w:rsidR="005E5A78" w:rsidRPr="00B44F29" w:rsidRDefault="005E5A78" w:rsidP="005C4E56">
            <w:pPr>
              <w:spacing w:line="480" w:lineRule="auto"/>
            </w:pPr>
            <w:r w:rsidRPr="00B44F29">
              <w:t>R08 -  Therapeutic percutaneous operations for twin-twin transfusion syndrome</w:t>
            </w:r>
          </w:p>
          <w:p w14:paraId="28AE35E1" w14:textId="77777777" w:rsidR="005E5A78" w:rsidRPr="00B44F29" w:rsidRDefault="005E5A78" w:rsidP="005C4E56">
            <w:pPr>
              <w:spacing w:line="480" w:lineRule="auto"/>
            </w:pPr>
            <w:r w:rsidRPr="00B44F29">
              <w:t>R12 – Operations on gravid uterus</w:t>
            </w:r>
          </w:p>
          <w:p w14:paraId="3E55B069" w14:textId="77777777" w:rsidR="005E5A78" w:rsidRPr="00B44F29" w:rsidRDefault="005E5A78" w:rsidP="005C4E56">
            <w:pPr>
              <w:spacing w:line="480" w:lineRule="auto"/>
            </w:pPr>
            <w:r w:rsidRPr="00B44F29">
              <w:t>R34 – Other obstetric operations</w:t>
            </w:r>
          </w:p>
        </w:tc>
      </w:tr>
      <w:tr w:rsidR="005E5A78" w:rsidRPr="00B44F29" w14:paraId="3A220523" w14:textId="77777777" w:rsidTr="005C4E56">
        <w:tc>
          <w:tcPr>
            <w:tcW w:w="3369" w:type="dxa"/>
          </w:tcPr>
          <w:p w14:paraId="36AD88EF" w14:textId="77777777" w:rsidR="005E5A78" w:rsidRPr="00B44F29" w:rsidRDefault="005E5A78" w:rsidP="005C4E56">
            <w:pPr>
              <w:spacing w:line="480" w:lineRule="auto"/>
            </w:pPr>
            <w:r w:rsidRPr="00B44F29">
              <w:t xml:space="preserve">Previous </w:t>
            </w:r>
            <w:r>
              <w:t>c</w:t>
            </w:r>
            <w:r w:rsidRPr="00B44F29">
              <w:t>aesarean section</w:t>
            </w:r>
          </w:p>
        </w:tc>
        <w:tc>
          <w:tcPr>
            <w:tcW w:w="5873" w:type="dxa"/>
          </w:tcPr>
          <w:p w14:paraId="3A6B1C1B" w14:textId="77777777" w:rsidR="005E5A78" w:rsidRPr="00B44F29" w:rsidRDefault="005E5A78" w:rsidP="005C4E56">
            <w:pPr>
              <w:spacing w:line="480" w:lineRule="auto"/>
            </w:pPr>
            <w:r w:rsidRPr="00B44F29">
              <w:t xml:space="preserve">Previous pregnancy episodes with an OPCS code or using delivery method field in HES maternity tail (from 1997/98 to 2011/12) </w:t>
            </w:r>
          </w:p>
        </w:tc>
      </w:tr>
      <w:tr w:rsidR="005E5A78" w:rsidRPr="00B44F29" w14:paraId="43AAF1FB" w14:textId="77777777" w:rsidTr="005C4E56">
        <w:tc>
          <w:tcPr>
            <w:tcW w:w="3369" w:type="dxa"/>
          </w:tcPr>
          <w:p w14:paraId="462BD493" w14:textId="77777777" w:rsidR="005E5A78" w:rsidRPr="00B44F29" w:rsidRDefault="005E5A78" w:rsidP="005C4E56">
            <w:pPr>
              <w:spacing w:line="480" w:lineRule="auto"/>
            </w:pPr>
            <w:r w:rsidRPr="00B44F29">
              <w:t>Non-obstetric surgery</w:t>
            </w:r>
          </w:p>
        </w:tc>
        <w:tc>
          <w:tcPr>
            <w:tcW w:w="5873" w:type="dxa"/>
          </w:tcPr>
          <w:p w14:paraId="1A86E279" w14:textId="77777777" w:rsidR="005E5A78" w:rsidRPr="00B44F29" w:rsidRDefault="005E5A78" w:rsidP="005C4E56">
            <w:pPr>
              <w:spacing w:line="480" w:lineRule="auto"/>
            </w:pPr>
            <w:r w:rsidRPr="00B44F29">
              <w:t xml:space="preserve">Based on operating theatre procedure based on OPCS procedure field defined in previous research. From the </w:t>
            </w:r>
            <w:proofErr w:type="gramStart"/>
            <w:r w:rsidRPr="00B44F29">
              <w:t>list</w:t>
            </w:r>
            <w:proofErr w:type="gramEnd"/>
            <w:r w:rsidRPr="00B44F29">
              <w:t xml:space="preserve"> we excluded obstetric and male associated procedures. Furthermore, after discussion with clinicians, two OPCS codes were excluded (K66.1 – </w:t>
            </w:r>
            <w:proofErr w:type="spellStart"/>
            <w:r w:rsidRPr="00B44F29">
              <w:t>cardiotachyography</w:t>
            </w:r>
            <w:proofErr w:type="spellEnd"/>
            <w:r w:rsidRPr="00B44F29">
              <w:t xml:space="preserve">, S06 – other </w:t>
            </w:r>
            <w:r w:rsidRPr="00B44F29">
              <w:lastRenderedPageBreak/>
              <w:t>excision of skin)</w:t>
            </w:r>
          </w:p>
        </w:tc>
      </w:tr>
    </w:tbl>
    <w:p w14:paraId="1012029A" w14:textId="77777777" w:rsidR="005E5A78" w:rsidRPr="00B44F29" w:rsidRDefault="005E5A78" w:rsidP="005E5A78">
      <w:pPr>
        <w:pStyle w:val="ListParagraph"/>
        <w:spacing w:line="480" w:lineRule="auto"/>
      </w:pPr>
    </w:p>
    <w:p w14:paraId="0A358573" w14:textId="77777777" w:rsidR="00610E6A" w:rsidRPr="005E5A78" w:rsidRDefault="00610E6A" w:rsidP="005E5A78"/>
    <w:sectPr w:rsidR="00610E6A" w:rsidRPr="005E5A78" w:rsidSect="00465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62B810" w15:done="0"/>
  <w15:commentEx w15:paraId="588F25E4" w15:done="0"/>
  <w15:commentEx w15:paraId="06AD6EC7" w15:done="0"/>
  <w15:commentEx w15:paraId="467F7EB1" w15:done="0"/>
  <w15:commentEx w15:paraId="242C2132" w15:done="0"/>
  <w15:commentEx w15:paraId="4C024D49" w15:done="0"/>
  <w15:commentEx w15:paraId="0F5BC65C" w15:done="0"/>
  <w15:commentEx w15:paraId="4ED56CEC" w15:done="0"/>
  <w15:commentEx w15:paraId="6CC067BB" w15:done="0"/>
  <w15:commentEx w15:paraId="2C587482" w15:done="0"/>
  <w15:commentEx w15:paraId="587A7791" w15:done="0"/>
  <w15:commentEx w15:paraId="6D49D56F" w15:done="0"/>
  <w15:commentEx w15:paraId="448DE269" w15:done="0"/>
  <w15:commentEx w15:paraId="12339CF4" w15:done="0"/>
  <w15:commentEx w15:paraId="61190911" w15:done="0"/>
  <w15:commentEx w15:paraId="187DB582" w15:done="0"/>
  <w15:commentEx w15:paraId="29A8F805" w15:done="0"/>
  <w15:commentEx w15:paraId="523FAFB5" w15:done="0"/>
  <w15:commentEx w15:paraId="70448F10" w15:done="0"/>
  <w15:commentEx w15:paraId="113150A0" w15:done="0"/>
  <w15:commentEx w15:paraId="2BEECEB0" w15:done="0"/>
  <w15:commentEx w15:paraId="037BF123" w15:done="0"/>
  <w15:commentEx w15:paraId="44DE6B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BD07B" w14:textId="77777777" w:rsidR="001047C6" w:rsidRDefault="001047C6">
      <w:r>
        <w:separator/>
      </w:r>
    </w:p>
  </w:endnote>
  <w:endnote w:type="continuationSeparator" w:id="0">
    <w:p w14:paraId="574251E1" w14:textId="77777777" w:rsidR="001047C6" w:rsidRDefault="0010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957AC" w14:textId="77777777" w:rsidR="001047C6" w:rsidRDefault="001047C6" w:rsidP="0074127A">
      <w:r>
        <w:separator/>
      </w:r>
    </w:p>
  </w:footnote>
  <w:footnote w:type="continuationSeparator" w:id="0">
    <w:p w14:paraId="4CAE0E1C" w14:textId="77777777" w:rsidR="001047C6" w:rsidRDefault="001047C6" w:rsidP="00B4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56C0"/>
    <w:multiLevelType w:val="hybridMultilevel"/>
    <w:tmpl w:val="7DB06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25866"/>
    <w:multiLevelType w:val="hybridMultilevel"/>
    <w:tmpl w:val="DB5A9CF2"/>
    <w:lvl w:ilvl="0" w:tplc="8256B136">
      <w:start w:val="1"/>
      <w:numFmt w:val="decimal"/>
      <w:lvlText w:val="%1"/>
      <w:lvlJc w:val="left"/>
      <w:pPr>
        <w:ind w:left="112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3560033"/>
    <w:multiLevelType w:val="hybridMultilevel"/>
    <w:tmpl w:val="F636FDD0"/>
    <w:lvl w:ilvl="0" w:tplc="D9D8D3B2">
      <w:start w:val="1"/>
      <w:numFmt w:val="decimal"/>
      <w:lvlText w:val="%1"/>
      <w:lvlJc w:val="right"/>
      <w:pPr>
        <w:ind w:left="502" w:hanging="360"/>
      </w:pPr>
      <w:rPr>
        <w:rFonts w:hint="default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lin, Paul P">
    <w15:presenceInfo w15:providerId="AD" w15:userId="S-1-5-21-243037206-41955558-561332275-22740"/>
  </w15:person>
  <w15:person w15:author="Angus Rivers">
    <w15:presenceInfo w15:providerId="Windows Live" w15:userId="1a326d11e3fb5944"/>
  </w15:person>
  <w15:person w15:author="Paul Aylin">
    <w15:presenceInfo w15:providerId="Windows Live" w15:userId="2d63aa66efa8a9c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8C"/>
    <w:rsid w:val="00002257"/>
    <w:rsid w:val="0001134A"/>
    <w:rsid w:val="0001300B"/>
    <w:rsid w:val="00015311"/>
    <w:rsid w:val="00016156"/>
    <w:rsid w:val="00020C58"/>
    <w:rsid w:val="00020E2C"/>
    <w:rsid w:val="00023F7B"/>
    <w:rsid w:val="00024136"/>
    <w:rsid w:val="00025BEF"/>
    <w:rsid w:val="00027472"/>
    <w:rsid w:val="00027A05"/>
    <w:rsid w:val="00032A6A"/>
    <w:rsid w:val="0003456A"/>
    <w:rsid w:val="000350AD"/>
    <w:rsid w:val="000371A5"/>
    <w:rsid w:val="00037748"/>
    <w:rsid w:val="00041F07"/>
    <w:rsid w:val="00045731"/>
    <w:rsid w:val="0005381E"/>
    <w:rsid w:val="00054784"/>
    <w:rsid w:val="000603CD"/>
    <w:rsid w:val="000610DD"/>
    <w:rsid w:val="00064646"/>
    <w:rsid w:val="00064A78"/>
    <w:rsid w:val="0006648F"/>
    <w:rsid w:val="0007105A"/>
    <w:rsid w:val="00073BCA"/>
    <w:rsid w:val="0007779A"/>
    <w:rsid w:val="00077800"/>
    <w:rsid w:val="00080FE0"/>
    <w:rsid w:val="00081009"/>
    <w:rsid w:val="000856E4"/>
    <w:rsid w:val="00085CE0"/>
    <w:rsid w:val="000870AC"/>
    <w:rsid w:val="000919E3"/>
    <w:rsid w:val="00093024"/>
    <w:rsid w:val="0009463E"/>
    <w:rsid w:val="000969D1"/>
    <w:rsid w:val="000A6190"/>
    <w:rsid w:val="000A6213"/>
    <w:rsid w:val="000B2A83"/>
    <w:rsid w:val="000B451A"/>
    <w:rsid w:val="000B49F0"/>
    <w:rsid w:val="000B580D"/>
    <w:rsid w:val="000B6F15"/>
    <w:rsid w:val="000B73B6"/>
    <w:rsid w:val="000C57EA"/>
    <w:rsid w:val="000C6481"/>
    <w:rsid w:val="000D0EAE"/>
    <w:rsid w:val="000D3EE5"/>
    <w:rsid w:val="000D7AD9"/>
    <w:rsid w:val="000E0293"/>
    <w:rsid w:val="000E0689"/>
    <w:rsid w:val="000E27A3"/>
    <w:rsid w:val="000E2BB8"/>
    <w:rsid w:val="000E3DA0"/>
    <w:rsid w:val="000E4537"/>
    <w:rsid w:val="000E4FFE"/>
    <w:rsid w:val="000E565B"/>
    <w:rsid w:val="000E5D01"/>
    <w:rsid w:val="000F357C"/>
    <w:rsid w:val="000F36C2"/>
    <w:rsid w:val="000F421C"/>
    <w:rsid w:val="000F6481"/>
    <w:rsid w:val="00101269"/>
    <w:rsid w:val="00103112"/>
    <w:rsid w:val="001047C6"/>
    <w:rsid w:val="00107848"/>
    <w:rsid w:val="00111E35"/>
    <w:rsid w:val="00113815"/>
    <w:rsid w:val="00117A27"/>
    <w:rsid w:val="00126CB7"/>
    <w:rsid w:val="00130E0E"/>
    <w:rsid w:val="00132525"/>
    <w:rsid w:val="001328C9"/>
    <w:rsid w:val="00141D74"/>
    <w:rsid w:val="00144774"/>
    <w:rsid w:val="001475A6"/>
    <w:rsid w:val="0015022E"/>
    <w:rsid w:val="00152665"/>
    <w:rsid w:val="00156EB7"/>
    <w:rsid w:val="0016630B"/>
    <w:rsid w:val="00167E43"/>
    <w:rsid w:val="00173D5B"/>
    <w:rsid w:val="001758C8"/>
    <w:rsid w:val="00176FDC"/>
    <w:rsid w:val="00180754"/>
    <w:rsid w:val="00185754"/>
    <w:rsid w:val="0018685A"/>
    <w:rsid w:val="00190126"/>
    <w:rsid w:val="001920B9"/>
    <w:rsid w:val="00195CB6"/>
    <w:rsid w:val="001A0559"/>
    <w:rsid w:val="001A088A"/>
    <w:rsid w:val="001A5D7C"/>
    <w:rsid w:val="001C4761"/>
    <w:rsid w:val="001C4CDE"/>
    <w:rsid w:val="001C5EB7"/>
    <w:rsid w:val="001D078A"/>
    <w:rsid w:val="001D5378"/>
    <w:rsid w:val="001D561F"/>
    <w:rsid w:val="001D6F4D"/>
    <w:rsid w:val="001E4824"/>
    <w:rsid w:val="001E580E"/>
    <w:rsid w:val="001E68E0"/>
    <w:rsid w:val="001E78D9"/>
    <w:rsid w:val="001F2390"/>
    <w:rsid w:val="002034C1"/>
    <w:rsid w:val="00220A20"/>
    <w:rsid w:val="00220E08"/>
    <w:rsid w:val="00222FCE"/>
    <w:rsid w:val="00224FBE"/>
    <w:rsid w:val="00227C9A"/>
    <w:rsid w:val="00241015"/>
    <w:rsid w:val="00250E96"/>
    <w:rsid w:val="00253DE9"/>
    <w:rsid w:val="00256282"/>
    <w:rsid w:val="0026654E"/>
    <w:rsid w:val="00266E4B"/>
    <w:rsid w:val="002706CA"/>
    <w:rsid w:val="002719E3"/>
    <w:rsid w:val="002724A3"/>
    <w:rsid w:val="00280B25"/>
    <w:rsid w:val="00281B18"/>
    <w:rsid w:val="00291835"/>
    <w:rsid w:val="002A32A0"/>
    <w:rsid w:val="002A4244"/>
    <w:rsid w:val="002A73AE"/>
    <w:rsid w:val="002B26CC"/>
    <w:rsid w:val="002B404B"/>
    <w:rsid w:val="002B6711"/>
    <w:rsid w:val="002B6FBE"/>
    <w:rsid w:val="002C01FD"/>
    <w:rsid w:val="002C1236"/>
    <w:rsid w:val="002C2889"/>
    <w:rsid w:val="002C71DA"/>
    <w:rsid w:val="002C750D"/>
    <w:rsid w:val="002D0E70"/>
    <w:rsid w:val="002D3968"/>
    <w:rsid w:val="002E048E"/>
    <w:rsid w:val="002E0562"/>
    <w:rsid w:val="002E16CF"/>
    <w:rsid w:val="002E1C9F"/>
    <w:rsid w:val="002E6435"/>
    <w:rsid w:val="002F0104"/>
    <w:rsid w:val="002F363B"/>
    <w:rsid w:val="00301013"/>
    <w:rsid w:val="003015F7"/>
    <w:rsid w:val="00302646"/>
    <w:rsid w:val="00303AB6"/>
    <w:rsid w:val="00304F04"/>
    <w:rsid w:val="00311F52"/>
    <w:rsid w:val="0031278D"/>
    <w:rsid w:val="00316551"/>
    <w:rsid w:val="00321FE9"/>
    <w:rsid w:val="00326DFA"/>
    <w:rsid w:val="00330AA0"/>
    <w:rsid w:val="003314B5"/>
    <w:rsid w:val="003337EA"/>
    <w:rsid w:val="00333E6C"/>
    <w:rsid w:val="00334A2B"/>
    <w:rsid w:val="003365AF"/>
    <w:rsid w:val="0033773C"/>
    <w:rsid w:val="00341465"/>
    <w:rsid w:val="00346A79"/>
    <w:rsid w:val="00347691"/>
    <w:rsid w:val="003508DC"/>
    <w:rsid w:val="00353D2E"/>
    <w:rsid w:val="00353D5C"/>
    <w:rsid w:val="00360812"/>
    <w:rsid w:val="00361951"/>
    <w:rsid w:val="00364A68"/>
    <w:rsid w:val="00365053"/>
    <w:rsid w:val="003650B0"/>
    <w:rsid w:val="00366A9E"/>
    <w:rsid w:val="003672F3"/>
    <w:rsid w:val="0037590B"/>
    <w:rsid w:val="00386646"/>
    <w:rsid w:val="00390A9E"/>
    <w:rsid w:val="00392F06"/>
    <w:rsid w:val="00393F8D"/>
    <w:rsid w:val="00395E44"/>
    <w:rsid w:val="003973AF"/>
    <w:rsid w:val="003A0515"/>
    <w:rsid w:val="003A079C"/>
    <w:rsid w:val="003A42BE"/>
    <w:rsid w:val="003A7C8C"/>
    <w:rsid w:val="003B6FE8"/>
    <w:rsid w:val="003B71EE"/>
    <w:rsid w:val="003B78F2"/>
    <w:rsid w:val="003C192C"/>
    <w:rsid w:val="003C1D30"/>
    <w:rsid w:val="003C482A"/>
    <w:rsid w:val="003C5176"/>
    <w:rsid w:val="003C71E6"/>
    <w:rsid w:val="003D225A"/>
    <w:rsid w:val="003E1B07"/>
    <w:rsid w:val="003E3DB5"/>
    <w:rsid w:val="003E68B5"/>
    <w:rsid w:val="003E6E25"/>
    <w:rsid w:val="003F1124"/>
    <w:rsid w:val="003F2C90"/>
    <w:rsid w:val="003F51C6"/>
    <w:rsid w:val="00401D2C"/>
    <w:rsid w:val="004026D9"/>
    <w:rsid w:val="00403C1F"/>
    <w:rsid w:val="00405DB0"/>
    <w:rsid w:val="00410735"/>
    <w:rsid w:val="00411387"/>
    <w:rsid w:val="004133A8"/>
    <w:rsid w:val="00416E01"/>
    <w:rsid w:val="00421AAE"/>
    <w:rsid w:val="00423539"/>
    <w:rsid w:val="00423CE6"/>
    <w:rsid w:val="00424F7A"/>
    <w:rsid w:val="00426E87"/>
    <w:rsid w:val="004306BF"/>
    <w:rsid w:val="00430EA5"/>
    <w:rsid w:val="00432371"/>
    <w:rsid w:val="0043740E"/>
    <w:rsid w:val="0044225F"/>
    <w:rsid w:val="00446377"/>
    <w:rsid w:val="004575D7"/>
    <w:rsid w:val="00465619"/>
    <w:rsid w:val="00466DCE"/>
    <w:rsid w:val="00466E30"/>
    <w:rsid w:val="00467BE3"/>
    <w:rsid w:val="00471590"/>
    <w:rsid w:val="00471857"/>
    <w:rsid w:val="004725F0"/>
    <w:rsid w:val="004752AC"/>
    <w:rsid w:val="004755B9"/>
    <w:rsid w:val="00477F47"/>
    <w:rsid w:val="00480C33"/>
    <w:rsid w:val="00482326"/>
    <w:rsid w:val="004824E1"/>
    <w:rsid w:val="00484731"/>
    <w:rsid w:val="0048543B"/>
    <w:rsid w:val="004872C3"/>
    <w:rsid w:val="00490A05"/>
    <w:rsid w:val="00492DF6"/>
    <w:rsid w:val="00496B22"/>
    <w:rsid w:val="004A1C85"/>
    <w:rsid w:val="004A1D99"/>
    <w:rsid w:val="004A4D58"/>
    <w:rsid w:val="004A519F"/>
    <w:rsid w:val="004A6DD6"/>
    <w:rsid w:val="004B5AFE"/>
    <w:rsid w:val="004C234F"/>
    <w:rsid w:val="004C7B2F"/>
    <w:rsid w:val="004D08DC"/>
    <w:rsid w:val="004E1EF1"/>
    <w:rsid w:val="004E2508"/>
    <w:rsid w:val="004E43C3"/>
    <w:rsid w:val="004E720B"/>
    <w:rsid w:val="004E7B72"/>
    <w:rsid w:val="004E7D13"/>
    <w:rsid w:val="004F0147"/>
    <w:rsid w:val="004F173F"/>
    <w:rsid w:val="004F1B55"/>
    <w:rsid w:val="004F3A18"/>
    <w:rsid w:val="004F5F0A"/>
    <w:rsid w:val="00500B07"/>
    <w:rsid w:val="00501B44"/>
    <w:rsid w:val="005047E3"/>
    <w:rsid w:val="00504EDC"/>
    <w:rsid w:val="00507AB4"/>
    <w:rsid w:val="00510AAB"/>
    <w:rsid w:val="00511CF6"/>
    <w:rsid w:val="005148A1"/>
    <w:rsid w:val="00517CA6"/>
    <w:rsid w:val="00517D3C"/>
    <w:rsid w:val="00523B61"/>
    <w:rsid w:val="005260A5"/>
    <w:rsid w:val="00530997"/>
    <w:rsid w:val="00533CFF"/>
    <w:rsid w:val="0053421C"/>
    <w:rsid w:val="00542649"/>
    <w:rsid w:val="005462E2"/>
    <w:rsid w:val="00550176"/>
    <w:rsid w:val="00550CD3"/>
    <w:rsid w:val="005554FF"/>
    <w:rsid w:val="0055570E"/>
    <w:rsid w:val="00556376"/>
    <w:rsid w:val="00560207"/>
    <w:rsid w:val="005664F4"/>
    <w:rsid w:val="00567BC5"/>
    <w:rsid w:val="00571292"/>
    <w:rsid w:val="005724A4"/>
    <w:rsid w:val="00573237"/>
    <w:rsid w:val="00573EF6"/>
    <w:rsid w:val="00575038"/>
    <w:rsid w:val="00575615"/>
    <w:rsid w:val="00576643"/>
    <w:rsid w:val="005767DF"/>
    <w:rsid w:val="00584215"/>
    <w:rsid w:val="00584638"/>
    <w:rsid w:val="0058620A"/>
    <w:rsid w:val="00586EE8"/>
    <w:rsid w:val="00593BD6"/>
    <w:rsid w:val="005943D9"/>
    <w:rsid w:val="005943DB"/>
    <w:rsid w:val="00595EF8"/>
    <w:rsid w:val="005A289A"/>
    <w:rsid w:val="005A2D3A"/>
    <w:rsid w:val="005A3C29"/>
    <w:rsid w:val="005A5A9B"/>
    <w:rsid w:val="005B0681"/>
    <w:rsid w:val="005B0F97"/>
    <w:rsid w:val="005B2073"/>
    <w:rsid w:val="005B2612"/>
    <w:rsid w:val="005B3EFA"/>
    <w:rsid w:val="005B616E"/>
    <w:rsid w:val="005C088B"/>
    <w:rsid w:val="005C2FB9"/>
    <w:rsid w:val="005C3B30"/>
    <w:rsid w:val="005C5794"/>
    <w:rsid w:val="005C7577"/>
    <w:rsid w:val="005D0DFF"/>
    <w:rsid w:val="005D230F"/>
    <w:rsid w:val="005D2D7C"/>
    <w:rsid w:val="005D4BD9"/>
    <w:rsid w:val="005D7C39"/>
    <w:rsid w:val="005E0FEE"/>
    <w:rsid w:val="005E280B"/>
    <w:rsid w:val="005E3448"/>
    <w:rsid w:val="005E3E7D"/>
    <w:rsid w:val="005E5A78"/>
    <w:rsid w:val="005F194F"/>
    <w:rsid w:val="00610E6A"/>
    <w:rsid w:val="0061313D"/>
    <w:rsid w:val="00615E4F"/>
    <w:rsid w:val="006174A4"/>
    <w:rsid w:val="00617A5C"/>
    <w:rsid w:val="00626ED9"/>
    <w:rsid w:val="00630840"/>
    <w:rsid w:val="00630B8C"/>
    <w:rsid w:val="006406AE"/>
    <w:rsid w:val="006422D2"/>
    <w:rsid w:val="00647828"/>
    <w:rsid w:val="006519AD"/>
    <w:rsid w:val="006641CB"/>
    <w:rsid w:val="006651CC"/>
    <w:rsid w:val="006661B9"/>
    <w:rsid w:val="00666CF7"/>
    <w:rsid w:val="00673B47"/>
    <w:rsid w:val="00675836"/>
    <w:rsid w:val="00681237"/>
    <w:rsid w:val="0068461F"/>
    <w:rsid w:val="0068609E"/>
    <w:rsid w:val="00686AC7"/>
    <w:rsid w:val="0068728F"/>
    <w:rsid w:val="00687AD2"/>
    <w:rsid w:val="006922C1"/>
    <w:rsid w:val="00693D46"/>
    <w:rsid w:val="00695218"/>
    <w:rsid w:val="006A57D2"/>
    <w:rsid w:val="006A5FDA"/>
    <w:rsid w:val="006B4A5C"/>
    <w:rsid w:val="006C2A8D"/>
    <w:rsid w:val="006C37A5"/>
    <w:rsid w:val="006C5A6D"/>
    <w:rsid w:val="006C740C"/>
    <w:rsid w:val="006D1853"/>
    <w:rsid w:val="006D5D1F"/>
    <w:rsid w:val="006D6554"/>
    <w:rsid w:val="006E4673"/>
    <w:rsid w:val="006E79D4"/>
    <w:rsid w:val="00700E40"/>
    <w:rsid w:val="007058F1"/>
    <w:rsid w:val="00710CB0"/>
    <w:rsid w:val="00713D8D"/>
    <w:rsid w:val="00717433"/>
    <w:rsid w:val="0072640F"/>
    <w:rsid w:val="00730917"/>
    <w:rsid w:val="00734D88"/>
    <w:rsid w:val="0074127A"/>
    <w:rsid w:val="00741B1A"/>
    <w:rsid w:val="00743F32"/>
    <w:rsid w:val="007442AD"/>
    <w:rsid w:val="007443DA"/>
    <w:rsid w:val="00746019"/>
    <w:rsid w:val="00751D41"/>
    <w:rsid w:val="00761473"/>
    <w:rsid w:val="0076677D"/>
    <w:rsid w:val="00771C88"/>
    <w:rsid w:val="0077729B"/>
    <w:rsid w:val="00780417"/>
    <w:rsid w:val="00781CE6"/>
    <w:rsid w:val="00784209"/>
    <w:rsid w:val="007847C6"/>
    <w:rsid w:val="007859DE"/>
    <w:rsid w:val="00786C26"/>
    <w:rsid w:val="007872FA"/>
    <w:rsid w:val="00792002"/>
    <w:rsid w:val="00793033"/>
    <w:rsid w:val="007A7CF2"/>
    <w:rsid w:val="007B2C91"/>
    <w:rsid w:val="007B351E"/>
    <w:rsid w:val="007C0436"/>
    <w:rsid w:val="007C3005"/>
    <w:rsid w:val="007C5B81"/>
    <w:rsid w:val="007C5EE7"/>
    <w:rsid w:val="007D0D60"/>
    <w:rsid w:val="007D4E94"/>
    <w:rsid w:val="007D61BF"/>
    <w:rsid w:val="007E2DF2"/>
    <w:rsid w:val="007E6B87"/>
    <w:rsid w:val="007F163D"/>
    <w:rsid w:val="007F1B3E"/>
    <w:rsid w:val="007F2C81"/>
    <w:rsid w:val="007F3462"/>
    <w:rsid w:val="007F5999"/>
    <w:rsid w:val="007F5CE8"/>
    <w:rsid w:val="007F713C"/>
    <w:rsid w:val="008172C3"/>
    <w:rsid w:val="00817CC4"/>
    <w:rsid w:val="00817FF7"/>
    <w:rsid w:val="0082750B"/>
    <w:rsid w:val="00827E8F"/>
    <w:rsid w:val="00831F9D"/>
    <w:rsid w:val="008321CF"/>
    <w:rsid w:val="00836DDE"/>
    <w:rsid w:val="00840CDB"/>
    <w:rsid w:val="00840D5B"/>
    <w:rsid w:val="00841608"/>
    <w:rsid w:val="00841777"/>
    <w:rsid w:val="00841DBC"/>
    <w:rsid w:val="0084295E"/>
    <w:rsid w:val="00842F97"/>
    <w:rsid w:val="00843F65"/>
    <w:rsid w:val="008475E2"/>
    <w:rsid w:val="00847A2B"/>
    <w:rsid w:val="0085150D"/>
    <w:rsid w:val="00863622"/>
    <w:rsid w:val="00872A12"/>
    <w:rsid w:val="0088611B"/>
    <w:rsid w:val="00887945"/>
    <w:rsid w:val="008962CB"/>
    <w:rsid w:val="008975A7"/>
    <w:rsid w:val="008A0660"/>
    <w:rsid w:val="008A5832"/>
    <w:rsid w:val="008A6D77"/>
    <w:rsid w:val="008B4E6D"/>
    <w:rsid w:val="008B5F65"/>
    <w:rsid w:val="008C0B35"/>
    <w:rsid w:val="008C4F5E"/>
    <w:rsid w:val="008C66A8"/>
    <w:rsid w:val="008C7237"/>
    <w:rsid w:val="008D15ED"/>
    <w:rsid w:val="008D31C5"/>
    <w:rsid w:val="008D483B"/>
    <w:rsid w:val="008D5CFC"/>
    <w:rsid w:val="008D6BC4"/>
    <w:rsid w:val="008E162F"/>
    <w:rsid w:val="008E1B06"/>
    <w:rsid w:val="008E3A33"/>
    <w:rsid w:val="008E5E94"/>
    <w:rsid w:val="008E6041"/>
    <w:rsid w:val="008E7B0D"/>
    <w:rsid w:val="008E7DA3"/>
    <w:rsid w:val="008F1D84"/>
    <w:rsid w:val="008F460D"/>
    <w:rsid w:val="008F7C19"/>
    <w:rsid w:val="00902005"/>
    <w:rsid w:val="00906060"/>
    <w:rsid w:val="00911B06"/>
    <w:rsid w:val="00916378"/>
    <w:rsid w:val="00920AE2"/>
    <w:rsid w:val="009218B0"/>
    <w:rsid w:val="0092507D"/>
    <w:rsid w:val="00926401"/>
    <w:rsid w:val="0092794E"/>
    <w:rsid w:val="00935238"/>
    <w:rsid w:val="009465A5"/>
    <w:rsid w:val="00953F28"/>
    <w:rsid w:val="00960238"/>
    <w:rsid w:val="009632DF"/>
    <w:rsid w:val="00965C93"/>
    <w:rsid w:val="00967FCA"/>
    <w:rsid w:val="0097021D"/>
    <w:rsid w:val="009725AF"/>
    <w:rsid w:val="0097625F"/>
    <w:rsid w:val="009841B7"/>
    <w:rsid w:val="00984292"/>
    <w:rsid w:val="00985B2A"/>
    <w:rsid w:val="009860F7"/>
    <w:rsid w:val="00986925"/>
    <w:rsid w:val="00990782"/>
    <w:rsid w:val="00990FCB"/>
    <w:rsid w:val="009916C6"/>
    <w:rsid w:val="00997AA6"/>
    <w:rsid w:val="009A5795"/>
    <w:rsid w:val="009B48F2"/>
    <w:rsid w:val="009B4DBF"/>
    <w:rsid w:val="009B6E56"/>
    <w:rsid w:val="009B7057"/>
    <w:rsid w:val="009C1997"/>
    <w:rsid w:val="009C2A4D"/>
    <w:rsid w:val="009C3843"/>
    <w:rsid w:val="009C6A0A"/>
    <w:rsid w:val="009C7E39"/>
    <w:rsid w:val="009D3965"/>
    <w:rsid w:val="009D5A3A"/>
    <w:rsid w:val="009E1E71"/>
    <w:rsid w:val="00A10D5F"/>
    <w:rsid w:val="00A11611"/>
    <w:rsid w:val="00A129C2"/>
    <w:rsid w:val="00A13564"/>
    <w:rsid w:val="00A13E92"/>
    <w:rsid w:val="00A13F29"/>
    <w:rsid w:val="00A240E5"/>
    <w:rsid w:val="00A2685D"/>
    <w:rsid w:val="00A275E8"/>
    <w:rsid w:val="00A3734F"/>
    <w:rsid w:val="00A40471"/>
    <w:rsid w:val="00A406AA"/>
    <w:rsid w:val="00A446B0"/>
    <w:rsid w:val="00A44F6C"/>
    <w:rsid w:val="00A47980"/>
    <w:rsid w:val="00A522C1"/>
    <w:rsid w:val="00A5354E"/>
    <w:rsid w:val="00A53945"/>
    <w:rsid w:val="00A551FD"/>
    <w:rsid w:val="00A55EA2"/>
    <w:rsid w:val="00A56C1F"/>
    <w:rsid w:val="00A66453"/>
    <w:rsid w:val="00A75226"/>
    <w:rsid w:val="00A7536E"/>
    <w:rsid w:val="00A758C5"/>
    <w:rsid w:val="00A817C5"/>
    <w:rsid w:val="00A84AD7"/>
    <w:rsid w:val="00A85B71"/>
    <w:rsid w:val="00A90AF1"/>
    <w:rsid w:val="00A91256"/>
    <w:rsid w:val="00A91974"/>
    <w:rsid w:val="00A940B2"/>
    <w:rsid w:val="00A943D5"/>
    <w:rsid w:val="00A97643"/>
    <w:rsid w:val="00AA6AB4"/>
    <w:rsid w:val="00AA7890"/>
    <w:rsid w:val="00AB0644"/>
    <w:rsid w:val="00AB1AAF"/>
    <w:rsid w:val="00AB3C82"/>
    <w:rsid w:val="00AB4E96"/>
    <w:rsid w:val="00AB5748"/>
    <w:rsid w:val="00AC14AD"/>
    <w:rsid w:val="00AC5950"/>
    <w:rsid w:val="00AC6C16"/>
    <w:rsid w:val="00AD06A6"/>
    <w:rsid w:val="00AD2811"/>
    <w:rsid w:val="00AD2C1D"/>
    <w:rsid w:val="00AD5E05"/>
    <w:rsid w:val="00AD7AD5"/>
    <w:rsid w:val="00AE177E"/>
    <w:rsid w:val="00AE192E"/>
    <w:rsid w:val="00AE2D0F"/>
    <w:rsid w:val="00AE5576"/>
    <w:rsid w:val="00AF5876"/>
    <w:rsid w:val="00B049B4"/>
    <w:rsid w:val="00B04E61"/>
    <w:rsid w:val="00B07BE9"/>
    <w:rsid w:val="00B10166"/>
    <w:rsid w:val="00B12492"/>
    <w:rsid w:val="00B12DAA"/>
    <w:rsid w:val="00B1370B"/>
    <w:rsid w:val="00B138F9"/>
    <w:rsid w:val="00B16D72"/>
    <w:rsid w:val="00B2753F"/>
    <w:rsid w:val="00B364CF"/>
    <w:rsid w:val="00B44F29"/>
    <w:rsid w:val="00B451A8"/>
    <w:rsid w:val="00B57166"/>
    <w:rsid w:val="00B6428A"/>
    <w:rsid w:val="00B7546B"/>
    <w:rsid w:val="00B804A3"/>
    <w:rsid w:val="00B81212"/>
    <w:rsid w:val="00B92194"/>
    <w:rsid w:val="00B964FA"/>
    <w:rsid w:val="00B97AAB"/>
    <w:rsid w:val="00BA277A"/>
    <w:rsid w:val="00BA7D9C"/>
    <w:rsid w:val="00BB0AEA"/>
    <w:rsid w:val="00BB1674"/>
    <w:rsid w:val="00BB2336"/>
    <w:rsid w:val="00BB7259"/>
    <w:rsid w:val="00BB7338"/>
    <w:rsid w:val="00BC1D8F"/>
    <w:rsid w:val="00BC4189"/>
    <w:rsid w:val="00BD1108"/>
    <w:rsid w:val="00BD2D87"/>
    <w:rsid w:val="00BD5484"/>
    <w:rsid w:val="00BE377F"/>
    <w:rsid w:val="00BE67AE"/>
    <w:rsid w:val="00BE7DE7"/>
    <w:rsid w:val="00BF14CA"/>
    <w:rsid w:val="00BF19E8"/>
    <w:rsid w:val="00BF23DF"/>
    <w:rsid w:val="00BF26A4"/>
    <w:rsid w:val="00BF4765"/>
    <w:rsid w:val="00C00D21"/>
    <w:rsid w:val="00C03A16"/>
    <w:rsid w:val="00C10F42"/>
    <w:rsid w:val="00C112CE"/>
    <w:rsid w:val="00C12AA6"/>
    <w:rsid w:val="00C158CE"/>
    <w:rsid w:val="00C24C79"/>
    <w:rsid w:val="00C33D54"/>
    <w:rsid w:val="00C37732"/>
    <w:rsid w:val="00C4367D"/>
    <w:rsid w:val="00C43689"/>
    <w:rsid w:val="00C44624"/>
    <w:rsid w:val="00C4483B"/>
    <w:rsid w:val="00C4591D"/>
    <w:rsid w:val="00C45BA7"/>
    <w:rsid w:val="00C46450"/>
    <w:rsid w:val="00C510EA"/>
    <w:rsid w:val="00C513EF"/>
    <w:rsid w:val="00C54677"/>
    <w:rsid w:val="00C54BCC"/>
    <w:rsid w:val="00C613C1"/>
    <w:rsid w:val="00C64AD5"/>
    <w:rsid w:val="00C64CEC"/>
    <w:rsid w:val="00C659A9"/>
    <w:rsid w:val="00C663C3"/>
    <w:rsid w:val="00C728E5"/>
    <w:rsid w:val="00C75BCD"/>
    <w:rsid w:val="00C82549"/>
    <w:rsid w:val="00C867FA"/>
    <w:rsid w:val="00C87801"/>
    <w:rsid w:val="00C91343"/>
    <w:rsid w:val="00C91E4A"/>
    <w:rsid w:val="00C953D9"/>
    <w:rsid w:val="00C958BD"/>
    <w:rsid w:val="00C9730B"/>
    <w:rsid w:val="00CB2841"/>
    <w:rsid w:val="00CB4973"/>
    <w:rsid w:val="00CB7301"/>
    <w:rsid w:val="00CB770F"/>
    <w:rsid w:val="00CC7B7E"/>
    <w:rsid w:val="00CD5720"/>
    <w:rsid w:val="00CE145C"/>
    <w:rsid w:val="00CE362D"/>
    <w:rsid w:val="00CE4930"/>
    <w:rsid w:val="00CE5B5E"/>
    <w:rsid w:val="00CE5BDB"/>
    <w:rsid w:val="00CE7218"/>
    <w:rsid w:val="00CF1EBF"/>
    <w:rsid w:val="00CF5ABB"/>
    <w:rsid w:val="00CF76E7"/>
    <w:rsid w:val="00CF7ECB"/>
    <w:rsid w:val="00D044A5"/>
    <w:rsid w:val="00D06A5C"/>
    <w:rsid w:val="00D11C0D"/>
    <w:rsid w:val="00D14E94"/>
    <w:rsid w:val="00D16748"/>
    <w:rsid w:val="00D16E04"/>
    <w:rsid w:val="00D1798C"/>
    <w:rsid w:val="00D20CEF"/>
    <w:rsid w:val="00D2226F"/>
    <w:rsid w:val="00D22A2A"/>
    <w:rsid w:val="00D235AE"/>
    <w:rsid w:val="00D27E19"/>
    <w:rsid w:val="00D435B4"/>
    <w:rsid w:val="00D523B0"/>
    <w:rsid w:val="00D525C2"/>
    <w:rsid w:val="00D57A0A"/>
    <w:rsid w:val="00D627A4"/>
    <w:rsid w:val="00D64D17"/>
    <w:rsid w:val="00D6773E"/>
    <w:rsid w:val="00D74A2F"/>
    <w:rsid w:val="00D74E7D"/>
    <w:rsid w:val="00D75AF0"/>
    <w:rsid w:val="00D776CB"/>
    <w:rsid w:val="00D81B6E"/>
    <w:rsid w:val="00D85751"/>
    <w:rsid w:val="00D875A6"/>
    <w:rsid w:val="00D90A92"/>
    <w:rsid w:val="00D92F74"/>
    <w:rsid w:val="00D93E7D"/>
    <w:rsid w:val="00D93FCB"/>
    <w:rsid w:val="00DA2979"/>
    <w:rsid w:val="00DA55FA"/>
    <w:rsid w:val="00DB183C"/>
    <w:rsid w:val="00DB1C14"/>
    <w:rsid w:val="00DB271B"/>
    <w:rsid w:val="00DB75CC"/>
    <w:rsid w:val="00DC20AD"/>
    <w:rsid w:val="00DC3679"/>
    <w:rsid w:val="00DC4D79"/>
    <w:rsid w:val="00DC6791"/>
    <w:rsid w:val="00DC7758"/>
    <w:rsid w:val="00DD0F50"/>
    <w:rsid w:val="00DD153D"/>
    <w:rsid w:val="00DD69CB"/>
    <w:rsid w:val="00DE5856"/>
    <w:rsid w:val="00DE618B"/>
    <w:rsid w:val="00DE6BE8"/>
    <w:rsid w:val="00DE7970"/>
    <w:rsid w:val="00DF18C7"/>
    <w:rsid w:val="00DF7D82"/>
    <w:rsid w:val="00E00E5B"/>
    <w:rsid w:val="00E010A1"/>
    <w:rsid w:val="00E04360"/>
    <w:rsid w:val="00E07C46"/>
    <w:rsid w:val="00E156F7"/>
    <w:rsid w:val="00E1638A"/>
    <w:rsid w:val="00E1721E"/>
    <w:rsid w:val="00E17BD2"/>
    <w:rsid w:val="00E17C6B"/>
    <w:rsid w:val="00E17CCD"/>
    <w:rsid w:val="00E17E94"/>
    <w:rsid w:val="00E22E6C"/>
    <w:rsid w:val="00E32067"/>
    <w:rsid w:val="00E32218"/>
    <w:rsid w:val="00E33A7E"/>
    <w:rsid w:val="00E3513A"/>
    <w:rsid w:val="00E3730D"/>
    <w:rsid w:val="00E40840"/>
    <w:rsid w:val="00E42563"/>
    <w:rsid w:val="00E44259"/>
    <w:rsid w:val="00E45776"/>
    <w:rsid w:val="00E45A18"/>
    <w:rsid w:val="00E45B86"/>
    <w:rsid w:val="00E52991"/>
    <w:rsid w:val="00E618D8"/>
    <w:rsid w:val="00E6312C"/>
    <w:rsid w:val="00E6386A"/>
    <w:rsid w:val="00E64201"/>
    <w:rsid w:val="00E66D04"/>
    <w:rsid w:val="00E67396"/>
    <w:rsid w:val="00E71202"/>
    <w:rsid w:val="00E71FC4"/>
    <w:rsid w:val="00E71FD1"/>
    <w:rsid w:val="00E73821"/>
    <w:rsid w:val="00E74049"/>
    <w:rsid w:val="00E75E32"/>
    <w:rsid w:val="00E76253"/>
    <w:rsid w:val="00E76908"/>
    <w:rsid w:val="00E775B1"/>
    <w:rsid w:val="00E912CE"/>
    <w:rsid w:val="00E9196B"/>
    <w:rsid w:val="00E92B3A"/>
    <w:rsid w:val="00E92F5E"/>
    <w:rsid w:val="00E94277"/>
    <w:rsid w:val="00EB3587"/>
    <w:rsid w:val="00EB3ABE"/>
    <w:rsid w:val="00EC2CE7"/>
    <w:rsid w:val="00EC5F32"/>
    <w:rsid w:val="00EC5F46"/>
    <w:rsid w:val="00EC6D0E"/>
    <w:rsid w:val="00ED6009"/>
    <w:rsid w:val="00ED66C8"/>
    <w:rsid w:val="00EE047E"/>
    <w:rsid w:val="00EE45DE"/>
    <w:rsid w:val="00EE5B6E"/>
    <w:rsid w:val="00EF0501"/>
    <w:rsid w:val="00F02B8E"/>
    <w:rsid w:val="00F02C05"/>
    <w:rsid w:val="00F02EE1"/>
    <w:rsid w:val="00F06308"/>
    <w:rsid w:val="00F0792A"/>
    <w:rsid w:val="00F156C0"/>
    <w:rsid w:val="00F20743"/>
    <w:rsid w:val="00F21C22"/>
    <w:rsid w:val="00F22327"/>
    <w:rsid w:val="00F259F4"/>
    <w:rsid w:val="00F349D2"/>
    <w:rsid w:val="00F353B5"/>
    <w:rsid w:val="00F35F55"/>
    <w:rsid w:val="00F36F6C"/>
    <w:rsid w:val="00F429D3"/>
    <w:rsid w:val="00F43355"/>
    <w:rsid w:val="00F439D9"/>
    <w:rsid w:val="00F4471B"/>
    <w:rsid w:val="00F46538"/>
    <w:rsid w:val="00F52F68"/>
    <w:rsid w:val="00F5754C"/>
    <w:rsid w:val="00F57665"/>
    <w:rsid w:val="00F57BDE"/>
    <w:rsid w:val="00F7290D"/>
    <w:rsid w:val="00F73169"/>
    <w:rsid w:val="00F76782"/>
    <w:rsid w:val="00F81D52"/>
    <w:rsid w:val="00F85512"/>
    <w:rsid w:val="00F87926"/>
    <w:rsid w:val="00F926CB"/>
    <w:rsid w:val="00F950AE"/>
    <w:rsid w:val="00F9550E"/>
    <w:rsid w:val="00F9620B"/>
    <w:rsid w:val="00FA26D7"/>
    <w:rsid w:val="00FA5FED"/>
    <w:rsid w:val="00FA7A96"/>
    <w:rsid w:val="00FA7FDA"/>
    <w:rsid w:val="00FB15B1"/>
    <w:rsid w:val="00FB2D95"/>
    <w:rsid w:val="00FB3E50"/>
    <w:rsid w:val="00FB6026"/>
    <w:rsid w:val="00FB64CE"/>
    <w:rsid w:val="00FC1529"/>
    <w:rsid w:val="00FC183C"/>
    <w:rsid w:val="00FC3D67"/>
    <w:rsid w:val="00FC5494"/>
    <w:rsid w:val="00FC5E58"/>
    <w:rsid w:val="00FC760B"/>
    <w:rsid w:val="00FD0D54"/>
    <w:rsid w:val="00FD29A2"/>
    <w:rsid w:val="00FD3968"/>
    <w:rsid w:val="00FD46D7"/>
    <w:rsid w:val="00FE390B"/>
    <w:rsid w:val="00FE3E05"/>
    <w:rsid w:val="00FE535A"/>
    <w:rsid w:val="00FF23EC"/>
    <w:rsid w:val="00FF646C"/>
    <w:rsid w:val="00FF6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3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0B"/>
    <w:pPr>
      <w:spacing w:line="360" w:lineRule="auto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rsid w:val="000870A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08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1370B"/>
    <w:pPr>
      <w:ind w:left="720"/>
      <w:contextualSpacing/>
    </w:pPr>
  </w:style>
  <w:style w:type="table" w:customStyle="1" w:styleId="ListTable3-Accent111">
    <w:name w:val="List Table 3 - Accent 111"/>
    <w:basedOn w:val="TableNormal"/>
    <w:uiPriority w:val="48"/>
    <w:rsid w:val="002C1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5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39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2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97"/>
  </w:style>
  <w:style w:type="paragraph" w:styleId="Footer">
    <w:name w:val="footer"/>
    <w:basedOn w:val="Normal"/>
    <w:link w:val="FooterChar"/>
    <w:uiPriority w:val="99"/>
    <w:unhideWhenUsed/>
    <w:rsid w:val="00842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97"/>
  </w:style>
  <w:style w:type="character" w:customStyle="1" w:styleId="Heading3Char">
    <w:name w:val="Heading 3 Char"/>
    <w:basedOn w:val="DefaultParagraphFont"/>
    <w:link w:val="Heading3"/>
    <w:uiPriority w:val="9"/>
    <w:rsid w:val="001502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41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12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2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igureTableheading">
    <w:name w:val="Figure/Table heading"/>
    <w:basedOn w:val="Normal"/>
    <w:qFormat/>
    <w:rsid w:val="000E4537"/>
    <w:pPr>
      <w:spacing w:line="240" w:lineRule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0B"/>
    <w:pPr>
      <w:spacing w:line="360" w:lineRule="auto"/>
    </w:pPr>
    <w:rPr>
      <w:rFonts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1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0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-Accent11">
    <w:name w:val="List Table 3 - Accent 11"/>
    <w:basedOn w:val="TableNormal"/>
    <w:uiPriority w:val="48"/>
    <w:rsid w:val="000870A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Grid">
    <w:name w:val="Table Grid"/>
    <w:basedOn w:val="TableNormal"/>
    <w:uiPriority w:val="59"/>
    <w:rsid w:val="0008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1370B"/>
    <w:pPr>
      <w:ind w:left="720"/>
      <w:contextualSpacing/>
    </w:pPr>
  </w:style>
  <w:style w:type="table" w:customStyle="1" w:styleId="ListTable3-Accent111">
    <w:name w:val="List Table 3 - Accent 111"/>
    <w:basedOn w:val="TableNormal"/>
    <w:uiPriority w:val="48"/>
    <w:rsid w:val="002C123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A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1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A5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7D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E39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2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F97"/>
  </w:style>
  <w:style w:type="paragraph" w:styleId="Footer">
    <w:name w:val="footer"/>
    <w:basedOn w:val="Normal"/>
    <w:link w:val="FooterChar"/>
    <w:uiPriority w:val="99"/>
    <w:unhideWhenUsed/>
    <w:rsid w:val="00842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F97"/>
  </w:style>
  <w:style w:type="character" w:customStyle="1" w:styleId="Heading3Char">
    <w:name w:val="Heading 3 Char"/>
    <w:basedOn w:val="DefaultParagraphFont"/>
    <w:link w:val="Heading3"/>
    <w:uiPriority w:val="9"/>
    <w:rsid w:val="0015022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412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412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12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igureTableheading">
    <w:name w:val="Figure/Table heading"/>
    <w:basedOn w:val="Normal"/>
    <w:qFormat/>
    <w:rsid w:val="000E4537"/>
    <w:pPr>
      <w:spacing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706D6-8C94-438E-AA1C-65769C3D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4633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Balinskaite, Violeta;Paul Aylin</dc:creator>
  <cp:lastModifiedBy>Balinskaite, Violeta</cp:lastModifiedBy>
  <cp:revision>3</cp:revision>
  <cp:lastPrinted>2016-01-20T09:18:00Z</cp:lastPrinted>
  <dcterms:created xsi:type="dcterms:W3CDTF">2016-01-28T16:10:00Z</dcterms:created>
  <dcterms:modified xsi:type="dcterms:W3CDTF">2016-06-24T12:58:00Z</dcterms:modified>
</cp:coreProperties>
</file>