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E70CA" w14:textId="79FF6E0F" w:rsidR="00045147" w:rsidRDefault="00044D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Supplemental data - </w:t>
      </w:r>
      <w:r w:rsidR="00374CB0" w:rsidRPr="00374CB0">
        <w:rPr>
          <w:rFonts w:ascii="Arial" w:hAnsi="Arial" w:cs="Arial"/>
          <w:b/>
          <w:sz w:val="22"/>
          <w:szCs w:val="22"/>
        </w:rPr>
        <w:t xml:space="preserve">Health Economic analysis </w:t>
      </w:r>
    </w:p>
    <w:p w14:paraId="2C53C4A7" w14:textId="24AC15C8" w:rsidR="00374CB0" w:rsidRDefault="00374CB0">
      <w:pPr>
        <w:rPr>
          <w:rFonts w:ascii="Arial" w:hAnsi="Arial" w:cs="Arial"/>
          <w:b/>
          <w:sz w:val="22"/>
          <w:szCs w:val="22"/>
        </w:rPr>
      </w:pPr>
    </w:p>
    <w:p w14:paraId="78CC6EB2" w14:textId="7B40604E" w:rsidR="00374CB0" w:rsidRPr="00044D6D" w:rsidRDefault="00044D6D">
      <w:pPr>
        <w:rPr>
          <w:rFonts w:ascii="Arial" w:hAnsi="Arial" w:cs="Arial"/>
          <w:b/>
          <w:sz w:val="22"/>
          <w:szCs w:val="22"/>
        </w:rPr>
      </w:pPr>
      <w:r w:rsidRPr="00044D6D">
        <w:rPr>
          <w:rFonts w:ascii="Arial" w:hAnsi="Arial" w:cs="Arial"/>
          <w:b/>
          <w:sz w:val="22"/>
          <w:szCs w:val="22"/>
        </w:rPr>
        <w:t>Unit Cost data</w:t>
      </w:r>
    </w:p>
    <w:p w14:paraId="6FBB9D20" w14:textId="0B87BA28" w:rsidR="00044D6D" w:rsidRDefault="00044D6D">
      <w:pPr>
        <w:rPr>
          <w:rFonts w:ascii="Arial" w:hAnsi="Arial" w:cs="Arial"/>
          <w:sz w:val="22"/>
          <w:szCs w:val="22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830"/>
        <w:gridCol w:w="6936"/>
      </w:tblGrid>
      <w:tr w:rsidR="00044D6D" w:rsidRPr="00E40E50" w14:paraId="69597517" w14:textId="77777777" w:rsidTr="00FF1F12">
        <w:tc>
          <w:tcPr>
            <w:tcW w:w="1406" w:type="dxa"/>
          </w:tcPr>
          <w:p w14:paraId="18BCA693" w14:textId="77777777" w:rsidR="00044D6D" w:rsidRPr="00E40E50" w:rsidRDefault="00044D6D" w:rsidP="00FF1F1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0E50">
              <w:rPr>
                <w:rFonts w:ascii="Arial" w:hAnsi="Arial" w:cs="Arial"/>
                <w:b/>
                <w:sz w:val="20"/>
                <w:szCs w:val="20"/>
              </w:rPr>
              <w:t>Resource Item</w:t>
            </w:r>
          </w:p>
        </w:tc>
        <w:tc>
          <w:tcPr>
            <w:tcW w:w="830" w:type="dxa"/>
          </w:tcPr>
          <w:p w14:paraId="184F1BB0" w14:textId="77777777" w:rsidR="00044D6D" w:rsidRPr="00E40E50" w:rsidRDefault="00044D6D" w:rsidP="00FF1F1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0E50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  <w:tc>
          <w:tcPr>
            <w:tcW w:w="6936" w:type="dxa"/>
          </w:tcPr>
          <w:p w14:paraId="2DE5F0F3" w14:textId="77777777" w:rsidR="00044D6D" w:rsidRPr="00E40E50" w:rsidRDefault="00044D6D" w:rsidP="00FF1F1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0E50">
              <w:rPr>
                <w:rFonts w:ascii="Arial" w:hAnsi="Arial" w:cs="Arial"/>
                <w:b/>
                <w:sz w:val="20"/>
                <w:szCs w:val="20"/>
              </w:rPr>
              <w:t>Source</w:t>
            </w:r>
          </w:p>
        </w:tc>
      </w:tr>
      <w:tr w:rsidR="00044D6D" w:rsidRPr="00E40E50" w14:paraId="58FF1CFC" w14:textId="77777777" w:rsidTr="00FF1F12">
        <w:tc>
          <w:tcPr>
            <w:tcW w:w="1406" w:type="dxa"/>
          </w:tcPr>
          <w:p w14:paraId="27EDD2E4" w14:textId="77777777" w:rsidR="00044D6D" w:rsidRPr="00E40E50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0E50">
              <w:rPr>
                <w:rFonts w:ascii="Arial" w:hAnsi="Arial" w:cs="Arial"/>
                <w:sz w:val="20"/>
                <w:szCs w:val="20"/>
              </w:rPr>
              <w:t>GP surgery visit</w:t>
            </w:r>
          </w:p>
        </w:tc>
        <w:tc>
          <w:tcPr>
            <w:tcW w:w="830" w:type="dxa"/>
          </w:tcPr>
          <w:p w14:paraId="69C03F01" w14:textId="77777777" w:rsidR="00044D6D" w:rsidRPr="00E40E50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0E50">
              <w:rPr>
                <w:rFonts w:ascii="Arial" w:hAnsi="Arial" w:cs="Arial"/>
                <w:sz w:val="20"/>
                <w:szCs w:val="20"/>
              </w:rPr>
              <w:t>£37</w:t>
            </w:r>
          </w:p>
        </w:tc>
        <w:tc>
          <w:tcPr>
            <w:tcW w:w="6936" w:type="dxa"/>
          </w:tcPr>
          <w:p w14:paraId="0F3E02D3" w14:textId="77777777" w:rsidR="00044D6D" w:rsidRPr="00E40E50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0E50">
              <w:rPr>
                <w:rFonts w:ascii="Arial" w:hAnsi="Arial" w:cs="Arial"/>
                <w:sz w:val="20"/>
                <w:szCs w:val="20"/>
              </w:rPr>
              <w:t>PSSRU (2017) p165- Including direct care staff costs with qualification; Per participant contact lasting 9.22 minutes</w:t>
            </w:r>
          </w:p>
        </w:tc>
      </w:tr>
      <w:tr w:rsidR="00044D6D" w:rsidRPr="00E40E50" w14:paraId="666BC6A9" w14:textId="77777777" w:rsidTr="00FF1F12">
        <w:tc>
          <w:tcPr>
            <w:tcW w:w="1406" w:type="dxa"/>
          </w:tcPr>
          <w:p w14:paraId="4E07E290" w14:textId="77777777" w:rsidR="00044D6D" w:rsidRPr="00E40E50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0E50">
              <w:rPr>
                <w:rFonts w:ascii="Arial" w:hAnsi="Arial" w:cs="Arial"/>
                <w:sz w:val="20"/>
                <w:szCs w:val="20"/>
              </w:rPr>
              <w:t>Nurse at GP surgery</w:t>
            </w:r>
          </w:p>
        </w:tc>
        <w:tc>
          <w:tcPr>
            <w:tcW w:w="830" w:type="dxa"/>
          </w:tcPr>
          <w:p w14:paraId="1F8B812F" w14:textId="77777777" w:rsidR="00044D6D" w:rsidRPr="00E40E50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0E50">
              <w:rPr>
                <w:rFonts w:ascii="Arial" w:hAnsi="Arial" w:cs="Arial"/>
                <w:sz w:val="20"/>
                <w:szCs w:val="20"/>
              </w:rPr>
              <w:t>£6.45</w:t>
            </w:r>
          </w:p>
        </w:tc>
        <w:tc>
          <w:tcPr>
            <w:tcW w:w="6936" w:type="dxa"/>
          </w:tcPr>
          <w:p w14:paraId="45E7BDDE" w14:textId="77777777" w:rsidR="00044D6D" w:rsidRPr="00E40E50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0E50">
              <w:rPr>
                <w:rFonts w:ascii="Arial" w:hAnsi="Arial" w:cs="Arial"/>
                <w:sz w:val="20"/>
                <w:szCs w:val="20"/>
              </w:rPr>
              <w:t>PSSRU (2017) p163 - £42 per hour (cost including qualifications). Per patient contact lasting 9.22 minutes</w:t>
            </w:r>
          </w:p>
        </w:tc>
      </w:tr>
      <w:tr w:rsidR="00044D6D" w:rsidRPr="00E40E50" w14:paraId="0D348FC3" w14:textId="77777777" w:rsidTr="00FF1F12">
        <w:tc>
          <w:tcPr>
            <w:tcW w:w="1406" w:type="dxa"/>
          </w:tcPr>
          <w:p w14:paraId="4FB13981" w14:textId="77777777" w:rsidR="00044D6D" w:rsidRPr="00E40E50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0E50">
              <w:rPr>
                <w:rFonts w:ascii="Arial" w:hAnsi="Arial" w:cs="Arial"/>
                <w:sz w:val="20"/>
                <w:szCs w:val="20"/>
              </w:rPr>
              <w:t xml:space="preserve">District nurse visit house </w:t>
            </w:r>
          </w:p>
        </w:tc>
        <w:tc>
          <w:tcPr>
            <w:tcW w:w="830" w:type="dxa"/>
          </w:tcPr>
          <w:p w14:paraId="5CF7EA38" w14:textId="77777777" w:rsidR="00044D6D" w:rsidRPr="00E40E50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0E50">
              <w:rPr>
                <w:rFonts w:ascii="Arial" w:hAnsi="Arial" w:cs="Arial"/>
                <w:sz w:val="20"/>
                <w:szCs w:val="20"/>
              </w:rPr>
              <w:t>£77.35</w:t>
            </w:r>
          </w:p>
        </w:tc>
        <w:tc>
          <w:tcPr>
            <w:tcW w:w="6936" w:type="dxa"/>
          </w:tcPr>
          <w:p w14:paraId="2DE156D0" w14:textId="77777777" w:rsidR="00044D6D" w:rsidRPr="00E40E50" w:rsidRDefault="00044D6D" w:rsidP="00FF1F1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0E50">
              <w:rPr>
                <w:rFonts w:ascii="Arial" w:hAnsi="Arial" w:cs="Arial"/>
                <w:sz w:val="20"/>
                <w:szCs w:val="20"/>
              </w:rPr>
              <w:t>£75 PSSRU (2015) p172 Nurse specialist (community) £75 per hour with qualification of patient related work [not updated in latest publication]</w:t>
            </w:r>
          </w:p>
          <w:p w14:paraId="38CC35B1" w14:textId="77777777" w:rsidR="00044D6D" w:rsidRPr="00E40E50" w:rsidRDefault="00044D6D" w:rsidP="00FF1F1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0E50">
              <w:rPr>
                <w:rFonts w:ascii="Arial" w:hAnsi="Arial" w:cs="Arial"/>
                <w:sz w:val="20"/>
                <w:szCs w:val="20"/>
              </w:rPr>
              <w:t>Inflated to 2017 cost year</w:t>
            </w:r>
          </w:p>
        </w:tc>
      </w:tr>
      <w:tr w:rsidR="00044D6D" w:rsidRPr="00E40E50" w14:paraId="4B36F10A" w14:textId="77777777" w:rsidTr="00FF1F12">
        <w:tc>
          <w:tcPr>
            <w:tcW w:w="1406" w:type="dxa"/>
          </w:tcPr>
          <w:p w14:paraId="347BD1C1" w14:textId="77777777" w:rsidR="00044D6D" w:rsidRPr="00E40E50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0E50">
              <w:rPr>
                <w:rFonts w:ascii="Arial" w:hAnsi="Arial" w:cs="Arial"/>
                <w:sz w:val="20"/>
                <w:szCs w:val="20"/>
              </w:rPr>
              <w:t>Walk in centre</w:t>
            </w:r>
          </w:p>
        </w:tc>
        <w:tc>
          <w:tcPr>
            <w:tcW w:w="830" w:type="dxa"/>
          </w:tcPr>
          <w:p w14:paraId="0D2AAF82" w14:textId="77777777" w:rsidR="00044D6D" w:rsidRPr="00E40E50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0E50">
              <w:rPr>
                <w:rFonts w:ascii="Arial" w:hAnsi="Arial" w:cs="Arial"/>
                <w:sz w:val="20"/>
                <w:szCs w:val="20"/>
              </w:rPr>
              <w:t>£32.94</w:t>
            </w:r>
          </w:p>
        </w:tc>
        <w:tc>
          <w:tcPr>
            <w:tcW w:w="6936" w:type="dxa"/>
          </w:tcPr>
          <w:p w14:paraId="399BD243" w14:textId="77777777" w:rsidR="00044D6D" w:rsidRPr="00E40E50" w:rsidRDefault="00044D6D" w:rsidP="00FF1F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0E50">
              <w:rPr>
                <w:rFonts w:ascii="Arial" w:hAnsi="Arial" w:cs="Arial"/>
                <w:sz w:val="20"/>
                <w:szCs w:val="20"/>
              </w:rPr>
              <w:t xml:space="preserve">£28 </w:t>
            </w:r>
            <w:r w:rsidRPr="00E40E50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&lt;EndNote&gt;&lt;Cite&gt;&lt;Author&gt;Lambert&lt;/Author&gt;&lt;Year&gt;2013&lt;/Year&gt;&lt;RecNum&gt;623&lt;/RecNum&gt;&lt;DisplayText&gt;(23)&lt;/DisplayText&gt;&lt;record&gt;&lt;rec-number&gt;623&lt;/rec-number&gt;&lt;foreign-keys&gt;&lt;key app="EN" db-id="s5a9xrwt2tesfmefa9av2a24xvrfxvpaevxs" timestamp="1516974415"&gt;623&lt;/key&gt;&lt;/foreign-keys&gt;&lt;ref-type name="Journal Article"&gt;17&lt;/ref-type&gt;&lt;contributors&gt;&lt;authors&gt;&lt;author&gt;Lambert, R.&lt;/author&gt;&lt;author&gt;Fordham, R.&lt;/author&gt;&lt;author&gt;Large, S.&lt;/author&gt;&lt;author&gt;Gaffney, B.&lt;/author&gt;&lt;/authors&gt;&lt;/contributors&gt;&lt;auth-address&gt;Health Economics Consulting, Faculty of Medicine and Health Sciences, University of East Anglia, Norwich, Norfolk NR4 7TJ, UK. r.lambert@uea.ac.uk&lt;/auth-address&gt;&lt;titles&gt;&lt;title&gt;A cost-minimisation study of 1,001 NHS Direct users&lt;/title&gt;&lt;secondary-title&gt;BMC Health Serv Res&lt;/secondary-title&gt;&lt;/titles&gt;&lt;periodical&gt;&lt;full-title&gt;BMC Health Serv Res&lt;/full-title&gt;&lt;/periodical&gt;&lt;pages&gt;300&lt;/pages&gt;&lt;volume&gt;13&lt;/volume&gt;&lt;keywords&gt;&lt;keyword&gt;Cost Savings/*economics&lt;/keyword&gt;&lt;keyword&gt;Health Expenditures&lt;/keyword&gt;&lt;keyword&gt;Health Services/economics&lt;/keyword&gt;&lt;keyword&gt;Hotlines/*utilization&lt;/keyword&gt;&lt;keyword&gt;Humans&lt;/keyword&gt;&lt;keyword&gt;Pain Measurement&lt;/keyword&gt;&lt;keyword&gt;Qualitative Research&lt;/keyword&gt;&lt;keyword&gt;*Quality of Life&lt;/keyword&gt;&lt;keyword&gt;Referral and Consultation&lt;/keyword&gt;&lt;keyword&gt;*State Medicine&lt;/keyword&gt;&lt;/keywords&gt;&lt;dates&gt;&lt;year&gt;2013&lt;/year&gt;&lt;pub-dates&gt;&lt;date&gt;Aug 8&lt;/date&gt;&lt;/pub-dates&gt;&lt;/dates&gt;&lt;isbn&gt;1472-6963 (Electronic)&amp;#xD;1472-6963 (Linking)&lt;/isbn&gt;&lt;accession-num&gt;23927451&lt;/accession-num&gt;&lt;urls&gt;&lt;related-urls&gt;&lt;url&gt;http://www.ncbi.nlm.nih.gov/pubmed/23927451&lt;/url&gt;&lt;/related-urls&gt;&lt;/urls&gt;&lt;custom2&gt;PMC3751595&lt;/custom2&gt;&lt;electronic-resource-num&gt;10.1186/1472-6963-13-300&lt;/electronic-resource-num&gt;&lt;/record&gt;&lt;/Cite&gt;&lt;/EndNote&gt;</w:instrText>
            </w:r>
            <w:r w:rsidRPr="00E40E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(23)</w:t>
            </w:r>
            <w:r w:rsidRPr="00E40E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9DE2B7C" w14:textId="77777777" w:rsidR="00044D6D" w:rsidRPr="00E40E50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0E50">
              <w:rPr>
                <w:rFonts w:ascii="Arial" w:hAnsi="Arial" w:cs="Arial"/>
                <w:sz w:val="20"/>
                <w:szCs w:val="20"/>
              </w:rPr>
              <w:t>Inflated to 2017 cost year</w:t>
            </w:r>
          </w:p>
        </w:tc>
      </w:tr>
      <w:tr w:rsidR="00044D6D" w:rsidRPr="00E40E50" w14:paraId="2CD91509" w14:textId="77777777" w:rsidTr="00FF1F12">
        <w:tc>
          <w:tcPr>
            <w:tcW w:w="1406" w:type="dxa"/>
          </w:tcPr>
          <w:p w14:paraId="15C9E0EE" w14:textId="77777777" w:rsidR="00044D6D" w:rsidRPr="00E40E50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0E50">
              <w:rPr>
                <w:rFonts w:ascii="Arial" w:hAnsi="Arial" w:cs="Arial"/>
                <w:sz w:val="20"/>
                <w:szCs w:val="20"/>
              </w:rPr>
              <w:t xml:space="preserve">Hospital A&amp;E Department </w:t>
            </w:r>
          </w:p>
        </w:tc>
        <w:tc>
          <w:tcPr>
            <w:tcW w:w="830" w:type="dxa"/>
          </w:tcPr>
          <w:p w14:paraId="7CC6CB32" w14:textId="77777777" w:rsidR="00044D6D" w:rsidRPr="00E40E50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0E50">
              <w:rPr>
                <w:rFonts w:ascii="Arial" w:hAnsi="Arial" w:cs="Arial"/>
                <w:sz w:val="20"/>
                <w:szCs w:val="20"/>
              </w:rPr>
              <w:t>£63</w:t>
            </w:r>
          </w:p>
        </w:tc>
        <w:tc>
          <w:tcPr>
            <w:tcW w:w="6936" w:type="dxa"/>
          </w:tcPr>
          <w:p w14:paraId="716E3AF7" w14:textId="77777777" w:rsidR="00044D6D" w:rsidRPr="00E40E50" w:rsidRDefault="00044D6D" w:rsidP="00FF1F1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0E50">
              <w:rPr>
                <w:rFonts w:ascii="Arial" w:hAnsi="Arial" w:cs="Arial"/>
                <w:sz w:val="20"/>
                <w:szCs w:val="20"/>
              </w:rPr>
              <w:t>Department of Health (</w:t>
            </w:r>
            <w:proofErr w:type="spellStart"/>
            <w:r w:rsidRPr="00E40E50">
              <w:rPr>
                <w:rFonts w:ascii="Arial" w:hAnsi="Arial" w:cs="Arial"/>
                <w:sz w:val="20"/>
                <w:szCs w:val="20"/>
              </w:rPr>
              <w:t>DoH</w:t>
            </w:r>
            <w:proofErr w:type="spellEnd"/>
            <w:r w:rsidRPr="00E40E50">
              <w:rPr>
                <w:rFonts w:ascii="Arial" w:hAnsi="Arial" w:cs="Arial"/>
                <w:sz w:val="20"/>
                <w:szCs w:val="20"/>
              </w:rPr>
              <w:t>). NHS Reference Costs. 2017-18 Tariff information spreadsheet – index. London: DH; 2017. URL: https://improvement.nhs.uk/uploads/documents/Copy_of_Annex_A_-_National_tariff_workbook.xlsx (accessed 16 January 2018).</w:t>
            </w:r>
          </w:p>
        </w:tc>
      </w:tr>
    </w:tbl>
    <w:p w14:paraId="2F0AA2A1" w14:textId="77777777" w:rsidR="00044D6D" w:rsidRDefault="00044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0FD48CD" w14:textId="7D8972FA" w:rsidR="00044D6D" w:rsidRPr="00044D6D" w:rsidRDefault="00044D6D">
      <w:pPr>
        <w:rPr>
          <w:rFonts w:ascii="Arial" w:hAnsi="Arial" w:cs="Arial"/>
          <w:sz w:val="22"/>
          <w:szCs w:val="22"/>
        </w:rPr>
      </w:pPr>
      <w:r w:rsidRPr="00044D6D">
        <w:rPr>
          <w:rFonts w:ascii="Arial" w:hAnsi="Arial" w:cs="Arial"/>
          <w:sz w:val="22"/>
          <w:szCs w:val="22"/>
        </w:rPr>
        <w:t xml:space="preserve">Table </w:t>
      </w:r>
      <w:r w:rsidR="003A324F">
        <w:rPr>
          <w:rFonts w:ascii="Arial" w:hAnsi="Arial" w:cs="Arial"/>
          <w:sz w:val="22"/>
          <w:szCs w:val="22"/>
        </w:rPr>
        <w:t>HE</w:t>
      </w:r>
      <w:r w:rsidRPr="00044D6D">
        <w:rPr>
          <w:rFonts w:ascii="Arial" w:hAnsi="Arial" w:cs="Arial"/>
          <w:sz w:val="22"/>
          <w:szCs w:val="22"/>
        </w:rPr>
        <w:t>1: Summary of participant- reported health care use and associated unit costs</w:t>
      </w:r>
    </w:p>
    <w:p w14:paraId="1789BAE0" w14:textId="19D2F44D" w:rsidR="00044D6D" w:rsidRDefault="00044D6D">
      <w:pPr>
        <w:rPr>
          <w:rFonts w:ascii="Arial" w:hAnsi="Arial" w:cs="Arial"/>
          <w:b/>
          <w:sz w:val="22"/>
          <w:szCs w:val="22"/>
        </w:rPr>
      </w:pPr>
    </w:p>
    <w:p w14:paraId="71D541B8" w14:textId="77777777" w:rsidR="00044D6D" w:rsidRDefault="00044D6D">
      <w:pPr>
        <w:rPr>
          <w:rFonts w:ascii="Arial" w:hAnsi="Arial" w:cs="Arial"/>
          <w:b/>
          <w:sz w:val="22"/>
          <w:szCs w:val="22"/>
        </w:rPr>
      </w:pPr>
    </w:p>
    <w:p w14:paraId="4CF2E80B" w14:textId="7645E0FD" w:rsidR="00044D6D" w:rsidRDefault="00044D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Unit costs of patient-reported prescriptions</w:t>
      </w:r>
    </w:p>
    <w:p w14:paraId="2912E5F5" w14:textId="550CB46E" w:rsidR="00044D6D" w:rsidRDefault="00044D6D">
      <w:pPr>
        <w:rPr>
          <w:rFonts w:ascii="Arial" w:hAnsi="Arial" w:cs="Arial"/>
          <w:b/>
          <w:sz w:val="22"/>
          <w:szCs w:val="22"/>
        </w:rPr>
      </w:pPr>
    </w:p>
    <w:p w14:paraId="6372C44A" w14:textId="0D89B087" w:rsidR="00044D6D" w:rsidRDefault="00044D6D" w:rsidP="00044D6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E40E50">
        <w:rPr>
          <w:rFonts w:ascii="Arial" w:hAnsi="Arial" w:cs="Arial"/>
          <w:sz w:val="22"/>
          <w:szCs w:val="22"/>
        </w:rPr>
        <w:t xml:space="preserve">lmost all of the entries could be allocated to either antibiotics, painkillers, or dressings. Given that the price of dressings </w:t>
      </w:r>
      <w:r>
        <w:rPr>
          <w:rFonts w:ascii="Arial" w:hAnsi="Arial" w:cs="Arial"/>
          <w:sz w:val="22"/>
          <w:szCs w:val="22"/>
        </w:rPr>
        <w:t>was</w:t>
      </w:r>
      <w:r w:rsidRPr="00E40E50">
        <w:rPr>
          <w:rFonts w:ascii="Arial" w:hAnsi="Arial" w:cs="Arial"/>
          <w:sz w:val="22"/>
          <w:szCs w:val="22"/>
        </w:rPr>
        <w:t xml:space="preserve"> negligible, it </w:t>
      </w:r>
      <w:r>
        <w:rPr>
          <w:rFonts w:ascii="Arial" w:hAnsi="Arial" w:cs="Arial"/>
          <w:sz w:val="22"/>
          <w:szCs w:val="22"/>
        </w:rPr>
        <w:t>was</w:t>
      </w:r>
      <w:r w:rsidRPr="00E40E50">
        <w:rPr>
          <w:rFonts w:ascii="Arial" w:hAnsi="Arial" w:cs="Arial"/>
          <w:sz w:val="22"/>
          <w:szCs w:val="22"/>
        </w:rPr>
        <w:t xml:space="preserve"> assumed that amongst pa</w:t>
      </w:r>
      <w:r>
        <w:rPr>
          <w:rFonts w:ascii="Arial" w:hAnsi="Arial" w:cs="Arial"/>
          <w:sz w:val="22"/>
          <w:szCs w:val="22"/>
        </w:rPr>
        <w:t>rticipants</w:t>
      </w:r>
      <w:r w:rsidRPr="00E40E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who </w:t>
      </w:r>
      <w:r w:rsidRPr="00E40E50">
        <w:rPr>
          <w:rFonts w:ascii="Arial" w:hAnsi="Arial" w:cs="Arial"/>
          <w:sz w:val="22"/>
          <w:szCs w:val="22"/>
        </w:rPr>
        <w:t>report</w:t>
      </w:r>
      <w:r>
        <w:rPr>
          <w:rFonts w:ascii="Arial" w:hAnsi="Arial" w:cs="Arial"/>
          <w:sz w:val="22"/>
          <w:szCs w:val="22"/>
        </w:rPr>
        <w:t>ed</w:t>
      </w:r>
      <w:r w:rsidRPr="00E40E50">
        <w:rPr>
          <w:rFonts w:ascii="Arial" w:hAnsi="Arial" w:cs="Arial"/>
          <w:sz w:val="22"/>
          <w:szCs w:val="22"/>
        </w:rPr>
        <w:t xml:space="preserve"> receiving one or more prescriptions, 50% received painkillers and 50% received antib</w:t>
      </w:r>
      <w:r>
        <w:rPr>
          <w:rFonts w:ascii="Arial" w:hAnsi="Arial" w:cs="Arial"/>
          <w:sz w:val="22"/>
          <w:szCs w:val="22"/>
        </w:rPr>
        <w:t>iotics</w:t>
      </w:r>
    </w:p>
    <w:p w14:paraId="649E6C0D" w14:textId="2CA424A9" w:rsidR="00044D6D" w:rsidRDefault="00044D6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843"/>
        <w:gridCol w:w="2540"/>
      </w:tblGrid>
      <w:tr w:rsidR="00044D6D" w:rsidRPr="00083BBC" w14:paraId="14544838" w14:textId="77777777" w:rsidTr="00FF1F12">
        <w:tc>
          <w:tcPr>
            <w:tcW w:w="3681" w:type="dxa"/>
          </w:tcPr>
          <w:p w14:paraId="3D62F786" w14:textId="77777777" w:rsidR="00044D6D" w:rsidRPr="00083BBC" w:rsidRDefault="00044D6D" w:rsidP="00FF1F1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3BBC">
              <w:rPr>
                <w:rFonts w:ascii="Arial" w:hAnsi="Arial" w:cs="Arial"/>
                <w:b/>
                <w:sz w:val="20"/>
                <w:szCs w:val="20"/>
              </w:rPr>
              <w:t>Drug Name</w:t>
            </w:r>
          </w:p>
        </w:tc>
        <w:tc>
          <w:tcPr>
            <w:tcW w:w="1843" w:type="dxa"/>
          </w:tcPr>
          <w:p w14:paraId="18BE9C8F" w14:textId="77777777" w:rsidR="00044D6D" w:rsidRPr="00083BBC" w:rsidRDefault="00044D6D" w:rsidP="00FF1F1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3BBC">
              <w:rPr>
                <w:rFonts w:ascii="Arial" w:hAnsi="Arial" w:cs="Arial"/>
                <w:b/>
                <w:sz w:val="20"/>
                <w:szCs w:val="20"/>
              </w:rPr>
              <w:t>Price</w:t>
            </w:r>
          </w:p>
        </w:tc>
        <w:tc>
          <w:tcPr>
            <w:tcW w:w="2540" w:type="dxa"/>
          </w:tcPr>
          <w:p w14:paraId="6388DB5C" w14:textId="77777777" w:rsidR="00044D6D" w:rsidRPr="00083BBC" w:rsidRDefault="00044D6D" w:rsidP="00FF1F1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3BBC">
              <w:rPr>
                <w:rFonts w:ascii="Arial" w:hAnsi="Arial" w:cs="Arial"/>
                <w:b/>
                <w:sz w:val="20"/>
                <w:szCs w:val="20"/>
              </w:rPr>
              <w:t>Source</w:t>
            </w:r>
          </w:p>
        </w:tc>
      </w:tr>
      <w:tr w:rsidR="00044D6D" w:rsidRPr="00083BBC" w14:paraId="138722F2" w14:textId="77777777" w:rsidTr="00FF1F12">
        <w:tc>
          <w:tcPr>
            <w:tcW w:w="3681" w:type="dxa"/>
          </w:tcPr>
          <w:p w14:paraId="00634020" w14:textId="77777777" w:rsidR="00044D6D" w:rsidRPr="00083BBC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3BBC">
              <w:rPr>
                <w:rFonts w:ascii="Arial" w:hAnsi="Arial" w:cs="Arial"/>
                <w:sz w:val="20"/>
                <w:szCs w:val="20"/>
              </w:rPr>
              <w:t>Metronidazole</w:t>
            </w:r>
          </w:p>
          <w:p w14:paraId="7A9FAC71" w14:textId="77777777" w:rsidR="00044D6D" w:rsidRPr="00083BBC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3BBC">
              <w:rPr>
                <w:rFonts w:ascii="Arial" w:hAnsi="Arial" w:cs="Arial"/>
                <w:sz w:val="20"/>
                <w:szCs w:val="20"/>
              </w:rPr>
              <w:t>400 mg every 8 hours for 7 days</w:t>
            </w:r>
          </w:p>
        </w:tc>
        <w:tc>
          <w:tcPr>
            <w:tcW w:w="1843" w:type="dxa"/>
          </w:tcPr>
          <w:p w14:paraId="5AA75A52" w14:textId="77777777" w:rsidR="00044D6D" w:rsidRPr="00083BBC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3BBC">
              <w:rPr>
                <w:rFonts w:ascii="Arial" w:hAnsi="Arial" w:cs="Arial"/>
                <w:sz w:val="20"/>
                <w:szCs w:val="20"/>
              </w:rPr>
              <w:t xml:space="preserve">£4.10 </w:t>
            </w:r>
          </w:p>
          <w:p w14:paraId="6140D9F9" w14:textId="77777777" w:rsidR="00044D6D" w:rsidRPr="00083BBC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3BBC">
              <w:rPr>
                <w:rFonts w:ascii="Arial" w:hAnsi="Arial" w:cs="Arial"/>
                <w:sz w:val="20"/>
                <w:szCs w:val="20"/>
              </w:rPr>
              <w:t xml:space="preserve">(21 tablets) </w:t>
            </w:r>
          </w:p>
        </w:tc>
        <w:tc>
          <w:tcPr>
            <w:tcW w:w="2540" w:type="dxa"/>
          </w:tcPr>
          <w:p w14:paraId="0FF70BAA" w14:textId="77777777" w:rsidR="00044D6D" w:rsidRPr="00083BBC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3BB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83BBC">
              <w:rPr>
                <w:rFonts w:ascii="Arial" w:hAnsi="Arial" w:cs="Arial"/>
                <w:sz w:val="20"/>
                <w:szCs w:val="20"/>
              </w:rPr>
              <w:instrText xml:space="preserve"> ADDIN EN.CITE &lt;EndNote&gt;&lt;Cite AuthorYear="1"&gt;&lt;Author&gt;BNF&lt;/Author&gt;&lt;Year&gt;2018&lt;/Year&gt;&lt;RecNum&gt;624&lt;/RecNum&gt;&lt;DisplayText&gt;BNF (24)&lt;/DisplayText&gt;&lt;record&gt;&lt;rec-number&gt;624&lt;/rec-number&gt;&lt;foreign-keys&gt;&lt;key app="EN" db-id="s5a9xrwt2tesfmefa9av2a24xvrfxvpaevxs" timestamp="1516975499"&gt;624&lt;/key&gt;&lt;/foreign-keys&gt;&lt;ref-type name="Electronic Book"&gt;44&lt;/ref-type&gt;&lt;contributors&gt;&lt;authors&gt;&lt;author&gt;BNF&lt;/author&gt;&lt;/authors&gt;&lt;/contributors&gt;&lt;titles&gt;&lt;title&gt;British National Formulary 2018&lt;/title&gt;&lt;/titles&gt;&lt;dates&gt;&lt;year&gt;2018&lt;/year&gt;&lt;pub-dates&gt;&lt;date&gt;16/01/2018&lt;/date&gt;&lt;/pub-dates&gt;&lt;/dates&gt;&lt;publisher&gt;British Medical Association and The Royal Pharmaceutical Society of Great Britain&lt;/publisher&gt;&lt;urls&gt;&lt;/urls&gt;&lt;/record&gt;&lt;/Cite&gt;&lt;/EndNote&gt;</w:instrText>
            </w:r>
            <w:r w:rsidRPr="00083B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3BBC">
              <w:rPr>
                <w:rFonts w:ascii="Arial" w:hAnsi="Arial" w:cs="Arial"/>
                <w:noProof/>
                <w:sz w:val="20"/>
                <w:szCs w:val="20"/>
              </w:rPr>
              <w:t>BNF (2018) (24)</w:t>
            </w:r>
            <w:r w:rsidRPr="00083B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4D6D" w:rsidRPr="00083BBC" w14:paraId="713B903A" w14:textId="77777777" w:rsidTr="00FF1F12">
        <w:tc>
          <w:tcPr>
            <w:tcW w:w="3681" w:type="dxa"/>
          </w:tcPr>
          <w:p w14:paraId="42545B81" w14:textId="77777777" w:rsidR="00044D6D" w:rsidRPr="00083BBC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3BBC">
              <w:rPr>
                <w:rFonts w:ascii="Arial" w:hAnsi="Arial" w:cs="Arial"/>
                <w:sz w:val="20"/>
                <w:szCs w:val="20"/>
              </w:rPr>
              <w:t>Co-codamol 15mg/500mg 3 times a day for 5 days</w:t>
            </w:r>
          </w:p>
        </w:tc>
        <w:tc>
          <w:tcPr>
            <w:tcW w:w="1843" w:type="dxa"/>
          </w:tcPr>
          <w:p w14:paraId="3947498B" w14:textId="77777777" w:rsidR="00044D6D" w:rsidRPr="00083BBC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3BBC">
              <w:rPr>
                <w:rFonts w:ascii="Arial" w:hAnsi="Arial" w:cs="Arial"/>
                <w:sz w:val="20"/>
                <w:szCs w:val="20"/>
              </w:rPr>
              <w:t>£4.93</w:t>
            </w:r>
          </w:p>
          <w:p w14:paraId="7EDD1FA0" w14:textId="77777777" w:rsidR="00044D6D" w:rsidRPr="00083BBC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3BBC">
              <w:rPr>
                <w:rFonts w:ascii="Arial" w:hAnsi="Arial" w:cs="Arial"/>
                <w:sz w:val="20"/>
                <w:szCs w:val="20"/>
              </w:rPr>
              <w:t xml:space="preserve">(100 tablets) </w:t>
            </w:r>
          </w:p>
        </w:tc>
        <w:tc>
          <w:tcPr>
            <w:tcW w:w="2540" w:type="dxa"/>
          </w:tcPr>
          <w:p w14:paraId="04133DEE" w14:textId="77777777" w:rsidR="00044D6D" w:rsidRPr="00083BBC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3BBC">
              <w:rPr>
                <w:rFonts w:ascii="Arial" w:hAnsi="Arial" w:cs="Arial"/>
                <w:sz w:val="20"/>
                <w:szCs w:val="20"/>
              </w:rPr>
              <w:t>BNF 2018</w:t>
            </w:r>
          </w:p>
        </w:tc>
      </w:tr>
    </w:tbl>
    <w:p w14:paraId="301F3D7D" w14:textId="1E8EF72D" w:rsidR="00044D6D" w:rsidRDefault="00044D6D">
      <w:pPr>
        <w:rPr>
          <w:rFonts w:ascii="Arial" w:hAnsi="Arial" w:cs="Arial"/>
          <w:b/>
          <w:sz w:val="22"/>
          <w:szCs w:val="22"/>
        </w:rPr>
      </w:pPr>
    </w:p>
    <w:p w14:paraId="6DAD2E52" w14:textId="7D822F7A" w:rsidR="00044D6D" w:rsidRPr="00044D6D" w:rsidRDefault="00044D6D">
      <w:pPr>
        <w:rPr>
          <w:rFonts w:ascii="Arial" w:hAnsi="Arial" w:cs="Arial"/>
          <w:sz w:val="22"/>
          <w:szCs w:val="22"/>
        </w:rPr>
      </w:pPr>
      <w:r w:rsidRPr="00044D6D">
        <w:rPr>
          <w:rFonts w:ascii="Arial" w:hAnsi="Arial" w:cs="Arial"/>
          <w:sz w:val="22"/>
          <w:szCs w:val="22"/>
        </w:rPr>
        <w:t>Table</w:t>
      </w:r>
      <w:r w:rsidR="003A324F">
        <w:rPr>
          <w:rFonts w:ascii="Arial" w:hAnsi="Arial" w:cs="Arial"/>
          <w:sz w:val="22"/>
          <w:szCs w:val="22"/>
        </w:rPr>
        <w:t xml:space="preserve"> HE</w:t>
      </w:r>
      <w:r w:rsidRPr="00044D6D">
        <w:rPr>
          <w:rFonts w:ascii="Arial" w:hAnsi="Arial" w:cs="Arial"/>
          <w:sz w:val="22"/>
          <w:szCs w:val="22"/>
        </w:rPr>
        <w:t>2: Summary of participant-reported medication use (prescriptions) and associated unit costs.</w:t>
      </w:r>
    </w:p>
    <w:p w14:paraId="6CFADD8B" w14:textId="1D471AC5" w:rsidR="00044D6D" w:rsidRDefault="00044D6D">
      <w:pPr>
        <w:rPr>
          <w:rFonts w:ascii="Arial" w:hAnsi="Arial" w:cs="Arial"/>
          <w:b/>
          <w:sz w:val="22"/>
          <w:szCs w:val="22"/>
        </w:rPr>
      </w:pPr>
    </w:p>
    <w:p w14:paraId="4BDAB2D6" w14:textId="200B8938" w:rsidR="00044D6D" w:rsidRDefault="00044D6D">
      <w:pPr>
        <w:rPr>
          <w:rFonts w:ascii="Arial" w:hAnsi="Arial" w:cs="Arial"/>
          <w:b/>
          <w:sz w:val="22"/>
          <w:szCs w:val="22"/>
        </w:rPr>
      </w:pPr>
    </w:p>
    <w:p w14:paraId="759BFC23" w14:textId="1C6076DF" w:rsidR="00044D6D" w:rsidRDefault="00044D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Operation associated costs</w:t>
      </w:r>
    </w:p>
    <w:p w14:paraId="3BBD1211" w14:textId="5F6AF3D6" w:rsidR="00044D6D" w:rsidRDefault="00044D6D">
      <w:pPr>
        <w:rPr>
          <w:rFonts w:ascii="Arial" w:hAnsi="Arial" w:cs="Arial"/>
          <w:b/>
          <w:sz w:val="22"/>
          <w:szCs w:val="22"/>
        </w:rPr>
      </w:pPr>
    </w:p>
    <w:p w14:paraId="41BEC5C8" w14:textId="1E258DBB" w:rsidR="00044D6D" w:rsidRDefault="00044D6D" w:rsidP="00044D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3BBC">
        <w:rPr>
          <w:rFonts w:ascii="Arial" w:hAnsi="Arial" w:cs="Arial"/>
          <w:sz w:val="22"/>
          <w:szCs w:val="22"/>
        </w:rPr>
        <w:t>Given that no information was collected on the staff members present during the operations, it w</w:t>
      </w:r>
      <w:r w:rsidRPr="003B53A3">
        <w:rPr>
          <w:rFonts w:ascii="Arial" w:hAnsi="Arial" w:cs="Arial"/>
          <w:sz w:val="22"/>
          <w:szCs w:val="22"/>
        </w:rPr>
        <w:t xml:space="preserve">as assumed that the following health-care staff were present at </w:t>
      </w:r>
      <w:r>
        <w:rPr>
          <w:rFonts w:ascii="Arial" w:hAnsi="Arial" w:cs="Arial"/>
          <w:sz w:val="22"/>
          <w:szCs w:val="22"/>
        </w:rPr>
        <w:t xml:space="preserve">the </w:t>
      </w:r>
      <w:r w:rsidRPr="003B53A3">
        <w:rPr>
          <w:rFonts w:ascii="Arial" w:hAnsi="Arial" w:cs="Arial"/>
          <w:sz w:val="22"/>
          <w:szCs w:val="22"/>
        </w:rPr>
        <w:t xml:space="preserve">procedure - </w:t>
      </w:r>
      <w:r w:rsidRPr="003B53A3">
        <w:rPr>
          <w:rFonts w:ascii="Arial" w:hAnsi="Arial" w:cs="Arial"/>
          <w:sz w:val="22"/>
          <w:szCs w:val="22"/>
        </w:rPr>
        <w:lastRenderedPageBreak/>
        <w:t>anaesthetist, anaesthetic assistant, surgeon, assistant surgeon, scrub nurse, and a circulating nurse</w:t>
      </w:r>
      <w:r>
        <w:rPr>
          <w:rFonts w:ascii="Arial" w:hAnsi="Arial" w:cs="Arial"/>
          <w:sz w:val="22"/>
          <w:szCs w:val="22"/>
        </w:rPr>
        <w:t>.</w:t>
      </w:r>
    </w:p>
    <w:p w14:paraId="21BB0D89" w14:textId="77777777" w:rsidR="00044D6D" w:rsidRDefault="00044D6D" w:rsidP="00044D6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276"/>
        <w:gridCol w:w="3969"/>
      </w:tblGrid>
      <w:tr w:rsidR="00044D6D" w:rsidRPr="00A052F7" w14:paraId="5B597B83" w14:textId="77777777" w:rsidTr="00FF1F12">
        <w:tc>
          <w:tcPr>
            <w:tcW w:w="3964" w:type="dxa"/>
          </w:tcPr>
          <w:p w14:paraId="625C1306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52F7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276" w:type="dxa"/>
          </w:tcPr>
          <w:p w14:paraId="0152B6FC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52F7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  <w:tc>
          <w:tcPr>
            <w:tcW w:w="3969" w:type="dxa"/>
          </w:tcPr>
          <w:p w14:paraId="5D4280F1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52F7">
              <w:rPr>
                <w:rFonts w:ascii="Arial" w:hAnsi="Arial" w:cs="Arial"/>
                <w:b/>
                <w:sz w:val="20"/>
                <w:szCs w:val="20"/>
              </w:rPr>
              <w:t>Source</w:t>
            </w:r>
          </w:p>
        </w:tc>
      </w:tr>
      <w:tr w:rsidR="00044D6D" w:rsidRPr="00A052F7" w14:paraId="171237A9" w14:textId="77777777" w:rsidTr="00FF1F12">
        <w:tc>
          <w:tcPr>
            <w:tcW w:w="3964" w:type="dxa"/>
          </w:tcPr>
          <w:p w14:paraId="12E42D5B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2F7">
              <w:rPr>
                <w:rFonts w:ascii="Arial" w:hAnsi="Arial" w:cs="Arial"/>
                <w:sz w:val="20"/>
                <w:szCs w:val="20"/>
              </w:rPr>
              <w:t>Biodesign</w:t>
            </w:r>
            <w:proofErr w:type="spellEnd"/>
            <w:r w:rsidRPr="00A052F7">
              <w:rPr>
                <w:rFonts w:ascii="Arial" w:hAnsi="Arial" w:cs="Arial"/>
                <w:sz w:val="20"/>
                <w:szCs w:val="20"/>
              </w:rPr>
              <w:t xml:space="preserve">® </w:t>
            </w:r>
            <w:proofErr w:type="spellStart"/>
            <w:r w:rsidRPr="00A052F7">
              <w:rPr>
                <w:rFonts w:ascii="Arial" w:hAnsi="Arial" w:cs="Arial"/>
                <w:sz w:val="20"/>
                <w:szCs w:val="20"/>
              </w:rPr>
              <w:t>Surgisis</w:t>
            </w:r>
            <w:proofErr w:type="spellEnd"/>
            <w:r w:rsidRPr="00A052F7">
              <w:rPr>
                <w:rFonts w:ascii="Arial" w:hAnsi="Arial" w:cs="Arial"/>
                <w:sz w:val="20"/>
                <w:szCs w:val="20"/>
              </w:rPr>
              <w:t>® anal fistula plug</w:t>
            </w:r>
          </w:p>
        </w:tc>
        <w:tc>
          <w:tcPr>
            <w:tcW w:w="1276" w:type="dxa"/>
          </w:tcPr>
          <w:p w14:paraId="56ACAA97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 xml:space="preserve">£780 </w:t>
            </w:r>
          </w:p>
        </w:tc>
        <w:tc>
          <w:tcPr>
            <w:tcW w:w="3969" w:type="dxa"/>
          </w:tcPr>
          <w:p w14:paraId="391934FA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D6D" w:rsidRPr="00A052F7" w14:paraId="1422F26F" w14:textId="77777777" w:rsidTr="00FF1F12">
        <w:tc>
          <w:tcPr>
            <w:tcW w:w="3964" w:type="dxa"/>
          </w:tcPr>
          <w:p w14:paraId="30EE03E5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>Theatre time / hr</w:t>
            </w:r>
          </w:p>
        </w:tc>
        <w:tc>
          <w:tcPr>
            <w:tcW w:w="1276" w:type="dxa"/>
          </w:tcPr>
          <w:p w14:paraId="36183631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>£1,144</w:t>
            </w:r>
          </w:p>
        </w:tc>
        <w:tc>
          <w:tcPr>
            <w:tcW w:w="3969" w:type="dxa"/>
          </w:tcPr>
          <w:p w14:paraId="59E3D303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>IDS Scotland figures (</w:t>
            </w:r>
            <w:hyperlink r:id="rId6" w:history="1">
              <w:r w:rsidRPr="00A052F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http://www.isdscotland.org/Health-Topics/Finance/Costs/Detailed-Tables/Theatres.asp</w:t>
              </w:r>
            </w:hyperlink>
            <w:r w:rsidRPr="00A052F7">
              <w:rPr>
                <w:rFonts w:ascii="Arial" w:hAnsi="Arial" w:cs="Arial"/>
                <w:sz w:val="20"/>
                <w:szCs w:val="20"/>
              </w:rPr>
              <w:t>) (accessed 16 January 2018)</w:t>
            </w:r>
          </w:p>
        </w:tc>
      </w:tr>
      <w:tr w:rsidR="00044D6D" w:rsidRPr="00A052F7" w14:paraId="6131629F" w14:textId="77777777" w:rsidTr="00FF1F12">
        <w:tc>
          <w:tcPr>
            <w:tcW w:w="3964" w:type="dxa"/>
          </w:tcPr>
          <w:p w14:paraId="1BBB45B9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>Elective inpatient excess day</w:t>
            </w:r>
          </w:p>
        </w:tc>
        <w:tc>
          <w:tcPr>
            <w:tcW w:w="1276" w:type="dxa"/>
          </w:tcPr>
          <w:p w14:paraId="7A6E82ED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>£392</w:t>
            </w:r>
          </w:p>
        </w:tc>
        <w:tc>
          <w:tcPr>
            <w:tcW w:w="3969" w:type="dxa"/>
          </w:tcPr>
          <w:p w14:paraId="7CA1AB31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 xml:space="preserve">(NHS reference costs, 2017) FZ22E Intermediate Anal Procedures, 19 years and over, with CC Score 0 </w:t>
            </w:r>
          </w:p>
        </w:tc>
      </w:tr>
      <w:tr w:rsidR="00044D6D" w:rsidRPr="00A052F7" w14:paraId="519F5959" w14:textId="77777777" w:rsidTr="00FF1F12">
        <w:tc>
          <w:tcPr>
            <w:tcW w:w="3964" w:type="dxa"/>
          </w:tcPr>
          <w:p w14:paraId="3EA15649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>Surgeon</w:t>
            </w:r>
          </w:p>
        </w:tc>
        <w:tc>
          <w:tcPr>
            <w:tcW w:w="1276" w:type="dxa"/>
          </w:tcPr>
          <w:p w14:paraId="4E781745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>£107</w:t>
            </w:r>
          </w:p>
        </w:tc>
        <w:tc>
          <w:tcPr>
            <w:tcW w:w="3969" w:type="dxa"/>
          </w:tcPr>
          <w:p w14:paraId="7021895B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>PSSRU (2017) P213 Hospital based doctors – Consultant Surgeon</w:t>
            </w:r>
          </w:p>
        </w:tc>
      </w:tr>
      <w:tr w:rsidR="00044D6D" w:rsidRPr="00A052F7" w14:paraId="3143F80B" w14:textId="77777777" w:rsidTr="00FF1F12">
        <w:tc>
          <w:tcPr>
            <w:tcW w:w="3964" w:type="dxa"/>
          </w:tcPr>
          <w:p w14:paraId="69339DBF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>Assistant Surgeon</w:t>
            </w:r>
          </w:p>
        </w:tc>
        <w:tc>
          <w:tcPr>
            <w:tcW w:w="1276" w:type="dxa"/>
          </w:tcPr>
          <w:p w14:paraId="7C37903C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>£107</w:t>
            </w:r>
          </w:p>
        </w:tc>
        <w:tc>
          <w:tcPr>
            <w:tcW w:w="3969" w:type="dxa"/>
          </w:tcPr>
          <w:p w14:paraId="7AA5448E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>PSSRU (2017) P213 Hospital based doctors – Consultant Surgeon</w:t>
            </w:r>
          </w:p>
        </w:tc>
      </w:tr>
      <w:tr w:rsidR="00044D6D" w:rsidRPr="00A052F7" w14:paraId="39456471" w14:textId="77777777" w:rsidTr="00FF1F12">
        <w:tc>
          <w:tcPr>
            <w:tcW w:w="3964" w:type="dxa"/>
          </w:tcPr>
          <w:p w14:paraId="178F8C99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>Anaesthetist</w:t>
            </w:r>
          </w:p>
        </w:tc>
        <w:tc>
          <w:tcPr>
            <w:tcW w:w="1276" w:type="dxa"/>
          </w:tcPr>
          <w:p w14:paraId="791191CF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>£107</w:t>
            </w:r>
          </w:p>
        </w:tc>
        <w:tc>
          <w:tcPr>
            <w:tcW w:w="3969" w:type="dxa"/>
          </w:tcPr>
          <w:p w14:paraId="3213B64D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>PSSRU (2017) P213 Hospital based doctors – Consultant Surgeon</w:t>
            </w:r>
          </w:p>
        </w:tc>
      </w:tr>
      <w:tr w:rsidR="00044D6D" w:rsidRPr="00A052F7" w14:paraId="550430DD" w14:textId="77777777" w:rsidTr="00FF1F12">
        <w:tc>
          <w:tcPr>
            <w:tcW w:w="3964" w:type="dxa"/>
          </w:tcPr>
          <w:p w14:paraId="362B0CEE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>Assistant Anaesthetist</w:t>
            </w:r>
          </w:p>
        </w:tc>
        <w:tc>
          <w:tcPr>
            <w:tcW w:w="1276" w:type="dxa"/>
          </w:tcPr>
          <w:p w14:paraId="2C9BE40C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>£54</w:t>
            </w:r>
          </w:p>
        </w:tc>
        <w:tc>
          <w:tcPr>
            <w:tcW w:w="3969" w:type="dxa"/>
          </w:tcPr>
          <w:p w14:paraId="7388752D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>PSSRU (2017) P209 Hospital based nurses – grade 7</w:t>
            </w:r>
          </w:p>
        </w:tc>
      </w:tr>
      <w:tr w:rsidR="00044D6D" w:rsidRPr="00A052F7" w14:paraId="1EA557C5" w14:textId="77777777" w:rsidTr="00FF1F12">
        <w:tc>
          <w:tcPr>
            <w:tcW w:w="3964" w:type="dxa"/>
          </w:tcPr>
          <w:p w14:paraId="1CD36F52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>Scrub Nurse</w:t>
            </w:r>
          </w:p>
        </w:tc>
        <w:tc>
          <w:tcPr>
            <w:tcW w:w="1276" w:type="dxa"/>
          </w:tcPr>
          <w:p w14:paraId="766258E1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>£54</w:t>
            </w:r>
          </w:p>
        </w:tc>
        <w:tc>
          <w:tcPr>
            <w:tcW w:w="3969" w:type="dxa"/>
          </w:tcPr>
          <w:p w14:paraId="35F8A381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>PSSRU (2017) P209 Hospital based nurses – grade 7</w:t>
            </w:r>
          </w:p>
        </w:tc>
      </w:tr>
      <w:tr w:rsidR="00044D6D" w:rsidRPr="00A052F7" w14:paraId="50EB4804" w14:textId="77777777" w:rsidTr="00FF1F12">
        <w:tc>
          <w:tcPr>
            <w:tcW w:w="3964" w:type="dxa"/>
          </w:tcPr>
          <w:p w14:paraId="4824D41E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>Circulating Nurse</w:t>
            </w:r>
          </w:p>
        </w:tc>
        <w:tc>
          <w:tcPr>
            <w:tcW w:w="1276" w:type="dxa"/>
          </w:tcPr>
          <w:p w14:paraId="47EA5B8A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>£54</w:t>
            </w:r>
          </w:p>
        </w:tc>
        <w:tc>
          <w:tcPr>
            <w:tcW w:w="3969" w:type="dxa"/>
          </w:tcPr>
          <w:p w14:paraId="04C69268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>PSSRU (2017) P209 Hospital based nurses – grade 7</w:t>
            </w:r>
          </w:p>
        </w:tc>
      </w:tr>
      <w:tr w:rsidR="00044D6D" w:rsidRPr="00A052F7" w14:paraId="04E182BB" w14:textId="77777777" w:rsidTr="00FF1F12">
        <w:tc>
          <w:tcPr>
            <w:tcW w:w="3964" w:type="dxa"/>
          </w:tcPr>
          <w:p w14:paraId="6D36B00B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 xml:space="preserve">Perioperative antibiotics- Metronidazole 500mg/100ml infusion 100ml bags - 1 dose 500mg </w:t>
            </w:r>
          </w:p>
        </w:tc>
        <w:tc>
          <w:tcPr>
            <w:tcW w:w="1276" w:type="dxa"/>
          </w:tcPr>
          <w:p w14:paraId="660C9A18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 xml:space="preserve">£62 </w:t>
            </w:r>
          </w:p>
          <w:p w14:paraId="0C806D8D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>(20 bags)</w:t>
            </w:r>
          </w:p>
          <w:p w14:paraId="35F7841A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93B707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BNF (2018)</w:t>
            </w:r>
          </w:p>
        </w:tc>
      </w:tr>
      <w:tr w:rsidR="00044D6D" w:rsidRPr="00A052F7" w14:paraId="67F12F8C" w14:textId="77777777" w:rsidTr="00FF1F12">
        <w:tc>
          <w:tcPr>
            <w:tcW w:w="3964" w:type="dxa"/>
          </w:tcPr>
          <w:p w14:paraId="5A60E4B9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>Post-operative antibiotics Oral Co-Amoxiclav (Augmentin) 250/125 mg every 8 hours 3 times /day for 7 days</w:t>
            </w:r>
          </w:p>
        </w:tc>
        <w:tc>
          <w:tcPr>
            <w:tcW w:w="1276" w:type="dxa"/>
          </w:tcPr>
          <w:p w14:paraId="52336E2A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 xml:space="preserve">£1.59 </w:t>
            </w:r>
          </w:p>
          <w:p w14:paraId="1A161CBF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>(21 tablets)</w:t>
            </w:r>
          </w:p>
          <w:p w14:paraId="5D599CE8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1E56219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BNF (2018)</w:t>
            </w:r>
          </w:p>
        </w:tc>
      </w:tr>
      <w:tr w:rsidR="00044D6D" w:rsidRPr="00A052F7" w14:paraId="50F5F9C4" w14:textId="77777777" w:rsidTr="00FF1F12">
        <w:tc>
          <w:tcPr>
            <w:tcW w:w="3964" w:type="dxa"/>
          </w:tcPr>
          <w:p w14:paraId="2AB9FF3A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052F7">
              <w:rPr>
                <w:rFonts w:ascii="Arial" w:hAnsi="Arial" w:cs="Arial"/>
                <w:i/>
                <w:sz w:val="20"/>
                <w:szCs w:val="20"/>
              </w:rPr>
              <w:t>Bowel Preparation</w:t>
            </w:r>
          </w:p>
        </w:tc>
        <w:tc>
          <w:tcPr>
            <w:tcW w:w="1276" w:type="dxa"/>
          </w:tcPr>
          <w:p w14:paraId="3C812717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1C58116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D6D" w:rsidRPr="00A052F7" w14:paraId="4F6A85F1" w14:textId="77777777" w:rsidTr="00FF1F12">
        <w:tc>
          <w:tcPr>
            <w:tcW w:w="3964" w:type="dxa"/>
          </w:tcPr>
          <w:p w14:paraId="077BA6B4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>Phosphates enema (Formula B) 128ml long tube</w:t>
            </w:r>
          </w:p>
        </w:tc>
        <w:tc>
          <w:tcPr>
            <w:tcW w:w="1276" w:type="dxa"/>
          </w:tcPr>
          <w:p w14:paraId="2DB6FA58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>£27.93</w:t>
            </w:r>
          </w:p>
        </w:tc>
        <w:tc>
          <w:tcPr>
            <w:tcW w:w="3969" w:type="dxa"/>
          </w:tcPr>
          <w:p w14:paraId="5FAEC939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BNF (2018)</w:t>
            </w:r>
          </w:p>
        </w:tc>
      </w:tr>
      <w:tr w:rsidR="00044D6D" w:rsidRPr="00A052F7" w14:paraId="6EB6DB37" w14:textId="77777777" w:rsidTr="00FF1F12">
        <w:tc>
          <w:tcPr>
            <w:tcW w:w="3964" w:type="dxa"/>
          </w:tcPr>
          <w:p w14:paraId="44A16084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 xml:space="preserve">Oral Preparation - </w:t>
            </w:r>
            <w:proofErr w:type="spellStart"/>
            <w:r w:rsidRPr="00A052F7">
              <w:rPr>
                <w:rFonts w:ascii="Arial" w:hAnsi="Arial" w:cs="Arial"/>
                <w:sz w:val="20"/>
                <w:szCs w:val="20"/>
              </w:rPr>
              <w:t>Moviprep</w:t>
            </w:r>
            <w:proofErr w:type="spellEnd"/>
            <w:r w:rsidRPr="00A052F7">
              <w:rPr>
                <w:rFonts w:ascii="Arial" w:hAnsi="Arial" w:cs="Arial"/>
                <w:sz w:val="20"/>
                <w:szCs w:val="20"/>
              </w:rPr>
              <w:t xml:space="preserve"> oral powder One pair of sachets</w:t>
            </w:r>
          </w:p>
          <w:p w14:paraId="7E008C5B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15682E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>£10.36</w:t>
            </w:r>
          </w:p>
          <w:p w14:paraId="2E4AA6EC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>(4 sachets)</w:t>
            </w:r>
          </w:p>
        </w:tc>
        <w:tc>
          <w:tcPr>
            <w:tcW w:w="3969" w:type="dxa"/>
          </w:tcPr>
          <w:p w14:paraId="00F2691B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BNF (2018)</w:t>
            </w:r>
          </w:p>
        </w:tc>
      </w:tr>
      <w:tr w:rsidR="00044D6D" w:rsidRPr="00A052F7" w14:paraId="41BD3E92" w14:textId="77777777" w:rsidTr="00FF1F12">
        <w:tc>
          <w:tcPr>
            <w:tcW w:w="3964" w:type="dxa"/>
          </w:tcPr>
          <w:p w14:paraId="7804C5D6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052F7">
              <w:rPr>
                <w:rFonts w:ascii="Arial" w:hAnsi="Arial" w:cs="Arial"/>
                <w:i/>
                <w:sz w:val="20"/>
                <w:szCs w:val="20"/>
              </w:rPr>
              <w:t>Analgesics</w:t>
            </w:r>
          </w:p>
        </w:tc>
        <w:tc>
          <w:tcPr>
            <w:tcW w:w="1276" w:type="dxa"/>
          </w:tcPr>
          <w:p w14:paraId="6A26AE08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8EF5C85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D6D" w:rsidRPr="00A052F7" w14:paraId="1EB9F5A0" w14:textId="77777777" w:rsidTr="00FF1F12">
        <w:tc>
          <w:tcPr>
            <w:tcW w:w="3964" w:type="dxa"/>
          </w:tcPr>
          <w:p w14:paraId="1416423B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lastRenderedPageBreak/>
              <w:t xml:space="preserve">Morphine </w:t>
            </w:r>
            <w:proofErr w:type="spellStart"/>
            <w:r w:rsidRPr="00A052F7">
              <w:rPr>
                <w:rFonts w:ascii="Arial" w:hAnsi="Arial" w:cs="Arial"/>
                <w:sz w:val="20"/>
                <w:szCs w:val="20"/>
              </w:rPr>
              <w:t>sulfate</w:t>
            </w:r>
            <w:proofErr w:type="spellEnd"/>
            <w:r w:rsidRPr="00A052F7">
              <w:rPr>
                <w:rFonts w:ascii="Arial" w:hAnsi="Arial" w:cs="Arial"/>
                <w:sz w:val="20"/>
                <w:szCs w:val="20"/>
              </w:rPr>
              <w:t xml:space="preserve"> 10mg/10ml solution for injection ampoules</w:t>
            </w:r>
          </w:p>
          <w:p w14:paraId="34F78715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060C92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>£15</w:t>
            </w:r>
          </w:p>
          <w:p w14:paraId="5E1CEBA5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>(10 ampoules)</w:t>
            </w:r>
          </w:p>
        </w:tc>
        <w:tc>
          <w:tcPr>
            <w:tcW w:w="3969" w:type="dxa"/>
          </w:tcPr>
          <w:p w14:paraId="1688F209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BNF (2018)</w:t>
            </w:r>
          </w:p>
        </w:tc>
      </w:tr>
      <w:tr w:rsidR="00044D6D" w:rsidRPr="00A052F7" w14:paraId="578DBC3B" w14:textId="77777777" w:rsidTr="00FF1F12">
        <w:tc>
          <w:tcPr>
            <w:tcW w:w="3964" w:type="dxa"/>
          </w:tcPr>
          <w:p w14:paraId="5F10B0FF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>Co-codamol 15/500mg 2 tablets</w:t>
            </w:r>
          </w:p>
        </w:tc>
        <w:tc>
          <w:tcPr>
            <w:tcW w:w="1276" w:type="dxa"/>
          </w:tcPr>
          <w:p w14:paraId="1E63177B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>£4.93</w:t>
            </w:r>
          </w:p>
          <w:p w14:paraId="5A88924A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>(100 tablets)</w:t>
            </w:r>
          </w:p>
        </w:tc>
        <w:tc>
          <w:tcPr>
            <w:tcW w:w="3969" w:type="dxa"/>
          </w:tcPr>
          <w:p w14:paraId="4460FB19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BNF (2018)</w:t>
            </w:r>
          </w:p>
        </w:tc>
      </w:tr>
      <w:tr w:rsidR="00044D6D" w:rsidRPr="00A052F7" w14:paraId="5B5E8666" w14:textId="77777777" w:rsidTr="00FF1F12">
        <w:tc>
          <w:tcPr>
            <w:tcW w:w="3964" w:type="dxa"/>
          </w:tcPr>
          <w:p w14:paraId="737B0E94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>Lactulose 10g/15ml oral solution 15ml sachet sugar free</w:t>
            </w:r>
          </w:p>
          <w:p w14:paraId="52EB3A3A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25A3A8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>£2.52</w:t>
            </w:r>
          </w:p>
          <w:p w14:paraId="30041CAE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>(10 sachets)</w:t>
            </w:r>
          </w:p>
        </w:tc>
        <w:tc>
          <w:tcPr>
            <w:tcW w:w="3969" w:type="dxa"/>
          </w:tcPr>
          <w:p w14:paraId="28CCFEFA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BNF (2018)</w:t>
            </w:r>
          </w:p>
        </w:tc>
      </w:tr>
      <w:tr w:rsidR="00044D6D" w:rsidRPr="00A052F7" w14:paraId="5BC0D4C3" w14:textId="77777777" w:rsidTr="00FF1F12">
        <w:tc>
          <w:tcPr>
            <w:tcW w:w="3964" w:type="dxa"/>
          </w:tcPr>
          <w:p w14:paraId="5456DF21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 xml:space="preserve">Bulking </w:t>
            </w:r>
            <w:proofErr w:type="spellStart"/>
            <w:r w:rsidRPr="00A052F7">
              <w:rPr>
                <w:rFonts w:ascii="Arial" w:hAnsi="Arial" w:cs="Arial"/>
                <w:sz w:val="20"/>
                <w:szCs w:val="20"/>
              </w:rPr>
              <w:t>Fybogel</w:t>
            </w:r>
            <w:proofErr w:type="spellEnd"/>
            <w:r w:rsidRPr="00A052F7">
              <w:rPr>
                <w:rFonts w:ascii="Arial" w:hAnsi="Arial" w:cs="Arial"/>
                <w:sz w:val="20"/>
                <w:szCs w:val="20"/>
              </w:rPr>
              <w:t xml:space="preserve"> Mebeverine effervescent granules sachets orange (Reckitt Benckiser Healthcare (UK) Ltd)</w:t>
            </w:r>
          </w:p>
        </w:tc>
        <w:tc>
          <w:tcPr>
            <w:tcW w:w="1276" w:type="dxa"/>
          </w:tcPr>
          <w:p w14:paraId="23BADA4B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 xml:space="preserve">£2.72 </w:t>
            </w:r>
          </w:p>
          <w:p w14:paraId="525538E6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>(30 sachets)</w:t>
            </w:r>
          </w:p>
        </w:tc>
        <w:tc>
          <w:tcPr>
            <w:tcW w:w="3969" w:type="dxa"/>
          </w:tcPr>
          <w:p w14:paraId="2A74BE9A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BNF (2018)</w:t>
            </w:r>
          </w:p>
        </w:tc>
      </w:tr>
      <w:tr w:rsidR="00044D6D" w:rsidRPr="00A052F7" w14:paraId="2F9C66EE" w14:textId="77777777" w:rsidTr="00FF1F12">
        <w:tc>
          <w:tcPr>
            <w:tcW w:w="3964" w:type="dxa"/>
          </w:tcPr>
          <w:p w14:paraId="0FAF2D3C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>Tinzaparin sodium 3,500units/0.35ml solution for injection pre-filled syringes</w:t>
            </w:r>
          </w:p>
          <w:p w14:paraId="4E671BF5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A85294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 xml:space="preserve">£27.71 </w:t>
            </w:r>
          </w:p>
          <w:p w14:paraId="2874EA08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2F7">
              <w:rPr>
                <w:rFonts w:ascii="Arial" w:hAnsi="Arial" w:cs="Arial"/>
                <w:sz w:val="20"/>
                <w:szCs w:val="20"/>
              </w:rPr>
              <w:t>(10 pre-filled disposable injections)</w:t>
            </w:r>
          </w:p>
        </w:tc>
        <w:tc>
          <w:tcPr>
            <w:tcW w:w="3969" w:type="dxa"/>
          </w:tcPr>
          <w:p w14:paraId="28430ED2" w14:textId="77777777" w:rsidR="00044D6D" w:rsidRPr="00A052F7" w:rsidRDefault="00044D6D" w:rsidP="00FF1F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BNF (2018)</w:t>
            </w:r>
          </w:p>
        </w:tc>
      </w:tr>
    </w:tbl>
    <w:p w14:paraId="25193488" w14:textId="20030901" w:rsidR="00044D6D" w:rsidRDefault="00044D6D">
      <w:pPr>
        <w:rPr>
          <w:rFonts w:ascii="Arial" w:hAnsi="Arial" w:cs="Arial"/>
          <w:b/>
          <w:sz w:val="22"/>
          <w:szCs w:val="22"/>
        </w:rPr>
      </w:pPr>
    </w:p>
    <w:p w14:paraId="2F7D22BD" w14:textId="1061FA75" w:rsidR="00044D6D" w:rsidRDefault="00044D6D">
      <w:pPr>
        <w:rPr>
          <w:rFonts w:ascii="Arial" w:hAnsi="Arial" w:cs="Arial"/>
          <w:sz w:val="22"/>
          <w:szCs w:val="22"/>
        </w:rPr>
      </w:pPr>
      <w:r w:rsidRPr="00044D6D">
        <w:rPr>
          <w:rFonts w:ascii="Arial" w:hAnsi="Arial" w:cs="Arial"/>
          <w:sz w:val="22"/>
          <w:szCs w:val="22"/>
        </w:rPr>
        <w:t xml:space="preserve">Table </w:t>
      </w:r>
      <w:r w:rsidR="003A324F">
        <w:rPr>
          <w:rFonts w:ascii="Arial" w:hAnsi="Arial" w:cs="Arial"/>
          <w:sz w:val="22"/>
          <w:szCs w:val="22"/>
        </w:rPr>
        <w:t>HE</w:t>
      </w:r>
      <w:r w:rsidRPr="00044D6D">
        <w:rPr>
          <w:rFonts w:ascii="Arial" w:hAnsi="Arial" w:cs="Arial"/>
          <w:sz w:val="22"/>
          <w:szCs w:val="22"/>
        </w:rPr>
        <w:t>3: Operation related costs.</w:t>
      </w:r>
    </w:p>
    <w:p w14:paraId="18CDD5B9" w14:textId="2B8CCAB0" w:rsidR="00552776" w:rsidRDefault="00552776">
      <w:pPr>
        <w:rPr>
          <w:rFonts w:ascii="Arial" w:hAnsi="Arial" w:cs="Arial"/>
          <w:sz w:val="22"/>
          <w:szCs w:val="22"/>
        </w:rPr>
      </w:pPr>
    </w:p>
    <w:p w14:paraId="5348896B" w14:textId="20CCB2A7" w:rsidR="00552776" w:rsidRDefault="00552776">
      <w:pPr>
        <w:rPr>
          <w:rFonts w:ascii="Arial" w:hAnsi="Arial" w:cs="Arial"/>
          <w:sz w:val="22"/>
          <w:szCs w:val="22"/>
        </w:rPr>
      </w:pPr>
    </w:p>
    <w:p w14:paraId="67EE6FE8" w14:textId="70AE5769" w:rsidR="00552776" w:rsidRPr="00552776" w:rsidRDefault="00552776">
      <w:pPr>
        <w:rPr>
          <w:rFonts w:ascii="Arial" w:hAnsi="Arial" w:cs="Arial"/>
          <w:b/>
          <w:sz w:val="22"/>
          <w:szCs w:val="22"/>
        </w:rPr>
      </w:pPr>
      <w:r w:rsidRPr="00552776">
        <w:rPr>
          <w:rFonts w:ascii="Arial" w:hAnsi="Arial" w:cs="Arial"/>
          <w:b/>
          <w:sz w:val="22"/>
          <w:szCs w:val="22"/>
        </w:rPr>
        <w:t>Within trial cost-effectiveness analysis</w:t>
      </w:r>
    </w:p>
    <w:p w14:paraId="6B5C418A" w14:textId="4D4B48A3" w:rsidR="00552776" w:rsidRDefault="0055277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801"/>
        <w:gridCol w:w="1802"/>
        <w:gridCol w:w="1802"/>
        <w:gridCol w:w="1518"/>
      </w:tblGrid>
      <w:tr w:rsidR="00552776" w:rsidRPr="00DC0000" w14:paraId="2C04B5A9" w14:textId="77777777" w:rsidTr="00FF1F12">
        <w:tc>
          <w:tcPr>
            <w:tcW w:w="1802" w:type="dxa"/>
          </w:tcPr>
          <w:p w14:paraId="6B05E0A8" w14:textId="77777777" w:rsidR="00552776" w:rsidRPr="00DC0000" w:rsidRDefault="00552776" w:rsidP="00FF1F1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C0000">
              <w:rPr>
                <w:rFonts w:ascii="Arial" w:hAnsi="Arial" w:cs="Arial"/>
                <w:b/>
              </w:rPr>
              <w:t>Cost Type</w:t>
            </w:r>
          </w:p>
        </w:tc>
        <w:tc>
          <w:tcPr>
            <w:tcW w:w="1801" w:type="dxa"/>
          </w:tcPr>
          <w:p w14:paraId="5B88825E" w14:textId="77777777" w:rsidR="00552776" w:rsidRPr="00DC0000" w:rsidRDefault="00552776" w:rsidP="00FF1F1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2" w:type="dxa"/>
          </w:tcPr>
          <w:p w14:paraId="1EFE3B60" w14:textId="77777777" w:rsidR="00552776" w:rsidRPr="00DC0000" w:rsidRDefault="00552776" w:rsidP="00FF1F1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Fistula plug</w:t>
            </w:r>
          </w:p>
          <w:p w14:paraId="1A388295" w14:textId="77777777" w:rsidR="00552776" w:rsidRPr="00DC0000" w:rsidRDefault="00552776" w:rsidP="00FF1F12">
            <w:pPr>
              <w:spacing w:line="360" w:lineRule="auto"/>
              <w:rPr>
                <w:rFonts w:ascii="Arial" w:hAnsi="Arial" w:cs="Arial"/>
                <w:b/>
              </w:rPr>
            </w:pPr>
            <w:r w:rsidRPr="00DC0000">
              <w:rPr>
                <w:rFonts w:ascii="Arial" w:hAnsi="Arial" w:cs="Arial"/>
                <w:b/>
              </w:rPr>
              <w:t>(n=87)</w:t>
            </w:r>
          </w:p>
        </w:tc>
        <w:tc>
          <w:tcPr>
            <w:tcW w:w="1802" w:type="dxa"/>
          </w:tcPr>
          <w:p w14:paraId="04F64428" w14:textId="77777777" w:rsidR="00552776" w:rsidRPr="00DC0000" w:rsidRDefault="00552776" w:rsidP="00FF1F1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C0000">
              <w:rPr>
                <w:rFonts w:ascii="Arial" w:hAnsi="Arial" w:cs="Arial"/>
                <w:b/>
              </w:rPr>
              <w:t>Surgeon’s preference (n=90)</w:t>
            </w:r>
          </w:p>
        </w:tc>
        <w:tc>
          <w:tcPr>
            <w:tcW w:w="1518" w:type="dxa"/>
          </w:tcPr>
          <w:p w14:paraId="76A16495" w14:textId="77777777" w:rsidR="00552776" w:rsidRPr="00DC0000" w:rsidRDefault="00552776" w:rsidP="00FF1F1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C0000">
              <w:rPr>
                <w:rFonts w:ascii="Arial" w:hAnsi="Arial" w:cs="Arial"/>
                <w:b/>
              </w:rPr>
              <w:t>Difference</w:t>
            </w:r>
          </w:p>
          <w:p w14:paraId="289C8EDB" w14:textId="77777777" w:rsidR="00552776" w:rsidRDefault="00552776" w:rsidP="00FF1F1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C0000">
              <w:rPr>
                <w:rFonts w:ascii="Arial" w:hAnsi="Arial" w:cs="Arial"/>
                <w:b/>
              </w:rPr>
              <w:t xml:space="preserve">P-value of </w:t>
            </w:r>
          </w:p>
          <w:p w14:paraId="19214299" w14:textId="77777777" w:rsidR="00552776" w:rsidRPr="00DC0000" w:rsidRDefault="00552776" w:rsidP="00FF1F1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C0000">
              <w:rPr>
                <w:rFonts w:ascii="Arial" w:hAnsi="Arial" w:cs="Arial"/>
                <w:b/>
              </w:rPr>
              <w:t>t-test</w:t>
            </w:r>
          </w:p>
        </w:tc>
      </w:tr>
      <w:tr w:rsidR="00552776" w:rsidRPr="00DC0000" w14:paraId="716CCFF9" w14:textId="77777777" w:rsidTr="00FF1F12">
        <w:tc>
          <w:tcPr>
            <w:tcW w:w="1802" w:type="dxa"/>
          </w:tcPr>
          <w:p w14:paraId="4BB9D236" w14:textId="77777777" w:rsidR="00552776" w:rsidRPr="00DC0000" w:rsidRDefault="00552776" w:rsidP="00FF1F12">
            <w:pPr>
              <w:spacing w:line="360" w:lineRule="auto"/>
              <w:rPr>
                <w:rFonts w:ascii="Arial" w:hAnsi="Arial" w:cs="Arial"/>
              </w:rPr>
            </w:pPr>
            <w:r w:rsidRPr="00DC0000">
              <w:rPr>
                <w:rFonts w:ascii="Arial" w:hAnsi="Arial" w:cs="Arial"/>
              </w:rPr>
              <w:t>Surgery related costs</w:t>
            </w:r>
          </w:p>
        </w:tc>
        <w:tc>
          <w:tcPr>
            <w:tcW w:w="1801" w:type="dxa"/>
          </w:tcPr>
          <w:p w14:paraId="32C235D6" w14:textId="77777777" w:rsidR="00552776" w:rsidRPr="00DC0000" w:rsidRDefault="00552776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0000">
              <w:rPr>
                <w:rFonts w:ascii="Arial" w:hAnsi="Arial" w:cs="Arial"/>
              </w:rPr>
              <w:t>Mean</w:t>
            </w:r>
          </w:p>
          <w:p w14:paraId="5F9832E0" w14:textId="77777777" w:rsidR="00552776" w:rsidRPr="00DC0000" w:rsidRDefault="00552776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0000">
              <w:rPr>
                <w:rFonts w:ascii="Arial" w:hAnsi="Arial" w:cs="Arial"/>
              </w:rPr>
              <w:t>(SD)</w:t>
            </w:r>
          </w:p>
        </w:tc>
        <w:tc>
          <w:tcPr>
            <w:tcW w:w="1802" w:type="dxa"/>
          </w:tcPr>
          <w:p w14:paraId="6CE496EF" w14:textId="77777777" w:rsidR="00552776" w:rsidRPr="00DC0000" w:rsidRDefault="00552776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0000">
              <w:rPr>
                <w:rFonts w:ascii="Arial" w:hAnsi="Arial" w:cs="Arial"/>
              </w:rPr>
              <w:t>£2,306</w:t>
            </w:r>
          </w:p>
          <w:p w14:paraId="187F4DAE" w14:textId="77777777" w:rsidR="00552776" w:rsidRPr="00DC0000" w:rsidRDefault="00552776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0000">
              <w:rPr>
                <w:rFonts w:ascii="Arial" w:hAnsi="Arial" w:cs="Arial"/>
              </w:rPr>
              <w:t>(610)</w:t>
            </w:r>
          </w:p>
        </w:tc>
        <w:tc>
          <w:tcPr>
            <w:tcW w:w="1802" w:type="dxa"/>
          </w:tcPr>
          <w:p w14:paraId="66D3D39E" w14:textId="77777777" w:rsidR="00552776" w:rsidRPr="00DC0000" w:rsidRDefault="00552776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0000">
              <w:rPr>
                <w:rFonts w:ascii="Arial" w:hAnsi="Arial" w:cs="Arial"/>
              </w:rPr>
              <w:t>£1,728</w:t>
            </w:r>
          </w:p>
          <w:p w14:paraId="676A3235" w14:textId="77777777" w:rsidR="00552776" w:rsidRPr="00DC0000" w:rsidRDefault="00552776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0000">
              <w:rPr>
                <w:rFonts w:ascii="Arial" w:hAnsi="Arial" w:cs="Arial"/>
              </w:rPr>
              <w:t>(502)</w:t>
            </w:r>
          </w:p>
        </w:tc>
        <w:tc>
          <w:tcPr>
            <w:tcW w:w="1518" w:type="dxa"/>
          </w:tcPr>
          <w:p w14:paraId="701504FA" w14:textId="77777777" w:rsidR="00552776" w:rsidRPr="00DC0000" w:rsidRDefault="00552776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0000">
              <w:rPr>
                <w:rFonts w:ascii="Arial" w:hAnsi="Arial" w:cs="Arial"/>
              </w:rPr>
              <w:t>0.0000</w:t>
            </w:r>
          </w:p>
        </w:tc>
      </w:tr>
      <w:tr w:rsidR="00552776" w:rsidRPr="00DC0000" w14:paraId="558587A8" w14:textId="77777777" w:rsidTr="00FF1F12">
        <w:tc>
          <w:tcPr>
            <w:tcW w:w="1802" w:type="dxa"/>
          </w:tcPr>
          <w:p w14:paraId="767365AF" w14:textId="77777777" w:rsidR="00552776" w:rsidRPr="00DC0000" w:rsidRDefault="00552776" w:rsidP="00FF1F12">
            <w:pPr>
              <w:spacing w:line="360" w:lineRule="auto"/>
              <w:rPr>
                <w:rFonts w:ascii="Arial" w:hAnsi="Arial" w:cs="Arial"/>
              </w:rPr>
            </w:pPr>
            <w:r w:rsidRPr="00DC0000">
              <w:rPr>
                <w:rFonts w:ascii="Arial" w:hAnsi="Arial" w:cs="Arial"/>
              </w:rPr>
              <w:t>Hospital-based costs due to readmissions</w:t>
            </w:r>
          </w:p>
        </w:tc>
        <w:tc>
          <w:tcPr>
            <w:tcW w:w="1801" w:type="dxa"/>
          </w:tcPr>
          <w:p w14:paraId="4410EFDF" w14:textId="77777777" w:rsidR="00552776" w:rsidRPr="00DC0000" w:rsidRDefault="00552776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0000">
              <w:rPr>
                <w:rFonts w:ascii="Arial" w:hAnsi="Arial" w:cs="Arial"/>
              </w:rPr>
              <w:t>Mean</w:t>
            </w:r>
          </w:p>
          <w:p w14:paraId="58CF1D3F" w14:textId="77777777" w:rsidR="00552776" w:rsidRPr="00DC0000" w:rsidRDefault="00552776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0000">
              <w:rPr>
                <w:rFonts w:ascii="Arial" w:hAnsi="Arial" w:cs="Arial"/>
              </w:rPr>
              <w:t>(SD)</w:t>
            </w:r>
          </w:p>
        </w:tc>
        <w:tc>
          <w:tcPr>
            <w:tcW w:w="1802" w:type="dxa"/>
          </w:tcPr>
          <w:p w14:paraId="1CA1CE8F" w14:textId="77777777" w:rsidR="00552776" w:rsidRPr="00DC0000" w:rsidRDefault="00552776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0000">
              <w:rPr>
                <w:rFonts w:ascii="Arial" w:hAnsi="Arial" w:cs="Arial"/>
              </w:rPr>
              <w:t>£159</w:t>
            </w:r>
          </w:p>
          <w:p w14:paraId="067E012B" w14:textId="77777777" w:rsidR="00552776" w:rsidRPr="00DC0000" w:rsidRDefault="00552776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0000">
              <w:rPr>
                <w:rFonts w:ascii="Arial" w:hAnsi="Arial" w:cs="Arial"/>
              </w:rPr>
              <w:t>(412)</w:t>
            </w:r>
          </w:p>
        </w:tc>
        <w:tc>
          <w:tcPr>
            <w:tcW w:w="1802" w:type="dxa"/>
          </w:tcPr>
          <w:p w14:paraId="2AFF9175" w14:textId="77777777" w:rsidR="00552776" w:rsidRPr="00DC0000" w:rsidRDefault="00552776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0000">
              <w:rPr>
                <w:rFonts w:ascii="Arial" w:hAnsi="Arial" w:cs="Arial"/>
              </w:rPr>
              <w:t>£89</w:t>
            </w:r>
          </w:p>
          <w:p w14:paraId="297C103E" w14:textId="77777777" w:rsidR="00552776" w:rsidRPr="00DC0000" w:rsidRDefault="00552776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0000">
              <w:rPr>
                <w:rFonts w:ascii="Arial" w:hAnsi="Arial" w:cs="Arial"/>
              </w:rPr>
              <w:t>(363)</w:t>
            </w:r>
          </w:p>
        </w:tc>
        <w:tc>
          <w:tcPr>
            <w:tcW w:w="1518" w:type="dxa"/>
          </w:tcPr>
          <w:p w14:paraId="1787F317" w14:textId="77777777" w:rsidR="00552776" w:rsidRPr="00DC0000" w:rsidRDefault="00552776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0000">
              <w:rPr>
                <w:rFonts w:ascii="Arial" w:hAnsi="Arial" w:cs="Arial"/>
              </w:rPr>
              <w:t>0.2330</w:t>
            </w:r>
          </w:p>
        </w:tc>
      </w:tr>
      <w:tr w:rsidR="00552776" w:rsidRPr="00DC0000" w14:paraId="033EA309" w14:textId="77777777" w:rsidTr="00FF1F12">
        <w:tc>
          <w:tcPr>
            <w:tcW w:w="1802" w:type="dxa"/>
          </w:tcPr>
          <w:p w14:paraId="7EB20AC0" w14:textId="77777777" w:rsidR="00552776" w:rsidRPr="00DC0000" w:rsidRDefault="00552776" w:rsidP="00FF1F12">
            <w:pPr>
              <w:spacing w:line="360" w:lineRule="auto"/>
              <w:rPr>
                <w:rFonts w:ascii="Arial" w:hAnsi="Arial" w:cs="Arial"/>
              </w:rPr>
            </w:pPr>
            <w:r w:rsidRPr="00DC0000">
              <w:rPr>
                <w:rFonts w:ascii="Arial" w:hAnsi="Arial" w:cs="Arial"/>
              </w:rPr>
              <w:t>Health and social services use</w:t>
            </w:r>
          </w:p>
        </w:tc>
        <w:tc>
          <w:tcPr>
            <w:tcW w:w="1801" w:type="dxa"/>
          </w:tcPr>
          <w:p w14:paraId="0F5355F9" w14:textId="77777777" w:rsidR="00552776" w:rsidRPr="00DC0000" w:rsidRDefault="00552776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0000">
              <w:rPr>
                <w:rFonts w:ascii="Arial" w:hAnsi="Arial" w:cs="Arial"/>
              </w:rPr>
              <w:t>Mean</w:t>
            </w:r>
          </w:p>
          <w:p w14:paraId="0B15EC6E" w14:textId="77777777" w:rsidR="00552776" w:rsidRPr="00DC0000" w:rsidRDefault="00552776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0000">
              <w:rPr>
                <w:rFonts w:ascii="Arial" w:hAnsi="Arial" w:cs="Arial"/>
              </w:rPr>
              <w:t>(SD)</w:t>
            </w:r>
          </w:p>
        </w:tc>
        <w:tc>
          <w:tcPr>
            <w:tcW w:w="1802" w:type="dxa"/>
          </w:tcPr>
          <w:p w14:paraId="631BE990" w14:textId="77777777" w:rsidR="00552776" w:rsidRPr="00DC0000" w:rsidRDefault="00552776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0000">
              <w:rPr>
                <w:rFonts w:ascii="Arial" w:hAnsi="Arial" w:cs="Arial"/>
              </w:rPr>
              <w:t>£267</w:t>
            </w:r>
          </w:p>
          <w:p w14:paraId="40DC1C98" w14:textId="77777777" w:rsidR="00552776" w:rsidRPr="00DC0000" w:rsidRDefault="00552776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0000">
              <w:rPr>
                <w:rFonts w:ascii="Arial" w:hAnsi="Arial" w:cs="Arial"/>
              </w:rPr>
              <w:t>(777)</w:t>
            </w:r>
          </w:p>
        </w:tc>
        <w:tc>
          <w:tcPr>
            <w:tcW w:w="1802" w:type="dxa"/>
          </w:tcPr>
          <w:p w14:paraId="5741C08B" w14:textId="77777777" w:rsidR="00552776" w:rsidRPr="00DC0000" w:rsidRDefault="00552776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0000">
              <w:rPr>
                <w:rFonts w:ascii="Arial" w:hAnsi="Arial" w:cs="Arial"/>
              </w:rPr>
              <w:t>£484</w:t>
            </w:r>
          </w:p>
          <w:p w14:paraId="10847FB9" w14:textId="77777777" w:rsidR="00552776" w:rsidRPr="00DC0000" w:rsidRDefault="00552776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0000">
              <w:rPr>
                <w:rFonts w:ascii="Arial" w:hAnsi="Arial" w:cs="Arial"/>
              </w:rPr>
              <w:t>(1014)</w:t>
            </w:r>
          </w:p>
        </w:tc>
        <w:tc>
          <w:tcPr>
            <w:tcW w:w="1518" w:type="dxa"/>
          </w:tcPr>
          <w:p w14:paraId="46248CE9" w14:textId="77777777" w:rsidR="00552776" w:rsidRPr="00DC0000" w:rsidRDefault="00552776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0000">
              <w:rPr>
                <w:rFonts w:ascii="Arial" w:hAnsi="Arial" w:cs="Arial"/>
              </w:rPr>
              <w:t>0.1092</w:t>
            </w:r>
          </w:p>
        </w:tc>
      </w:tr>
      <w:tr w:rsidR="00552776" w:rsidRPr="00DC0000" w14:paraId="76CA2BC9" w14:textId="77777777" w:rsidTr="00FF1F12">
        <w:tc>
          <w:tcPr>
            <w:tcW w:w="1802" w:type="dxa"/>
          </w:tcPr>
          <w:p w14:paraId="15014253" w14:textId="77777777" w:rsidR="00552776" w:rsidRPr="00DC0000" w:rsidRDefault="00552776" w:rsidP="00FF1F12">
            <w:pPr>
              <w:spacing w:line="360" w:lineRule="auto"/>
              <w:rPr>
                <w:rFonts w:ascii="Arial" w:hAnsi="Arial" w:cs="Arial"/>
              </w:rPr>
            </w:pPr>
            <w:r w:rsidRPr="00DC0000">
              <w:rPr>
                <w:rFonts w:ascii="Arial" w:hAnsi="Arial" w:cs="Arial"/>
              </w:rPr>
              <w:t>Total Costs</w:t>
            </w:r>
          </w:p>
        </w:tc>
        <w:tc>
          <w:tcPr>
            <w:tcW w:w="1801" w:type="dxa"/>
          </w:tcPr>
          <w:p w14:paraId="6C5A2A84" w14:textId="77777777" w:rsidR="00552776" w:rsidRPr="00DC0000" w:rsidRDefault="00552776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0000">
              <w:rPr>
                <w:rFonts w:ascii="Arial" w:hAnsi="Arial" w:cs="Arial"/>
              </w:rPr>
              <w:t>Mean</w:t>
            </w:r>
          </w:p>
          <w:p w14:paraId="5A1DFBEB" w14:textId="77777777" w:rsidR="00552776" w:rsidRPr="00DC0000" w:rsidRDefault="00552776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0000">
              <w:rPr>
                <w:rFonts w:ascii="Arial" w:hAnsi="Arial" w:cs="Arial"/>
              </w:rPr>
              <w:t>(SD)</w:t>
            </w:r>
          </w:p>
        </w:tc>
        <w:tc>
          <w:tcPr>
            <w:tcW w:w="1802" w:type="dxa"/>
          </w:tcPr>
          <w:p w14:paraId="4B564AD9" w14:textId="77777777" w:rsidR="00552776" w:rsidRPr="00DC0000" w:rsidRDefault="00552776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0000">
              <w:rPr>
                <w:rFonts w:ascii="Arial" w:hAnsi="Arial" w:cs="Arial"/>
              </w:rPr>
              <w:t>£2,738</w:t>
            </w:r>
          </w:p>
          <w:p w14:paraId="488256ED" w14:textId="77777777" w:rsidR="00552776" w:rsidRPr="00DC0000" w:rsidRDefault="00552776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0000">
              <w:rPr>
                <w:rFonts w:ascii="Arial" w:hAnsi="Arial" w:cs="Arial"/>
              </w:rPr>
              <w:t>(1,151)</w:t>
            </w:r>
          </w:p>
        </w:tc>
        <w:tc>
          <w:tcPr>
            <w:tcW w:w="1802" w:type="dxa"/>
          </w:tcPr>
          <w:p w14:paraId="4B4D91BF" w14:textId="77777777" w:rsidR="00552776" w:rsidRPr="00DC0000" w:rsidRDefault="00552776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0000">
              <w:rPr>
                <w:rFonts w:ascii="Arial" w:hAnsi="Arial" w:cs="Arial"/>
              </w:rPr>
              <w:t>£2,308</w:t>
            </w:r>
          </w:p>
          <w:p w14:paraId="79DD2972" w14:textId="77777777" w:rsidR="00552776" w:rsidRPr="00DC0000" w:rsidRDefault="00552776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0000">
              <w:rPr>
                <w:rFonts w:ascii="Arial" w:hAnsi="Arial" w:cs="Arial"/>
              </w:rPr>
              <w:t>(1,228)</w:t>
            </w:r>
          </w:p>
        </w:tc>
        <w:tc>
          <w:tcPr>
            <w:tcW w:w="1518" w:type="dxa"/>
          </w:tcPr>
          <w:p w14:paraId="348BEB2F" w14:textId="77777777" w:rsidR="00552776" w:rsidRPr="00DC0000" w:rsidRDefault="00552776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0000">
              <w:rPr>
                <w:rFonts w:ascii="Arial" w:hAnsi="Arial" w:cs="Arial"/>
              </w:rPr>
              <w:t>0.0174</w:t>
            </w:r>
          </w:p>
        </w:tc>
      </w:tr>
    </w:tbl>
    <w:p w14:paraId="5C2E78A5" w14:textId="44FEA353" w:rsidR="00552776" w:rsidRDefault="00552776">
      <w:pPr>
        <w:rPr>
          <w:rFonts w:ascii="Arial" w:hAnsi="Arial" w:cs="Arial"/>
          <w:sz w:val="22"/>
          <w:szCs w:val="22"/>
        </w:rPr>
      </w:pPr>
    </w:p>
    <w:p w14:paraId="77CC70CE" w14:textId="3067926C" w:rsidR="00552776" w:rsidRDefault="005527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Table </w:t>
      </w:r>
      <w:r w:rsidR="003A324F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>4: Costs of health care resources (not imputed)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802"/>
        <w:gridCol w:w="1801"/>
        <w:gridCol w:w="1802"/>
        <w:gridCol w:w="1803"/>
      </w:tblGrid>
      <w:tr w:rsidR="00552776" w:rsidRPr="00F11264" w14:paraId="7E666C9E" w14:textId="77777777" w:rsidTr="00FF1F12">
        <w:tc>
          <w:tcPr>
            <w:tcW w:w="1803" w:type="dxa"/>
          </w:tcPr>
          <w:p w14:paraId="74434970" w14:textId="77777777" w:rsidR="00552776" w:rsidRPr="00F11264" w:rsidRDefault="00552776" w:rsidP="00FF1F12">
            <w:pPr>
              <w:spacing w:line="360" w:lineRule="auto"/>
              <w:jc w:val="both"/>
              <w:rPr>
                <w:b/>
              </w:rPr>
            </w:pPr>
            <w:r w:rsidRPr="00F11264">
              <w:rPr>
                <w:b/>
              </w:rPr>
              <w:lastRenderedPageBreak/>
              <w:t>Time point</w:t>
            </w:r>
          </w:p>
        </w:tc>
        <w:tc>
          <w:tcPr>
            <w:tcW w:w="1803" w:type="dxa"/>
          </w:tcPr>
          <w:p w14:paraId="54653071" w14:textId="77777777" w:rsidR="00552776" w:rsidRPr="00F11264" w:rsidRDefault="00552776" w:rsidP="00FF1F1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03" w:type="dxa"/>
          </w:tcPr>
          <w:p w14:paraId="4900487A" w14:textId="77777777" w:rsidR="00552776" w:rsidRPr="00F11264" w:rsidRDefault="00552776" w:rsidP="00FF1F12">
            <w:pPr>
              <w:spacing w:line="360" w:lineRule="auto"/>
              <w:rPr>
                <w:b/>
              </w:rPr>
            </w:pPr>
            <w:r>
              <w:rPr>
                <w:b/>
              </w:rPr>
              <w:t>Fistula plug</w:t>
            </w:r>
          </w:p>
          <w:p w14:paraId="2AE9399A" w14:textId="77777777" w:rsidR="00552776" w:rsidRPr="00F11264" w:rsidRDefault="00552776" w:rsidP="00FF1F12">
            <w:pPr>
              <w:spacing w:line="360" w:lineRule="auto"/>
              <w:rPr>
                <w:b/>
              </w:rPr>
            </w:pPr>
            <w:r w:rsidRPr="00F11264">
              <w:rPr>
                <w:b/>
              </w:rPr>
              <w:t>(n=87)</w:t>
            </w:r>
          </w:p>
        </w:tc>
        <w:tc>
          <w:tcPr>
            <w:tcW w:w="1803" w:type="dxa"/>
          </w:tcPr>
          <w:p w14:paraId="50539526" w14:textId="77777777" w:rsidR="00552776" w:rsidRPr="00F11264" w:rsidRDefault="00552776" w:rsidP="00FF1F12">
            <w:pPr>
              <w:spacing w:line="360" w:lineRule="auto"/>
              <w:jc w:val="both"/>
              <w:rPr>
                <w:b/>
              </w:rPr>
            </w:pPr>
            <w:r w:rsidRPr="00F11264">
              <w:rPr>
                <w:b/>
              </w:rPr>
              <w:t>Surgeon’s preference (n=90)</w:t>
            </w:r>
          </w:p>
        </w:tc>
        <w:tc>
          <w:tcPr>
            <w:tcW w:w="1804" w:type="dxa"/>
          </w:tcPr>
          <w:p w14:paraId="318DA23B" w14:textId="77777777" w:rsidR="00552776" w:rsidRPr="00F11264" w:rsidRDefault="00552776" w:rsidP="00FF1F12">
            <w:pPr>
              <w:spacing w:line="360" w:lineRule="auto"/>
              <w:jc w:val="both"/>
              <w:rPr>
                <w:b/>
              </w:rPr>
            </w:pPr>
            <w:r w:rsidRPr="00F11264">
              <w:rPr>
                <w:b/>
              </w:rPr>
              <w:t>Difference</w:t>
            </w:r>
          </w:p>
          <w:p w14:paraId="21957997" w14:textId="77777777" w:rsidR="00552776" w:rsidRPr="00F11264" w:rsidRDefault="00552776" w:rsidP="00FF1F12">
            <w:pPr>
              <w:spacing w:line="360" w:lineRule="auto"/>
              <w:jc w:val="both"/>
              <w:rPr>
                <w:b/>
              </w:rPr>
            </w:pPr>
            <w:r w:rsidRPr="00F11264">
              <w:rPr>
                <w:b/>
              </w:rPr>
              <w:t>P-value of t-test</w:t>
            </w:r>
          </w:p>
        </w:tc>
      </w:tr>
      <w:tr w:rsidR="00552776" w14:paraId="279092C4" w14:textId="77777777" w:rsidTr="00FF1F12">
        <w:tc>
          <w:tcPr>
            <w:tcW w:w="1803" w:type="dxa"/>
          </w:tcPr>
          <w:p w14:paraId="3A61F6A4" w14:textId="77777777" w:rsidR="00552776" w:rsidRDefault="00552776" w:rsidP="00FF1F12">
            <w:pPr>
              <w:spacing w:line="360" w:lineRule="auto"/>
              <w:jc w:val="both"/>
            </w:pPr>
            <w:r>
              <w:t>Baseline</w:t>
            </w:r>
          </w:p>
        </w:tc>
        <w:tc>
          <w:tcPr>
            <w:tcW w:w="1803" w:type="dxa"/>
          </w:tcPr>
          <w:p w14:paraId="5B3FB430" w14:textId="77777777" w:rsidR="00552776" w:rsidRDefault="00552776" w:rsidP="00FF1F12">
            <w:pPr>
              <w:spacing w:line="360" w:lineRule="auto"/>
              <w:jc w:val="both"/>
            </w:pPr>
            <w:r w:rsidRPr="003B1A7F">
              <w:t>Mean (SD)</w:t>
            </w:r>
          </w:p>
          <w:p w14:paraId="35F081A3" w14:textId="77777777" w:rsidR="00552776" w:rsidRDefault="00552776" w:rsidP="00FF1F12">
            <w:pPr>
              <w:spacing w:line="360" w:lineRule="auto"/>
              <w:jc w:val="both"/>
            </w:pPr>
            <w:r>
              <w:t>Median</w:t>
            </w:r>
          </w:p>
          <w:p w14:paraId="66AA08C7" w14:textId="77777777" w:rsidR="00552776" w:rsidRDefault="00552776" w:rsidP="00FF1F12">
            <w:pPr>
              <w:spacing w:line="360" w:lineRule="auto"/>
              <w:jc w:val="both"/>
            </w:pPr>
            <w:r>
              <w:t>(min-max)</w:t>
            </w:r>
          </w:p>
        </w:tc>
        <w:tc>
          <w:tcPr>
            <w:tcW w:w="1803" w:type="dxa"/>
          </w:tcPr>
          <w:p w14:paraId="241FADD6" w14:textId="77777777" w:rsidR="00552776" w:rsidRDefault="00552776" w:rsidP="00FF1F12">
            <w:pPr>
              <w:spacing w:line="360" w:lineRule="auto"/>
              <w:jc w:val="both"/>
            </w:pPr>
            <w:r>
              <w:t xml:space="preserve">0.810 (0.238) </w:t>
            </w:r>
          </w:p>
          <w:p w14:paraId="6E5CA1AA" w14:textId="77777777" w:rsidR="00552776" w:rsidRDefault="00552776" w:rsidP="00FF1F12">
            <w:pPr>
              <w:spacing w:line="360" w:lineRule="auto"/>
              <w:jc w:val="both"/>
            </w:pPr>
            <w:r>
              <w:t>0.796</w:t>
            </w:r>
          </w:p>
          <w:p w14:paraId="72B2D610" w14:textId="77777777" w:rsidR="00552776" w:rsidRDefault="00552776" w:rsidP="00FF1F12">
            <w:pPr>
              <w:spacing w:line="360" w:lineRule="auto"/>
              <w:jc w:val="both"/>
            </w:pPr>
            <w:r>
              <w:t>(</w:t>
            </w:r>
            <w:r w:rsidRPr="00080989">
              <w:t>-</w:t>
            </w:r>
            <w:r>
              <w:t>0.594-</w:t>
            </w:r>
            <w:r w:rsidRPr="00080989">
              <w:t>1</w:t>
            </w:r>
            <w:r>
              <w:t>.000)</w:t>
            </w:r>
          </w:p>
        </w:tc>
        <w:tc>
          <w:tcPr>
            <w:tcW w:w="1803" w:type="dxa"/>
          </w:tcPr>
          <w:p w14:paraId="51CB25D0" w14:textId="77777777" w:rsidR="00552776" w:rsidRDefault="00552776" w:rsidP="00FF1F12">
            <w:pPr>
              <w:spacing w:line="360" w:lineRule="auto"/>
              <w:jc w:val="both"/>
            </w:pPr>
            <w:r>
              <w:t>0.750 (0.220)</w:t>
            </w:r>
          </w:p>
          <w:p w14:paraId="79767C18" w14:textId="77777777" w:rsidR="00552776" w:rsidRDefault="00552776" w:rsidP="00FF1F12">
            <w:pPr>
              <w:spacing w:line="360" w:lineRule="auto"/>
              <w:jc w:val="both"/>
            </w:pPr>
            <w:r>
              <w:t>0.796</w:t>
            </w:r>
          </w:p>
          <w:p w14:paraId="51839543" w14:textId="77777777" w:rsidR="00552776" w:rsidRDefault="00552776" w:rsidP="00FF1F12">
            <w:pPr>
              <w:spacing w:line="360" w:lineRule="auto"/>
              <w:jc w:val="both"/>
            </w:pPr>
            <w:r>
              <w:t>(</w:t>
            </w:r>
            <w:r w:rsidRPr="00080989">
              <w:t>-</w:t>
            </w:r>
            <w:r>
              <w:t>0.016-</w:t>
            </w:r>
            <w:r w:rsidRPr="00080989">
              <w:t>1</w:t>
            </w:r>
            <w:r>
              <w:t>.000)</w:t>
            </w:r>
          </w:p>
        </w:tc>
        <w:tc>
          <w:tcPr>
            <w:tcW w:w="1804" w:type="dxa"/>
          </w:tcPr>
          <w:p w14:paraId="4001FE96" w14:textId="77777777" w:rsidR="00552776" w:rsidRDefault="00552776" w:rsidP="00FF1F12">
            <w:pPr>
              <w:spacing w:line="360" w:lineRule="auto"/>
              <w:jc w:val="both"/>
            </w:pPr>
            <w:r>
              <w:t>0.0818</w:t>
            </w:r>
          </w:p>
        </w:tc>
      </w:tr>
      <w:tr w:rsidR="00552776" w14:paraId="6D139F13" w14:textId="77777777" w:rsidTr="00FF1F12">
        <w:tc>
          <w:tcPr>
            <w:tcW w:w="1803" w:type="dxa"/>
          </w:tcPr>
          <w:p w14:paraId="705B2D9C" w14:textId="77777777" w:rsidR="00552776" w:rsidRDefault="00552776" w:rsidP="00FF1F12">
            <w:pPr>
              <w:spacing w:line="360" w:lineRule="auto"/>
              <w:jc w:val="both"/>
            </w:pPr>
            <w:r>
              <w:t xml:space="preserve">6 weeks </w:t>
            </w:r>
          </w:p>
        </w:tc>
        <w:tc>
          <w:tcPr>
            <w:tcW w:w="1803" w:type="dxa"/>
          </w:tcPr>
          <w:p w14:paraId="74F1B3A7" w14:textId="77777777" w:rsidR="00552776" w:rsidRDefault="00552776" w:rsidP="00FF1F12">
            <w:pPr>
              <w:spacing w:line="360" w:lineRule="auto"/>
              <w:jc w:val="both"/>
            </w:pPr>
            <w:r w:rsidRPr="003B1A7F">
              <w:t>Mean (SD)</w:t>
            </w:r>
          </w:p>
          <w:p w14:paraId="778602C7" w14:textId="77777777" w:rsidR="00552776" w:rsidRDefault="00552776" w:rsidP="00FF1F12">
            <w:pPr>
              <w:spacing w:line="360" w:lineRule="auto"/>
              <w:jc w:val="both"/>
            </w:pPr>
            <w:r>
              <w:t>Median</w:t>
            </w:r>
          </w:p>
          <w:p w14:paraId="6B2588E5" w14:textId="77777777" w:rsidR="00552776" w:rsidRDefault="00552776" w:rsidP="00FF1F12">
            <w:pPr>
              <w:spacing w:line="360" w:lineRule="auto"/>
              <w:jc w:val="both"/>
            </w:pPr>
            <w:r>
              <w:t>(min-max)</w:t>
            </w:r>
          </w:p>
        </w:tc>
        <w:tc>
          <w:tcPr>
            <w:tcW w:w="1803" w:type="dxa"/>
          </w:tcPr>
          <w:p w14:paraId="1A01BC18" w14:textId="77777777" w:rsidR="00552776" w:rsidRDefault="00552776" w:rsidP="00FF1F12">
            <w:pPr>
              <w:spacing w:line="360" w:lineRule="auto"/>
              <w:jc w:val="both"/>
            </w:pPr>
            <w:r>
              <w:t>0.791 (0.222)</w:t>
            </w:r>
          </w:p>
          <w:p w14:paraId="4F99A4C8" w14:textId="77777777" w:rsidR="00552776" w:rsidRDefault="00552776" w:rsidP="00FF1F12">
            <w:pPr>
              <w:spacing w:line="360" w:lineRule="auto"/>
              <w:jc w:val="both"/>
            </w:pPr>
            <w:r>
              <w:t>0.796</w:t>
            </w:r>
          </w:p>
          <w:p w14:paraId="5453721C" w14:textId="77777777" w:rsidR="00552776" w:rsidRDefault="00552776" w:rsidP="00FF1F12">
            <w:pPr>
              <w:spacing w:line="360" w:lineRule="auto"/>
              <w:jc w:val="both"/>
            </w:pPr>
            <w:r>
              <w:t>(0.082-1.000)</w:t>
            </w:r>
          </w:p>
        </w:tc>
        <w:tc>
          <w:tcPr>
            <w:tcW w:w="1803" w:type="dxa"/>
          </w:tcPr>
          <w:p w14:paraId="204D73C4" w14:textId="77777777" w:rsidR="00552776" w:rsidRDefault="00552776" w:rsidP="00FF1F12">
            <w:pPr>
              <w:spacing w:line="360" w:lineRule="auto"/>
              <w:jc w:val="both"/>
            </w:pPr>
            <w:r>
              <w:t>0.780 (0.229)</w:t>
            </w:r>
          </w:p>
          <w:p w14:paraId="565EE6A4" w14:textId="77777777" w:rsidR="00552776" w:rsidRDefault="00552776" w:rsidP="00FF1F12">
            <w:pPr>
              <w:spacing w:line="360" w:lineRule="auto"/>
              <w:jc w:val="both"/>
            </w:pPr>
            <w:r>
              <w:t>0.796</w:t>
            </w:r>
          </w:p>
          <w:p w14:paraId="11C30383" w14:textId="77777777" w:rsidR="00552776" w:rsidRDefault="00552776" w:rsidP="00FF1F12">
            <w:pPr>
              <w:spacing w:line="360" w:lineRule="auto"/>
              <w:jc w:val="both"/>
            </w:pPr>
            <w:r>
              <w:t>(-0.181-1.000)</w:t>
            </w:r>
          </w:p>
        </w:tc>
        <w:tc>
          <w:tcPr>
            <w:tcW w:w="1804" w:type="dxa"/>
          </w:tcPr>
          <w:p w14:paraId="016A7B94" w14:textId="77777777" w:rsidR="00552776" w:rsidRDefault="00552776" w:rsidP="00FF1F12">
            <w:pPr>
              <w:spacing w:line="360" w:lineRule="auto"/>
              <w:jc w:val="both"/>
            </w:pPr>
            <w:r>
              <w:t>0.7330</w:t>
            </w:r>
          </w:p>
        </w:tc>
      </w:tr>
      <w:tr w:rsidR="00552776" w14:paraId="33C4F56B" w14:textId="77777777" w:rsidTr="00FF1F12">
        <w:tc>
          <w:tcPr>
            <w:tcW w:w="1803" w:type="dxa"/>
          </w:tcPr>
          <w:p w14:paraId="24CA9298" w14:textId="77777777" w:rsidR="00552776" w:rsidRDefault="00552776" w:rsidP="00FF1F12">
            <w:pPr>
              <w:spacing w:line="360" w:lineRule="auto"/>
              <w:jc w:val="both"/>
            </w:pPr>
            <w:r>
              <w:t xml:space="preserve">6 months </w:t>
            </w:r>
          </w:p>
        </w:tc>
        <w:tc>
          <w:tcPr>
            <w:tcW w:w="1803" w:type="dxa"/>
          </w:tcPr>
          <w:p w14:paraId="0A668573" w14:textId="77777777" w:rsidR="00552776" w:rsidRDefault="00552776" w:rsidP="00FF1F12">
            <w:pPr>
              <w:spacing w:line="360" w:lineRule="auto"/>
              <w:jc w:val="both"/>
            </w:pPr>
            <w:r w:rsidRPr="003B1A7F">
              <w:t>Mean (SD)</w:t>
            </w:r>
          </w:p>
          <w:p w14:paraId="1A1A310C" w14:textId="77777777" w:rsidR="00552776" w:rsidRDefault="00552776" w:rsidP="00FF1F12">
            <w:pPr>
              <w:spacing w:line="360" w:lineRule="auto"/>
              <w:jc w:val="both"/>
            </w:pPr>
            <w:r>
              <w:t>Median</w:t>
            </w:r>
          </w:p>
          <w:p w14:paraId="79D84989" w14:textId="77777777" w:rsidR="00552776" w:rsidRDefault="00552776" w:rsidP="00FF1F12">
            <w:pPr>
              <w:spacing w:line="360" w:lineRule="auto"/>
              <w:jc w:val="both"/>
            </w:pPr>
            <w:r>
              <w:t>(min-max)</w:t>
            </w:r>
          </w:p>
        </w:tc>
        <w:tc>
          <w:tcPr>
            <w:tcW w:w="1803" w:type="dxa"/>
          </w:tcPr>
          <w:p w14:paraId="798A051A" w14:textId="77777777" w:rsidR="00552776" w:rsidRDefault="00552776" w:rsidP="00FF1F12">
            <w:pPr>
              <w:spacing w:line="360" w:lineRule="auto"/>
              <w:jc w:val="both"/>
            </w:pPr>
            <w:r w:rsidRPr="00896349">
              <w:t>0.837</w:t>
            </w:r>
            <w:r>
              <w:t xml:space="preserve"> (0.210)</w:t>
            </w:r>
          </w:p>
          <w:p w14:paraId="3EF2ABDC" w14:textId="77777777" w:rsidR="00552776" w:rsidRDefault="00552776" w:rsidP="00FF1F12">
            <w:pPr>
              <w:spacing w:line="360" w:lineRule="auto"/>
              <w:jc w:val="both"/>
            </w:pPr>
            <w:r>
              <w:t>0.883</w:t>
            </w:r>
          </w:p>
          <w:p w14:paraId="7EB7E2AC" w14:textId="77777777" w:rsidR="00552776" w:rsidRDefault="00552776" w:rsidP="00FF1F12">
            <w:pPr>
              <w:spacing w:line="360" w:lineRule="auto"/>
              <w:jc w:val="both"/>
            </w:pPr>
            <w:r>
              <w:t>(0.082-1.000)</w:t>
            </w:r>
          </w:p>
        </w:tc>
        <w:tc>
          <w:tcPr>
            <w:tcW w:w="1803" w:type="dxa"/>
          </w:tcPr>
          <w:p w14:paraId="6F7FD2D3" w14:textId="77777777" w:rsidR="00552776" w:rsidRDefault="00552776" w:rsidP="00FF1F12">
            <w:pPr>
              <w:spacing w:line="360" w:lineRule="auto"/>
              <w:jc w:val="both"/>
            </w:pPr>
            <w:r>
              <w:t>0.775 (0.287)</w:t>
            </w:r>
          </w:p>
          <w:p w14:paraId="15C7C9B0" w14:textId="77777777" w:rsidR="00552776" w:rsidRDefault="00552776" w:rsidP="00FF1F12">
            <w:pPr>
              <w:spacing w:line="360" w:lineRule="auto"/>
              <w:jc w:val="both"/>
            </w:pPr>
            <w:r>
              <w:t>0.796</w:t>
            </w:r>
          </w:p>
          <w:p w14:paraId="2C91211B" w14:textId="77777777" w:rsidR="00552776" w:rsidRDefault="00552776" w:rsidP="00FF1F12">
            <w:pPr>
              <w:spacing w:line="360" w:lineRule="auto"/>
              <w:jc w:val="both"/>
            </w:pPr>
            <w:r>
              <w:t>(-0.239-1.000)</w:t>
            </w:r>
          </w:p>
        </w:tc>
        <w:tc>
          <w:tcPr>
            <w:tcW w:w="1804" w:type="dxa"/>
          </w:tcPr>
          <w:p w14:paraId="56AFDD2D" w14:textId="77777777" w:rsidR="00552776" w:rsidRDefault="00552776" w:rsidP="00FF1F12">
            <w:pPr>
              <w:spacing w:line="360" w:lineRule="auto"/>
              <w:jc w:val="both"/>
            </w:pPr>
            <w:r>
              <w:t>0.0998</w:t>
            </w:r>
          </w:p>
        </w:tc>
      </w:tr>
      <w:tr w:rsidR="00552776" w14:paraId="2A9928FA" w14:textId="77777777" w:rsidTr="00FF1F12">
        <w:tc>
          <w:tcPr>
            <w:tcW w:w="1803" w:type="dxa"/>
          </w:tcPr>
          <w:p w14:paraId="2607DD31" w14:textId="77777777" w:rsidR="00552776" w:rsidRDefault="00552776" w:rsidP="00FF1F12">
            <w:pPr>
              <w:spacing w:line="360" w:lineRule="auto"/>
              <w:jc w:val="both"/>
            </w:pPr>
            <w:r>
              <w:t>12 months</w:t>
            </w:r>
          </w:p>
        </w:tc>
        <w:tc>
          <w:tcPr>
            <w:tcW w:w="1803" w:type="dxa"/>
          </w:tcPr>
          <w:p w14:paraId="16BD7A0B" w14:textId="77777777" w:rsidR="00552776" w:rsidRDefault="00552776" w:rsidP="00FF1F12">
            <w:pPr>
              <w:spacing w:line="360" w:lineRule="auto"/>
              <w:jc w:val="both"/>
            </w:pPr>
            <w:r w:rsidRPr="003B1A7F">
              <w:t>Mean (SD)</w:t>
            </w:r>
          </w:p>
          <w:p w14:paraId="7DFFB848" w14:textId="77777777" w:rsidR="00552776" w:rsidRDefault="00552776" w:rsidP="00FF1F12">
            <w:pPr>
              <w:spacing w:line="360" w:lineRule="auto"/>
              <w:jc w:val="both"/>
            </w:pPr>
            <w:r>
              <w:t>Median</w:t>
            </w:r>
          </w:p>
          <w:p w14:paraId="564D9C83" w14:textId="77777777" w:rsidR="00552776" w:rsidRDefault="00552776" w:rsidP="00FF1F12">
            <w:pPr>
              <w:spacing w:line="360" w:lineRule="auto"/>
              <w:jc w:val="both"/>
            </w:pPr>
            <w:r>
              <w:t>(min-max)</w:t>
            </w:r>
          </w:p>
        </w:tc>
        <w:tc>
          <w:tcPr>
            <w:tcW w:w="1803" w:type="dxa"/>
          </w:tcPr>
          <w:p w14:paraId="7A7A3F41" w14:textId="77777777" w:rsidR="00552776" w:rsidRDefault="00552776" w:rsidP="00FF1F12">
            <w:pPr>
              <w:spacing w:line="360" w:lineRule="auto"/>
              <w:jc w:val="both"/>
            </w:pPr>
            <w:r>
              <w:t>0.856 (0.195)</w:t>
            </w:r>
          </w:p>
          <w:p w14:paraId="3ED98F82" w14:textId="77777777" w:rsidR="00552776" w:rsidRDefault="00552776" w:rsidP="00FF1F12">
            <w:pPr>
              <w:spacing w:line="360" w:lineRule="auto"/>
              <w:jc w:val="both"/>
            </w:pPr>
            <w:r>
              <w:t>1.000</w:t>
            </w:r>
          </w:p>
          <w:p w14:paraId="3B634179" w14:textId="77777777" w:rsidR="00552776" w:rsidRDefault="00552776" w:rsidP="00FF1F12">
            <w:pPr>
              <w:spacing w:line="360" w:lineRule="auto"/>
              <w:jc w:val="both"/>
            </w:pPr>
            <w:r>
              <w:t>(-0.181-1.000)</w:t>
            </w:r>
          </w:p>
        </w:tc>
        <w:tc>
          <w:tcPr>
            <w:tcW w:w="1803" w:type="dxa"/>
          </w:tcPr>
          <w:p w14:paraId="69D3913A" w14:textId="77777777" w:rsidR="00552776" w:rsidRDefault="00552776" w:rsidP="00FF1F12">
            <w:pPr>
              <w:spacing w:line="360" w:lineRule="auto"/>
              <w:jc w:val="both"/>
            </w:pPr>
            <w:r>
              <w:t>0.836 (0.236)</w:t>
            </w:r>
          </w:p>
          <w:p w14:paraId="747748D7" w14:textId="77777777" w:rsidR="00552776" w:rsidRDefault="00552776" w:rsidP="00FF1F12">
            <w:pPr>
              <w:spacing w:line="360" w:lineRule="auto"/>
              <w:jc w:val="both"/>
            </w:pPr>
            <w:r>
              <w:t>0.924</w:t>
            </w:r>
          </w:p>
          <w:p w14:paraId="1F325A17" w14:textId="77777777" w:rsidR="00552776" w:rsidRDefault="00552776" w:rsidP="00FF1F12">
            <w:pPr>
              <w:spacing w:line="360" w:lineRule="auto"/>
              <w:jc w:val="both"/>
            </w:pPr>
            <w:r>
              <w:t>(-0.331-1.000)</w:t>
            </w:r>
          </w:p>
        </w:tc>
        <w:tc>
          <w:tcPr>
            <w:tcW w:w="1804" w:type="dxa"/>
          </w:tcPr>
          <w:p w14:paraId="69B6F31A" w14:textId="77777777" w:rsidR="00552776" w:rsidRDefault="00552776" w:rsidP="00FF1F12">
            <w:pPr>
              <w:spacing w:line="360" w:lineRule="auto"/>
              <w:jc w:val="both"/>
            </w:pPr>
            <w:r>
              <w:t>0.5372</w:t>
            </w:r>
          </w:p>
        </w:tc>
      </w:tr>
      <w:tr w:rsidR="00552776" w14:paraId="5D357C23" w14:textId="77777777" w:rsidTr="00FF1F12">
        <w:tc>
          <w:tcPr>
            <w:tcW w:w="1803" w:type="dxa"/>
          </w:tcPr>
          <w:p w14:paraId="50C5D450" w14:textId="77777777" w:rsidR="00552776" w:rsidRDefault="00552776" w:rsidP="00FF1F12">
            <w:pPr>
              <w:spacing w:line="360" w:lineRule="auto"/>
              <w:jc w:val="both"/>
            </w:pPr>
            <w:r>
              <w:t>Total QALYs</w:t>
            </w:r>
          </w:p>
        </w:tc>
        <w:tc>
          <w:tcPr>
            <w:tcW w:w="1803" w:type="dxa"/>
          </w:tcPr>
          <w:p w14:paraId="506EE491" w14:textId="77777777" w:rsidR="00552776" w:rsidRDefault="00552776" w:rsidP="00FF1F12">
            <w:pPr>
              <w:spacing w:line="360" w:lineRule="auto"/>
              <w:jc w:val="both"/>
            </w:pPr>
            <w:r w:rsidRPr="003B1A7F">
              <w:t>Mean (SD)</w:t>
            </w:r>
          </w:p>
          <w:p w14:paraId="494370E8" w14:textId="77777777" w:rsidR="00552776" w:rsidRDefault="00552776" w:rsidP="00FF1F12">
            <w:pPr>
              <w:spacing w:line="360" w:lineRule="auto"/>
              <w:jc w:val="both"/>
            </w:pPr>
            <w:r>
              <w:t>Median</w:t>
            </w:r>
          </w:p>
          <w:p w14:paraId="3B4F5324" w14:textId="77777777" w:rsidR="00552776" w:rsidRPr="003B1A7F" w:rsidRDefault="00552776" w:rsidP="00FF1F12">
            <w:pPr>
              <w:spacing w:line="360" w:lineRule="auto"/>
              <w:jc w:val="both"/>
            </w:pPr>
            <w:r>
              <w:t>(min-max)</w:t>
            </w:r>
          </w:p>
        </w:tc>
        <w:tc>
          <w:tcPr>
            <w:tcW w:w="1803" w:type="dxa"/>
          </w:tcPr>
          <w:p w14:paraId="6D356444" w14:textId="77777777" w:rsidR="00552776" w:rsidRDefault="00552776" w:rsidP="00FF1F12">
            <w:pPr>
              <w:spacing w:line="360" w:lineRule="auto"/>
              <w:jc w:val="both"/>
            </w:pPr>
            <w:r>
              <w:t>0.829 (0.174)</w:t>
            </w:r>
          </w:p>
          <w:p w14:paraId="34547CE4" w14:textId="77777777" w:rsidR="00552776" w:rsidRDefault="00552776" w:rsidP="00FF1F12">
            <w:pPr>
              <w:spacing w:line="360" w:lineRule="auto"/>
              <w:jc w:val="both"/>
            </w:pPr>
            <w:r>
              <w:t>0.852</w:t>
            </w:r>
          </w:p>
          <w:p w14:paraId="2847F7CB" w14:textId="77777777" w:rsidR="00552776" w:rsidRDefault="00552776" w:rsidP="00FF1F12">
            <w:pPr>
              <w:spacing w:line="360" w:lineRule="auto"/>
              <w:jc w:val="both"/>
            </w:pPr>
            <w:r>
              <w:t>(0.043-1.000)</w:t>
            </w:r>
          </w:p>
        </w:tc>
        <w:tc>
          <w:tcPr>
            <w:tcW w:w="1803" w:type="dxa"/>
          </w:tcPr>
          <w:p w14:paraId="6BF9ECBA" w14:textId="77777777" w:rsidR="00552776" w:rsidRDefault="00552776" w:rsidP="00FF1F12">
            <w:pPr>
              <w:spacing w:line="360" w:lineRule="auto"/>
              <w:jc w:val="both"/>
            </w:pPr>
            <w:r>
              <w:t>0.790 (0.212)</w:t>
            </w:r>
          </w:p>
          <w:p w14:paraId="6DFB8E6F" w14:textId="77777777" w:rsidR="00552776" w:rsidRDefault="00552776" w:rsidP="00FF1F12">
            <w:pPr>
              <w:spacing w:line="360" w:lineRule="auto"/>
              <w:jc w:val="both"/>
            </w:pPr>
            <w:r>
              <w:t>0.832</w:t>
            </w:r>
          </w:p>
          <w:p w14:paraId="669423B2" w14:textId="77777777" w:rsidR="00552776" w:rsidRDefault="00552776" w:rsidP="00FF1F12">
            <w:pPr>
              <w:spacing w:line="360" w:lineRule="auto"/>
              <w:jc w:val="both"/>
            </w:pPr>
            <w:r>
              <w:t>(-0.102-1.000)</w:t>
            </w:r>
          </w:p>
        </w:tc>
        <w:tc>
          <w:tcPr>
            <w:tcW w:w="1804" w:type="dxa"/>
          </w:tcPr>
          <w:p w14:paraId="5C2A48BE" w14:textId="77777777" w:rsidR="00552776" w:rsidRDefault="00552776" w:rsidP="00FF1F12">
            <w:pPr>
              <w:spacing w:line="360" w:lineRule="auto"/>
              <w:jc w:val="both"/>
            </w:pPr>
            <w:r>
              <w:t>0.1820</w:t>
            </w:r>
          </w:p>
        </w:tc>
      </w:tr>
    </w:tbl>
    <w:p w14:paraId="41A225D1" w14:textId="67E81FC2" w:rsidR="00552776" w:rsidRDefault="00552776">
      <w:pPr>
        <w:rPr>
          <w:rFonts w:ascii="Arial" w:hAnsi="Arial" w:cs="Arial"/>
          <w:sz w:val="22"/>
          <w:szCs w:val="22"/>
        </w:rPr>
      </w:pPr>
    </w:p>
    <w:p w14:paraId="4F173589" w14:textId="6B6A5717" w:rsidR="00552776" w:rsidRDefault="005527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Table </w:t>
      </w:r>
      <w:r w:rsidR="003A324F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>5: EQ-5D-3L index scores at baseline and follow-up and total QALYs by treatment arm (not imputed).</w:t>
      </w:r>
    </w:p>
    <w:p w14:paraId="10893FED" w14:textId="7C6625A9" w:rsidR="00552776" w:rsidRDefault="00552776">
      <w:pPr>
        <w:rPr>
          <w:rFonts w:ascii="Arial" w:hAnsi="Arial" w:cs="Arial"/>
          <w:sz w:val="22"/>
          <w:szCs w:val="22"/>
        </w:rPr>
      </w:pPr>
    </w:p>
    <w:p w14:paraId="75BFB7EE" w14:textId="57002942" w:rsidR="00552776" w:rsidRDefault="0055277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005"/>
        <w:gridCol w:w="3006"/>
      </w:tblGrid>
      <w:tr w:rsidR="00552776" w:rsidRPr="00F11264" w14:paraId="259AC6B0" w14:textId="77777777" w:rsidTr="00FF1F12">
        <w:tc>
          <w:tcPr>
            <w:tcW w:w="1809" w:type="dxa"/>
          </w:tcPr>
          <w:p w14:paraId="59CD5BF9" w14:textId="77777777" w:rsidR="00552776" w:rsidRPr="00F11264" w:rsidRDefault="00552776" w:rsidP="00FF1F1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5" w:type="dxa"/>
          </w:tcPr>
          <w:p w14:paraId="364E3B8B" w14:textId="77777777" w:rsidR="00552776" w:rsidRPr="00F11264" w:rsidRDefault="00552776" w:rsidP="00FF1F12">
            <w:pPr>
              <w:spacing w:line="360" w:lineRule="auto"/>
              <w:rPr>
                <w:rFonts w:ascii="Arial" w:hAnsi="Arial" w:cs="Arial"/>
                <w:b/>
              </w:rPr>
            </w:pPr>
            <w:r w:rsidRPr="00F11264">
              <w:rPr>
                <w:rFonts w:ascii="Arial" w:hAnsi="Arial" w:cs="Arial"/>
                <w:b/>
              </w:rPr>
              <w:t>Fistula plug</w:t>
            </w:r>
          </w:p>
          <w:p w14:paraId="724F2666" w14:textId="77777777" w:rsidR="00552776" w:rsidRPr="00F11264" w:rsidRDefault="00552776" w:rsidP="00FF1F12">
            <w:pPr>
              <w:spacing w:line="360" w:lineRule="auto"/>
              <w:rPr>
                <w:rFonts w:ascii="Arial" w:hAnsi="Arial" w:cs="Arial"/>
                <w:b/>
              </w:rPr>
            </w:pPr>
            <w:r w:rsidRPr="00F11264">
              <w:rPr>
                <w:rFonts w:ascii="Arial" w:hAnsi="Arial" w:cs="Arial"/>
                <w:b/>
              </w:rPr>
              <w:t>(n=87)</w:t>
            </w:r>
          </w:p>
        </w:tc>
        <w:tc>
          <w:tcPr>
            <w:tcW w:w="3006" w:type="dxa"/>
          </w:tcPr>
          <w:p w14:paraId="61810E44" w14:textId="77777777" w:rsidR="00552776" w:rsidRPr="00F11264" w:rsidRDefault="00552776" w:rsidP="00FF1F1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11264">
              <w:rPr>
                <w:rFonts w:ascii="Arial" w:hAnsi="Arial" w:cs="Arial"/>
                <w:b/>
              </w:rPr>
              <w:t>Surgeon’s preference</w:t>
            </w:r>
          </w:p>
          <w:p w14:paraId="2F0D203E" w14:textId="77777777" w:rsidR="00552776" w:rsidRPr="00F11264" w:rsidRDefault="00552776" w:rsidP="00FF1F1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11264">
              <w:rPr>
                <w:rFonts w:ascii="Arial" w:hAnsi="Arial" w:cs="Arial"/>
                <w:b/>
              </w:rPr>
              <w:t>(n=90)</w:t>
            </w:r>
          </w:p>
        </w:tc>
      </w:tr>
      <w:tr w:rsidR="00552776" w:rsidRPr="00F11264" w14:paraId="584A1E10" w14:textId="77777777" w:rsidTr="00FF1F12">
        <w:tc>
          <w:tcPr>
            <w:tcW w:w="1809" w:type="dxa"/>
          </w:tcPr>
          <w:p w14:paraId="3DC51173" w14:textId="77777777" w:rsidR="00552776" w:rsidRPr="00F11264" w:rsidRDefault="00552776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11264">
              <w:rPr>
                <w:rFonts w:ascii="Arial" w:hAnsi="Arial" w:cs="Arial"/>
              </w:rPr>
              <w:t>Total QALYs (SD)</w:t>
            </w:r>
          </w:p>
        </w:tc>
        <w:tc>
          <w:tcPr>
            <w:tcW w:w="3005" w:type="dxa"/>
          </w:tcPr>
          <w:p w14:paraId="4C3B3581" w14:textId="77777777" w:rsidR="00552776" w:rsidRPr="00F11264" w:rsidRDefault="00552776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11264">
              <w:rPr>
                <w:rFonts w:ascii="Arial" w:hAnsi="Arial" w:cs="Arial"/>
              </w:rPr>
              <w:t>0.829 (0.174)</w:t>
            </w:r>
          </w:p>
        </w:tc>
        <w:tc>
          <w:tcPr>
            <w:tcW w:w="3006" w:type="dxa"/>
          </w:tcPr>
          <w:p w14:paraId="16806FB5" w14:textId="77777777" w:rsidR="00552776" w:rsidRPr="00F11264" w:rsidRDefault="00552776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11264">
              <w:rPr>
                <w:rFonts w:ascii="Arial" w:hAnsi="Arial" w:cs="Arial"/>
              </w:rPr>
              <w:t>0.790 (0.212)</w:t>
            </w:r>
          </w:p>
        </w:tc>
      </w:tr>
      <w:tr w:rsidR="00552776" w:rsidRPr="00F11264" w14:paraId="24A38EA6" w14:textId="77777777" w:rsidTr="00FF1F12">
        <w:tc>
          <w:tcPr>
            <w:tcW w:w="1809" w:type="dxa"/>
          </w:tcPr>
          <w:p w14:paraId="2E702534" w14:textId="77777777" w:rsidR="00552776" w:rsidRPr="00F11264" w:rsidRDefault="00552776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11264">
              <w:rPr>
                <w:rFonts w:ascii="Arial" w:hAnsi="Arial" w:cs="Arial"/>
              </w:rPr>
              <w:t>Total Cost £ (SD)</w:t>
            </w:r>
          </w:p>
        </w:tc>
        <w:tc>
          <w:tcPr>
            <w:tcW w:w="3005" w:type="dxa"/>
          </w:tcPr>
          <w:p w14:paraId="1F500A1E" w14:textId="77777777" w:rsidR="00552776" w:rsidRPr="00F11264" w:rsidRDefault="00552776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11264">
              <w:rPr>
                <w:rFonts w:ascii="Arial" w:hAnsi="Arial" w:cs="Arial"/>
              </w:rPr>
              <w:t>£2,738 (1,151)</w:t>
            </w:r>
          </w:p>
        </w:tc>
        <w:tc>
          <w:tcPr>
            <w:tcW w:w="3006" w:type="dxa"/>
          </w:tcPr>
          <w:p w14:paraId="5CA0ECA6" w14:textId="77777777" w:rsidR="00552776" w:rsidRPr="00F11264" w:rsidRDefault="00552776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11264">
              <w:rPr>
                <w:rFonts w:ascii="Arial" w:hAnsi="Arial" w:cs="Arial"/>
              </w:rPr>
              <w:t>£2,308 (1,228)</w:t>
            </w:r>
          </w:p>
        </w:tc>
      </w:tr>
    </w:tbl>
    <w:p w14:paraId="3C3BB64C" w14:textId="7AD7FC75" w:rsidR="00552776" w:rsidRDefault="00552776">
      <w:pPr>
        <w:rPr>
          <w:rFonts w:ascii="Arial" w:hAnsi="Arial" w:cs="Arial"/>
          <w:sz w:val="22"/>
          <w:szCs w:val="22"/>
        </w:rPr>
      </w:pPr>
    </w:p>
    <w:p w14:paraId="4AFD1B4D" w14:textId="2BBEAE72" w:rsidR="00D57125" w:rsidRDefault="00D571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Table </w:t>
      </w:r>
      <w:r w:rsidR="003A324F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>6: Total costs and QALYs by treatment arm (deterministic, non-imputed)</w:t>
      </w:r>
    </w:p>
    <w:p w14:paraId="53F28DAD" w14:textId="1B32095B" w:rsidR="00D57125" w:rsidRDefault="00D57125">
      <w:pPr>
        <w:rPr>
          <w:rFonts w:ascii="Arial" w:hAnsi="Arial" w:cs="Arial"/>
          <w:sz w:val="22"/>
          <w:szCs w:val="22"/>
        </w:rPr>
      </w:pPr>
    </w:p>
    <w:p w14:paraId="699DA3ED" w14:textId="68AE0015" w:rsidR="00D57125" w:rsidRDefault="00D57125">
      <w:pPr>
        <w:rPr>
          <w:rFonts w:ascii="Arial" w:hAnsi="Arial" w:cs="Arial"/>
          <w:sz w:val="22"/>
          <w:szCs w:val="22"/>
        </w:rPr>
      </w:pPr>
    </w:p>
    <w:p w14:paraId="76461BA3" w14:textId="7A9F3FA3" w:rsidR="00D57125" w:rsidRDefault="00D57125">
      <w:pPr>
        <w:rPr>
          <w:rFonts w:ascii="Arial" w:hAnsi="Arial" w:cs="Arial"/>
          <w:sz w:val="22"/>
          <w:szCs w:val="22"/>
        </w:rPr>
      </w:pPr>
    </w:p>
    <w:p w14:paraId="4A594122" w14:textId="77777777" w:rsidR="00D57125" w:rsidRDefault="00D5712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1117"/>
        <w:gridCol w:w="1470"/>
        <w:gridCol w:w="1275"/>
        <w:gridCol w:w="1537"/>
        <w:gridCol w:w="1244"/>
        <w:gridCol w:w="817"/>
      </w:tblGrid>
      <w:tr w:rsidR="00D57125" w:rsidRPr="00F11264" w14:paraId="378BB5B6" w14:textId="77777777" w:rsidTr="00FF1F12">
        <w:tc>
          <w:tcPr>
            <w:tcW w:w="1288" w:type="dxa"/>
          </w:tcPr>
          <w:p w14:paraId="7AAF7C93" w14:textId="77777777" w:rsidR="00D57125" w:rsidRPr="00F11264" w:rsidRDefault="00D57125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11264">
              <w:rPr>
                <w:rFonts w:ascii="Arial" w:hAnsi="Arial" w:cs="Arial"/>
              </w:rPr>
              <w:lastRenderedPageBreak/>
              <w:t>Strategy</w:t>
            </w:r>
          </w:p>
        </w:tc>
        <w:tc>
          <w:tcPr>
            <w:tcW w:w="1117" w:type="dxa"/>
          </w:tcPr>
          <w:p w14:paraId="394B127B" w14:textId="77777777" w:rsidR="00D57125" w:rsidRPr="00F11264" w:rsidRDefault="00D57125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11264">
              <w:rPr>
                <w:rFonts w:ascii="Arial" w:hAnsi="Arial" w:cs="Arial"/>
              </w:rPr>
              <w:t>Total Cost</w:t>
            </w:r>
          </w:p>
          <w:p w14:paraId="1010D4EC" w14:textId="77777777" w:rsidR="00D57125" w:rsidRPr="00F11264" w:rsidRDefault="00D57125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11264">
              <w:rPr>
                <w:rFonts w:ascii="Arial" w:hAnsi="Arial" w:cs="Arial"/>
              </w:rPr>
              <w:t>Mean (SD)</w:t>
            </w:r>
          </w:p>
        </w:tc>
        <w:tc>
          <w:tcPr>
            <w:tcW w:w="1290" w:type="dxa"/>
          </w:tcPr>
          <w:p w14:paraId="70C52C36" w14:textId="77777777" w:rsidR="00D57125" w:rsidRPr="00F11264" w:rsidRDefault="00D57125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11264">
              <w:rPr>
                <w:rFonts w:ascii="Arial" w:hAnsi="Arial" w:cs="Arial"/>
              </w:rPr>
              <w:t>Incremental Cost</w:t>
            </w:r>
          </w:p>
          <w:p w14:paraId="573E0296" w14:textId="77777777" w:rsidR="00D57125" w:rsidRPr="00F11264" w:rsidRDefault="00D57125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11264">
              <w:rPr>
                <w:rFonts w:ascii="Arial" w:hAnsi="Arial" w:cs="Arial"/>
              </w:rPr>
              <w:t>Mean (SD)</w:t>
            </w:r>
          </w:p>
        </w:tc>
        <w:tc>
          <w:tcPr>
            <w:tcW w:w="1275" w:type="dxa"/>
          </w:tcPr>
          <w:p w14:paraId="00F60EC9" w14:textId="77777777" w:rsidR="00D57125" w:rsidRPr="00F11264" w:rsidRDefault="00D57125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11264">
              <w:rPr>
                <w:rFonts w:ascii="Arial" w:hAnsi="Arial" w:cs="Arial"/>
              </w:rPr>
              <w:t>QALY</w:t>
            </w:r>
          </w:p>
          <w:p w14:paraId="7AA1E3C6" w14:textId="77777777" w:rsidR="00D57125" w:rsidRPr="00F11264" w:rsidRDefault="00D57125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11264">
              <w:rPr>
                <w:rFonts w:ascii="Arial" w:hAnsi="Arial" w:cs="Arial"/>
              </w:rPr>
              <w:t>Mean</w:t>
            </w:r>
          </w:p>
          <w:p w14:paraId="2FAC09F5" w14:textId="77777777" w:rsidR="00D57125" w:rsidRPr="00F11264" w:rsidRDefault="00D57125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11264">
              <w:rPr>
                <w:rFonts w:ascii="Arial" w:hAnsi="Arial" w:cs="Arial"/>
              </w:rPr>
              <w:t>(SD)</w:t>
            </w:r>
          </w:p>
        </w:tc>
        <w:tc>
          <w:tcPr>
            <w:tcW w:w="1134" w:type="dxa"/>
          </w:tcPr>
          <w:p w14:paraId="7606D816" w14:textId="77777777" w:rsidR="00D57125" w:rsidRPr="00F11264" w:rsidRDefault="00D57125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11264">
              <w:rPr>
                <w:rFonts w:ascii="Arial" w:hAnsi="Arial" w:cs="Arial"/>
              </w:rPr>
              <w:t>Incremental. QALY</w:t>
            </w:r>
          </w:p>
          <w:p w14:paraId="7F9CCD42" w14:textId="77777777" w:rsidR="00D57125" w:rsidRPr="00F11264" w:rsidRDefault="00D57125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11264">
              <w:rPr>
                <w:rFonts w:ascii="Arial" w:hAnsi="Arial" w:cs="Arial"/>
              </w:rPr>
              <w:t>Mean</w:t>
            </w:r>
          </w:p>
          <w:p w14:paraId="3D7B5430" w14:textId="77777777" w:rsidR="00D57125" w:rsidRPr="00F11264" w:rsidRDefault="00D57125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11264">
              <w:rPr>
                <w:rFonts w:ascii="Arial" w:hAnsi="Arial" w:cs="Arial"/>
              </w:rPr>
              <w:t>(SD)</w:t>
            </w:r>
          </w:p>
        </w:tc>
        <w:tc>
          <w:tcPr>
            <w:tcW w:w="1134" w:type="dxa"/>
          </w:tcPr>
          <w:p w14:paraId="3F598EFA" w14:textId="77777777" w:rsidR="00D57125" w:rsidRPr="00F11264" w:rsidRDefault="00D57125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11264">
              <w:rPr>
                <w:rFonts w:ascii="Arial" w:hAnsi="Arial" w:cs="Arial"/>
              </w:rPr>
              <w:t>ICER</w:t>
            </w:r>
          </w:p>
          <w:p w14:paraId="69CEE8FB" w14:textId="77777777" w:rsidR="00D57125" w:rsidRPr="00F11264" w:rsidRDefault="00D57125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11264">
              <w:rPr>
                <w:rFonts w:ascii="Arial" w:hAnsi="Arial" w:cs="Arial"/>
              </w:rPr>
              <w:t>Mean</w:t>
            </w:r>
          </w:p>
          <w:p w14:paraId="41CCCF0F" w14:textId="77777777" w:rsidR="00D57125" w:rsidRPr="00F11264" w:rsidRDefault="00D57125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11264">
              <w:rPr>
                <w:rFonts w:ascii="Arial" w:hAnsi="Arial" w:cs="Arial"/>
              </w:rPr>
              <w:t>(SD)</w:t>
            </w:r>
          </w:p>
        </w:tc>
        <w:tc>
          <w:tcPr>
            <w:tcW w:w="794" w:type="dxa"/>
          </w:tcPr>
          <w:p w14:paraId="69303F2C" w14:textId="77777777" w:rsidR="00D57125" w:rsidRPr="00F11264" w:rsidRDefault="00D57125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11264">
              <w:rPr>
                <w:rFonts w:ascii="Arial" w:hAnsi="Arial" w:cs="Arial"/>
              </w:rPr>
              <w:t>Inc.</w:t>
            </w:r>
          </w:p>
          <w:p w14:paraId="7AF47B2F" w14:textId="77777777" w:rsidR="00D57125" w:rsidRPr="00F11264" w:rsidRDefault="00D57125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11264">
              <w:rPr>
                <w:rFonts w:ascii="Arial" w:hAnsi="Arial" w:cs="Arial"/>
              </w:rPr>
              <w:t>NB</w:t>
            </w:r>
          </w:p>
          <w:p w14:paraId="1026B21D" w14:textId="77777777" w:rsidR="00D57125" w:rsidRPr="00F11264" w:rsidRDefault="00D57125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11264">
              <w:rPr>
                <w:rFonts w:ascii="Arial" w:hAnsi="Arial" w:cs="Arial"/>
              </w:rPr>
              <w:t>Mean (SD)</w:t>
            </w:r>
          </w:p>
        </w:tc>
      </w:tr>
      <w:tr w:rsidR="00D57125" w:rsidRPr="00F11264" w14:paraId="01122D20" w14:textId="77777777" w:rsidTr="00FF1F12">
        <w:tc>
          <w:tcPr>
            <w:tcW w:w="1288" w:type="dxa"/>
          </w:tcPr>
          <w:p w14:paraId="05C6E348" w14:textId="77777777" w:rsidR="00D57125" w:rsidRPr="00F11264" w:rsidRDefault="00D57125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Surgeon’s preference</w:t>
            </w:r>
          </w:p>
        </w:tc>
        <w:tc>
          <w:tcPr>
            <w:tcW w:w="1117" w:type="dxa"/>
          </w:tcPr>
          <w:p w14:paraId="3A0A04AB" w14:textId="77777777" w:rsidR="00D57125" w:rsidRPr="00F11264" w:rsidRDefault="00D57125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11264">
              <w:rPr>
                <w:rFonts w:ascii="Arial" w:hAnsi="Arial" w:cs="Arial"/>
              </w:rPr>
              <w:t>£2,308 (129)</w:t>
            </w:r>
          </w:p>
        </w:tc>
        <w:tc>
          <w:tcPr>
            <w:tcW w:w="1290" w:type="dxa"/>
          </w:tcPr>
          <w:p w14:paraId="2D61E0D9" w14:textId="77777777" w:rsidR="00D57125" w:rsidRPr="00F11264" w:rsidRDefault="00D57125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EFBBEAC" w14:textId="77777777" w:rsidR="00D57125" w:rsidRPr="00F11264" w:rsidRDefault="00D57125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11264">
              <w:rPr>
                <w:rFonts w:ascii="Arial" w:hAnsi="Arial" w:cs="Arial"/>
              </w:rPr>
              <w:t>0.790 (0.022)</w:t>
            </w:r>
          </w:p>
        </w:tc>
        <w:tc>
          <w:tcPr>
            <w:tcW w:w="1134" w:type="dxa"/>
          </w:tcPr>
          <w:p w14:paraId="3ACE9E28" w14:textId="77777777" w:rsidR="00D57125" w:rsidRPr="00F11264" w:rsidRDefault="00D57125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3963DEC" w14:textId="77777777" w:rsidR="00D57125" w:rsidRPr="00F11264" w:rsidRDefault="00D57125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55D254F5" w14:textId="77777777" w:rsidR="00D57125" w:rsidRPr="00F11264" w:rsidRDefault="00D57125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57125" w:rsidRPr="00F11264" w14:paraId="77DCB238" w14:textId="77777777" w:rsidTr="00FF1F12">
        <w:tc>
          <w:tcPr>
            <w:tcW w:w="1288" w:type="dxa"/>
          </w:tcPr>
          <w:p w14:paraId="3159CA3D" w14:textId="77777777" w:rsidR="00D57125" w:rsidRPr="00F11264" w:rsidRDefault="00D57125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Fistula plug</w:t>
            </w:r>
          </w:p>
        </w:tc>
        <w:tc>
          <w:tcPr>
            <w:tcW w:w="1117" w:type="dxa"/>
          </w:tcPr>
          <w:p w14:paraId="5CB0670B" w14:textId="77777777" w:rsidR="00D57125" w:rsidRPr="00F11264" w:rsidRDefault="00D57125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11264">
              <w:rPr>
                <w:rFonts w:ascii="Arial" w:hAnsi="Arial" w:cs="Arial"/>
              </w:rPr>
              <w:t>£2,738 (123)</w:t>
            </w:r>
          </w:p>
        </w:tc>
        <w:tc>
          <w:tcPr>
            <w:tcW w:w="1290" w:type="dxa"/>
          </w:tcPr>
          <w:p w14:paraId="766DF104" w14:textId="77777777" w:rsidR="00D57125" w:rsidRPr="00F11264" w:rsidRDefault="00D57125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11264">
              <w:rPr>
                <w:rFonts w:ascii="Arial" w:hAnsi="Arial" w:cs="Arial"/>
              </w:rPr>
              <w:t>£430</w:t>
            </w:r>
          </w:p>
          <w:p w14:paraId="72C40AB4" w14:textId="77777777" w:rsidR="00D57125" w:rsidRPr="00F11264" w:rsidRDefault="00D57125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11264">
              <w:rPr>
                <w:rFonts w:ascii="Arial" w:hAnsi="Arial" w:cs="Arial"/>
              </w:rPr>
              <w:t>(178)</w:t>
            </w:r>
          </w:p>
        </w:tc>
        <w:tc>
          <w:tcPr>
            <w:tcW w:w="1275" w:type="dxa"/>
          </w:tcPr>
          <w:p w14:paraId="65DB9D17" w14:textId="77777777" w:rsidR="00D57125" w:rsidRPr="00F11264" w:rsidRDefault="00D57125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11264">
              <w:rPr>
                <w:rFonts w:ascii="Arial" w:hAnsi="Arial" w:cs="Arial"/>
              </w:rPr>
              <w:t>0.829 (0.183)</w:t>
            </w:r>
          </w:p>
        </w:tc>
        <w:tc>
          <w:tcPr>
            <w:tcW w:w="1134" w:type="dxa"/>
          </w:tcPr>
          <w:p w14:paraId="35266561" w14:textId="77777777" w:rsidR="00D57125" w:rsidRPr="00F11264" w:rsidRDefault="00D57125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11264">
              <w:rPr>
                <w:rFonts w:ascii="Arial" w:hAnsi="Arial" w:cs="Arial"/>
              </w:rPr>
              <w:t>0.039 (0.029)</w:t>
            </w:r>
          </w:p>
        </w:tc>
        <w:tc>
          <w:tcPr>
            <w:tcW w:w="1134" w:type="dxa"/>
          </w:tcPr>
          <w:p w14:paraId="1D0C14E7" w14:textId="77777777" w:rsidR="00D57125" w:rsidRPr="00F11264" w:rsidRDefault="00D57125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11264">
              <w:rPr>
                <w:rFonts w:ascii="Arial" w:hAnsi="Arial" w:cs="Arial"/>
              </w:rPr>
              <w:t>£10,993 (478,666)</w:t>
            </w:r>
          </w:p>
        </w:tc>
        <w:tc>
          <w:tcPr>
            <w:tcW w:w="794" w:type="dxa"/>
          </w:tcPr>
          <w:p w14:paraId="738AB383" w14:textId="77777777" w:rsidR="00D57125" w:rsidRPr="00F11264" w:rsidRDefault="00D57125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11264">
              <w:rPr>
                <w:rFonts w:ascii="Arial" w:hAnsi="Arial" w:cs="Arial"/>
              </w:rPr>
              <w:t>£352</w:t>
            </w:r>
          </w:p>
          <w:p w14:paraId="2B15A160" w14:textId="77777777" w:rsidR="00D57125" w:rsidRPr="00F11264" w:rsidRDefault="00D57125" w:rsidP="00FF1F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11264">
              <w:rPr>
                <w:rFonts w:ascii="Arial" w:hAnsi="Arial" w:cs="Arial"/>
              </w:rPr>
              <w:t>(622)</w:t>
            </w:r>
          </w:p>
        </w:tc>
      </w:tr>
    </w:tbl>
    <w:p w14:paraId="156D2433" w14:textId="5D248500" w:rsidR="00D57125" w:rsidRDefault="00D57125">
      <w:pPr>
        <w:rPr>
          <w:rFonts w:ascii="Arial" w:hAnsi="Arial" w:cs="Arial"/>
          <w:sz w:val="22"/>
          <w:szCs w:val="22"/>
        </w:rPr>
      </w:pPr>
    </w:p>
    <w:p w14:paraId="5D0F2E0F" w14:textId="750E3C0C" w:rsidR="00D57125" w:rsidRDefault="00D571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Table </w:t>
      </w:r>
      <w:r w:rsidR="003A324F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>7: Probabilistic cost-effectiveness results (non-imputed)</w:t>
      </w:r>
    </w:p>
    <w:p w14:paraId="7A1D2AFE" w14:textId="4C073A59" w:rsidR="00D57125" w:rsidRDefault="00D57125">
      <w:pPr>
        <w:rPr>
          <w:rFonts w:ascii="Arial" w:hAnsi="Arial" w:cs="Arial"/>
          <w:sz w:val="22"/>
          <w:szCs w:val="22"/>
        </w:rPr>
      </w:pPr>
    </w:p>
    <w:p w14:paraId="4C564DB6" w14:textId="3793E037" w:rsidR="00D57125" w:rsidRDefault="00D57125">
      <w:pPr>
        <w:rPr>
          <w:rFonts w:ascii="Arial" w:hAnsi="Arial" w:cs="Arial"/>
          <w:sz w:val="22"/>
          <w:szCs w:val="22"/>
        </w:rPr>
      </w:pPr>
    </w:p>
    <w:p w14:paraId="3F0D7460" w14:textId="77777777" w:rsidR="00F1196E" w:rsidRDefault="00F1196E">
      <w:pPr>
        <w:rPr>
          <w:rFonts w:ascii="Arial" w:hAnsi="Arial" w:cs="Arial"/>
          <w:sz w:val="22"/>
          <w:szCs w:val="22"/>
        </w:rPr>
      </w:pPr>
    </w:p>
    <w:p w14:paraId="13FE62A7" w14:textId="211B4CA7" w:rsidR="00F1196E" w:rsidRDefault="00F1196E">
      <w:pPr>
        <w:rPr>
          <w:rFonts w:ascii="Arial" w:hAnsi="Arial" w:cs="Arial"/>
          <w:sz w:val="22"/>
          <w:szCs w:val="22"/>
        </w:rPr>
      </w:pPr>
    </w:p>
    <w:p w14:paraId="2F586E0C" w14:textId="6BD1DF71" w:rsidR="00F1196E" w:rsidRDefault="00F1196E">
      <w:pPr>
        <w:rPr>
          <w:rFonts w:ascii="Arial" w:hAnsi="Arial" w:cs="Arial"/>
          <w:sz w:val="22"/>
          <w:szCs w:val="22"/>
        </w:rPr>
      </w:pPr>
      <w:r w:rsidRPr="00C216A3">
        <w:rPr>
          <w:noProof/>
          <w:lang w:eastAsia="en-GB"/>
        </w:rPr>
        <w:drawing>
          <wp:inline distT="0" distB="0" distL="0" distR="0" wp14:anchorId="2222740C" wp14:editId="1ECAC302">
            <wp:extent cx="4572000" cy="24669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C44B0" w14:textId="77777777" w:rsidR="00F1196E" w:rsidRDefault="00F1196E" w:rsidP="00F1196E">
      <w:pPr>
        <w:rPr>
          <w:rFonts w:ascii="Arial" w:hAnsi="Arial" w:cs="Arial"/>
          <w:sz w:val="22"/>
          <w:szCs w:val="22"/>
        </w:rPr>
      </w:pPr>
    </w:p>
    <w:p w14:paraId="272D434E" w14:textId="1376B386" w:rsidR="00F1196E" w:rsidRPr="00F1196E" w:rsidRDefault="00F1196E" w:rsidP="00F1196E">
      <w:pPr>
        <w:rPr>
          <w:rFonts w:ascii="Arial" w:hAnsi="Arial" w:cs="Arial"/>
          <w:b/>
          <w:sz w:val="22"/>
          <w:szCs w:val="22"/>
        </w:rPr>
      </w:pPr>
      <w:r w:rsidRPr="00F1196E">
        <w:rPr>
          <w:rFonts w:ascii="Arial" w:hAnsi="Arial" w:cs="Arial"/>
          <w:b/>
          <w:sz w:val="22"/>
          <w:szCs w:val="22"/>
        </w:rPr>
        <w:t xml:space="preserve">Figure </w:t>
      </w:r>
      <w:r w:rsidR="003A324F">
        <w:rPr>
          <w:rFonts w:ascii="Arial" w:hAnsi="Arial" w:cs="Arial"/>
          <w:b/>
          <w:sz w:val="22"/>
          <w:szCs w:val="22"/>
        </w:rPr>
        <w:t>HE</w:t>
      </w:r>
      <w:r w:rsidRPr="00F1196E">
        <w:rPr>
          <w:rFonts w:ascii="Arial" w:hAnsi="Arial" w:cs="Arial"/>
          <w:b/>
          <w:sz w:val="22"/>
          <w:szCs w:val="22"/>
        </w:rPr>
        <w:t>1: Cost-effectiveness acceptability curve showing the probability that the fistula plug will be cost-effective compared to surgeon’s preference across different willingness to pay values for the QALY using the bootstrap analysis of the imputed data adjusted f</w:t>
      </w:r>
      <w:r w:rsidR="002E6B8B">
        <w:rPr>
          <w:rFonts w:ascii="Arial" w:hAnsi="Arial" w:cs="Arial"/>
          <w:b/>
          <w:sz w:val="22"/>
          <w:szCs w:val="22"/>
        </w:rPr>
        <w:t>or</w:t>
      </w:r>
      <w:r w:rsidRPr="00F1196E">
        <w:rPr>
          <w:rFonts w:ascii="Arial" w:hAnsi="Arial" w:cs="Arial"/>
          <w:b/>
          <w:sz w:val="22"/>
          <w:szCs w:val="22"/>
        </w:rPr>
        <w:t xml:space="preserve"> the baseline EQ-5D-3L.</w:t>
      </w:r>
    </w:p>
    <w:p w14:paraId="6D75E73C" w14:textId="77777777" w:rsidR="00F1196E" w:rsidRPr="00044D6D" w:rsidRDefault="00F1196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1196E" w:rsidRPr="00044D6D" w:rsidSect="008A3887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C0D6B" w14:textId="77777777" w:rsidR="00A20CFD" w:rsidRDefault="00A20CFD" w:rsidP="00044D6D">
      <w:r>
        <w:separator/>
      </w:r>
    </w:p>
  </w:endnote>
  <w:endnote w:type="continuationSeparator" w:id="0">
    <w:p w14:paraId="5EF55A5F" w14:textId="77777777" w:rsidR="00A20CFD" w:rsidRDefault="00A20CFD" w:rsidP="0004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081273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2D076" w14:textId="1CE03F9E" w:rsidR="00044D6D" w:rsidRDefault="00044D6D" w:rsidP="00F459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2187C8" w14:textId="77777777" w:rsidR="00044D6D" w:rsidRDefault="00044D6D" w:rsidP="00044D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033541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3F0135" w14:textId="1F7668B5" w:rsidR="00044D6D" w:rsidRDefault="00044D6D" w:rsidP="00F459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523EC6" w14:textId="77777777" w:rsidR="00044D6D" w:rsidRDefault="00044D6D" w:rsidP="00044D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67DD2" w14:textId="77777777" w:rsidR="00A20CFD" w:rsidRDefault="00A20CFD" w:rsidP="00044D6D">
      <w:r>
        <w:separator/>
      </w:r>
    </w:p>
  </w:footnote>
  <w:footnote w:type="continuationSeparator" w:id="0">
    <w:p w14:paraId="4F1598A0" w14:textId="77777777" w:rsidR="00A20CFD" w:rsidRDefault="00A20CFD" w:rsidP="00044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B0"/>
    <w:rsid w:val="00044D6D"/>
    <w:rsid w:val="002E6B8B"/>
    <w:rsid w:val="00374CB0"/>
    <w:rsid w:val="003A324F"/>
    <w:rsid w:val="004160A8"/>
    <w:rsid w:val="00552776"/>
    <w:rsid w:val="008A3887"/>
    <w:rsid w:val="00A20CFD"/>
    <w:rsid w:val="00A26C94"/>
    <w:rsid w:val="00C72AAB"/>
    <w:rsid w:val="00CB2457"/>
    <w:rsid w:val="00CF2325"/>
    <w:rsid w:val="00D57125"/>
    <w:rsid w:val="00F1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285F5"/>
  <w15:chartTrackingRefBased/>
  <w15:docId w15:val="{31614D2B-7478-864D-836E-E2AD66F4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4D6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044D6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44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D6D"/>
  </w:style>
  <w:style w:type="character" w:styleId="PageNumber">
    <w:name w:val="page number"/>
    <w:basedOn w:val="DefaultParagraphFont"/>
    <w:uiPriority w:val="99"/>
    <w:semiHidden/>
    <w:unhideWhenUsed/>
    <w:rsid w:val="00044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dscotland.org/Health-Topics/Finance/Costs/Detailed-Tables/Theatres.as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1264</Words>
  <Characters>7094</Characters>
  <Application>Microsoft Office Word</Application>
  <DocSecurity>0</DocSecurity>
  <Lines>236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Jayne</dc:creator>
  <cp:keywords/>
  <dc:description/>
  <cp:lastModifiedBy>David Jayne</cp:lastModifiedBy>
  <cp:revision>4</cp:revision>
  <dcterms:created xsi:type="dcterms:W3CDTF">2019-05-27T14:39:00Z</dcterms:created>
  <dcterms:modified xsi:type="dcterms:W3CDTF">2019-05-27T15:13:00Z</dcterms:modified>
</cp:coreProperties>
</file>