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758E" w14:textId="079FA089" w:rsidR="00EA3485" w:rsidRPr="00C2350C" w:rsidRDefault="00EA3485" w:rsidP="00EA3485">
      <w:pPr>
        <w:rPr>
          <w:b/>
          <w:bCs/>
        </w:rPr>
      </w:pPr>
      <w:r w:rsidRPr="00693427">
        <w:rPr>
          <w:b/>
          <w:bCs/>
        </w:rPr>
        <w:t>e-Table 1:</w:t>
      </w:r>
      <w:r>
        <w:rPr>
          <w:b/>
          <w:bCs/>
        </w:rPr>
        <w:t xml:space="preserve"> Change in patient-reported outcomes</w:t>
      </w:r>
    </w:p>
    <w:tbl>
      <w:tblPr>
        <w:tblStyle w:val="TableGrid"/>
        <w:tblW w:w="8672" w:type="dxa"/>
        <w:tblLook w:val="04A0" w:firstRow="1" w:lastRow="0" w:firstColumn="1" w:lastColumn="0" w:noHBand="0" w:noVBand="1"/>
      </w:tblPr>
      <w:tblGrid>
        <w:gridCol w:w="3853"/>
        <w:gridCol w:w="1870"/>
        <w:gridCol w:w="1870"/>
        <w:gridCol w:w="1079"/>
      </w:tblGrid>
      <w:tr w:rsidR="00EA3485" w14:paraId="1F054195" w14:textId="77777777" w:rsidTr="001753DB">
        <w:tc>
          <w:tcPr>
            <w:tcW w:w="3853" w:type="dxa"/>
          </w:tcPr>
          <w:p w14:paraId="6A898DE4" w14:textId="77777777" w:rsidR="00EA3485" w:rsidRDefault="00EA3485" w:rsidP="001753DB"/>
        </w:tc>
        <w:tc>
          <w:tcPr>
            <w:tcW w:w="1870" w:type="dxa"/>
          </w:tcPr>
          <w:p w14:paraId="3A1564B5" w14:textId="77777777" w:rsidR="00EA3485" w:rsidRDefault="00EA3485" w:rsidP="001753DB">
            <w:r w:rsidRPr="00911678">
              <w:rPr>
                <w:b/>
                <w:bCs/>
              </w:rPr>
              <w:t>RVHR (n=6</w:t>
            </w:r>
            <w:r>
              <w:rPr>
                <w:b/>
                <w:bCs/>
              </w:rPr>
              <w:t>0</w:t>
            </w:r>
            <w:r w:rsidRPr="00911678">
              <w:rPr>
                <w:b/>
                <w:bCs/>
              </w:rPr>
              <w:t>)</w:t>
            </w:r>
          </w:p>
        </w:tc>
        <w:tc>
          <w:tcPr>
            <w:tcW w:w="1870" w:type="dxa"/>
          </w:tcPr>
          <w:p w14:paraId="61C5376A" w14:textId="77777777" w:rsidR="00EA3485" w:rsidRDefault="00EA3485" w:rsidP="001753DB">
            <w:r w:rsidRPr="00911678">
              <w:rPr>
                <w:b/>
                <w:bCs/>
              </w:rPr>
              <w:t>LVHR (n=5</w:t>
            </w:r>
            <w:r>
              <w:rPr>
                <w:b/>
                <w:bCs/>
              </w:rPr>
              <w:t>3</w:t>
            </w:r>
            <w:r w:rsidRPr="00911678">
              <w:rPr>
                <w:b/>
                <w:bCs/>
              </w:rPr>
              <w:t>)</w:t>
            </w:r>
          </w:p>
        </w:tc>
        <w:tc>
          <w:tcPr>
            <w:tcW w:w="1079" w:type="dxa"/>
          </w:tcPr>
          <w:p w14:paraId="65EBB82B" w14:textId="77777777" w:rsidR="00EA3485" w:rsidRDefault="00EA3485" w:rsidP="001753DB">
            <w:r w:rsidRPr="00911678">
              <w:rPr>
                <w:b/>
                <w:bCs/>
              </w:rPr>
              <w:t>p-value</w:t>
            </w:r>
          </w:p>
        </w:tc>
      </w:tr>
      <w:tr w:rsidR="00EA3485" w14:paraId="1BF181A3" w14:textId="77777777" w:rsidTr="001753DB">
        <w:tc>
          <w:tcPr>
            <w:tcW w:w="3853" w:type="dxa"/>
          </w:tcPr>
          <w:p w14:paraId="27B1C38D" w14:textId="77777777" w:rsidR="00EA3485" w:rsidRPr="00A70695" w:rsidRDefault="00EA3485" w:rsidP="001753DB">
            <w:pPr>
              <w:rPr>
                <w:b/>
                <w:bCs/>
              </w:rPr>
            </w:pPr>
            <w:r>
              <w:rPr>
                <w:b/>
                <w:bCs/>
              </w:rPr>
              <w:t>Change in functional status (</w:t>
            </w:r>
            <w:proofErr w:type="spellStart"/>
            <w:r>
              <w:rPr>
                <w:b/>
                <w:bCs/>
              </w:rPr>
              <w:t>mAAS</w:t>
            </w:r>
            <w:proofErr w:type="spellEnd"/>
            <w:r>
              <w:rPr>
                <w:b/>
                <w:bCs/>
              </w:rPr>
              <w:t>) score</w:t>
            </w:r>
            <w:r w:rsidRPr="006E24A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70" w:type="dxa"/>
          </w:tcPr>
          <w:p w14:paraId="69A7CA91" w14:textId="77777777" w:rsidR="00EA3485" w:rsidRDefault="00EA3485" w:rsidP="001753DB"/>
        </w:tc>
        <w:tc>
          <w:tcPr>
            <w:tcW w:w="1870" w:type="dxa"/>
          </w:tcPr>
          <w:p w14:paraId="65130E6A" w14:textId="77777777" w:rsidR="00EA3485" w:rsidRDefault="00EA3485" w:rsidP="001753DB"/>
        </w:tc>
        <w:tc>
          <w:tcPr>
            <w:tcW w:w="1079" w:type="dxa"/>
          </w:tcPr>
          <w:p w14:paraId="271CEE5F" w14:textId="77777777" w:rsidR="00EA3485" w:rsidRDefault="00EA3485" w:rsidP="001753DB"/>
        </w:tc>
      </w:tr>
      <w:tr w:rsidR="00EA3485" w14:paraId="6D1C7C92" w14:textId="77777777" w:rsidTr="001753DB">
        <w:tc>
          <w:tcPr>
            <w:tcW w:w="3853" w:type="dxa"/>
          </w:tcPr>
          <w:p w14:paraId="1B071CDD" w14:textId="5462AABB" w:rsidR="00EA3485" w:rsidRDefault="00FD0F81" w:rsidP="001753DB">
            <w:r>
              <w:t>Worsened (</w:t>
            </w:r>
            <w:r>
              <w:rPr>
                <w:rFonts w:cstheme="minorHAnsi"/>
              </w:rPr>
              <w:t>≤</w:t>
            </w:r>
            <w:r w:rsidR="00EA3485">
              <w:t>-7)</w:t>
            </w:r>
          </w:p>
        </w:tc>
        <w:tc>
          <w:tcPr>
            <w:tcW w:w="1870" w:type="dxa"/>
          </w:tcPr>
          <w:p w14:paraId="7AEB0B2B" w14:textId="77777777" w:rsidR="00EA3485" w:rsidRDefault="00EA3485" w:rsidP="001753DB">
            <w:r>
              <w:t>5 (8%)</w:t>
            </w:r>
          </w:p>
        </w:tc>
        <w:tc>
          <w:tcPr>
            <w:tcW w:w="1870" w:type="dxa"/>
          </w:tcPr>
          <w:p w14:paraId="26187C5D" w14:textId="77777777" w:rsidR="00EA3485" w:rsidRDefault="00EA3485" w:rsidP="001753DB">
            <w:r>
              <w:t>3 (6%)</w:t>
            </w:r>
          </w:p>
        </w:tc>
        <w:tc>
          <w:tcPr>
            <w:tcW w:w="1079" w:type="dxa"/>
            <w:vMerge w:val="restart"/>
          </w:tcPr>
          <w:p w14:paraId="1467CC7C" w14:textId="77777777" w:rsidR="00EA3485" w:rsidRDefault="00EA3485" w:rsidP="001753DB">
            <w:r>
              <w:t>0.652</w:t>
            </w:r>
          </w:p>
        </w:tc>
      </w:tr>
      <w:tr w:rsidR="00EA3485" w14:paraId="4D580C45" w14:textId="77777777" w:rsidTr="001753DB">
        <w:tc>
          <w:tcPr>
            <w:tcW w:w="3853" w:type="dxa"/>
          </w:tcPr>
          <w:p w14:paraId="78E3F0D6" w14:textId="77777777" w:rsidR="00EA3485" w:rsidRDefault="00EA3485" w:rsidP="001753DB">
            <w:r>
              <w:t xml:space="preserve">No change </w:t>
            </w:r>
          </w:p>
        </w:tc>
        <w:tc>
          <w:tcPr>
            <w:tcW w:w="1870" w:type="dxa"/>
          </w:tcPr>
          <w:p w14:paraId="5B9B2F10" w14:textId="77777777" w:rsidR="00EA3485" w:rsidRDefault="00EA3485" w:rsidP="001753DB">
            <w:r>
              <w:t>8 (13%)</w:t>
            </w:r>
          </w:p>
        </w:tc>
        <w:tc>
          <w:tcPr>
            <w:tcW w:w="1870" w:type="dxa"/>
          </w:tcPr>
          <w:p w14:paraId="6B695340" w14:textId="77777777" w:rsidR="00EA3485" w:rsidRDefault="00EA3485" w:rsidP="001753DB">
            <w:r>
              <w:t>10 (19%)</w:t>
            </w:r>
          </w:p>
        </w:tc>
        <w:tc>
          <w:tcPr>
            <w:tcW w:w="1079" w:type="dxa"/>
            <w:vMerge/>
          </w:tcPr>
          <w:p w14:paraId="42ABA14E" w14:textId="77777777" w:rsidR="00EA3485" w:rsidRDefault="00EA3485" w:rsidP="001753DB"/>
        </w:tc>
      </w:tr>
      <w:tr w:rsidR="00EA3485" w14:paraId="25DF6B4E" w14:textId="77777777" w:rsidTr="001753DB">
        <w:tc>
          <w:tcPr>
            <w:tcW w:w="3853" w:type="dxa"/>
          </w:tcPr>
          <w:p w14:paraId="45DB923A" w14:textId="7AA3A8C0" w:rsidR="00EA3485" w:rsidRDefault="00EA3485" w:rsidP="00FD0F81">
            <w:r>
              <w:t>Improved (</w:t>
            </w:r>
            <w:r w:rsidR="00FD0F81">
              <w:rPr>
                <w:rFonts w:cstheme="minorHAnsi"/>
              </w:rPr>
              <w:t>≥</w:t>
            </w:r>
            <w:r>
              <w:t>7)</w:t>
            </w:r>
          </w:p>
        </w:tc>
        <w:tc>
          <w:tcPr>
            <w:tcW w:w="1870" w:type="dxa"/>
          </w:tcPr>
          <w:p w14:paraId="138588C6" w14:textId="77777777" w:rsidR="00EA3485" w:rsidRDefault="00EA3485" w:rsidP="001753DB">
            <w:r>
              <w:t>47 (78%)</w:t>
            </w:r>
          </w:p>
        </w:tc>
        <w:tc>
          <w:tcPr>
            <w:tcW w:w="1870" w:type="dxa"/>
          </w:tcPr>
          <w:p w14:paraId="04DCD545" w14:textId="77777777" w:rsidR="00EA3485" w:rsidRDefault="00EA3485" w:rsidP="001753DB">
            <w:r>
              <w:t>40 (75%)</w:t>
            </w:r>
          </w:p>
        </w:tc>
        <w:tc>
          <w:tcPr>
            <w:tcW w:w="1079" w:type="dxa"/>
            <w:vMerge/>
          </w:tcPr>
          <w:p w14:paraId="26EE7A88" w14:textId="77777777" w:rsidR="00EA3485" w:rsidRDefault="00EA3485" w:rsidP="001753DB"/>
        </w:tc>
      </w:tr>
      <w:tr w:rsidR="00EA3485" w14:paraId="7BE997B5" w14:textId="77777777" w:rsidTr="001753DB">
        <w:tc>
          <w:tcPr>
            <w:tcW w:w="3853" w:type="dxa"/>
          </w:tcPr>
          <w:p w14:paraId="07245626" w14:textId="77777777" w:rsidR="00EA3485" w:rsidRDefault="00EA3485" w:rsidP="001753DB"/>
        </w:tc>
        <w:tc>
          <w:tcPr>
            <w:tcW w:w="1870" w:type="dxa"/>
          </w:tcPr>
          <w:p w14:paraId="180995DF" w14:textId="77777777" w:rsidR="00EA3485" w:rsidRDefault="00EA3485" w:rsidP="001753DB"/>
        </w:tc>
        <w:tc>
          <w:tcPr>
            <w:tcW w:w="1870" w:type="dxa"/>
          </w:tcPr>
          <w:p w14:paraId="42C749FA" w14:textId="77777777" w:rsidR="00EA3485" w:rsidRDefault="00EA3485" w:rsidP="001753DB"/>
        </w:tc>
        <w:tc>
          <w:tcPr>
            <w:tcW w:w="1079" w:type="dxa"/>
          </w:tcPr>
          <w:p w14:paraId="726DDDF9" w14:textId="77777777" w:rsidR="00EA3485" w:rsidRDefault="00EA3485" w:rsidP="001753DB"/>
        </w:tc>
      </w:tr>
      <w:tr w:rsidR="00EA3485" w14:paraId="2ADFAE8B" w14:textId="77777777" w:rsidTr="001753DB">
        <w:tc>
          <w:tcPr>
            <w:tcW w:w="3853" w:type="dxa"/>
          </w:tcPr>
          <w:p w14:paraId="4B6DFD81" w14:textId="77777777" w:rsidR="00EA3485" w:rsidRPr="00A70695" w:rsidRDefault="00EA3485" w:rsidP="001753DB">
            <w:pPr>
              <w:rPr>
                <w:b/>
                <w:bCs/>
              </w:rPr>
            </w:pPr>
            <w:r>
              <w:rPr>
                <w:b/>
                <w:bCs/>
              </w:rPr>
              <w:t>Change in pain score</w:t>
            </w:r>
            <w:r w:rsidRPr="006E24A8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70" w:type="dxa"/>
          </w:tcPr>
          <w:p w14:paraId="55A3165A" w14:textId="77777777" w:rsidR="00EA3485" w:rsidRDefault="00EA3485" w:rsidP="001753DB"/>
        </w:tc>
        <w:tc>
          <w:tcPr>
            <w:tcW w:w="1870" w:type="dxa"/>
          </w:tcPr>
          <w:p w14:paraId="6C9D6863" w14:textId="77777777" w:rsidR="00EA3485" w:rsidRDefault="00EA3485" w:rsidP="001753DB"/>
        </w:tc>
        <w:tc>
          <w:tcPr>
            <w:tcW w:w="1079" w:type="dxa"/>
          </w:tcPr>
          <w:p w14:paraId="6DBA9B2B" w14:textId="77777777" w:rsidR="00EA3485" w:rsidRDefault="00EA3485" w:rsidP="001753DB"/>
        </w:tc>
      </w:tr>
      <w:tr w:rsidR="00EA3485" w14:paraId="07AF7E8C" w14:textId="77777777" w:rsidTr="001753DB">
        <w:tc>
          <w:tcPr>
            <w:tcW w:w="3853" w:type="dxa"/>
          </w:tcPr>
          <w:p w14:paraId="6237CFF4" w14:textId="23145087" w:rsidR="00EA3485" w:rsidRDefault="00EA3485" w:rsidP="00FD0F81">
            <w:r>
              <w:t>Worsened (</w:t>
            </w:r>
            <w:r w:rsidR="00FD0F81">
              <w:rPr>
                <w:rFonts w:cstheme="minorHAnsi"/>
              </w:rPr>
              <w:t>≤</w:t>
            </w:r>
            <w:r>
              <w:t>-1)</w:t>
            </w:r>
          </w:p>
        </w:tc>
        <w:tc>
          <w:tcPr>
            <w:tcW w:w="1870" w:type="dxa"/>
          </w:tcPr>
          <w:p w14:paraId="1231AC18" w14:textId="77777777" w:rsidR="00EA3485" w:rsidRDefault="00EA3485" w:rsidP="001753DB">
            <w:r>
              <w:t>20 (33%)</w:t>
            </w:r>
          </w:p>
        </w:tc>
        <w:tc>
          <w:tcPr>
            <w:tcW w:w="1870" w:type="dxa"/>
          </w:tcPr>
          <w:p w14:paraId="16A3D024" w14:textId="77777777" w:rsidR="00EA3485" w:rsidRDefault="00EA3485" w:rsidP="001753DB">
            <w:r>
              <w:t>18 (34%)</w:t>
            </w:r>
          </w:p>
        </w:tc>
        <w:tc>
          <w:tcPr>
            <w:tcW w:w="1079" w:type="dxa"/>
            <w:vMerge w:val="restart"/>
          </w:tcPr>
          <w:p w14:paraId="2574AA21" w14:textId="77777777" w:rsidR="00EA3485" w:rsidRDefault="00EA3485" w:rsidP="001753DB">
            <w:r>
              <w:t>0.522</w:t>
            </w:r>
          </w:p>
        </w:tc>
      </w:tr>
      <w:tr w:rsidR="00EA3485" w14:paraId="5DEB0B3F" w14:textId="77777777" w:rsidTr="001753DB">
        <w:tc>
          <w:tcPr>
            <w:tcW w:w="3853" w:type="dxa"/>
          </w:tcPr>
          <w:p w14:paraId="72966A11" w14:textId="77777777" w:rsidR="00EA3485" w:rsidRDefault="00EA3485" w:rsidP="001753DB">
            <w:r>
              <w:t>No change</w:t>
            </w:r>
          </w:p>
        </w:tc>
        <w:tc>
          <w:tcPr>
            <w:tcW w:w="1870" w:type="dxa"/>
          </w:tcPr>
          <w:p w14:paraId="0F700AA3" w14:textId="77777777" w:rsidR="00EA3485" w:rsidRDefault="00EA3485" w:rsidP="001753DB">
            <w:r>
              <w:t>10 (17%)</w:t>
            </w:r>
          </w:p>
        </w:tc>
        <w:tc>
          <w:tcPr>
            <w:tcW w:w="1870" w:type="dxa"/>
          </w:tcPr>
          <w:p w14:paraId="5854B773" w14:textId="77777777" w:rsidR="00EA3485" w:rsidRDefault="00EA3485" w:rsidP="001753DB">
            <w:r>
              <w:t>13 (25%)</w:t>
            </w:r>
          </w:p>
        </w:tc>
        <w:tc>
          <w:tcPr>
            <w:tcW w:w="1079" w:type="dxa"/>
            <w:vMerge/>
          </w:tcPr>
          <w:p w14:paraId="450EA55F" w14:textId="77777777" w:rsidR="00EA3485" w:rsidRDefault="00EA3485" w:rsidP="001753DB"/>
        </w:tc>
      </w:tr>
      <w:tr w:rsidR="00EA3485" w14:paraId="77497275" w14:textId="77777777" w:rsidTr="001753DB">
        <w:tc>
          <w:tcPr>
            <w:tcW w:w="3853" w:type="dxa"/>
          </w:tcPr>
          <w:p w14:paraId="1D1B52A5" w14:textId="14487C2A" w:rsidR="00EA3485" w:rsidRDefault="00EA3485" w:rsidP="00FD0F81">
            <w:r>
              <w:t>Improved (</w:t>
            </w:r>
            <w:r w:rsidR="00FD0F81">
              <w:rPr>
                <w:rFonts w:cstheme="minorHAnsi"/>
              </w:rPr>
              <w:t>≥</w:t>
            </w:r>
            <w:r>
              <w:t>1)</w:t>
            </w:r>
          </w:p>
        </w:tc>
        <w:tc>
          <w:tcPr>
            <w:tcW w:w="1870" w:type="dxa"/>
          </w:tcPr>
          <w:p w14:paraId="3C3E46DA" w14:textId="77777777" w:rsidR="00EA3485" w:rsidRDefault="00EA3485" w:rsidP="001753DB">
            <w:r>
              <w:t>30 (50%)</w:t>
            </w:r>
          </w:p>
        </w:tc>
        <w:tc>
          <w:tcPr>
            <w:tcW w:w="1870" w:type="dxa"/>
          </w:tcPr>
          <w:p w14:paraId="3C30FAE7" w14:textId="77777777" w:rsidR="00EA3485" w:rsidRDefault="00EA3485" w:rsidP="001753DB">
            <w:r>
              <w:t>22 (42%)</w:t>
            </w:r>
          </w:p>
        </w:tc>
        <w:tc>
          <w:tcPr>
            <w:tcW w:w="1079" w:type="dxa"/>
            <w:vMerge/>
          </w:tcPr>
          <w:p w14:paraId="3E16445D" w14:textId="77777777" w:rsidR="00EA3485" w:rsidRDefault="00EA3485" w:rsidP="001753DB"/>
        </w:tc>
      </w:tr>
    </w:tbl>
    <w:p w14:paraId="57B8E811" w14:textId="77777777" w:rsidR="00EA3485" w:rsidRDefault="00EA3485" w:rsidP="00EA3485">
      <w:r>
        <w:t>RVHR robotic ventral hernia repair</w:t>
      </w:r>
    </w:p>
    <w:p w14:paraId="6BABADDD" w14:textId="77777777" w:rsidR="00EA3485" w:rsidRDefault="00EA3485" w:rsidP="00EA3485">
      <w:r>
        <w:t>LVHR laparoscopic ventral hernia repair</w:t>
      </w:r>
    </w:p>
    <w:p w14:paraId="3439E162" w14:textId="77777777" w:rsidR="00EA3485" w:rsidRDefault="00EA3485" w:rsidP="00EA3485">
      <w:proofErr w:type="spellStart"/>
      <w:r>
        <w:t>mAAS</w:t>
      </w:r>
      <w:proofErr w:type="spellEnd"/>
      <w:r>
        <w:t xml:space="preserve"> modified activities assessment scale </w:t>
      </w:r>
    </w:p>
    <w:p w14:paraId="2B884E3C" w14:textId="77777777" w:rsidR="00EA3485" w:rsidRDefault="00EA3485" w:rsidP="00EA3485">
      <w:r w:rsidRPr="006E24A8">
        <w:rPr>
          <w:vertAlign w:val="superscript"/>
        </w:rPr>
        <w:t>1</w:t>
      </w:r>
      <w:r>
        <w:t>Functional status score ranges from 1=poor to 100=perfect, minimal clinically important difference=7</w:t>
      </w:r>
    </w:p>
    <w:p w14:paraId="272E2146" w14:textId="77777777" w:rsidR="00EA3485" w:rsidRDefault="00EA3485" w:rsidP="00EA3485">
      <w:r w:rsidRPr="006E24A8">
        <w:rPr>
          <w:vertAlign w:val="superscript"/>
        </w:rPr>
        <w:t>2</w:t>
      </w:r>
      <w:r>
        <w:t>Pain score ranges from 1=no pain to 10=severe pain, minimal clinically important difference=1</w:t>
      </w:r>
    </w:p>
    <w:p w14:paraId="114D0D0D" w14:textId="77777777" w:rsidR="00EE0D03" w:rsidRDefault="003C2161"/>
    <w:sectPr w:rsidR="00EE0D03" w:rsidSect="0053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85"/>
    <w:rsid w:val="003C2161"/>
    <w:rsid w:val="005375DA"/>
    <w:rsid w:val="00A5436D"/>
    <w:rsid w:val="00C2350C"/>
    <w:rsid w:val="00E43998"/>
    <w:rsid w:val="00EA3485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E57C"/>
  <w15:chartTrackingRefBased/>
  <w15:docId w15:val="{50CFBD78-3B76-AF4C-BD53-D5792553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 Dhanani</dc:creator>
  <cp:keywords/>
  <dc:description/>
  <cp:lastModifiedBy>Naila Dhanani</cp:lastModifiedBy>
  <cp:revision>2</cp:revision>
  <dcterms:created xsi:type="dcterms:W3CDTF">2020-12-04T17:24:00Z</dcterms:created>
  <dcterms:modified xsi:type="dcterms:W3CDTF">2020-12-04T17:24:00Z</dcterms:modified>
</cp:coreProperties>
</file>