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CBF6" w14:textId="77777777" w:rsidR="009D1026" w:rsidRDefault="009D1026" w:rsidP="009D1026">
      <w:pPr>
        <w:tabs>
          <w:tab w:val="left" w:pos="5056"/>
        </w:tabs>
      </w:pPr>
    </w:p>
    <w:p w14:paraId="4DB857EF" w14:textId="77777777" w:rsidR="009D1026" w:rsidRDefault="009D1026" w:rsidP="009D1026">
      <w:pPr>
        <w:tabs>
          <w:tab w:val="left" w:pos="5056"/>
        </w:tabs>
      </w:pPr>
    </w:p>
    <w:p w14:paraId="3412552D" w14:textId="0B3AEA7F" w:rsidR="009D1026" w:rsidRDefault="00544716" w:rsidP="009D1026">
      <w:pPr>
        <w:tabs>
          <w:tab w:val="left" w:pos="5056"/>
        </w:tabs>
      </w:pPr>
      <w:r>
        <w:t xml:space="preserve">Supplemental Table 3.  Annual EGS data including admissions, operations, deaths, and sepsis incidence.  Admissions are also expressed as percentage of total US hospital admissions.  </w:t>
      </w:r>
      <w:r w:rsidR="00914B1D">
        <w:t>Operations are expressed as percentage of EGS admissions.  Annual mortality rate and annual sepsis rate are also given.  *p&lt;0.0001 for 10-year trend from 2001 to 2010</w:t>
      </w:r>
      <w:bookmarkStart w:id="0" w:name="_GoBack"/>
      <w:bookmarkEnd w:id="0"/>
    </w:p>
    <w:p w14:paraId="3E5A61A9" w14:textId="77777777" w:rsidR="009D1026" w:rsidRDefault="009D1026" w:rsidP="009D1026">
      <w:pPr>
        <w:tabs>
          <w:tab w:val="left" w:pos="5056"/>
        </w:tabs>
      </w:pPr>
    </w:p>
    <w:p w14:paraId="2C6160B8" w14:textId="77777777" w:rsidR="009D1026" w:rsidRDefault="009D1026" w:rsidP="009D1026">
      <w:pPr>
        <w:tabs>
          <w:tab w:val="left" w:pos="5056"/>
        </w:tabs>
        <w:ind w:left="90"/>
      </w:pPr>
    </w:p>
    <w:tbl>
      <w:tblPr>
        <w:tblW w:w="153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180"/>
        <w:gridCol w:w="1080"/>
        <w:gridCol w:w="6"/>
        <w:gridCol w:w="1074"/>
        <w:gridCol w:w="227"/>
        <w:gridCol w:w="853"/>
        <w:gridCol w:w="413"/>
        <w:gridCol w:w="667"/>
        <w:gridCol w:w="599"/>
        <w:gridCol w:w="481"/>
        <w:gridCol w:w="689"/>
        <w:gridCol w:w="391"/>
        <w:gridCol w:w="875"/>
        <w:gridCol w:w="205"/>
        <w:gridCol w:w="1061"/>
        <w:gridCol w:w="19"/>
        <w:gridCol w:w="1170"/>
        <w:gridCol w:w="1260"/>
        <w:gridCol w:w="1260"/>
        <w:gridCol w:w="236"/>
      </w:tblGrid>
      <w:tr w:rsidR="009D1026" w:rsidRPr="009D1026" w14:paraId="5394B9DE" w14:textId="77777777" w:rsidTr="00EE0026">
        <w:trPr>
          <w:gridAfter w:val="1"/>
          <w:wAfter w:w="236" w:type="dxa"/>
          <w:trHeight w:val="380"/>
        </w:trPr>
        <w:tc>
          <w:tcPr>
            <w:tcW w:w="151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41E5" w14:textId="77777777" w:rsidR="009D1026" w:rsidRPr="009D1026" w:rsidRDefault="009D1026" w:rsidP="00EE0026">
            <w:pPr>
              <w:ind w:left="9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EE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Annual EGS Burden of Disease 2001 to 2010</w:t>
            </w:r>
          </w:p>
        </w:tc>
      </w:tr>
      <w:tr w:rsidR="009D1026" w:rsidRPr="009D1026" w14:paraId="5F90D742" w14:textId="77777777" w:rsidTr="00EE0026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6506" w14:textId="77777777" w:rsidR="009D1026" w:rsidRPr="009D1026" w:rsidRDefault="009D1026" w:rsidP="009D1026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55D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D7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47E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F19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33D6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639A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9AB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ABB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652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BAC4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B82A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 xml:space="preserve"> Totals</w:t>
            </w:r>
          </w:p>
        </w:tc>
      </w:tr>
      <w:tr w:rsidR="009D1026" w:rsidRPr="009D1026" w14:paraId="15506CB2" w14:textId="77777777" w:rsidTr="00EE0026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DB10" w14:textId="77777777" w:rsidR="009D1026" w:rsidRPr="009D1026" w:rsidRDefault="009D1026" w:rsidP="009D1026">
            <w:pPr>
              <w:ind w:left="90" w:hanging="9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EGS Admissions/y</w:t>
            </w:r>
            <w:r w:rsidR="00EE0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ea</w:t>
            </w: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7B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2,380,535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7EB1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2,524,833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25C3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2,564,913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565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2,635,614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1C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2,740,836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92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2,867,981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32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2,859,975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60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3,028,833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85D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3,030,409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4CBA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3,034,878*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441A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6"/>
              </w:rPr>
              <w:t>27,668,807</w:t>
            </w:r>
          </w:p>
        </w:tc>
      </w:tr>
      <w:tr w:rsidR="009D1026" w:rsidRPr="009D1026" w14:paraId="644CEDF1" w14:textId="77777777" w:rsidTr="00D05F15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9669492" w14:textId="77777777" w:rsidR="009D1026" w:rsidRPr="009D1026" w:rsidRDefault="009D1026" w:rsidP="009D1026">
            <w:pPr>
              <w:ind w:left="90" w:hanging="90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E00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Total US Hospital Admits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F5E8FCF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9BFF22E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3BAC3D4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EF74BD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0248CC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539B82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25ADF2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32EAD8F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0C5261C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653CDDF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7.8%*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80DCBB7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7.1%</w:t>
            </w:r>
          </w:p>
        </w:tc>
      </w:tr>
      <w:tr w:rsidR="009D1026" w:rsidRPr="009D1026" w14:paraId="3B6A3B66" w14:textId="77777777" w:rsidTr="00EE0026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14CF" w14:textId="77777777" w:rsidR="009D1026" w:rsidRPr="009D1026" w:rsidRDefault="009D1026" w:rsidP="009D1026">
            <w:pPr>
              <w:ind w:left="90" w:hanging="9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EGS Operations/y</w:t>
            </w:r>
            <w:r w:rsidR="00EE0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ea</w:t>
            </w: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65F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659,340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704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714,187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962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733,806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8FF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753,483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5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804,244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25D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836,552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8DE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831,425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79BF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886,809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59D8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887,400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9BEA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872,332*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684D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6"/>
              </w:rPr>
              <w:t>7,979,578</w:t>
            </w:r>
          </w:p>
        </w:tc>
      </w:tr>
      <w:tr w:rsidR="009D1026" w:rsidRPr="009D1026" w14:paraId="063260A7" w14:textId="77777777" w:rsidTr="00D05F15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5758155" w14:textId="77777777" w:rsidR="009D1026" w:rsidRPr="009D1026" w:rsidRDefault="009D1026" w:rsidP="009D1026">
            <w:pPr>
              <w:ind w:left="90" w:hanging="90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% EGS Admissions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7EF8C7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BEBC0E9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28.3%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E54A022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28.6%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F900B0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28.6%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402BFE3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8884CD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FF8CB17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6941C47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B0DB159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7599034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28.7%*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1FDF1D0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28.8%</w:t>
            </w:r>
          </w:p>
        </w:tc>
      </w:tr>
      <w:tr w:rsidR="009D1026" w:rsidRPr="009D1026" w14:paraId="2789B24B" w14:textId="77777777" w:rsidTr="00EE0026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A0F7" w14:textId="77777777" w:rsidR="009D1026" w:rsidRPr="009D1026" w:rsidRDefault="009D1026" w:rsidP="009D1026">
            <w:pPr>
              <w:ind w:left="90" w:hanging="9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Deaths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A57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65,039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54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65,360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406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65,030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527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60,433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AC5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65,250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AD8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56,383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429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52,685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EDC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55,049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C30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52,525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C41B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48,742*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E8CD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6"/>
              </w:rPr>
              <w:t>586,496</w:t>
            </w:r>
          </w:p>
        </w:tc>
      </w:tr>
      <w:tr w:rsidR="009D1026" w:rsidRPr="009D1026" w14:paraId="51CCF2C8" w14:textId="77777777" w:rsidTr="00D05F15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889A9D0" w14:textId="77777777" w:rsidR="009D1026" w:rsidRPr="009D1026" w:rsidRDefault="009D1026" w:rsidP="009D1026">
            <w:pPr>
              <w:ind w:left="90" w:hanging="90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EGS Mortality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4446DDA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036FD24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2.6%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89A29B7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D3F30F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C4550C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A382023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635835B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DFD0D14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FEB9BFF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CCC567C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1.6%*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61EAC83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2.1%</w:t>
            </w:r>
          </w:p>
        </w:tc>
      </w:tr>
      <w:tr w:rsidR="009D1026" w:rsidRPr="009D1026" w14:paraId="5970BF39" w14:textId="77777777" w:rsidTr="00EE0026">
        <w:trPr>
          <w:gridAfter w:val="1"/>
          <w:wAfter w:w="236" w:type="dxa"/>
          <w:trHeight w:val="484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D0A7" w14:textId="77777777" w:rsidR="009D1026" w:rsidRPr="009D1026" w:rsidRDefault="009D1026" w:rsidP="009D1026">
            <w:pPr>
              <w:ind w:left="90" w:hanging="9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Sepsis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6304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45,309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42D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49,689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8C6" w14:textId="77777777" w:rsidR="009D1026" w:rsidRPr="009D1026" w:rsidRDefault="009D1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54,474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962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58,268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C31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57,095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A99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60,670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37E0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61,011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5CC" w14:textId="77777777" w:rsidR="009D1026" w:rsidRPr="009D1026" w:rsidRDefault="009D1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65,358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2C0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66,391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7251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64,889*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5CED" w14:textId="77777777" w:rsidR="009D1026" w:rsidRPr="009D1026" w:rsidRDefault="009D1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6"/>
              </w:rPr>
              <w:t>583,154</w:t>
            </w:r>
          </w:p>
        </w:tc>
      </w:tr>
      <w:tr w:rsidR="00EE0026" w:rsidRPr="009D1026" w14:paraId="1390AF7E" w14:textId="77777777" w:rsidTr="00D05F15">
        <w:trPr>
          <w:gridAfter w:val="1"/>
          <w:wAfter w:w="236" w:type="dxa"/>
          <w:trHeight w:val="44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4C05A" w14:textId="77777777" w:rsidR="00EE0026" w:rsidRPr="009D1026" w:rsidRDefault="00EE0026" w:rsidP="009D1026">
            <w:pPr>
              <w:ind w:left="90" w:hanging="90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EGS Sepsis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423F3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1.9%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3E04C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06DDF" w14:textId="77777777" w:rsidR="00EE0026" w:rsidRPr="009D1026" w:rsidRDefault="00EE0026" w:rsidP="009D102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3C892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26A98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03616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E7E75A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316D3" w14:textId="77777777" w:rsidR="00EE0026" w:rsidRPr="009D1026" w:rsidRDefault="00EE0026" w:rsidP="009D1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AF8029" w14:textId="77777777" w:rsidR="00EE0026" w:rsidRPr="009D1026" w:rsidRDefault="00EE0026" w:rsidP="005447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D46C3A" w14:textId="77777777" w:rsidR="00EE0026" w:rsidRPr="009D1026" w:rsidRDefault="00EE0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2.1%*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48C3EA" w14:textId="77777777" w:rsidR="00EE0026" w:rsidRPr="009D1026" w:rsidRDefault="00EE0026" w:rsidP="00EE0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026">
              <w:rPr>
                <w:rFonts w:ascii="Times New Roman" w:eastAsia="Times New Roman" w:hAnsi="Times New Roman" w:cs="Times New Roman"/>
                <w:color w:val="000000"/>
              </w:rPr>
              <w:t>2.1%</w:t>
            </w:r>
          </w:p>
        </w:tc>
      </w:tr>
      <w:tr w:rsidR="00D05F15" w:rsidRPr="009D1026" w14:paraId="1B2EFCC8" w14:textId="77777777" w:rsidTr="0054471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3331" w14:textId="77777777" w:rsidR="00D05F15" w:rsidRPr="009D1026" w:rsidRDefault="00D05F15" w:rsidP="009D1026">
            <w:pPr>
              <w:ind w:left="9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E0A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CB2A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273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ED2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0AC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CEA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352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736F" w14:textId="77777777" w:rsidR="00D05F15" w:rsidRPr="009D1026" w:rsidRDefault="00D05F15" w:rsidP="00D05F1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094" w14:textId="77777777" w:rsidR="00D05F15" w:rsidRPr="009D1026" w:rsidRDefault="00D05F15" w:rsidP="009D1026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4A45547" w14:textId="77777777" w:rsidR="009D1026" w:rsidRPr="009D1026" w:rsidRDefault="009D1026" w:rsidP="009D1026">
      <w:pPr>
        <w:tabs>
          <w:tab w:val="left" w:pos="5056"/>
        </w:tabs>
      </w:pPr>
    </w:p>
    <w:sectPr w:rsidR="009D1026" w:rsidRPr="009D1026" w:rsidSect="009D1026">
      <w:pgSz w:w="15840" w:h="12240" w:orient="landscape"/>
      <w:pgMar w:top="1800" w:right="1440" w:bottom="180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6"/>
    <w:rsid w:val="0036104D"/>
    <w:rsid w:val="00544716"/>
    <w:rsid w:val="00914B1D"/>
    <w:rsid w:val="009D1026"/>
    <w:rsid w:val="00D05F15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2A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Gale</dc:creator>
  <cp:keywords/>
  <dc:description/>
  <cp:lastModifiedBy>Stephen Gale</cp:lastModifiedBy>
  <cp:revision>3</cp:revision>
  <dcterms:created xsi:type="dcterms:W3CDTF">2014-04-04T05:03:00Z</dcterms:created>
  <dcterms:modified xsi:type="dcterms:W3CDTF">2014-04-11T13:43:00Z</dcterms:modified>
</cp:coreProperties>
</file>