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5B28" w14:textId="77777777" w:rsidR="002B728B" w:rsidRDefault="007B5C46">
      <w:r>
        <w:rPr>
          <w:noProof/>
        </w:rPr>
        <w:drawing>
          <wp:inline distT="0" distB="0" distL="0" distR="0" wp14:anchorId="108905CA" wp14:editId="73AFD9E4">
            <wp:extent cx="58750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Digital Content 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0530" w14:textId="77777777" w:rsidR="007B5C46" w:rsidRDefault="007B5C46">
      <w:r w:rsidRPr="00BB29CE">
        <w:rPr>
          <w:rFonts w:ascii="Times-Bold" w:hAnsi="Times-Bold" w:cs="Times-Bold"/>
          <w:b/>
        </w:rPr>
        <w:t>Supplemental Digital Content 1.</w:t>
      </w:r>
      <w:r w:rsidRPr="00521088">
        <w:rPr>
          <w:rFonts w:ascii="Times-Bold" w:hAnsi="Times-Bold" w:cs="Times-Bold"/>
        </w:rPr>
        <w:t xml:space="preserve"> </w:t>
      </w:r>
      <w:r w:rsidRPr="00521088">
        <w:rPr>
          <w:b/>
        </w:rPr>
        <w:t xml:space="preserve">Time Course </w:t>
      </w:r>
      <w:r>
        <w:rPr>
          <w:b/>
        </w:rPr>
        <w:t xml:space="preserve">of Rapid </w:t>
      </w:r>
      <w:proofErr w:type="spellStart"/>
      <w:r>
        <w:rPr>
          <w:b/>
        </w:rPr>
        <w:t>Thromboelastography</w:t>
      </w:r>
      <w:proofErr w:type="spellEnd"/>
      <w:r w:rsidRPr="00521088">
        <w:rPr>
          <w:b/>
        </w:rPr>
        <w:t xml:space="preserve"> Measures After Injury </w:t>
      </w:r>
      <w:proofErr w:type="gramStart"/>
      <w:r w:rsidRPr="00521088">
        <w:rPr>
          <w:b/>
        </w:rPr>
        <w:t>By</w:t>
      </w:r>
      <w:proofErr w:type="gramEnd"/>
      <w:r w:rsidRPr="00521088">
        <w:rPr>
          <w:b/>
        </w:rPr>
        <w:t xml:space="preserve"> Presenting Fibrinolytic </w:t>
      </w:r>
      <w:proofErr w:type="spellStart"/>
      <w:r w:rsidRPr="00521088">
        <w:rPr>
          <w:b/>
        </w:rPr>
        <w:t>Phentoype</w:t>
      </w:r>
      <w:proofErr w:type="spellEnd"/>
      <w:r w:rsidRPr="00521088">
        <w:rPr>
          <w:b/>
        </w:rPr>
        <w:t>.</w:t>
      </w:r>
      <w:r w:rsidRPr="00521088">
        <w:t xml:space="preserve"> </w:t>
      </w:r>
      <w:r>
        <w:t xml:space="preserve">Error </w:t>
      </w:r>
      <w:r w:rsidRPr="00AD5579">
        <w:t xml:space="preserve">bars </w:t>
      </w:r>
      <w:r>
        <w:t>display the</w:t>
      </w:r>
      <w:r w:rsidRPr="00AD5579">
        <w:t xml:space="preserve"> interquartile range. </w:t>
      </w:r>
      <w:r w:rsidRPr="00521088">
        <w:t xml:space="preserve">Where ACT indicates activated clotting time; LY-30, lysis at 30-minutes; MA, maximal amplitude; and </w:t>
      </w:r>
      <w:proofErr w:type="spellStart"/>
      <w:r w:rsidRPr="00521088">
        <w:t>rTEG</w:t>
      </w:r>
      <w:proofErr w:type="spellEnd"/>
      <w:r w:rsidRPr="00521088">
        <w:t xml:space="preserve">, rapid </w:t>
      </w:r>
      <w:proofErr w:type="spellStart"/>
      <w:r w:rsidRPr="00521088">
        <w:t>thromboelastography</w:t>
      </w:r>
      <w:proofErr w:type="spellEnd"/>
      <w:r w:rsidRPr="00521088">
        <w:t>.</w:t>
      </w:r>
      <w:bookmarkStart w:id="0" w:name="_GoBack"/>
      <w:bookmarkEnd w:id="0"/>
    </w:p>
    <w:sectPr w:rsidR="007B5C46" w:rsidSect="007B5C46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6"/>
    <w:rsid w:val="002B728B"/>
    <w:rsid w:val="007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A846"/>
  <w15:chartTrackingRefBased/>
  <w15:docId w15:val="{20D90807-9819-440C-B68A-402880EA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2018-10-24T16:22:00Z</dcterms:created>
  <dcterms:modified xsi:type="dcterms:W3CDTF">2018-10-24T16:23:00Z</dcterms:modified>
</cp:coreProperties>
</file>