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9EB" w:rsidRDefault="000779EB" w:rsidP="000779E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779EB" w:rsidRDefault="000779EB" w:rsidP="000779E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B60AC5" wp14:editId="2EC7FFFC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7113905" cy="5173345"/>
            <wp:effectExtent l="0" t="0" r="0" b="8255"/>
            <wp:wrapTight wrapText="bothSides">
              <wp:wrapPolygon edited="0">
                <wp:start x="0" y="0"/>
                <wp:lineTo x="0" y="21555"/>
                <wp:lineTo x="21517" y="21555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05" cy="517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9EB" w:rsidRPr="005C7B32" w:rsidRDefault="000779EB" w:rsidP="000779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eFigure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bookmarkStart w:id="0" w:name="_Hlk533687323"/>
      <w:r>
        <w:rPr>
          <w:rFonts w:ascii="Times New Roman" w:hAnsi="Times New Roman" w:cs="Times New Roman"/>
          <w:sz w:val="24"/>
          <w:szCs w:val="24"/>
        </w:rPr>
        <w:t xml:space="preserve">Mortality rate (left axis) and odds of mortality (right axis) from cubic spline regression plotted against total prehospital time in PTOS. Top horizontal dashed line represents 5% mortality rate. Prehospital times ≤30 minutes have a mortality rate of 5% or greater, whereas prehospital times &gt;30 minutes have a mortality rate less than 5%. Bottom horizontal dashed line represents odds of mortality of 1.0. The odds of mortality increase above 1.0 at prehospital times of ≤30minutes (vertical gray line). </w:t>
      </w:r>
      <w:bookmarkEnd w:id="0"/>
    </w:p>
    <w:p w:rsidR="00614B68" w:rsidRDefault="000779EB">
      <w:bookmarkStart w:id="1" w:name="_GoBack"/>
      <w:bookmarkEnd w:id="1"/>
    </w:p>
    <w:sectPr w:rsidR="0061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EB"/>
    <w:rsid w:val="000779EB"/>
    <w:rsid w:val="0072628D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A349D-235E-499F-AF55-6B32739B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9EB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1</cp:revision>
  <dcterms:created xsi:type="dcterms:W3CDTF">2019-03-06T16:22:00Z</dcterms:created>
  <dcterms:modified xsi:type="dcterms:W3CDTF">2019-03-06T16:22:00Z</dcterms:modified>
</cp:coreProperties>
</file>