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4A95" w:rsidRDefault="00F54A95" w:rsidP="00F54A95">
      <w:pPr>
        <w:spacing w:line="240" w:lineRule="auto"/>
        <w:rPr>
          <w:b/>
        </w:rPr>
      </w:pPr>
      <w:r w:rsidRPr="00131F8E">
        <w:rPr>
          <w:b/>
        </w:rPr>
        <w:t xml:space="preserve">Supplemental </w:t>
      </w:r>
      <w:r w:rsidRPr="001E0283">
        <w:rPr>
          <w:b/>
        </w:rPr>
        <w:t>Digital Content</w:t>
      </w:r>
    </w:p>
    <w:p w:rsidR="00F54A95" w:rsidRDefault="00F54A95" w:rsidP="00F54A95">
      <w:pPr>
        <w:spacing w:line="240" w:lineRule="auto"/>
        <w:rPr>
          <w:b/>
        </w:rPr>
      </w:pPr>
      <w:r>
        <w:rPr>
          <w:b/>
        </w:rPr>
        <w:t xml:space="preserve">Supplemental Figure 1: Bland-Altman Plots for the Primary Comparison Analysis for </w:t>
      </w:r>
      <w:proofErr w:type="gramStart"/>
      <w:r>
        <w:rPr>
          <w:b/>
        </w:rPr>
        <w:t>CK.R</w:t>
      </w:r>
      <w:proofErr w:type="gramEnd"/>
      <w:r>
        <w:rPr>
          <w:b/>
        </w:rPr>
        <w:t xml:space="preserve"> (panel A), CRT.MA (panel B), CRT.MA vs CK.</w:t>
      </w:r>
      <w:r w:rsidRPr="002E04B7">
        <w:rPr>
          <w:b/>
          <w:noProof/>
        </w:rPr>
        <w:t xml:space="preserve"> </w:t>
      </w:r>
      <w:r>
        <w:rPr>
          <w:b/>
        </w:rPr>
        <w:t>MA (panel C), CFF.MA (panel D) and CK.LY30 (panel E)</w:t>
      </w:r>
    </w:p>
    <w:p w:rsidR="00F54A95" w:rsidRDefault="00F54A95" w:rsidP="00F54A95">
      <w:pPr>
        <w:rPr>
          <w:b/>
        </w:rPr>
      </w:pPr>
      <w:r>
        <w:rPr>
          <w:b/>
          <w:noProof/>
        </w:rPr>
        <w:drawing>
          <wp:inline distT="0" distB="0" distL="0" distR="0" wp14:anchorId="50BF6433" wp14:editId="5973CFBE">
            <wp:extent cx="2880360" cy="728291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441" cy="73235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54A95" w:rsidRPr="00A24427" w:rsidRDefault="00F54A95" w:rsidP="00F54A95">
      <w:pPr>
        <w:rPr>
          <w:b/>
        </w:rPr>
      </w:pPr>
      <w:r w:rsidRPr="00B115AB">
        <w:lastRenderedPageBreak/>
        <w:t xml:space="preserve">CFF.MA, citrated functional fibrinogen maximum amplitude; CK.LY30, citrated kaolin clot lysis at 30 minutes; </w:t>
      </w:r>
      <w:proofErr w:type="gramStart"/>
      <w:r w:rsidRPr="00B115AB">
        <w:t>CK.R</w:t>
      </w:r>
      <w:proofErr w:type="gramEnd"/>
      <w:r w:rsidRPr="00B115AB">
        <w:t xml:space="preserve">, citrated kaolin reaction time; CRT.MA, citrated </w:t>
      </w:r>
      <w:proofErr w:type="spellStart"/>
      <w:r>
        <w:t>R</w:t>
      </w:r>
      <w:r w:rsidRPr="00B115AB">
        <w:t>apidTEG</w:t>
      </w:r>
      <w:proofErr w:type="spellEnd"/>
      <w:r>
        <w:t>™</w:t>
      </w:r>
      <w:r w:rsidRPr="00B115AB">
        <w:t xml:space="preserve"> maximum amplitude</w:t>
      </w:r>
    </w:p>
    <w:p w:rsidR="00614B68" w:rsidRDefault="00F54A95">
      <w:bookmarkStart w:id="0" w:name="_GoBack"/>
      <w:bookmarkEnd w:id="0"/>
    </w:p>
    <w:sectPr w:rsidR="00614B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A95"/>
    <w:rsid w:val="0072628D"/>
    <w:rsid w:val="00EC5AE1"/>
    <w:rsid w:val="00F5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A18804-E602-4552-A71E-F851ACA9C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4A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Hein, Megan</dc:creator>
  <cp:keywords/>
  <dc:description/>
  <cp:lastModifiedBy>Hein, Megan</cp:lastModifiedBy>
  <cp:revision>1</cp:revision>
  <dcterms:created xsi:type="dcterms:W3CDTF">2019-11-04T21:08:00Z</dcterms:created>
  <dcterms:modified xsi:type="dcterms:W3CDTF">2019-11-04T21:09:00Z</dcterms:modified>
</cp:coreProperties>
</file>