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0A" w:rsidRPr="00131F8E" w:rsidRDefault="00D4360A" w:rsidP="00D4360A">
      <w:pPr>
        <w:spacing w:line="240" w:lineRule="auto"/>
        <w:rPr>
          <w:b/>
        </w:rPr>
      </w:pPr>
      <w:r w:rsidRPr="00131F8E">
        <w:rPr>
          <w:b/>
        </w:rPr>
        <w:t xml:space="preserve">Supplemental Figure </w:t>
      </w:r>
      <w:r>
        <w:rPr>
          <w:b/>
        </w:rPr>
        <w:t>5</w:t>
      </w:r>
      <w:r w:rsidRPr="00131F8E">
        <w:rPr>
          <w:b/>
        </w:rPr>
        <w:t xml:space="preserve">: TEG® 5000 </w:t>
      </w:r>
      <w:r>
        <w:rPr>
          <w:b/>
        </w:rPr>
        <w:t>C</w:t>
      </w:r>
      <w:r w:rsidRPr="00131F8E">
        <w:rPr>
          <w:b/>
        </w:rPr>
        <w:t xml:space="preserve">omparison of </w:t>
      </w:r>
      <w:r>
        <w:rPr>
          <w:b/>
        </w:rPr>
        <w:t>R</w:t>
      </w:r>
      <w:r w:rsidRPr="00131F8E">
        <w:rPr>
          <w:b/>
        </w:rPr>
        <w:t xml:space="preserve">eplicates for </w:t>
      </w:r>
      <w:r>
        <w:rPr>
          <w:b/>
        </w:rPr>
        <w:t>I</w:t>
      </w:r>
      <w:r w:rsidRPr="00131F8E">
        <w:rPr>
          <w:b/>
        </w:rPr>
        <w:t xml:space="preserve">nternal </w:t>
      </w:r>
      <w:r>
        <w:rPr>
          <w:b/>
        </w:rPr>
        <w:t>A</w:t>
      </w:r>
      <w:r w:rsidRPr="00131F8E">
        <w:rPr>
          <w:b/>
        </w:rPr>
        <w:t xml:space="preserve">greement for </w:t>
      </w:r>
      <w:proofErr w:type="gramStart"/>
      <w:r>
        <w:rPr>
          <w:b/>
        </w:rPr>
        <w:t>CK.R</w:t>
      </w:r>
      <w:proofErr w:type="gramEnd"/>
      <w:r>
        <w:rPr>
          <w:b/>
        </w:rPr>
        <w:t xml:space="preserve"> (panel A), CRT.MA (panel B), CRT.MA vs CK.</w:t>
      </w:r>
      <w:r w:rsidRPr="002E04B7">
        <w:rPr>
          <w:b/>
          <w:noProof/>
        </w:rPr>
        <w:t xml:space="preserve"> </w:t>
      </w:r>
      <w:r>
        <w:rPr>
          <w:b/>
        </w:rPr>
        <w:t>MA (panel C), CFF.MA (panel D) and CK.LY30 (panel E).</w:t>
      </w:r>
    </w:p>
    <w:p w:rsidR="00D4360A" w:rsidRDefault="00D4360A" w:rsidP="00D4360A">
      <w:pPr>
        <w:spacing w:line="240" w:lineRule="auto"/>
      </w:pPr>
      <w:r>
        <w:rPr>
          <w:noProof/>
        </w:rPr>
        <w:drawing>
          <wp:inline distT="0" distB="0" distL="0" distR="0" wp14:anchorId="32AB97C7" wp14:editId="7BEA83FB">
            <wp:extent cx="4800600" cy="690675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56" cy="6908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60A" w:rsidRDefault="00D4360A" w:rsidP="00D4360A">
      <w:pPr>
        <w:spacing w:line="240" w:lineRule="auto"/>
      </w:pPr>
      <w:r w:rsidRPr="006929BA">
        <w:t>Axes numbers in bold indicate reference range; the overall range of graph is in line with the analytical measurement range</w:t>
      </w:r>
      <w:r w:rsidRPr="00B115AB">
        <w:t xml:space="preserve"> </w:t>
      </w:r>
    </w:p>
    <w:p w:rsidR="00D4360A" w:rsidRDefault="00D4360A" w:rsidP="00D4360A">
      <w:pPr>
        <w:spacing w:line="240" w:lineRule="auto"/>
        <w:rPr>
          <w:b/>
        </w:rPr>
      </w:pPr>
      <w:r w:rsidRPr="00B115AB">
        <w:lastRenderedPageBreak/>
        <w:t xml:space="preserve">CFF.MA, citrated functional fibrinogen maximum amplitude; CK.LY30, citrated kaolin clot lysis at 30 minutes; </w:t>
      </w:r>
      <w:proofErr w:type="gramStart"/>
      <w:r w:rsidRPr="00B115AB">
        <w:t>CK.R</w:t>
      </w:r>
      <w:proofErr w:type="gramEnd"/>
      <w:r w:rsidRPr="00B115AB">
        <w:t xml:space="preserve">, citrated kaolin reaction time; CRT.MA, citrated </w:t>
      </w:r>
      <w:proofErr w:type="spellStart"/>
      <w:r>
        <w:t>R</w:t>
      </w:r>
      <w:r w:rsidRPr="00B115AB">
        <w:t>apidTEG</w:t>
      </w:r>
      <w:proofErr w:type="spellEnd"/>
      <w:r>
        <w:t>™</w:t>
      </w:r>
      <w:r w:rsidRPr="00B115AB">
        <w:t xml:space="preserve"> maximum amplitude</w:t>
      </w:r>
      <w:r w:rsidRPr="00FD17A9">
        <w:rPr>
          <w:b/>
        </w:rPr>
        <w:t xml:space="preserve"> </w:t>
      </w:r>
    </w:p>
    <w:p w:rsidR="00D4360A" w:rsidRDefault="00D4360A" w:rsidP="00D4360A">
      <w:pPr>
        <w:spacing w:line="240" w:lineRule="auto"/>
        <w:rPr>
          <w:b/>
        </w:rPr>
      </w:pPr>
    </w:p>
    <w:p w:rsidR="00D4360A" w:rsidRPr="00131F8E" w:rsidRDefault="00D4360A" w:rsidP="00D4360A">
      <w:pPr>
        <w:spacing w:line="240" w:lineRule="auto"/>
        <w:rPr>
          <w:b/>
        </w:rPr>
      </w:pPr>
      <w:r w:rsidRPr="00131F8E">
        <w:rPr>
          <w:b/>
        </w:rPr>
        <w:t xml:space="preserve">Supplemental Figure </w:t>
      </w:r>
      <w:r>
        <w:rPr>
          <w:b/>
        </w:rPr>
        <w:t>6</w:t>
      </w:r>
      <w:r w:rsidRPr="00131F8E">
        <w:rPr>
          <w:b/>
        </w:rPr>
        <w:t xml:space="preserve">: TEG® 6s </w:t>
      </w:r>
      <w:r>
        <w:rPr>
          <w:b/>
        </w:rPr>
        <w:t>C</w:t>
      </w:r>
      <w:r w:rsidRPr="00131F8E">
        <w:rPr>
          <w:b/>
        </w:rPr>
        <w:t xml:space="preserve">omparison of </w:t>
      </w:r>
      <w:r>
        <w:rPr>
          <w:b/>
        </w:rPr>
        <w:t>R</w:t>
      </w:r>
      <w:r w:rsidRPr="00131F8E">
        <w:rPr>
          <w:b/>
        </w:rPr>
        <w:t xml:space="preserve">eplicates for </w:t>
      </w:r>
      <w:r>
        <w:rPr>
          <w:b/>
        </w:rPr>
        <w:t>I</w:t>
      </w:r>
      <w:r w:rsidRPr="00131F8E">
        <w:rPr>
          <w:b/>
        </w:rPr>
        <w:t xml:space="preserve">nternal </w:t>
      </w:r>
      <w:r>
        <w:rPr>
          <w:b/>
        </w:rPr>
        <w:t>A</w:t>
      </w:r>
      <w:r w:rsidRPr="00131F8E">
        <w:rPr>
          <w:b/>
        </w:rPr>
        <w:t xml:space="preserve">greement for </w:t>
      </w:r>
      <w:proofErr w:type="gramStart"/>
      <w:r w:rsidRPr="00131F8E">
        <w:rPr>
          <w:b/>
        </w:rPr>
        <w:t>CK.R</w:t>
      </w:r>
      <w:proofErr w:type="gramEnd"/>
      <w:r w:rsidRPr="00131F8E">
        <w:rPr>
          <w:b/>
        </w:rPr>
        <w:t xml:space="preserve"> (</w:t>
      </w:r>
      <w:r>
        <w:rPr>
          <w:b/>
        </w:rPr>
        <w:t>P</w:t>
      </w:r>
      <w:r w:rsidRPr="00131F8E">
        <w:rPr>
          <w:b/>
        </w:rPr>
        <w:t>anel A), CFF.MA (</w:t>
      </w:r>
      <w:r>
        <w:rPr>
          <w:b/>
        </w:rPr>
        <w:t>P</w:t>
      </w:r>
      <w:r w:rsidRPr="00131F8E">
        <w:rPr>
          <w:b/>
        </w:rPr>
        <w:t>anel B), CK.LY30 (</w:t>
      </w:r>
      <w:r>
        <w:rPr>
          <w:b/>
        </w:rPr>
        <w:t>P</w:t>
      </w:r>
      <w:r w:rsidRPr="00131F8E">
        <w:rPr>
          <w:b/>
        </w:rPr>
        <w:t>anel C), CRT.MA vs. CK.MA (</w:t>
      </w:r>
      <w:r>
        <w:rPr>
          <w:b/>
        </w:rPr>
        <w:t>P</w:t>
      </w:r>
      <w:r w:rsidRPr="00131F8E">
        <w:rPr>
          <w:b/>
        </w:rPr>
        <w:t>anel D) and CRT.MA (</w:t>
      </w:r>
      <w:r>
        <w:rPr>
          <w:b/>
        </w:rPr>
        <w:t>P</w:t>
      </w:r>
      <w:r w:rsidRPr="00131F8E">
        <w:rPr>
          <w:b/>
        </w:rPr>
        <w:t>anel E).</w:t>
      </w:r>
    </w:p>
    <w:p w:rsidR="00D4360A" w:rsidRDefault="00D4360A" w:rsidP="00D4360A">
      <w:pPr>
        <w:spacing w:line="240" w:lineRule="auto"/>
      </w:pPr>
      <w:r>
        <w:rPr>
          <w:noProof/>
        </w:rPr>
        <w:drawing>
          <wp:inline distT="0" distB="0" distL="0" distR="0" wp14:anchorId="6ED63A74" wp14:editId="2B8D612A">
            <wp:extent cx="4523740" cy="6492875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649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60A" w:rsidRDefault="00D4360A" w:rsidP="00D4360A">
      <w:pPr>
        <w:spacing w:line="240" w:lineRule="auto"/>
      </w:pPr>
      <w:r w:rsidRPr="006929BA">
        <w:t>Axes numbers in bold indicate reference range; the overall range of graph is in line with the analytical measurement range</w:t>
      </w:r>
      <w:r w:rsidRPr="00B115AB">
        <w:t xml:space="preserve"> </w:t>
      </w:r>
    </w:p>
    <w:p w:rsidR="00D4360A" w:rsidRDefault="00D4360A" w:rsidP="00D4360A">
      <w:pPr>
        <w:spacing w:line="240" w:lineRule="auto"/>
      </w:pPr>
      <w:r w:rsidRPr="00B115AB">
        <w:lastRenderedPageBreak/>
        <w:t xml:space="preserve">CFF.MA, citrated functional fibrinogen maximum amplitude; CK.LY30, citrated kaolin clot lysis at 30 minutes; </w:t>
      </w:r>
      <w:proofErr w:type="gramStart"/>
      <w:r w:rsidRPr="00B115AB">
        <w:t>CK.R</w:t>
      </w:r>
      <w:proofErr w:type="gramEnd"/>
      <w:r w:rsidRPr="00B115AB">
        <w:t xml:space="preserve">, citrated kaolin reaction time; CRT.MA, citrated </w:t>
      </w:r>
      <w:proofErr w:type="spellStart"/>
      <w:r>
        <w:t>R</w:t>
      </w:r>
      <w:r w:rsidRPr="00B115AB">
        <w:t>apidTEG</w:t>
      </w:r>
      <w:proofErr w:type="spellEnd"/>
      <w:r>
        <w:t>™</w:t>
      </w:r>
      <w:r w:rsidRPr="00B115AB">
        <w:t xml:space="preserve"> maximum amplitude</w:t>
      </w:r>
    </w:p>
    <w:p w:rsidR="00614B68" w:rsidRDefault="00D4360A">
      <w:bookmarkStart w:id="0" w:name="_GoBack"/>
      <w:bookmarkEnd w:id="0"/>
    </w:p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0A"/>
    <w:rsid w:val="0072628D"/>
    <w:rsid w:val="00D4360A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C7F2-17A3-454D-B3D2-890EF42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2019-11-04T21:11:00Z</dcterms:created>
  <dcterms:modified xsi:type="dcterms:W3CDTF">2019-11-04T21:11:00Z</dcterms:modified>
</cp:coreProperties>
</file>