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8A4BE" w14:textId="5553A9B1" w:rsidR="008521A2" w:rsidRDefault="008521A2" w:rsidP="008521A2">
      <w:pPr>
        <w:spacing w:before="120"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5CC0F" wp14:editId="30F22F98">
            <wp:extent cx="5943600" cy="3685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D8B3" w14:textId="4793E739" w:rsidR="008521A2" w:rsidRPr="005E0CF5" w:rsidRDefault="008521A2" w:rsidP="008521A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E0CF5">
        <w:rPr>
          <w:rFonts w:ascii="Times New Roman" w:hAnsi="Times New Roman" w:cs="Times New Roman"/>
          <w:b/>
          <w:sz w:val="24"/>
          <w:szCs w:val="24"/>
        </w:rPr>
        <w:t>Supplemental Figure 3:</w:t>
      </w:r>
      <w:proofErr w:type="gramStart"/>
      <w:r w:rsidRPr="005E0CF5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5E0CF5">
        <w:rPr>
          <w:rFonts w:ascii="Times New Roman" w:hAnsi="Times New Roman" w:cs="Times New Roman"/>
          <w:sz w:val="24"/>
          <w:szCs w:val="24"/>
        </w:rPr>
        <w:t xml:space="preserve">A) A transonic probe </w:t>
      </w:r>
      <w:r w:rsidRPr="00BA0DA4">
        <w:rPr>
          <w:rFonts w:ascii="Times New Roman" w:hAnsi="Times New Roman" w:cs="Times New Roman"/>
          <w:sz w:val="24"/>
          <w:szCs w:val="24"/>
        </w:rPr>
        <w:t>record</w:t>
      </w:r>
      <w:r w:rsidR="00C84BC2" w:rsidRPr="00BA0DA4">
        <w:rPr>
          <w:rFonts w:ascii="Times New Roman" w:hAnsi="Times New Roman" w:cs="Times New Roman"/>
          <w:sz w:val="24"/>
          <w:szCs w:val="24"/>
        </w:rPr>
        <w:t>ed</w:t>
      </w:r>
      <w:r w:rsidRPr="005E0CF5">
        <w:rPr>
          <w:rFonts w:ascii="Times New Roman" w:hAnsi="Times New Roman" w:cs="Times New Roman"/>
          <w:sz w:val="24"/>
          <w:szCs w:val="24"/>
        </w:rPr>
        <w:t xml:space="preserve"> flow volume from a renal artery.  </w:t>
      </w:r>
    </w:p>
    <w:p w14:paraId="5A7A3666" w14:textId="5AC9B248" w:rsidR="008521A2" w:rsidRDefault="008521A2" w:rsidP="008521A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E0CF5">
        <w:rPr>
          <w:rFonts w:ascii="Times New Roman" w:hAnsi="Times New Roman" w:cs="Times New Roman"/>
          <w:sz w:val="24"/>
          <w:szCs w:val="24"/>
        </w:rPr>
        <w:t xml:space="preserve">Flow tracings from the superior mesenteric artery at baseline (B) and after placement of the Rescue stent (C) </w:t>
      </w:r>
      <w:r w:rsidRPr="00BA0DA4">
        <w:rPr>
          <w:rFonts w:ascii="Times New Roman" w:hAnsi="Times New Roman" w:cs="Times New Roman"/>
          <w:sz w:val="24"/>
          <w:szCs w:val="24"/>
        </w:rPr>
        <w:t>reveal</w:t>
      </w:r>
      <w:r w:rsidR="00C84BC2" w:rsidRPr="00BA0DA4">
        <w:rPr>
          <w:rFonts w:ascii="Times New Roman" w:hAnsi="Times New Roman" w:cs="Times New Roman"/>
          <w:sz w:val="24"/>
          <w:szCs w:val="24"/>
        </w:rPr>
        <w:t>ed</w:t>
      </w:r>
      <w:bookmarkStart w:id="0" w:name="_GoBack"/>
      <w:bookmarkEnd w:id="0"/>
      <w:r w:rsidRPr="005E0CF5">
        <w:rPr>
          <w:rFonts w:ascii="Times New Roman" w:hAnsi="Times New Roman" w:cs="Times New Roman"/>
          <w:sz w:val="24"/>
          <w:szCs w:val="24"/>
        </w:rPr>
        <w:t xml:space="preserve"> preserved mesenteric flow.</w:t>
      </w:r>
    </w:p>
    <w:p w14:paraId="00A2F61F" w14:textId="77777777" w:rsidR="00614B68" w:rsidRDefault="00BA0DA4"/>
    <w:sectPr w:rsidR="006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1A2"/>
    <w:rsid w:val="0035335E"/>
    <w:rsid w:val="0072628D"/>
    <w:rsid w:val="008521A2"/>
    <w:rsid w:val="00BA0DA4"/>
    <w:rsid w:val="00C84BC2"/>
    <w:rsid w:val="00EC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D9968"/>
  <w15:chartTrackingRefBased/>
  <w15:docId w15:val="{1C01142B-DE91-4783-93C8-87D2CFBB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2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Hein, Megan</dc:creator>
  <cp:keywords/>
  <dc:description/>
  <cp:lastModifiedBy>Hein, Megan</cp:lastModifiedBy>
  <cp:revision>2</cp:revision>
  <dcterms:created xsi:type="dcterms:W3CDTF">2020-05-04T21:10:00Z</dcterms:created>
  <dcterms:modified xsi:type="dcterms:W3CDTF">2020-05-04T21:10:00Z</dcterms:modified>
</cp:coreProperties>
</file>