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61D25" w14:textId="77777777" w:rsidR="00533FF9" w:rsidRPr="00533FF9" w:rsidRDefault="00533FF9" w:rsidP="00533FF9">
      <w:pPr>
        <w:jc w:val="center"/>
        <w:rPr>
          <w:rFonts w:asciiTheme="majorHAnsi" w:hAnsiTheme="majorHAnsi"/>
          <w:b/>
          <w:sz w:val="28"/>
          <w:szCs w:val="28"/>
          <w:u w:val="single"/>
        </w:rPr>
      </w:pPr>
      <w:bookmarkStart w:id="0" w:name="_GoBack"/>
      <w:bookmarkEnd w:id="0"/>
      <w:r w:rsidRPr="00533FF9">
        <w:rPr>
          <w:rFonts w:asciiTheme="majorHAnsi" w:hAnsiTheme="majorHAnsi"/>
          <w:b/>
          <w:sz w:val="28"/>
          <w:szCs w:val="28"/>
          <w:u w:val="single"/>
        </w:rPr>
        <w:t>Appendix 1 - Summary of Literature</w:t>
      </w:r>
    </w:p>
    <w:p w14:paraId="73E8DA6C" w14:textId="77777777" w:rsidR="00533FF9" w:rsidRDefault="00533FF9" w:rsidP="00533FF9">
      <w:pPr>
        <w:jc w:val="center"/>
        <w:rPr>
          <w:sz w:val="28"/>
          <w:szCs w:val="28"/>
        </w:rPr>
      </w:pPr>
    </w:p>
    <w:p w14:paraId="47105419" w14:textId="77777777" w:rsidR="00533FF9" w:rsidRPr="008337E8" w:rsidRDefault="00533FF9" w:rsidP="00533FF9">
      <w:pPr>
        <w:jc w:val="center"/>
        <w:rPr>
          <w:rFonts w:asciiTheme="majorHAnsi" w:hAnsiTheme="majorHAnsi"/>
          <w:sz w:val="22"/>
          <w:szCs w:val="22"/>
        </w:rPr>
      </w:pPr>
    </w:p>
    <w:p w14:paraId="58772E74" w14:textId="77777777" w:rsidR="00533FF9" w:rsidRPr="008337E8" w:rsidRDefault="00533FF9" w:rsidP="00533FF9">
      <w:pPr>
        <w:rPr>
          <w:rFonts w:asciiTheme="majorHAnsi" w:hAnsiTheme="majorHAnsi"/>
          <w:sz w:val="22"/>
          <w:szCs w:val="22"/>
        </w:rPr>
      </w:pPr>
      <w:r w:rsidRPr="008337E8">
        <w:rPr>
          <w:rFonts w:asciiTheme="majorHAnsi" w:hAnsiTheme="majorHAnsi"/>
          <w:sz w:val="22"/>
          <w:szCs w:val="22"/>
        </w:rPr>
        <w:t>1)  Bloch, E.C., Hyperthermia resulting from tourniquet application in children. Ann R Coll Surg Engl, 1986. 68(4): p. 193-4.</w:t>
      </w:r>
    </w:p>
    <w:p w14:paraId="6F3DFD24" w14:textId="77777777" w:rsidR="00533FF9" w:rsidRPr="008337E8" w:rsidRDefault="00533FF9" w:rsidP="00533FF9">
      <w:pPr>
        <w:rPr>
          <w:rFonts w:asciiTheme="majorHAnsi" w:hAnsiTheme="majorHAnsi"/>
          <w:sz w:val="22"/>
          <w:szCs w:val="22"/>
        </w:rPr>
      </w:pPr>
    </w:p>
    <w:p w14:paraId="38254896" w14:textId="77777777" w:rsidR="00533FF9" w:rsidRPr="008337E8" w:rsidRDefault="00533FF9" w:rsidP="00533FF9">
      <w:pPr>
        <w:pStyle w:val="ListParagraph"/>
        <w:numPr>
          <w:ilvl w:val="0"/>
          <w:numId w:val="9"/>
        </w:numPr>
        <w:rPr>
          <w:rFonts w:asciiTheme="majorHAnsi" w:hAnsiTheme="majorHAnsi" w:cs="Calibri"/>
          <w:color w:val="18376A"/>
          <w:sz w:val="22"/>
          <w:szCs w:val="22"/>
        </w:rPr>
      </w:pPr>
      <w:r w:rsidRPr="008337E8">
        <w:rPr>
          <w:rFonts w:asciiTheme="majorHAnsi" w:hAnsiTheme="majorHAnsi" w:cs="Calibri"/>
          <w:b/>
          <w:color w:val="18376A"/>
          <w:sz w:val="22"/>
          <w:szCs w:val="22"/>
        </w:rPr>
        <w:t>Authors, year of publication, site</w:t>
      </w:r>
      <w:r>
        <w:rPr>
          <w:rFonts w:asciiTheme="majorHAnsi" w:hAnsiTheme="majorHAnsi" w:cs="Calibri"/>
          <w:color w:val="18376A"/>
          <w:sz w:val="22"/>
          <w:szCs w:val="22"/>
        </w:rPr>
        <w:t>- single center at Du</w:t>
      </w:r>
      <w:r w:rsidRPr="008337E8">
        <w:rPr>
          <w:rFonts w:asciiTheme="majorHAnsi" w:hAnsiTheme="majorHAnsi" w:cs="Calibri"/>
          <w:color w:val="18376A"/>
          <w:sz w:val="22"/>
          <w:szCs w:val="22"/>
        </w:rPr>
        <w:t>ke</w:t>
      </w:r>
    </w:p>
    <w:p w14:paraId="095E7BBC" w14:textId="77777777" w:rsidR="00533FF9" w:rsidRPr="008337E8" w:rsidRDefault="00533FF9" w:rsidP="00533FF9">
      <w:pPr>
        <w:pStyle w:val="ListParagraph"/>
        <w:numPr>
          <w:ilvl w:val="0"/>
          <w:numId w:val="9"/>
        </w:numPr>
        <w:rPr>
          <w:rFonts w:asciiTheme="majorHAnsi" w:hAnsiTheme="majorHAnsi" w:cs="Calibri"/>
          <w:color w:val="18376A"/>
          <w:sz w:val="22"/>
          <w:szCs w:val="22"/>
        </w:rPr>
      </w:pPr>
      <w:r w:rsidRPr="008337E8">
        <w:rPr>
          <w:rFonts w:asciiTheme="majorHAnsi" w:hAnsiTheme="majorHAnsi" w:cs="Calibri"/>
          <w:b/>
          <w:color w:val="18376A"/>
          <w:sz w:val="22"/>
          <w:szCs w:val="22"/>
        </w:rPr>
        <w:t>Intervention type, duration</w:t>
      </w:r>
      <w:r w:rsidRPr="008337E8">
        <w:rPr>
          <w:rFonts w:asciiTheme="majorHAnsi" w:hAnsiTheme="majorHAnsi" w:cs="Calibri"/>
          <w:color w:val="18376A"/>
          <w:sz w:val="22"/>
          <w:szCs w:val="22"/>
        </w:rPr>
        <w:t>- observational  120 min</w:t>
      </w:r>
    </w:p>
    <w:p w14:paraId="08BD9B97" w14:textId="77777777" w:rsidR="00533FF9" w:rsidRPr="008337E8" w:rsidRDefault="00533FF9" w:rsidP="00533FF9">
      <w:pPr>
        <w:pStyle w:val="ListParagraph"/>
        <w:numPr>
          <w:ilvl w:val="0"/>
          <w:numId w:val="9"/>
        </w:numPr>
        <w:rPr>
          <w:rFonts w:asciiTheme="majorHAnsi" w:hAnsiTheme="majorHAnsi" w:cs="Calibri"/>
          <w:color w:val="18376A"/>
          <w:sz w:val="22"/>
          <w:szCs w:val="22"/>
        </w:rPr>
      </w:pPr>
      <w:r w:rsidRPr="008337E8">
        <w:rPr>
          <w:rFonts w:asciiTheme="majorHAnsi" w:hAnsiTheme="majorHAnsi" w:cs="Calibri"/>
          <w:b/>
          <w:color w:val="18376A"/>
          <w:sz w:val="22"/>
          <w:szCs w:val="22"/>
        </w:rPr>
        <w:t>Study populations/settings-</w:t>
      </w:r>
      <w:r w:rsidRPr="008337E8">
        <w:rPr>
          <w:rFonts w:asciiTheme="majorHAnsi" w:hAnsiTheme="majorHAnsi" w:cs="Calibri"/>
          <w:color w:val="18376A"/>
          <w:sz w:val="22"/>
          <w:szCs w:val="22"/>
        </w:rPr>
        <w:t xml:space="preserve"> ASA ½ with halothane/nitrous- GETA, , n- 56-- 3 groups of patients- 32 u/l lower limb, 24 b/l lower limb, 3 14 superficial procedures- complete charts for 32, 24, 14 patients , ages 3 mo to 12 years, wt 6-56 kg</w:t>
      </w:r>
    </w:p>
    <w:p w14:paraId="6D069D7C" w14:textId="77777777" w:rsidR="00533FF9" w:rsidRPr="008337E8" w:rsidRDefault="00533FF9" w:rsidP="00533FF9">
      <w:pPr>
        <w:pStyle w:val="ListParagraph"/>
        <w:numPr>
          <w:ilvl w:val="0"/>
          <w:numId w:val="9"/>
        </w:numPr>
        <w:rPr>
          <w:rFonts w:asciiTheme="majorHAnsi" w:hAnsiTheme="majorHAnsi" w:cs="Calibri"/>
          <w:color w:val="18376A"/>
          <w:sz w:val="22"/>
          <w:szCs w:val="22"/>
        </w:rPr>
      </w:pPr>
      <w:r w:rsidRPr="008337E8">
        <w:rPr>
          <w:rFonts w:asciiTheme="majorHAnsi" w:hAnsiTheme="majorHAnsi" w:cs="Calibri"/>
          <w:b/>
          <w:color w:val="18376A"/>
          <w:sz w:val="22"/>
          <w:szCs w:val="22"/>
        </w:rPr>
        <w:t>Aims of study</w:t>
      </w:r>
      <w:r w:rsidRPr="008337E8">
        <w:rPr>
          <w:rFonts w:asciiTheme="majorHAnsi" w:hAnsiTheme="majorHAnsi" w:cs="Calibri"/>
          <w:color w:val="18376A"/>
          <w:sz w:val="22"/>
          <w:szCs w:val="22"/>
        </w:rPr>
        <w:t xml:space="preserve">- investigate use of tourniquet in limb surgery with inc in body temp in single instutiont peds study- </w:t>
      </w:r>
    </w:p>
    <w:p w14:paraId="31D48FA4" w14:textId="77777777" w:rsidR="00533FF9" w:rsidRPr="008337E8" w:rsidRDefault="00533FF9" w:rsidP="00533FF9">
      <w:pPr>
        <w:pStyle w:val="ListParagraph"/>
        <w:numPr>
          <w:ilvl w:val="0"/>
          <w:numId w:val="9"/>
        </w:numPr>
        <w:rPr>
          <w:rFonts w:asciiTheme="majorHAnsi" w:hAnsiTheme="majorHAnsi" w:cs="Calibri"/>
          <w:color w:val="18376A"/>
          <w:sz w:val="22"/>
          <w:szCs w:val="22"/>
        </w:rPr>
      </w:pPr>
      <w:r w:rsidRPr="008337E8">
        <w:rPr>
          <w:rFonts w:asciiTheme="majorHAnsi" w:hAnsiTheme="majorHAnsi" w:cs="Calibri"/>
          <w:b/>
          <w:color w:val="18376A"/>
          <w:sz w:val="22"/>
          <w:szCs w:val="22"/>
        </w:rPr>
        <w:t>Methodology</w:t>
      </w:r>
      <w:r w:rsidRPr="008337E8">
        <w:rPr>
          <w:rFonts w:asciiTheme="majorHAnsi" w:hAnsiTheme="majorHAnsi" w:cs="Calibri"/>
          <w:color w:val="18376A"/>
          <w:sz w:val="22"/>
          <w:szCs w:val="22"/>
        </w:rPr>
        <w:t>- measurement of temp every 15 min for 120 min</w:t>
      </w:r>
    </w:p>
    <w:p w14:paraId="42974824" w14:textId="77777777" w:rsidR="00533FF9" w:rsidRPr="008337E8" w:rsidRDefault="00533FF9" w:rsidP="00533FF9">
      <w:pPr>
        <w:pStyle w:val="ListParagraph"/>
        <w:numPr>
          <w:ilvl w:val="0"/>
          <w:numId w:val="9"/>
        </w:numPr>
        <w:rPr>
          <w:rFonts w:asciiTheme="majorHAnsi" w:hAnsiTheme="majorHAnsi" w:cs="Calibri"/>
          <w:color w:val="18376A"/>
          <w:sz w:val="22"/>
          <w:szCs w:val="22"/>
        </w:rPr>
      </w:pPr>
      <w:r w:rsidRPr="008337E8">
        <w:rPr>
          <w:rFonts w:asciiTheme="majorHAnsi" w:hAnsiTheme="majorHAnsi" w:cs="Calibri"/>
          <w:b/>
          <w:color w:val="18376A"/>
          <w:sz w:val="22"/>
          <w:szCs w:val="22"/>
        </w:rPr>
        <w:t>Outcomes-</w:t>
      </w:r>
      <w:r w:rsidRPr="008337E8">
        <w:rPr>
          <w:rFonts w:asciiTheme="majorHAnsi" w:hAnsiTheme="majorHAnsi" w:cs="Calibri"/>
          <w:color w:val="18376A"/>
          <w:sz w:val="22"/>
          <w:szCs w:val="22"/>
        </w:rPr>
        <w:t xml:space="preserve"> mild inc temp over 120 min (largest was 2.8deg) mean inc 1.33 if b/l and 0.71 if unilateral</w:t>
      </w:r>
    </w:p>
    <w:p w14:paraId="40B76472" w14:textId="77777777" w:rsidR="00533FF9" w:rsidRPr="008337E8" w:rsidRDefault="00533FF9" w:rsidP="00533FF9">
      <w:pPr>
        <w:pStyle w:val="ListParagraph"/>
        <w:numPr>
          <w:ilvl w:val="0"/>
          <w:numId w:val="9"/>
        </w:numPr>
        <w:rPr>
          <w:rFonts w:asciiTheme="majorHAnsi" w:hAnsiTheme="majorHAnsi" w:cs="Calibri"/>
          <w:color w:val="18376A"/>
          <w:sz w:val="22"/>
          <w:szCs w:val="22"/>
        </w:rPr>
      </w:pPr>
      <w:r w:rsidRPr="008337E8">
        <w:rPr>
          <w:rFonts w:asciiTheme="majorHAnsi" w:hAnsiTheme="majorHAnsi" w:cs="Calibri"/>
          <w:b/>
          <w:color w:val="18376A"/>
          <w:sz w:val="22"/>
          <w:szCs w:val="22"/>
        </w:rPr>
        <w:t>Important results</w:t>
      </w:r>
      <w:r w:rsidRPr="008337E8">
        <w:rPr>
          <w:rFonts w:asciiTheme="majorHAnsi" w:hAnsiTheme="majorHAnsi" w:cs="Calibri"/>
          <w:color w:val="18376A"/>
          <w:sz w:val="22"/>
          <w:szCs w:val="22"/>
        </w:rPr>
        <w:t>- mild elevation in body temp with two hours of anesthesia and limb tourniquets- not sure if it means anything</w:t>
      </w:r>
    </w:p>
    <w:p w14:paraId="56953B4F" w14:textId="77777777" w:rsidR="00533FF9" w:rsidRPr="008337E8" w:rsidRDefault="00533FF9" w:rsidP="00533FF9">
      <w:pPr>
        <w:pStyle w:val="ListParagraph"/>
        <w:numPr>
          <w:ilvl w:val="0"/>
          <w:numId w:val="9"/>
        </w:numPr>
        <w:rPr>
          <w:rFonts w:asciiTheme="majorHAnsi" w:hAnsiTheme="majorHAnsi"/>
          <w:sz w:val="22"/>
          <w:szCs w:val="22"/>
        </w:rPr>
      </w:pPr>
      <w:r w:rsidRPr="008337E8">
        <w:rPr>
          <w:rFonts w:asciiTheme="majorHAnsi" w:hAnsiTheme="majorHAnsi" w:cs="Calibri"/>
          <w:b/>
          <w:color w:val="18376A"/>
          <w:sz w:val="22"/>
          <w:szCs w:val="22"/>
        </w:rPr>
        <w:t>Critiques of the data-</w:t>
      </w:r>
      <w:r w:rsidRPr="008337E8">
        <w:rPr>
          <w:rFonts w:asciiTheme="majorHAnsi" w:hAnsiTheme="majorHAnsi" w:cs="Calibri"/>
          <w:color w:val="18376A"/>
          <w:sz w:val="22"/>
          <w:szCs w:val="22"/>
        </w:rPr>
        <w:t xml:space="preserve"> one way ANOVA and not clear about tourniquet pressures/types</w:t>
      </w:r>
    </w:p>
    <w:p w14:paraId="361133FF" w14:textId="77777777" w:rsidR="00533FF9" w:rsidRPr="008337E8" w:rsidRDefault="00533FF9" w:rsidP="00533FF9">
      <w:pPr>
        <w:rPr>
          <w:rFonts w:asciiTheme="majorHAnsi" w:hAnsiTheme="majorHAnsi"/>
          <w:sz w:val="22"/>
          <w:szCs w:val="22"/>
        </w:rPr>
      </w:pPr>
    </w:p>
    <w:p w14:paraId="4D047F80" w14:textId="77777777" w:rsidR="00533FF9" w:rsidRPr="008337E8" w:rsidRDefault="00533FF9" w:rsidP="00533FF9">
      <w:pPr>
        <w:rPr>
          <w:rFonts w:asciiTheme="majorHAnsi" w:hAnsiTheme="majorHAnsi"/>
          <w:sz w:val="22"/>
          <w:szCs w:val="22"/>
        </w:rPr>
      </w:pPr>
      <w:r w:rsidRPr="008337E8">
        <w:rPr>
          <w:rFonts w:asciiTheme="majorHAnsi" w:hAnsiTheme="majorHAnsi"/>
          <w:sz w:val="22"/>
          <w:szCs w:val="22"/>
        </w:rPr>
        <w:t>2)  Bloch, E.C., et al., Limb tourniquets and central temperature in anesthetized children. Anesth Analg, 1992. 74(4): p. 486-9.</w:t>
      </w:r>
    </w:p>
    <w:p w14:paraId="409C1E60" w14:textId="77777777" w:rsidR="00533FF9" w:rsidRPr="008337E8" w:rsidRDefault="00533FF9" w:rsidP="00533FF9">
      <w:pPr>
        <w:rPr>
          <w:rFonts w:asciiTheme="majorHAnsi" w:hAnsiTheme="majorHAnsi"/>
          <w:sz w:val="22"/>
          <w:szCs w:val="22"/>
        </w:rPr>
      </w:pPr>
    </w:p>
    <w:p w14:paraId="404630A7" w14:textId="77777777" w:rsidR="00533FF9" w:rsidRPr="008337E8" w:rsidRDefault="00533FF9" w:rsidP="00533FF9">
      <w:pPr>
        <w:pStyle w:val="ListParagraph"/>
        <w:numPr>
          <w:ilvl w:val="0"/>
          <w:numId w:val="16"/>
        </w:numPr>
        <w:rPr>
          <w:rFonts w:asciiTheme="majorHAnsi" w:hAnsiTheme="majorHAnsi" w:cs="Calibri"/>
          <w:b/>
          <w:color w:val="18376A"/>
          <w:sz w:val="22"/>
          <w:szCs w:val="22"/>
        </w:rPr>
      </w:pPr>
      <w:r w:rsidRPr="008337E8">
        <w:rPr>
          <w:rFonts w:asciiTheme="majorHAnsi" w:hAnsiTheme="majorHAnsi" w:cs="Calibri"/>
          <w:b/>
          <w:color w:val="18376A"/>
          <w:sz w:val="22"/>
          <w:szCs w:val="22"/>
        </w:rPr>
        <w:t>Authors, year of publication, site</w:t>
      </w:r>
      <w:r>
        <w:rPr>
          <w:rFonts w:asciiTheme="majorHAnsi" w:hAnsiTheme="majorHAnsi" w:cs="Calibri"/>
          <w:color w:val="18376A"/>
          <w:sz w:val="22"/>
          <w:szCs w:val="22"/>
        </w:rPr>
        <w:t xml:space="preserve"> – single center</w:t>
      </w:r>
    </w:p>
    <w:p w14:paraId="5FC54019" w14:textId="77777777" w:rsidR="00533FF9" w:rsidRPr="008337E8" w:rsidRDefault="00533FF9" w:rsidP="00533FF9">
      <w:pPr>
        <w:pStyle w:val="ListParagraph"/>
        <w:numPr>
          <w:ilvl w:val="0"/>
          <w:numId w:val="16"/>
        </w:numPr>
        <w:rPr>
          <w:rFonts w:asciiTheme="majorHAnsi" w:hAnsiTheme="majorHAnsi" w:cs="Calibri"/>
          <w:color w:val="18376A"/>
          <w:sz w:val="22"/>
          <w:szCs w:val="22"/>
        </w:rPr>
      </w:pPr>
      <w:r w:rsidRPr="008337E8">
        <w:rPr>
          <w:rFonts w:asciiTheme="majorHAnsi" w:hAnsiTheme="majorHAnsi" w:cs="Calibri"/>
          <w:b/>
          <w:color w:val="18376A"/>
          <w:sz w:val="22"/>
          <w:szCs w:val="22"/>
        </w:rPr>
        <w:t>Intervention type, duration</w:t>
      </w:r>
      <w:r w:rsidRPr="008337E8">
        <w:rPr>
          <w:rFonts w:asciiTheme="majorHAnsi" w:hAnsiTheme="majorHAnsi" w:cs="Calibri"/>
          <w:color w:val="18376A"/>
          <w:sz w:val="22"/>
          <w:szCs w:val="22"/>
        </w:rPr>
        <w:t>- observational meas of tourniquet 15 b/l 8 u.l and 24 control for 90 minutes</w:t>
      </w:r>
    </w:p>
    <w:p w14:paraId="2D38D939" w14:textId="77777777" w:rsidR="00533FF9" w:rsidRPr="008337E8" w:rsidRDefault="00533FF9" w:rsidP="00533FF9">
      <w:pPr>
        <w:pStyle w:val="ListParagraph"/>
        <w:numPr>
          <w:ilvl w:val="0"/>
          <w:numId w:val="16"/>
        </w:numPr>
        <w:rPr>
          <w:rFonts w:asciiTheme="majorHAnsi" w:hAnsiTheme="majorHAnsi" w:cs="Calibri"/>
          <w:b/>
          <w:color w:val="18376A"/>
          <w:sz w:val="22"/>
          <w:szCs w:val="22"/>
        </w:rPr>
      </w:pPr>
      <w:r w:rsidRPr="008337E8">
        <w:rPr>
          <w:rFonts w:asciiTheme="majorHAnsi" w:hAnsiTheme="majorHAnsi" w:cs="Calibri"/>
          <w:b/>
          <w:color w:val="18376A"/>
          <w:sz w:val="22"/>
          <w:szCs w:val="22"/>
        </w:rPr>
        <w:t>Study populations/settings</w:t>
      </w:r>
      <w:r>
        <w:rPr>
          <w:rFonts w:asciiTheme="majorHAnsi" w:hAnsiTheme="majorHAnsi" w:cs="Calibri"/>
          <w:b/>
          <w:color w:val="18376A"/>
          <w:sz w:val="22"/>
          <w:szCs w:val="22"/>
        </w:rPr>
        <w:t xml:space="preserve"> – </w:t>
      </w:r>
      <w:r>
        <w:rPr>
          <w:rFonts w:asciiTheme="majorHAnsi" w:hAnsiTheme="majorHAnsi" w:cs="Calibri"/>
          <w:color w:val="18376A"/>
          <w:sz w:val="22"/>
          <w:szCs w:val="22"/>
        </w:rPr>
        <w:t>pediatric patients</w:t>
      </w:r>
    </w:p>
    <w:p w14:paraId="78F226E3" w14:textId="77777777" w:rsidR="00533FF9" w:rsidRPr="008337E8" w:rsidRDefault="00533FF9" w:rsidP="00533FF9">
      <w:pPr>
        <w:pStyle w:val="ListParagraph"/>
        <w:numPr>
          <w:ilvl w:val="0"/>
          <w:numId w:val="16"/>
        </w:numPr>
        <w:rPr>
          <w:rFonts w:asciiTheme="majorHAnsi" w:hAnsiTheme="majorHAnsi" w:cs="Calibri"/>
          <w:color w:val="18376A"/>
          <w:sz w:val="22"/>
          <w:szCs w:val="22"/>
        </w:rPr>
      </w:pPr>
      <w:r w:rsidRPr="008337E8">
        <w:rPr>
          <w:rFonts w:asciiTheme="majorHAnsi" w:hAnsiTheme="majorHAnsi" w:cs="Calibri"/>
          <w:b/>
          <w:color w:val="18376A"/>
          <w:sz w:val="22"/>
          <w:szCs w:val="22"/>
        </w:rPr>
        <w:t>Aims of study</w:t>
      </w:r>
      <w:r>
        <w:rPr>
          <w:rFonts w:asciiTheme="majorHAnsi" w:hAnsiTheme="majorHAnsi" w:cs="Calibri"/>
          <w:color w:val="18376A"/>
          <w:sz w:val="22"/>
          <w:szCs w:val="22"/>
        </w:rPr>
        <w:t xml:space="preserve">- </w:t>
      </w:r>
      <w:r w:rsidRPr="008337E8">
        <w:rPr>
          <w:rFonts w:asciiTheme="majorHAnsi" w:hAnsiTheme="majorHAnsi" w:cs="Calibri"/>
          <w:color w:val="18376A"/>
          <w:sz w:val="22"/>
          <w:szCs w:val="22"/>
        </w:rPr>
        <w:t>investigate use of tourniquet on body temp in surgery</w:t>
      </w:r>
    </w:p>
    <w:p w14:paraId="7CCAC1BB" w14:textId="77777777" w:rsidR="00533FF9" w:rsidRPr="008337E8" w:rsidRDefault="00533FF9" w:rsidP="00533FF9">
      <w:pPr>
        <w:pStyle w:val="ListParagraph"/>
        <w:numPr>
          <w:ilvl w:val="0"/>
          <w:numId w:val="16"/>
        </w:numPr>
        <w:rPr>
          <w:rFonts w:asciiTheme="majorHAnsi" w:hAnsiTheme="majorHAnsi" w:cs="Calibri"/>
          <w:color w:val="18376A"/>
          <w:sz w:val="22"/>
          <w:szCs w:val="22"/>
        </w:rPr>
      </w:pPr>
      <w:r w:rsidRPr="008337E8">
        <w:rPr>
          <w:rFonts w:asciiTheme="majorHAnsi" w:hAnsiTheme="majorHAnsi" w:cs="Calibri"/>
          <w:b/>
          <w:color w:val="18376A"/>
          <w:sz w:val="22"/>
          <w:szCs w:val="22"/>
        </w:rPr>
        <w:t>Methodology</w:t>
      </w:r>
      <w:r w:rsidRPr="008337E8">
        <w:rPr>
          <w:rFonts w:asciiTheme="majorHAnsi" w:hAnsiTheme="majorHAnsi" w:cs="Calibri"/>
          <w:color w:val="18376A"/>
          <w:sz w:val="22"/>
          <w:szCs w:val="22"/>
        </w:rPr>
        <w:t>- prospective observation x 90 min</w:t>
      </w:r>
    </w:p>
    <w:p w14:paraId="09771919" w14:textId="77777777" w:rsidR="00533FF9" w:rsidRPr="008337E8" w:rsidRDefault="00533FF9" w:rsidP="00533FF9">
      <w:pPr>
        <w:pStyle w:val="ListParagraph"/>
        <w:numPr>
          <w:ilvl w:val="0"/>
          <w:numId w:val="16"/>
        </w:numPr>
        <w:rPr>
          <w:rFonts w:asciiTheme="majorHAnsi" w:hAnsiTheme="majorHAnsi" w:cs="Calibri"/>
          <w:color w:val="18376A"/>
          <w:sz w:val="22"/>
          <w:szCs w:val="22"/>
        </w:rPr>
      </w:pPr>
      <w:r w:rsidRPr="008337E8">
        <w:rPr>
          <w:rFonts w:asciiTheme="majorHAnsi" w:hAnsiTheme="majorHAnsi" w:cs="Calibri"/>
          <w:b/>
          <w:color w:val="18376A"/>
          <w:sz w:val="22"/>
          <w:szCs w:val="22"/>
        </w:rPr>
        <w:t>Outcomes</w:t>
      </w:r>
      <w:r w:rsidRPr="008337E8">
        <w:rPr>
          <w:rFonts w:asciiTheme="majorHAnsi" w:hAnsiTheme="majorHAnsi" w:cs="Calibri"/>
          <w:color w:val="18376A"/>
          <w:sz w:val="22"/>
          <w:szCs w:val="22"/>
        </w:rPr>
        <w:t>- minor inc</w:t>
      </w:r>
    </w:p>
    <w:p w14:paraId="390A98CB" w14:textId="77777777" w:rsidR="00533FF9" w:rsidRPr="008337E8" w:rsidRDefault="00533FF9" w:rsidP="00533FF9">
      <w:pPr>
        <w:pStyle w:val="ListParagraph"/>
        <w:numPr>
          <w:ilvl w:val="0"/>
          <w:numId w:val="16"/>
        </w:numPr>
        <w:rPr>
          <w:rFonts w:asciiTheme="majorHAnsi" w:hAnsiTheme="majorHAnsi" w:cs="Calibri"/>
          <w:color w:val="18376A"/>
          <w:sz w:val="22"/>
          <w:szCs w:val="22"/>
        </w:rPr>
      </w:pPr>
      <w:r w:rsidRPr="008337E8">
        <w:rPr>
          <w:rFonts w:asciiTheme="majorHAnsi" w:hAnsiTheme="majorHAnsi" w:cs="Calibri"/>
          <w:b/>
          <w:color w:val="18376A"/>
          <w:sz w:val="22"/>
          <w:szCs w:val="22"/>
        </w:rPr>
        <w:t>Important results</w:t>
      </w:r>
      <w:r w:rsidRPr="008337E8">
        <w:rPr>
          <w:rFonts w:asciiTheme="majorHAnsi" w:hAnsiTheme="majorHAnsi" w:cs="Calibri"/>
          <w:color w:val="18376A"/>
          <w:sz w:val="22"/>
          <w:szCs w:val="22"/>
        </w:rPr>
        <w:t>- 1+/-0.6 in u/l and 1.7 +/- 0.6 in bilateral thought to be from infective heat loss from distal skin</w:t>
      </w:r>
      <w:r>
        <w:rPr>
          <w:rFonts w:asciiTheme="majorHAnsi" w:hAnsiTheme="majorHAnsi" w:cs="Calibri"/>
          <w:color w:val="18376A"/>
          <w:sz w:val="22"/>
          <w:szCs w:val="22"/>
        </w:rPr>
        <w:t xml:space="preserve"> and from </w:t>
      </w:r>
      <w:r w:rsidRPr="008337E8">
        <w:rPr>
          <w:rFonts w:asciiTheme="majorHAnsi" w:hAnsiTheme="majorHAnsi" w:cs="Calibri"/>
          <w:color w:val="18376A"/>
          <w:sz w:val="22"/>
          <w:szCs w:val="22"/>
        </w:rPr>
        <w:t>constraint of metabolic heat to the central thermal compartment</w:t>
      </w:r>
    </w:p>
    <w:p w14:paraId="66946CE0" w14:textId="77777777" w:rsidR="00533FF9" w:rsidRPr="008337E8" w:rsidRDefault="00533FF9" w:rsidP="00533FF9">
      <w:pPr>
        <w:pStyle w:val="ListParagraph"/>
        <w:numPr>
          <w:ilvl w:val="0"/>
          <w:numId w:val="16"/>
        </w:numPr>
        <w:rPr>
          <w:rFonts w:asciiTheme="majorHAnsi" w:hAnsiTheme="majorHAnsi"/>
          <w:sz w:val="22"/>
          <w:szCs w:val="22"/>
        </w:rPr>
      </w:pPr>
      <w:r w:rsidRPr="008337E8">
        <w:rPr>
          <w:rFonts w:asciiTheme="majorHAnsi" w:hAnsiTheme="majorHAnsi" w:cs="Calibri"/>
          <w:b/>
          <w:color w:val="18376A"/>
          <w:sz w:val="22"/>
          <w:szCs w:val="22"/>
        </w:rPr>
        <w:t>Critiques of the data-</w:t>
      </w:r>
      <w:r w:rsidRPr="008337E8">
        <w:rPr>
          <w:rFonts w:asciiTheme="majorHAnsi" w:hAnsiTheme="majorHAnsi" w:cs="Calibri"/>
          <w:color w:val="18376A"/>
          <w:sz w:val="22"/>
          <w:szCs w:val="22"/>
        </w:rPr>
        <w:t xml:space="preserve"> again little info on type of tourniquet</w:t>
      </w:r>
    </w:p>
    <w:p w14:paraId="6721B200" w14:textId="77777777" w:rsidR="00533FF9" w:rsidRPr="008337E8" w:rsidRDefault="00533FF9" w:rsidP="00533FF9">
      <w:pPr>
        <w:rPr>
          <w:rFonts w:asciiTheme="majorHAnsi" w:hAnsiTheme="majorHAnsi"/>
          <w:sz w:val="22"/>
          <w:szCs w:val="22"/>
        </w:rPr>
      </w:pPr>
    </w:p>
    <w:p w14:paraId="12B6A808" w14:textId="77777777" w:rsidR="00533FF9" w:rsidRPr="008337E8" w:rsidRDefault="00533FF9" w:rsidP="00533FF9">
      <w:pPr>
        <w:rPr>
          <w:rFonts w:asciiTheme="majorHAnsi" w:hAnsiTheme="majorHAnsi"/>
          <w:sz w:val="22"/>
          <w:szCs w:val="22"/>
        </w:rPr>
      </w:pPr>
      <w:r w:rsidRPr="008337E8">
        <w:rPr>
          <w:rFonts w:asciiTheme="majorHAnsi" w:hAnsiTheme="majorHAnsi"/>
          <w:sz w:val="22"/>
          <w:szCs w:val="22"/>
        </w:rPr>
        <w:t>3)  Brustowicz, R.M., C. Moncorge, and B.V. Koka, Metabolic responses to tourniquet release in children. Anesthesiology, 1987. 67(5): p. 792-4.</w:t>
      </w:r>
    </w:p>
    <w:p w14:paraId="04590251" w14:textId="77777777" w:rsidR="00533FF9" w:rsidRPr="008337E8" w:rsidRDefault="00533FF9" w:rsidP="00533FF9">
      <w:pPr>
        <w:rPr>
          <w:rFonts w:asciiTheme="majorHAnsi" w:hAnsiTheme="majorHAnsi"/>
          <w:sz w:val="22"/>
          <w:szCs w:val="22"/>
        </w:rPr>
      </w:pPr>
    </w:p>
    <w:p w14:paraId="65BA94DF" w14:textId="77777777" w:rsidR="00533FF9" w:rsidRPr="008337E8" w:rsidRDefault="00533FF9" w:rsidP="00533FF9">
      <w:pPr>
        <w:pStyle w:val="ListParagraph"/>
        <w:numPr>
          <w:ilvl w:val="0"/>
          <w:numId w:val="17"/>
        </w:numPr>
        <w:rPr>
          <w:rFonts w:asciiTheme="majorHAnsi" w:hAnsiTheme="majorHAnsi" w:cs="Calibri"/>
          <w:color w:val="18376A"/>
          <w:sz w:val="22"/>
          <w:szCs w:val="22"/>
        </w:rPr>
      </w:pPr>
      <w:r w:rsidRPr="008337E8">
        <w:rPr>
          <w:rFonts w:asciiTheme="majorHAnsi" w:hAnsiTheme="majorHAnsi" w:cs="Calibri"/>
          <w:b/>
          <w:color w:val="18376A"/>
          <w:sz w:val="22"/>
          <w:szCs w:val="22"/>
        </w:rPr>
        <w:t>Authors, year of publication, site</w:t>
      </w:r>
      <w:r>
        <w:rPr>
          <w:rFonts w:asciiTheme="majorHAnsi" w:hAnsiTheme="majorHAnsi" w:cs="Calibri"/>
          <w:b/>
          <w:color w:val="18376A"/>
          <w:sz w:val="22"/>
          <w:szCs w:val="22"/>
        </w:rPr>
        <w:t xml:space="preserve"> -</w:t>
      </w:r>
      <w:r w:rsidRPr="008337E8">
        <w:rPr>
          <w:rFonts w:asciiTheme="majorHAnsi" w:hAnsiTheme="majorHAnsi" w:cs="Calibri"/>
          <w:b/>
          <w:color w:val="18376A"/>
          <w:sz w:val="22"/>
          <w:szCs w:val="22"/>
        </w:rPr>
        <w:t xml:space="preserve"> </w:t>
      </w:r>
      <w:r w:rsidRPr="008337E8">
        <w:rPr>
          <w:rFonts w:asciiTheme="majorHAnsi" w:hAnsiTheme="majorHAnsi" w:cs="Calibri"/>
          <w:color w:val="18376A"/>
          <w:sz w:val="22"/>
          <w:szCs w:val="22"/>
        </w:rPr>
        <w:t>single center clinical report from Harvard/Child Boston</w:t>
      </w:r>
    </w:p>
    <w:p w14:paraId="41EE18BC" w14:textId="77777777" w:rsidR="00533FF9" w:rsidRPr="008337E8" w:rsidRDefault="00533FF9" w:rsidP="00533FF9">
      <w:pPr>
        <w:pStyle w:val="ListParagraph"/>
        <w:numPr>
          <w:ilvl w:val="0"/>
          <w:numId w:val="17"/>
        </w:numPr>
        <w:rPr>
          <w:rFonts w:asciiTheme="majorHAnsi" w:hAnsiTheme="majorHAnsi" w:cs="Calibri"/>
          <w:color w:val="18376A"/>
          <w:sz w:val="22"/>
          <w:szCs w:val="22"/>
        </w:rPr>
      </w:pPr>
      <w:r w:rsidRPr="008337E8">
        <w:rPr>
          <w:rFonts w:asciiTheme="majorHAnsi" w:hAnsiTheme="majorHAnsi" w:cs="Calibri"/>
          <w:b/>
          <w:color w:val="18376A"/>
          <w:sz w:val="22"/>
          <w:szCs w:val="22"/>
        </w:rPr>
        <w:t>Intervention type, duration</w:t>
      </w:r>
      <w:r w:rsidRPr="008337E8">
        <w:rPr>
          <w:rFonts w:asciiTheme="majorHAnsi" w:hAnsiTheme="majorHAnsi" w:cs="Calibri"/>
          <w:color w:val="18376A"/>
          <w:sz w:val="22"/>
          <w:szCs w:val="22"/>
        </w:rPr>
        <w:t>- observation of metabolic change after tourniquet relese</w:t>
      </w:r>
    </w:p>
    <w:p w14:paraId="6637C973" w14:textId="77777777" w:rsidR="00533FF9" w:rsidRPr="008337E8" w:rsidRDefault="00533FF9" w:rsidP="00533FF9">
      <w:pPr>
        <w:pStyle w:val="ListParagraph"/>
        <w:numPr>
          <w:ilvl w:val="0"/>
          <w:numId w:val="17"/>
        </w:numPr>
        <w:rPr>
          <w:rFonts w:asciiTheme="majorHAnsi" w:hAnsiTheme="majorHAnsi" w:cs="Calibri"/>
          <w:color w:val="18376A"/>
          <w:sz w:val="22"/>
          <w:szCs w:val="22"/>
        </w:rPr>
      </w:pPr>
      <w:r w:rsidRPr="008337E8">
        <w:rPr>
          <w:rFonts w:asciiTheme="majorHAnsi" w:hAnsiTheme="majorHAnsi" w:cs="Calibri"/>
          <w:b/>
          <w:color w:val="18376A"/>
          <w:sz w:val="22"/>
          <w:szCs w:val="22"/>
        </w:rPr>
        <w:t>Study populations/settings-</w:t>
      </w:r>
      <w:r w:rsidRPr="008337E8">
        <w:rPr>
          <w:rFonts w:asciiTheme="majorHAnsi" w:hAnsiTheme="majorHAnsi" w:cs="Calibri"/>
          <w:color w:val="18376A"/>
          <w:sz w:val="22"/>
          <w:szCs w:val="22"/>
        </w:rPr>
        <w:t xml:space="preserve"> mean duration tourniquet 56 (range 20-125)</w:t>
      </w:r>
    </w:p>
    <w:p w14:paraId="053822DD" w14:textId="77777777" w:rsidR="00533FF9" w:rsidRPr="008337E8" w:rsidRDefault="00533FF9" w:rsidP="00533FF9">
      <w:pPr>
        <w:pStyle w:val="ListParagraph"/>
        <w:numPr>
          <w:ilvl w:val="0"/>
          <w:numId w:val="17"/>
        </w:numPr>
        <w:rPr>
          <w:rFonts w:asciiTheme="majorHAnsi" w:hAnsiTheme="majorHAnsi" w:cs="Calibri"/>
          <w:b/>
          <w:color w:val="18376A"/>
          <w:sz w:val="22"/>
          <w:szCs w:val="22"/>
        </w:rPr>
      </w:pPr>
      <w:r w:rsidRPr="008337E8">
        <w:rPr>
          <w:rFonts w:asciiTheme="majorHAnsi" w:hAnsiTheme="majorHAnsi" w:cs="Calibri"/>
          <w:b/>
          <w:color w:val="18376A"/>
          <w:sz w:val="22"/>
          <w:szCs w:val="22"/>
        </w:rPr>
        <w:t>Aims of study</w:t>
      </w:r>
      <w:r>
        <w:rPr>
          <w:rFonts w:asciiTheme="majorHAnsi" w:hAnsiTheme="majorHAnsi" w:cs="Calibri"/>
          <w:b/>
          <w:color w:val="18376A"/>
          <w:sz w:val="22"/>
          <w:szCs w:val="22"/>
        </w:rPr>
        <w:t xml:space="preserve"> – </w:t>
      </w:r>
      <w:r>
        <w:rPr>
          <w:rFonts w:asciiTheme="majorHAnsi" w:hAnsiTheme="majorHAnsi" w:cs="Calibri"/>
          <w:color w:val="18376A"/>
          <w:sz w:val="22"/>
          <w:szCs w:val="22"/>
        </w:rPr>
        <w:t>measure metabolic changes from tourniquet use</w:t>
      </w:r>
    </w:p>
    <w:p w14:paraId="559E22D8" w14:textId="77777777" w:rsidR="00533FF9" w:rsidRPr="008337E8" w:rsidRDefault="00533FF9" w:rsidP="00533FF9">
      <w:pPr>
        <w:pStyle w:val="ListParagraph"/>
        <w:numPr>
          <w:ilvl w:val="0"/>
          <w:numId w:val="17"/>
        </w:numPr>
        <w:rPr>
          <w:rFonts w:asciiTheme="majorHAnsi" w:hAnsiTheme="majorHAnsi" w:cs="Calibri"/>
          <w:color w:val="18376A"/>
          <w:sz w:val="22"/>
          <w:szCs w:val="22"/>
        </w:rPr>
      </w:pPr>
      <w:r w:rsidRPr="008337E8">
        <w:rPr>
          <w:rFonts w:asciiTheme="majorHAnsi" w:hAnsiTheme="majorHAnsi" w:cs="Calibri"/>
          <w:b/>
          <w:color w:val="18376A"/>
          <w:sz w:val="22"/>
          <w:szCs w:val="22"/>
        </w:rPr>
        <w:t>Methodology</w:t>
      </w:r>
      <w:r w:rsidRPr="008337E8">
        <w:rPr>
          <w:rFonts w:asciiTheme="majorHAnsi" w:hAnsiTheme="majorHAnsi" w:cs="Calibri"/>
          <w:color w:val="18376A"/>
          <w:sz w:val="22"/>
          <w:szCs w:val="22"/>
        </w:rPr>
        <w:t xml:space="preserve">- measured labs/ETCo2 5 min before and 1, 5, 15, 30, 60 mn after deflation-- </w:t>
      </w:r>
    </w:p>
    <w:p w14:paraId="2EAB98E7" w14:textId="77777777" w:rsidR="00533FF9" w:rsidRPr="008337E8" w:rsidRDefault="00533FF9" w:rsidP="00533FF9">
      <w:pPr>
        <w:pStyle w:val="ListParagraph"/>
        <w:numPr>
          <w:ilvl w:val="0"/>
          <w:numId w:val="17"/>
        </w:numPr>
        <w:rPr>
          <w:rFonts w:asciiTheme="majorHAnsi" w:hAnsiTheme="majorHAnsi" w:cs="Calibri"/>
          <w:color w:val="18376A"/>
          <w:sz w:val="22"/>
          <w:szCs w:val="22"/>
        </w:rPr>
      </w:pPr>
      <w:r w:rsidRPr="008337E8">
        <w:rPr>
          <w:rFonts w:asciiTheme="majorHAnsi" w:hAnsiTheme="majorHAnsi" w:cs="Calibri"/>
          <w:b/>
          <w:color w:val="18376A"/>
          <w:sz w:val="22"/>
          <w:szCs w:val="22"/>
        </w:rPr>
        <w:t>Outcomes</w:t>
      </w:r>
      <w:r w:rsidRPr="008337E8">
        <w:rPr>
          <w:rFonts w:asciiTheme="majorHAnsi" w:hAnsiTheme="majorHAnsi" w:cs="Calibri"/>
          <w:color w:val="18376A"/>
          <w:sz w:val="22"/>
          <w:szCs w:val="22"/>
        </w:rPr>
        <w:t xml:space="preserve">- inc in mean HR by 12 bpm one minute after and dec in ABP by 14, mildrop in ph by 0.05, inc in lactate by 1, mild change in lytes but all within normal range, no </w:t>
      </w:r>
      <w:r w:rsidRPr="008337E8">
        <w:rPr>
          <w:rFonts w:asciiTheme="majorHAnsi" w:hAnsiTheme="majorHAnsi" w:cs="Calibri"/>
          <w:color w:val="18376A"/>
          <w:sz w:val="22"/>
          <w:szCs w:val="22"/>
        </w:rPr>
        <w:lastRenderedPageBreak/>
        <w:t>change in myoglobin (lactate rises most 30 min after inflaxtion and inc more after release)—not clinically sig</w:t>
      </w:r>
    </w:p>
    <w:p w14:paraId="0815A6FE" w14:textId="77777777" w:rsidR="00533FF9" w:rsidRPr="008337E8" w:rsidRDefault="00533FF9" w:rsidP="00533FF9">
      <w:pPr>
        <w:pStyle w:val="ListParagraph"/>
        <w:numPr>
          <w:ilvl w:val="0"/>
          <w:numId w:val="17"/>
        </w:numPr>
        <w:rPr>
          <w:rFonts w:asciiTheme="majorHAnsi" w:hAnsiTheme="majorHAnsi" w:cs="Calibri"/>
          <w:color w:val="18376A"/>
          <w:sz w:val="22"/>
          <w:szCs w:val="22"/>
        </w:rPr>
      </w:pPr>
      <w:r w:rsidRPr="008337E8">
        <w:rPr>
          <w:rFonts w:asciiTheme="majorHAnsi" w:hAnsiTheme="majorHAnsi" w:cs="Calibri"/>
          <w:b/>
          <w:color w:val="18376A"/>
          <w:sz w:val="22"/>
          <w:szCs w:val="22"/>
        </w:rPr>
        <w:t>Important results</w:t>
      </w:r>
      <w:r w:rsidRPr="008337E8">
        <w:rPr>
          <w:rFonts w:asciiTheme="majorHAnsi" w:hAnsiTheme="majorHAnsi" w:cs="Calibri"/>
          <w:color w:val="18376A"/>
          <w:sz w:val="22"/>
          <w:szCs w:val="22"/>
        </w:rPr>
        <w:t>- none of changes clinically sig</w:t>
      </w:r>
    </w:p>
    <w:p w14:paraId="41B42648" w14:textId="77777777" w:rsidR="00533FF9" w:rsidRPr="008337E8" w:rsidRDefault="00533FF9" w:rsidP="00533FF9">
      <w:pPr>
        <w:pStyle w:val="ListParagraph"/>
        <w:numPr>
          <w:ilvl w:val="0"/>
          <w:numId w:val="17"/>
        </w:numPr>
        <w:rPr>
          <w:rFonts w:asciiTheme="majorHAnsi" w:hAnsiTheme="majorHAnsi"/>
          <w:sz w:val="22"/>
          <w:szCs w:val="22"/>
        </w:rPr>
      </w:pPr>
      <w:r w:rsidRPr="008337E8">
        <w:rPr>
          <w:rFonts w:asciiTheme="majorHAnsi" w:hAnsiTheme="majorHAnsi" w:cs="Calibri"/>
          <w:b/>
          <w:color w:val="18376A"/>
          <w:sz w:val="22"/>
          <w:szCs w:val="22"/>
        </w:rPr>
        <w:t>Critiques of the data</w:t>
      </w:r>
      <w:r w:rsidRPr="008337E8">
        <w:rPr>
          <w:rFonts w:asciiTheme="majorHAnsi" w:hAnsiTheme="majorHAnsi" w:cs="Calibri"/>
          <w:color w:val="18376A"/>
          <w:sz w:val="22"/>
          <w:szCs w:val="22"/>
        </w:rPr>
        <w:t>- min infor on cuff pressures/types</w:t>
      </w:r>
    </w:p>
    <w:p w14:paraId="372D60FD" w14:textId="77777777" w:rsidR="00533FF9" w:rsidRPr="008337E8" w:rsidRDefault="00533FF9" w:rsidP="00533FF9">
      <w:pPr>
        <w:rPr>
          <w:rFonts w:asciiTheme="majorHAnsi" w:hAnsiTheme="majorHAnsi"/>
          <w:sz w:val="22"/>
          <w:szCs w:val="22"/>
        </w:rPr>
      </w:pPr>
    </w:p>
    <w:p w14:paraId="62EE92AA" w14:textId="77777777" w:rsidR="00533FF9" w:rsidRPr="008337E8" w:rsidRDefault="00533FF9" w:rsidP="00533FF9">
      <w:pPr>
        <w:widowControl w:val="0"/>
        <w:autoSpaceDE w:val="0"/>
        <w:autoSpaceDN w:val="0"/>
        <w:adjustRightInd w:val="0"/>
        <w:rPr>
          <w:rFonts w:asciiTheme="majorHAnsi" w:hAnsiTheme="majorHAnsi" w:cs="Arial"/>
          <w:sz w:val="22"/>
          <w:szCs w:val="22"/>
        </w:rPr>
      </w:pPr>
      <w:r w:rsidRPr="008337E8">
        <w:rPr>
          <w:rFonts w:asciiTheme="majorHAnsi" w:hAnsiTheme="majorHAnsi"/>
          <w:sz w:val="22"/>
          <w:szCs w:val="22"/>
        </w:rPr>
        <w:t xml:space="preserve">4) </w:t>
      </w:r>
      <w:hyperlink r:id="rId7" w:history="1">
        <w:r w:rsidRPr="008337E8">
          <w:rPr>
            <w:rFonts w:asciiTheme="majorHAnsi" w:hAnsiTheme="majorHAnsi" w:cs="Arial"/>
            <w:color w:val="262626"/>
            <w:sz w:val="22"/>
            <w:szCs w:val="22"/>
            <w:u w:val="single" w:color="262626"/>
          </w:rPr>
          <w:t>Budic I</w:t>
        </w:r>
      </w:hyperlink>
      <w:r w:rsidRPr="008337E8">
        <w:rPr>
          <w:rFonts w:asciiTheme="majorHAnsi" w:hAnsiTheme="majorHAnsi" w:cs="Arial"/>
          <w:sz w:val="22"/>
          <w:szCs w:val="22"/>
        </w:rPr>
        <w:t xml:space="preserve">1, </w:t>
      </w:r>
      <w:hyperlink r:id="rId8" w:history="1">
        <w:r w:rsidRPr="008337E8">
          <w:rPr>
            <w:rFonts w:asciiTheme="majorHAnsi" w:hAnsiTheme="majorHAnsi" w:cs="Arial"/>
            <w:color w:val="262626"/>
            <w:sz w:val="22"/>
            <w:szCs w:val="22"/>
            <w:u w:val="single" w:color="262626"/>
          </w:rPr>
          <w:t>Pavlovic D</w:t>
        </w:r>
      </w:hyperlink>
      <w:r w:rsidRPr="008337E8">
        <w:rPr>
          <w:rFonts w:asciiTheme="majorHAnsi" w:hAnsiTheme="majorHAnsi" w:cs="Arial"/>
          <w:sz w:val="22"/>
          <w:szCs w:val="22"/>
        </w:rPr>
        <w:t xml:space="preserve">, </w:t>
      </w:r>
      <w:hyperlink r:id="rId9" w:history="1">
        <w:r w:rsidRPr="008337E8">
          <w:rPr>
            <w:rFonts w:asciiTheme="majorHAnsi" w:hAnsiTheme="majorHAnsi" w:cs="Arial"/>
            <w:color w:val="262626"/>
            <w:sz w:val="22"/>
            <w:szCs w:val="22"/>
            <w:u w:val="single" w:color="262626"/>
          </w:rPr>
          <w:t>Kocic G</w:t>
        </w:r>
      </w:hyperlink>
      <w:r w:rsidRPr="008337E8">
        <w:rPr>
          <w:rFonts w:asciiTheme="majorHAnsi" w:hAnsiTheme="majorHAnsi" w:cs="Arial"/>
          <w:sz w:val="22"/>
          <w:szCs w:val="22"/>
        </w:rPr>
        <w:t xml:space="preserve">, </w:t>
      </w:r>
      <w:hyperlink r:id="rId10" w:history="1">
        <w:r w:rsidRPr="008337E8">
          <w:rPr>
            <w:rFonts w:asciiTheme="majorHAnsi" w:hAnsiTheme="majorHAnsi" w:cs="Arial"/>
            <w:color w:val="262626"/>
            <w:sz w:val="22"/>
            <w:szCs w:val="22"/>
            <w:u w:val="single" w:color="262626"/>
          </w:rPr>
          <w:t>Cvetkovic T</w:t>
        </w:r>
      </w:hyperlink>
      <w:r w:rsidRPr="008337E8">
        <w:rPr>
          <w:rFonts w:asciiTheme="majorHAnsi" w:hAnsiTheme="majorHAnsi" w:cs="Arial"/>
          <w:sz w:val="22"/>
          <w:szCs w:val="22"/>
        </w:rPr>
        <w:t xml:space="preserve">, </w:t>
      </w:r>
      <w:hyperlink r:id="rId11" w:history="1">
        <w:r w:rsidRPr="008337E8">
          <w:rPr>
            <w:rFonts w:asciiTheme="majorHAnsi" w:hAnsiTheme="majorHAnsi" w:cs="Arial"/>
            <w:color w:val="262626"/>
            <w:sz w:val="22"/>
            <w:szCs w:val="22"/>
            <w:u w:val="single" w:color="262626"/>
          </w:rPr>
          <w:t>Simic D</w:t>
        </w:r>
      </w:hyperlink>
      <w:r w:rsidRPr="008337E8">
        <w:rPr>
          <w:rFonts w:asciiTheme="majorHAnsi" w:hAnsiTheme="majorHAnsi" w:cs="Arial"/>
          <w:sz w:val="22"/>
          <w:szCs w:val="22"/>
        </w:rPr>
        <w:t xml:space="preserve">, </w:t>
      </w:r>
      <w:hyperlink r:id="rId12" w:history="1">
        <w:r w:rsidRPr="008337E8">
          <w:rPr>
            <w:rFonts w:asciiTheme="majorHAnsi" w:hAnsiTheme="majorHAnsi" w:cs="Arial"/>
            <w:color w:val="262626"/>
            <w:sz w:val="22"/>
            <w:szCs w:val="22"/>
            <w:u w:val="single" w:color="262626"/>
          </w:rPr>
          <w:t>Basic J</w:t>
        </w:r>
      </w:hyperlink>
      <w:r w:rsidRPr="008337E8">
        <w:rPr>
          <w:rFonts w:asciiTheme="majorHAnsi" w:hAnsiTheme="majorHAnsi" w:cs="Arial"/>
          <w:sz w:val="22"/>
          <w:szCs w:val="22"/>
        </w:rPr>
        <w:t xml:space="preserve">, </w:t>
      </w:r>
      <w:hyperlink r:id="rId13" w:history="1">
        <w:r w:rsidRPr="008337E8">
          <w:rPr>
            <w:rFonts w:asciiTheme="majorHAnsi" w:hAnsiTheme="majorHAnsi" w:cs="Arial"/>
            <w:color w:val="262626"/>
            <w:sz w:val="22"/>
            <w:szCs w:val="22"/>
            <w:u w:val="single" w:color="262626"/>
          </w:rPr>
          <w:t>Zivanovic D</w:t>
        </w:r>
      </w:hyperlink>
      <w:r w:rsidRPr="008337E8">
        <w:rPr>
          <w:rFonts w:asciiTheme="majorHAnsi" w:hAnsiTheme="majorHAnsi" w:cs="Arial"/>
          <w:sz w:val="22"/>
          <w:szCs w:val="22"/>
        </w:rPr>
        <w:t>.Biomarkers of Oxidative Stressand Endothelial Dysfunction After Tourniquet Release in Children.</w:t>
      </w:r>
      <w:r w:rsidRPr="008337E8">
        <w:rPr>
          <w:rFonts w:asciiTheme="majorHAnsi" w:hAnsiTheme="majorHAnsi" w:cs="Arial"/>
          <w:color w:val="262626"/>
          <w:sz w:val="22"/>
          <w:szCs w:val="22"/>
          <w:u w:val="single" w:color="262626"/>
        </w:rPr>
        <w:t xml:space="preserve"> Physiol Res.</w:t>
      </w:r>
      <w:r w:rsidRPr="008337E8">
        <w:rPr>
          <w:rFonts w:asciiTheme="majorHAnsi" w:hAnsiTheme="majorHAnsi" w:cs="Arial"/>
          <w:sz w:val="22"/>
          <w:szCs w:val="22"/>
          <w:u w:color="262626"/>
        </w:rPr>
        <w:t xml:space="preserve"> 2011;60 Suppl 1:S137-45. Epub 2011 Jul 19.</w:t>
      </w:r>
    </w:p>
    <w:p w14:paraId="757D6BE8" w14:textId="77777777" w:rsidR="00533FF9" w:rsidRPr="008337E8" w:rsidRDefault="00533FF9" w:rsidP="00533FF9">
      <w:pPr>
        <w:widowControl w:val="0"/>
        <w:autoSpaceDE w:val="0"/>
        <w:autoSpaceDN w:val="0"/>
        <w:adjustRightInd w:val="0"/>
        <w:rPr>
          <w:rFonts w:asciiTheme="majorHAnsi" w:hAnsiTheme="majorHAnsi" w:cs="Arial"/>
          <w:sz w:val="22"/>
          <w:szCs w:val="22"/>
        </w:rPr>
      </w:pPr>
    </w:p>
    <w:p w14:paraId="67A18F8D" w14:textId="77777777" w:rsidR="00533FF9" w:rsidRPr="008337E8" w:rsidRDefault="00533FF9" w:rsidP="00533FF9">
      <w:pPr>
        <w:pStyle w:val="EndNoteBibliography"/>
        <w:numPr>
          <w:ilvl w:val="0"/>
          <w:numId w:val="21"/>
        </w:numPr>
        <w:rPr>
          <w:rFonts w:asciiTheme="majorHAnsi" w:hAnsiTheme="majorHAnsi"/>
          <w:sz w:val="22"/>
          <w:szCs w:val="22"/>
        </w:rPr>
      </w:pPr>
      <w:r w:rsidRPr="008337E8">
        <w:rPr>
          <w:rFonts w:asciiTheme="majorHAnsi" w:hAnsiTheme="majorHAnsi"/>
          <w:b/>
          <w:sz w:val="22"/>
          <w:szCs w:val="22"/>
        </w:rPr>
        <w:t>Authors, year of publication, site</w:t>
      </w:r>
      <w:r w:rsidRPr="008337E8">
        <w:rPr>
          <w:rFonts w:asciiTheme="majorHAnsi" w:hAnsiTheme="majorHAnsi"/>
          <w:sz w:val="22"/>
          <w:szCs w:val="22"/>
        </w:rPr>
        <w:t>: As above, July 19, 2011</w:t>
      </w:r>
    </w:p>
    <w:p w14:paraId="3C0D0032" w14:textId="77777777" w:rsidR="00533FF9" w:rsidRPr="008337E8" w:rsidRDefault="00533FF9" w:rsidP="00533FF9">
      <w:pPr>
        <w:pStyle w:val="EndNoteBibliography"/>
        <w:numPr>
          <w:ilvl w:val="0"/>
          <w:numId w:val="21"/>
        </w:numPr>
        <w:rPr>
          <w:rFonts w:asciiTheme="majorHAnsi" w:hAnsiTheme="majorHAnsi"/>
          <w:sz w:val="22"/>
          <w:szCs w:val="22"/>
        </w:rPr>
      </w:pPr>
      <w:r w:rsidRPr="008337E8">
        <w:rPr>
          <w:rFonts w:asciiTheme="majorHAnsi" w:hAnsiTheme="majorHAnsi"/>
          <w:b/>
          <w:sz w:val="22"/>
          <w:szCs w:val="22"/>
        </w:rPr>
        <w:t>Intervention type, duration:</w:t>
      </w:r>
      <w:r w:rsidRPr="008337E8">
        <w:rPr>
          <w:rFonts w:asciiTheme="majorHAnsi" w:hAnsiTheme="majorHAnsi"/>
          <w:sz w:val="22"/>
          <w:szCs w:val="22"/>
        </w:rPr>
        <w:t xml:space="preserve"> measurement of plasma xanthine oxidase levels 5 and 20 minutes after tourniquet release. </w:t>
      </w:r>
    </w:p>
    <w:p w14:paraId="59CD4E30" w14:textId="77777777" w:rsidR="00533FF9" w:rsidRPr="008337E8" w:rsidRDefault="00533FF9" w:rsidP="00533FF9">
      <w:pPr>
        <w:pStyle w:val="EndNoteBibliography"/>
        <w:numPr>
          <w:ilvl w:val="0"/>
          <w:numId w:val="21"/>
        </w:numPr>
        <w:rPr>
          <w:rFonts w:asciiTheme="majorHAnsi" w:hAnsiTheme="majorHAnsi"/>
          <w:sz w:val="22"/>
          <w:szCs w:val="22"/>
        </w:rPr>
      </w:pPr>
      <w:r w:rsidRPr="008337E8">
        <w:rPr>
          <w:rFonts w:asciiTheme="majorHAnsi" w:hAnsiTheme="majorHAnsi"/>
          <w:b/>
          <w:color w:val="18376A"/>
          <w:sz w:val="22"/>
          <w:szCs w:val="22"/>
        </w:rPr>
        <w:t>Study populations/settings</w:t>
      </w:r>
      <w:r w:rsidRPr="008337E8">
        <w:rPr>
          <w:rFonts w:asciiTheme="majorHAnsi" w:hAnsiTheme="majorHAnsi"/>
          <w:color w:val="18376A"/>
          <w:sz w:val="22"/>
          <w:szCs w:val="22"/>
        </w:rPr>
        <w:t>: 4</w:t>
      </w:r>
      <w:r w:rsidRPr="008337E8">
        <w:rPr>
          <w:rFonts w:asciiTheme="majorHAnsi" w:hAnsiTheme="majorHAnsi"/>
          <w:sz w:val="22"/>
          <w:szCs w:val="22"/>
        </w:rPr>
        <w:t>5 patients ASA I or II, 8 to 17 years of age, undergoing orthopedic procedures that required bloodless limb surgery. Children were randomized to sevoflurane (n=15), propofol (n=15) or peripheral nerve block (n=15) group.</w:t>
      </w:r>
    </w:p>
    <w:p w14:paraId="343D60FA" w14:textId="77777777" w:rsidR="00533FF9" w:rsidRPr="008337E8" w:rsidRDefault="00533FF9" w:rsidP="00533FF9">
      <w:pPr>
        <w:pStyle w:val="EndNoteBibliography"/>
        <w:numPr>
          <w:ilvl w:val="0"/>
          <w:numId w:val="21"/>
        </w:numPr>
        <w:rPr>
          <w:rFonts w:asciiTheme="majorHAnsi" w:hAnsiTheme="majorHAnsi" w:cs="Arial"/>
          <w:sz w:val="22"/>
          <w:szCs w:val="22"/>
        </w:rPr>
      </w:pPr>
      <w:r w:rsidRPr="008337E8">
        <w:rPr>
          <w:rFonts w:asciiTheme="majorHAnsi" w:hAnsiTheme="majorHAnsi" w:cs="Arial"/>
          <w:b/>
          <w:color w:val="18376A"/>
          <w:sz w:val="22"/>
          <w:szCs w:val="22"/>
        </w:rPr>
        <w:t>Aims of study:</w:t>
      </w:r>
      <w:r w:rsidRPr="008337E8">
        <w:rPr>
          <w:rFonts w:asciiTheme="majorHAnsi" w:hAnsiTheme="majorHAnsi" w:cs="Arial"/>
          <w:color w:val="18376A"/>
          <w:sz w:val="22"/>
          <w:szCs w:val="22"/>
        </w:rPr>
        <w:t xml:space="preserve"> I</w:t>
      </w:r>
      <w:r w:rsidRPr="008337E8">
        <w:rPr>
          <w:rFonts w:asciiTheme="majorHAnsi" w:hAnsiTheme="majorHAnsi" w:cs="Arial"/>
          <w:sz w:val="22"/>
          <w:szCs w:val="22"/>
        </w:rPr>
        <w:t xml:space="preserve">nvestigate possible </w:t>
      </w:r>
      <w:r w:rsidRPr="008337E8">
        <w:rPr>
          <w:rFonts w:asciiTheme="majorHAnsi" w:hAnsiTheme="majorHAnsi"/>
          <w:sz w:val="22"/>
          <w:szCs w:val="22"/>
        </w:rPr>
        <w:t>effect of different anesthesia techniques on oxidative stress and endothelial dysfunction connected with I/R injury during extremity operations at children's age.</w:t>
      </w:r>
    </w:p>
    <w:p w14:paraId="31BE32FC" w14:textId="77777777" w:rsidR="00533FF9" w:rsidRPr="008337E8" w:rsidRDefault="00533FF9" w:rsidP="00533FF9">
      <w:pPr>
        <w:pStyle w:val="EndNoteBibliography"/>
        <w:numPr>
          <w:ilvl w:val="0"/>
          <w:numId w:val="21"/>
        </w:numPr>
        <w:rPr>
          <w:rFonts w:asciiTheme="majorHAnsi" w:hAnsiTheme="majorHAnsi"/>
          <w:sz w:val="22"/>
          <w:szCs w:val="22"/>
        </w:rPr>
      </w:pPr>
      <w:r w:rsidRPr="008337E8">
        <w:rPr>
          <w:rFonts w:asciiTheme="majorHAnsi" w:hAnsiTheme="majorHAnsi"/>
          <w:b/>
          <w:sz w:val="22"/>
          <w:szCs w:val="22"/>
        </w:rPr>
        <w:t>Methodology:</w:t>
      </w:r>
      <w:r w:rsidRPr="008337E8">
        <w:rPr>
          <w:rFonts w:asciiTheme="majorHAnsi" w:hAnsiTheme="majorHAnsi"/>
          <w:sz w:val="22"/>
          <w:szCs w:val="22"/>
        </w:rPr>
        <w:t xml:space="preserve"> Randomized uncontrolled trial</w:t>
      </w:r>
    </w:p>
    <w:p w14:paraId="68B6B10E" w14:textId="77777777" w:rsidR="00533FF9" w:rsidRPr="008337E8" w:rsidRDefault="00533FF9" w:rsidP="00533FF9">
      <w:pPr>
        <w:pStyle w:val="EndNoteBibliography"/>
        <w:numPr>
          <w:ilvl w:val="0"/>
          <w:numId w:val="21"/>
        </w:numPr>
        <w:rPr>
          <w:rFonts w:asciiTheme="majorHAnsi" w:hAnsiTheme="majorHAnsi"/>
          <w:sz w:val="22"/>
          <w:szCs w:val="22"/>
        </w:rPr>
      </w:pPr>
      <w:r w:rsidRPr="008337E8">
        <w:rPr>
          <w:rFonts w:asciiTheme="majorHAnsi" w:hAnsiTheme="majorHAnsi"/>
          <w:b/>
          <w:color w:val="18376A"/>
          <w:sz w:val="22"/>
          <w:szCs w:val="22"/>
        </w:rPr>
        <w:t>Outcomes:</w:t>
      </w:r>
      <w:r w:rsidRPr="008337E8">
        <w:rPr>
          <w:rFonts w:asciiTheme="majorHAnsi" w:hAnsiTheme="majorHAnsi"/>
          <w:color w:val="18376A"/>
          <w:sz w:val="22"/>
          <w:szCs w:val="22"/>
        </w:rPr>
        <w:t xml:space="preserve"> </w:t>
      </w:r>
      <w:r w:rsidRPr="008337E8">
        <w:rPr>
          <w:rFonts w:asciiTheme="majorHAnsi" w:hAnsiTheme="majorHAnsi"/>
          <w:sz w:val="22"/>
          <w:szCs w:val="22"/>
        </w:rPr>
        <w:t>This study demonstrates that total intravenous anesthesia with propofol and regional anesthesia techniques provide better antioxidant defense and reduce endothelial dysfunction than general inhalational anesthesia with sevoflurane during tourniquet application.</w:t>
      </w:r>
    </w:p>
    <w:p w14:paraId="43B3592D" w14:textId="77777777" w:rsidR="00533FF9" w:rsidRPr="008337E8" w:rsidRDefault="00533FF9" w:rsidP="00533FF9">
      <w:pPr>
        <w:pStyle w:val="EndNoteBibliography"/>
        <w:numPr>
          <w:ilvl w:val="0"/>
          <w:numId w:val="21"/>
        </w:numPr>
        <w:rPr>
          <w:rFonts w:asciiTheme="majorHAnsi" w:hAnsiTheme="majorHAnsi"/>
          <w:sz w:val="22"/>
          <w:szCs w:val="22"/>
        </w:rPr>
      </w:pPr>
      <w:r w:rsidRPr="008337E8">
        <w:rPr>
          <w:rFonts w:asciiTheme="majorHAnsi" w:hAnsiTheme="majorHAnsi"/>
          <w:b/>
          <w:sz w:val="22"/>
          <w:szCs w:val="22"/>
        </w:rPr>
        <w:t>Important results:</w:t>
      </w:r>
      <w:r w:rsidRPr="008337E8">
        <w:rPr>
          <w:rFonts w:asciiTheme="majorHAnsi" w:hAnsiTheme="majorHAnsi"/>
          <w:sz w:val="22"/>
          <w:szCs w:val="22"/>
        </w:rPr>
        <w:t xml:space="preserve"> There is less oxidative stress when tourniquets are released in patients who’ve had regional anesthesia and profofol than for those who’ve had general anesthesia with sevofluane. </w:t>
      </w:r>
    </w:p>
    <w:p w14:paraId="5270ED30" w14:textId="77777777" w:rsidR="00533FF9" w:rsidRPr="008337E8" w:rsidRDefault="00533FF9" w:rsidP="00533FF9">
      <w:pPr>
        <w:pStyle w:val="EndNoteBibliography"/>
        <w:numPr>
          <w:ilvl w:val="0"/>
          <w:numId w:val="21"/>
        </w:numPr>
        <w:rPr>
          <w:rFonts w:asciiTheme="majorHAnsi" w:hAnsiTheme="majorHAnsi"/>
          <w:sz w:val="22"/>
          <w:szCs w:val="22"/>
        </w:rPr>
      </w:pPr>
      <w:r w:rsidRPr="008337E8">
        <w:rPr>
          <w:rFonts w:asciiTheme="majorHAnsi" w:hAnsiTheme="majorHAnsi"/>
          <w:b/>
          <w:sz w:val="22"/>
          <w:szCs w:val="22"/>
        </w:rPr>
        <w:t>Critiques of the data.</w:t>
      </w:r>
      <w:r w:rsidRPr="008337E8">
        <w:rPr>
          <w:rFonts w:asciiTheme="majorHAnsi" w:hAnsiTheme="majorHAnsi"/>
          <w:sz w:val="22"/>
          <w:szCs w:val="22"/>
        </w:rPr>
        <w:t xml:space="preserve"> Small comparison numbers. Outcomes of study are not generalizable: patients were all orthopedic surgery patients who were undergoing surgery. </w:t>
      </w:r>
    </w:p>
    <w:p w14:paraId="566B378F" w14:textId="77777777" w:rsidR="00533FF9" w:rsidRPr="008337E8" w:rsidRDefault="00533FF9" w:rsidP="00533FF9">
      <w:pPr>
        <w:widowControl w:val="0"/>
        <w:autoSpaceDE w:val="0"/>
        <w:autoSpaceDN w:val="0"/>
        <w:adjustRightInd w:val="0"/>
        <w:rPr>
          <w:rFonts w:asciiTheme="majorHAnsi" w:hAnsiTheme="majorHAnsi" w:cs="Arial"/>
          <w:color w:val="18376A"/>
          <w:sz w:val="22"/>
          <w:szCs w:val="22"/>
        </w:rPr>
      </w:pPr>
    </w:p>
    <w:p w14:paraId="6A3F5D89" w14:textId="77777777" w:rsidR="00533FF9" w:rsidRPr="008337E8" w:rsidRDefault="00533FF9" w:rsidP="00533FF9">
      <w:pPr>
        <w:widowControl w:val="0"/>
        <w:autoSpaceDE w:val="0"/>
        <w:autoSpaceDN w:val="0"/>
        <w:adjustRightInd w:val="0"/>
        <w:rPr>
          <w:rFonts w:asciiTheme="majorHAnsi" w:hAnsiTheme="majorHAnsi" w:cs="Arial"/>
          <w:sz w:val="22"/>
          <w:szCs w:val="22"/>
        </w:rPr>
      </w:pPr>
      <w:r w:rsidRPr="008337E8">
        <w:rPr>
          <w:rFonts w:asciiTheme="majorHAnsi" w:hAnsiTheme="majorHAnsi"/>
          <w:sz w:val="22"/>
          <w:szCs w:val="22"/>
        </w:rPr>
        <w:t xml:space="preserve">5)  </w:t>
      </w:r>
      <w:hyperlink r:id="rId14" w:history="1">
        <w:r w:rsidRPr="008337E8">
          <w:rPr>
            <w:rFonts w:asciiTheme="majorHAnsi" w:hAnsiTheme="majorHAnsi" w:cs="Arial"/>
            <w:color w:val="262626"/>
            <w:sz w:val="22"/>
            <w:szCs w:val="22"/>
            <w:u w:val="single" w:color="262626"/>
          </w:rPr>
          <w:t>Dua A</w:t>
        </w:r>
      </w:hyperlink>
      <w:r w:rsidRPr="008337E8">
        <w:rPr>
          <w:rFonts w:asciiTheme="majorHAnsi" w:hAnsiTheme="majorHAnsi" w:cs="Arial"/>
          <w:sz w:val="22"/>
          <w:szCs w:val="22"/>
        </w:rPr>
        <w:t xml:space="preserve">1, </w:t>
      </w:r>
      <w:hyperlink r:id="rId15" w:history="1">
        <w:r w:rsidRPr="008337E8">
          <w:rPr>
            <w:rFonts w:asciiTheme="majorHAnsi" w:hAnsiTheme="majorHAnsi" w:cs="Arial"/>
            <w:color w:val="262626"/>
            <w:sz w:val="22"/>
            <w:szCs w:val="22"/>
            <w:u w:val="single" w:color="262626"/>
          </w:rPr>
          <w:t>Via KC</w:t>
        </w:r>
      </w:hyperlink>
      <w:r w:rsidRPr="008337E8">
        <w:rPr>
          <w:rFonts w:asciiTheme="majorHAnsi" w:hAnsiTheme="majorHAnsi" w:cs="Arial"/>
          <w:sz w:val="22"/>
          <w:szCs w:val="22"/>
        </w:rPr>
        <w:t xml:space="preserve">, </w:t>
      </w:r>
      <w:hyperlink r:id="rId16" w:history="1">
        <w:r w:rsidRPr="008337E8">
          <w:rPr>
            <w:rFonts w:asciiTheme="majorHAnsi" w:hAnsiTheme="majorHAnsi" w:cs="Arial"/>
            <w:color w:val="262626"/>
            <w:sz w:val="22"/>
            <w:szCs w:val="22"/>
            <w:u w:val="single" w:color="262626"/>
          </w:rPr>
          <w:t>Kreishman P</w:t>
        </w:r>
      </w:hyperlink>
      <w:r w:rsidRPr="008337E8">
        <w:rPr>
          <w:rFonts w:asciiTheme="majorHAnsi" w:hAnsiTheme="majorHAnsi" w:cs="Arial"/>
          <w:sz w:val="22"/>
          <w:szCs w:val="22"/>
        </w:rPr>
        <w:t xml:space="preserve">, </w:t>
      </w:r>
      <w:hyperlink r:id="rId17" w:history="1">
        <w:r w:rsidRPr="008337E8">
          <w:rPr>
            <w:rFonts w:asciiTheme="majorHAnsi" w:hAnsiTheme="majorHAnsi" w:cs="Arial"/>
            <w:color w:val="262626"/>
            <w:sz w:val="22"/>
            <w:szCs w:val="22"/>
            <w:u w:val="single" w:color="262626"/>
          </w:rPr>
          <w:t>Kragh JF Jr</w:t>
        </w:r>
      </w:hyperlink>
      <w:r w:rsidRPr="008337E8">
        <w:rPr>
          <w:rFonts w:asciiTheme="majorHAnsi" w:hAnsiTheme="majorHAnsi" w:cs="Arial"/>
          <w:sz w:val="22"/>
          <w:szCs w:val="22"/>
        </w:rPr>
        <w:t xml:space="preserve">, </w:t>
      </w:r>
      <w:hyperlink r:id="rId18" w:history="1">
        <w:r w:rsidRPr="008337E8">
          <w:rPr>
            <w:rFonts w:asciiTheme="majorHAnsi" w:hAnsiTheme="majorHAnsi" w:cs="Arial"/>
            <w:color w:val="262626"/>
            <w:sz w:val="22"/>
            <w:szCs w:val="22"/>
            <w:u w:val="single" w:color="262626"/>
          </w:rPr>
          <w:t>Spinella PC</w:t>
        </w:r>
      </w:hyperlink>
      <w:r w:rsidRPr="008337E8">
        <w:rPr>
          <w:rFonts w:asciiTheme="majorHAnsi" w:hAnsiTheme="majorHAnsi" w:cs="Arial"/>
          <w:sz w:val="22"/>
          <w:szCs w:val="22"/>
        </w:rPr>
        <w:t xml:space="preserve">, </w:t>
      </w:r>
      <w:hyperlink r:id="rId19" w:history="1">
        <w:r w:rsidRPr="008337E8">
          <w:rPr>
            <w:rFonts w:asciiTheme="majorHAnsi" w:hAnsiTheme="majorHAnsi" w:cs="Arial"/>
            <w:color w:val="262626"/>
            <w:sz w:val="22"/>
            <w:szCs w:val="22"/>
            <w:u w:val="single" w:color="262626"/>
          </w:rPr>
          <w:t>Patel B</w:t>
        </w:r>
      </w:hyperlink>
      <w:r w:rsidRPr="008337E8">
        <w:rPr>
          <w:rFonts w:asciiTheme="majorHAnsi" w:hAnsiTheme="majorHAnsi" w:cs="Arial"/>
          <w:sz w:val="22"/>
          <w:szCs w:val="22"/>
        </w:rPr>
        <w:t xml:space="preserve">, </w:t>
      </w:r>
      <w:hyperlink r:id="rId20" w:history="1">
        <w:r w:rsidRPr="008337E8">
          <w:rPr>
            <w:rFonts w:asciiTheme="majorHAnsi" w:hAnsiTheme="majorHAnsi" w:cs="Arial"/>
            <w:color w:val="262626"/>
            <w:sz w:val="22"/>
            <w:szCs w:val="22"/>
            <w:u w:val="single" w:color="262626"/>
          </w:rPr>
          <w:t>Gillespie DL</w:t>
        </w:r>
      </w:hyperlink>
      <w:r w:rsidRPr="008337E8">
        <w:rPr>
          <w:rFonts w:asciiTheme="majorHAnsi" w:hAnsiTheme="majorHAnsi" w:cs="Arial"/>
          <w:sz w:val="22"/>
          <w:szCs w:val="22"/>
        </w:rPr>
        <w:t xml:space="preserve">, </w:t>
      </w:r>
      <w:hyperlink r:id="rId21" w:history="1">
        <w:r w:rsidRPr="008337E8">
          <w:rPr>
            <w:rFonts w:asciiTheme="majorHAnsi" w:hAnsiTheme="majorHAnsi" w:cs="Arial"/>
            <w:color w:val="262626"/>
            <w:sz w:val="22"/>
            <w:szCs w:val="22"/>
            <w:u w:val="single" w:color="262626"/>
          </w:rPr>
          <w:t>Mahoney P</w:t>
        </w:r>
      </w:hyperlink>
      <w:r w:rsidRPr="008337E8">
        <w:rPr>
          <w:rFonts w:asciiTheme="majorHAnsi" w:hAnsiTheme="majorHAnsi" w:cs="Arial"/>
          <w:sz w:val="22"/>
          <w:szCs w:val="22"/>
        </w:rPr>
        <w:t xml:space="preserve">, </w:t>
      </w:r>
      <w:hyperlink r:id="rId22" w:history="1">
        <w:r w:rsidRPr="008337E8">
          <w:rPr>
            <w:rFonts w:asciiTheme="majorHAnsi" w:hAnsiTheme="majorHAnsi" w:cs="Arial"/>
            <w:color w:val="262626"/>
            <w:sz w:val="22"/>
            <w:szCs w:val="22"/>
            <w:u w:val="single" w:color="262626"/>
          </w:rPr>
          <w:t>Fox CJ</w:t>
        </w:r>
      </w:hyperlink>
      <w:r w:rsidRPr="008337E8">
        <w:rPr>
          <w:rFonts w:asciiTheme="majorHAnsi" w:hAnsiTheme="majorHAnsi" w:cs="Arial"/>
          <w:sz w:val="22"/>
          <w:szCs w:val="22"/>
        </w:rPr>
        <w:t xml:space="preserve">. Early management of pediatric vascular injuries through humanitarian surgical care during U.S. military operations. </w:t>
      </w:r>
      <w:r w:rsidRPr="008337E8">
        <w:rPr>
          <w:rFonts w:asciiTheme="majorHAnsi" w:hAnsiTheme="majorHAnsi" w:cs="Arial"/>
          <w:color w:val="262626"/>
          <w:sz w:val="22"/>
          <w:szCs w:val="22"/>
          <w:u w:val="single" w:color="262626"/>
        </w:rPr>
        <w:t>J Vasc Surg.</w:t>
      </w:r>
      <w:r w:rsidRPr="008337E8">
        <w:rPr>
          <w:rFonts w:asciiTheme="majorHAnsi" w:hAnsiTheme="majorHAnsi" w:cs="Arial"/>
          <w:sz w:val="22"/>
          <w:szCs w:val="22"/>
          <w:u w:color="262626"/>
        </w:rPr>
        <w:t xml:space="preserve"> 2013 Sep;58(3):695-700. doi: 10.1016/j.jvs.2013.02.034. Epub 2013 May 14.</w:t>
      </w:r>
    </w:p>
    <w:p w14:paraId="1BF442E3" w14:textId="77777777" w:rsidR="00533FF9" w:rsidRPr="008337E8" w:rsidRDefault="00533FF9" w:rsidP="00533FF9">
      <w:pPr>
        <w:widowControl w:val="0"/>
        <w:autoSpaceDE w:val="0"/>
        <w:autoSpaceDN w:val="0"/>
        <w:adjustRightInd w:val="0"/>
        <w:rPr>
          <w:rFonts w:asciiTheme="majorHAnsi" w:hAnsiTheme="majorHAnsi" w:cs="Arial"/>
          <w:color w:val="18376A"/>
          <w:sz w:val="22"/>
          <w:szCs w:val="22"/>
        </w:rPr>
      </w:pPr>
    </w:p>
    <w:p w14:paraId="04B6CA72" w14:textId="77777777" w:rsidR="00533FF9" w:rsidRPr="008337E8" w:rsidRDefault="00533FF9" w:rsidP="00533FF9">
      <w:pPr>
        <w:pStyle w:val="EndNoteBibliography"/>
        <w:numPr>
          <w:ilvl w:val="0"/>
          <w:numId w:val="15"/>
        </w:numPr>
        <w:rPr>
          <w:rFonts w:asciiTheme="majorHAnsi" w:hAnsiTheme="majorHAnsi"/>
          <w:sz w:val="22"/>
          <w:szCs w:val="22"/>
        </w:rPr>
      </w:pPr>
      <w:r w:rsidRPr="008337E8">
        <w:rPr>
          <w:rFonts w:asciiTheme="majorHAnsi" w:hAnsiTheme="majorHAnsi"/>
          <w:color w:val="18376A"/>
          <w:sz w:val="22"/>
          <w:szCs w:val="22"/>
        </w:rPr>
        <w:t xml:space="preserve"> </w:t>
      </w:r>
      <w:r w:rsidRPr="008337E8">
        <w:rPr>
          <w:rFonts w:asciiTheme="majorHAnsi" w:hAnsiTheme="majorHAnsi"/>
          <w:b/>
          <w:color w:val="18376A"/>
          <w:sz w:val="22"/>
          <w:szCs w:val="22"/>
        </w:rPr>
        <w:t>Authors, year of publication, site:</w:t>
      </w:r>
      <w:r w:rsidRPr="008337E8">
        <w:rPr>
          <w:rFonts w:asciiTheme="majorHAnsi" w:hAnsiTheme="majorHAnsi"/>
          <w:color w:val="18376A"/>
          <w:sz w:val="22"/>
          <w:szCs w:val="22"/>
        </w:rPr>
        <w:t xml:space="preserve"> </w:t>
      </w:r>
      <w:r w:rsidRPr="008337E8">
        <w:rPr>
          <w:rFonts w:asciiTheme="majorHAnsi" w:hAnsiTheme="majorHAnsi"/>
          <w:sz w:val="22"/>
          <w:szCs w:val="22"/>
        </w:rPr>
        <w:t>U.S. military combat support hospital in Baghdad, Iraq.</w:t>
      </w:r>
      <w:r w:rsidRPr="008337E8">
        <w:rPr>
          <w:rFonts w:asciiTheme="majorHAnsi" w:hAnsiTheme="majorHAnsi"/>
          <w:color w:val="18376A"/>
          <w:sz w:val="22"/>
          <w:szCs w:val="22"/>
        </w:rPr>
        <w:t>2013</w:t>
      </w:r>
    </w:p>
    <w:p w14:paraId="738131EE" w14:textId="77777777" w:rsidR="00533FF9" w:rsidRPr="008337E8" w:rsidRDefault="00533FF9" w:rsidP="00533FF9">
      <w:pPr>
        <w:pStyle w:val="EndNoteBibliography"/>
        <w:numPr>
          <w:ilvl w:val="0"/>
          <w:numId w:val="15"/>
        </w:numPr>
        <w:rPr>
          <w:rFonts w:asciiTheme="majorHAnsi" w:hAnsiTheme="majorHAnsi"/>
          <w:color w:val="191919"/>
          <w:sz w:val="22"/>
          <w:szCs w:val="22"/>
        </w:rPr>
      </w:pPr>
      <w:r w:rsidRPr="008337E8">
        <w:rPr>
          <w:rFonts w:asciiTheme="majorHAnsi" w:hAnsiTheme="majorHAnsi"/>
          <w:b/>
          <w:sz w:val="22"/>
          <w:szCs w:val="22"/>
        </w:rPr>
        <w:t>Intervention type, duration:</w:t>
      </w:r>
      <w:r w:rsidRPr="008337E8">
        <w:rPr>
          <w:rFonts w:asciiTheme="majorHAnsi" w:hAnsiTheme="majorHAnsi"/>
          <w:sz w:val="22"/>
          <w:szCs w:val="22"/>
        </w:rPr>
        <w:t xml:space="preserve"> Descriptive study only</w:t>
      </w:r>
    </w:p>
    <w:p w14:paraId="3E657258" w14:textId="77777777" w:rsidR="00533FF9" w:rsidRPr="008337E8" w:rsidRDefault="00533FF9" w:rsidP="00533FF9">
      <w:pPr>
        <w:pStyle w:val="EndNoteBibliography"/>
        <w:numPr>
          <w:ilvl w:val="0"/>
          <w:numId w:val="15"/>
        </w:numPr>
        <w:rPr>
          <w:rFonts w:asciiTheme="majorHAnsi" w:hAnsiTheme="majorHAnsi"/>
          <w:sz w:val="22"/>
          <w:szCs w:val="22"/>
        </w:rPr>
      </w:pPr>
      <w:r w:rsidRPr="008337E8">
        <w:rPr>
          <w:rFonts w:asciiTheme="majorHAnsi" w:hAnsiTheme="majorHAnsi"/>
          <w:b/>
          <w:color w:val="18376A"/>
          <w:sz w:val="22"/>
          <w:szCs w:val="22"/>
        </w:rPr>
        <w:t>Study populations/settings:</w:t>
      </w:r>
      <w:r w:rsidRPr="008337E8">
        <w:rPr>
          <w:rFonts w:asciiTheme="majorHAnsi" w:hAnsiTheme="majorHAnsi"/>
          <w:color w:val="18376A"/>
          <w:sz w:val="22"/>
          <w:szCs w:val="22"/>
        </w:rPr>
        <w:t xml:space="preserve"> </w:t>
      </w:r>
      <w:r w:rsidRPr="008337E8">
        <w:rPr>
          <w:rFonts w:asciiTheme="majorHAnsi" w:hAnsiTheme="majorHAnsi"/>
          <w:sz w:val="22"/>
          <w:szCs w:val="22"/>
        </w:rPr>
        <w:t>Twenty-five children, median age 14 years (range, 5-17 years), median weight 48 kg (range, 15-80 kg) sustained 18 (72%) blast and 7 (28%) gunshot wounds. The mean Injury Severity Score was 25 +/- 16.2.</w:t>
      </w:r>
    </w:p>
    <w:p w14:paraId="54E06F9C" w14:textId="77777777" w:rsidR="00533FF9" w:rsidRPr="008337E8" w:rsidRDefault="00533FF9" w:rsidP="00533FF9">
      <w:pPr>
        <w:pStyle w:val="EndNoteBibliography"/>
        <w:numPr>
          <w:ilvl w:val="0"/>
          <w:numId w:val="15"/>
        </w:numPr>
        <w:rPr>
          <w:rFonts w:asciiTheme="majorHAnsi" w:hAnsiTheme="majorHAnsi"/>
          <w:sz w:val="22"/>
          <w:szCs w:val="22"/>
        </w:rPr>
      </w:pPr>
      <w:r w:rsidRPr="008337E8">
        <w:rPr>
          <w:rFonts w:asciiTheme="majorHAnsi" w:hAnsiTheme="majorHAnsi"/>
          <w:b/>
          <w:sz w:val="22"/>
          <w:szCs w:val="22"/>
        </w:rPr>
        <w:t>Aims of study:</w:t>
      </w:r>
      <w:r w:rsidRPr="008337E8">
        <w:rPr>
          <w:rFonts w:asciiTheme="majorHAnsi" w:hAnsiTheme="majorHAnsi"/>
          <w:sz w:val="22"/>
          <w:szCs w:val="22"/>
        </w:rPr>
        <w:t xml:space="preserve"> Describe the types of pediatric vascular injuries and their management at </w:t>
      </w:r>
    </w:p>
    <w:p w14:paraId="4126A51D" w14:textId="77777777" w:rsidR="00533FF9" w:rsidRPr="008337E8" w:rsidRDefault="00533FF9" w:rsidP="00533FF9">
      <w:pPr>
        <w:pStyle w:val="EndNoteBibliography"/>
        <w:numPr>
          <w:ilvl w:val="0"/>
          <w:numId w:val="15"/>
        </w:numPr>
        <w:rPr>
          <w:rFonts w:asciiTheme="majorHAnsi" w:hAnsiTheme="majorHAnsi"/>
          <w:sz w:val="22"/>
          <w:szCs w:val="22"/>
        </w:rPr>
      </w:pPr>
      <w:r w:rsidRPr="008337E8">
        <w:rPr>
          <w:rFonts w:asciiTheme="majorHAnsi" w:hAnsiTheme="majorHAnsi"/>
          <w:b/>
          <w:sz w:val="22"/>
          <w:szCs w:val="22"/>
        </w:rPr>
        <w:t>Methodology:</w:t>
      </w:r>
      <w:r>
        <w:rPr>
          <w:rFonts w:asciiTheme="majorHAnsi" w:hAnsiTheme="majorHAnsi"/>
          <w:sz w:val="22"/>
          <w:szCs w:val="22"/>
        </w:rPr>
        <w:t xml:space="preserve"> </w:t>
      </w:r>
      <w:r w:rsidRPr="008337E8">
        <w:rPr>
          <w:rFonts w:asciiTheme="majorHAnsi" w:hAnsiTheme="majorHAnsi"/>
          <w:sz w:val="22"/>
          <w:szCs w:val="22"/>
        </w:rPr>
        <w:t xml:space="preserve"> Retrospective cross-sectional study. Joint Theater Trauma Registry (JTTR) records retro-spectively evaluated consecutive pediatric (age&lt;18 years) vascular injuries managed in a single military hospital in Baghdad, Iraq between April 2006 and August 2008.</w:t>
      </w:r>
    </w:p>
    <w:p w14:paraId="02992387" w14:textId="77777777" w:rsidR="00533FF9" w:rsidRPr="008337E8" w:rsidRDefault="00533FF9" w:rsidP="00533FF9">
      <w:pPr>
        <w:pStyle w:val="EndNoteBibliography"/>
        <w:numPr>
          <w:ilvl w:val="0"/>
          <w:numId w:val="15"/>
        </w:numPr>
        <w:rPr>
          <w:rFonts w:asciiTheme="majorHAnsi" w:hAnsiTheme="majorHAnsi"/>
          <w:sz w:val="22"/>
          <w:szCs w:val="22"/>
        </w:rPr>
      </w:pPr>
      <w:r w:rsidRPr="008337E8">
        <w:rPr>
          <w:rFonts w:asciiTheme="majorHAnsi" w:hAnsiTheme="majorHAnsi"/>
          <w:b/>
          <w:color w:val="18376A"/>
          <w:sz w:val="22"/>
          <w:szCs w:val="22"/>
        </w:rPr>
        <w:t>Outcomes:</w:t>
      </w:r>
      <w:r w:rsidRPr="008337E8">
        <w:rPr>
          <w:rFonts w:asciiTheme="majorHAnsi" w:hAnsiTheme="majorHAnsi"/>
          <w:color w:val="18376A"/>
          <w:sz w:val="22"/>
          <w:szCs w:val="22"/>
        </w:rPr>
        <w:t xml:space="preserve"> 4 patients (16%) had amputations. </w:t>
      </w:r>
      <w:r w:rsidRPr="008337E8">
        <w:rPr>
          <w:rFonts w:asciiTheme="majorHAnsi" w:hAnsiTheme="majorHAnsi"/>
          <w:sz w:val="22"/>
          <w:szCs w:val="22"/>
        </w:rPr>
        <w:t xml:space="preserve">Upon emergency department arrival, the mean physiological parameters noted patients to be tachycardic (136 +/-29 bpm), </w:t>
      </w:r>
      <w:r w:rsidRPr="008337E8">
        <w:rPr>
          <w:rFonts w:asciiTheme="majorHAnsi" w:hAnsiTheme="majorHAnsi"/>
          <w:sz w:val="22"/>
          <w:szCs w:val="22"/>
        </w:rPr>
        <w:lastRenderedPageBreak/>
        <w:t xml:space="preserve">hypotensive (109/63 +/-29/19 mm Hg), and acidemic. The vast majority (21; 84%) of all children received blood products. </w:t>
      </w:r>
      <w:r w:rsidRPr="008337E8">
        <w:rPr>
          <w:rFonts w:asciiTheme="majorHAnsi" w:hAnsiTheme="majorHAnsi"/>
          <w:b/>
          <w:sz w:val="22"/>
          <w:szCs w:val="22"/>
        </w:rPr>
        <w:t xml:space="preserve">Two patients </w:t>
      </w:r>
      <w:r w:rsidRPr="008337E8">
        <w:rPr>
          <w:rFonts w:asciiTheme="majorHAnsi" w:hAnsiTheme="majorHAnsi"/>
          <w:sz w:val="22"/>
          <w:szCs w:val="22"/>
        </w:rPr>
        <w:t xml:space="preserve">had tourniquets applied and had limbs amputated. </w:t>
      </w:r>
    </w:p>
    <w:p w14:paraId="47F4AB4A" w14:textId="77777777" w:rsidR="00533FF9" w:rsidRPr="008337E8" w:rsidRDefault="00533FF9" w:rsidP="00533FF9">
      <w:pPr>
        <w:pStyle w:val="EndNoteBibliography"/>
        <w:numPr>
          <w:ilvl w:val="0"/>
          <w:numId w:val="15"/>
        </w:numPr>
        <w:rPr>
          <w:rFonts w:asciiTheme="majorHAnsi" w:hAnsiTheme="majorHAnsi"/>
          <w:sz w:val="22"/>
          <w:szCs w:val="22"/>
        </w:rPr>
      </w:pPr>
      <w:r w:rsidRPr="008337E8">
        <w:rPr>
          <w:rFonts w:asciiTheme="majorHAnsi" w:hAnsiTheme="majorHAnsi"/>
          <w:b/>
          <w:color w:val="18376A"/>
          <w:sz w:val="22"/>
          <w:szCs w:val="22"/>
        </w:rPr>
        <w:t>Important results:</w:t>
      </w:r>
      <w:r w:rsidRPr="008337E8">
        <w:rPr>
          <w:rFonts w:asciiTheme="majorHAnsi" w:hAnsiTheme="majorHAnsi"/>
          <w:color w:val="18376A"/>
          <w:sz w:val="22"/>
          <w:szCs w:val="22"/>
        </w:rPr>
        <w:t xml:space="preserve"> </w:t>
      </w:r>
      <w:r w:rsidRPr="008337E8">
        <w:rPr>
          <w:rFonts w:asciiTheme="majorHAnsi" w:hAnsiTheme="majorHAnsi"/>
          <w:sz w:val="22"/>
          <w:szCs w:val="22"/>
        </w:rPr>
        <w:t>This is the largest reported wartime series to demonstrate in children that damage control resuscitation despite high injury severity permits simultaneous limb salvage.</w:t>
      </w:r>
    </w:p>
    <w:p w14:paraId="105C0709" w14:textId="77777777" w:rsidR="00533FF9" w:rsidRPr="008337E8" w:rsidRDefault="00533FF9" w:rsidP="00533FF9">
      <w:pPr>
        <w:pStyle w:val="EndNoteBibliography"/>
        <w:numPr>
          <w:ilvl w:val="0"/>
          <w:numId w:val="15"/>
        </w:numPr>
        <w:rPr>
          <w:rFonts w:asciiTheme="majorHAnsi" w:hAnsiTheme="majorHAnsi"/>
          <w:sz w:val="22"/>
          <w:szCs w:val="22"/>
        </w:rPr>
      </w:pPr>
      <w:r w:rsidRPr="008337E8">
        <w:rPr>
          <w:rFonts w:asciiTheme="majorHAnsi" w:hAnsiTheme="majorHAnsi"/>
          <w:b/>
          <w:sz w:val="22"/>
          <w:szCs w:val="22"/>
        </w:rPr>
        <w:t>Critiques of the data:</w:t>
      </w:r>
      <w:r w:rsidRPr="008337E8">
        <w:rPr>
          <w:rFonts w:asciiTheme="majorHAnsi" w:hAnsiTheme="majorHAnsi"/>
          <w:sz w:val="22"/>
          <w:szCs w:val="22"/>
        </w:rPr>
        <w:t xml:space="preserve"> Not much value for a guideline about tourniquet use.</w:t>
      </w:r>
    </w:p>
    <w:p w14:paraId="7599B720" w14:textId="77777777" w:rsidR="00533FF9" w:rsidRPr="008337E8" w:rsidRDefault="00533FF9" w:rsidP="00533FF9">
      <w:pPr>
        <w:widowControl w:val="0"/>
        <w:autoSpaceDE w:val="0"/>
        <w:autoSpaceDN w:val="0"/>
        <w:adjustRightInd w:val="0"/>
        <w:rPr>
          <w:rFonts w:asciiTheme="majorHAnsi" w:hAnsiTheme="majorHAnsi" w:cs="Arial"/>
          <w:color w:val="191919"/>
          <w:sz w:val="22"/>
          <w:szCs w:val="22"/>
        </w:rPr>
      </w:pPr>
    </w:p>
    <w:p w14:paraId="25132B2E" w14:textId="77777777" w:rsidR="00533FF9" w:rsidRPr="008337E8" w:rsidRDefault="00533FF9" w:rsidP="00533FF9">
      <w:pPr>
        <w:widowControl w:val="0"/>
        <w:autoSpaceDE w:val="0"/>
        <w:autoSpaceDN w:val="0"/>
        <w:adjustRightInd w:val="0"/>
        <w:rPr>
          <w:rFonts w:asciiTheme="majorHAnsi" w:hAnsiTheme="majorHAnsi" w:cs="Arial"/>
          <w:sz w:val="22"/>
          <w:szCs w:val="22"/>
        </w:rPr>
      </w:pPr>
      <w:r w:rsidRPr="008337E8">
        <w:rPr>
          <w:rFonts w:asciiTheme="majorHAnsi" w:hAnsiTheme="majorHAnsi"/>
          <w:sz w:val="22"/>
          <w:szCs w:val="22"/>
        </w:rPr>
        <w:t xml:space="preserve">6)  </w:t>
      </w:r>
      <w:hyperlink r:id="rId23" w:history="1">
        <w:r w:rsidRPr="008337E8">
          <w:rPr>
            <w:rFonts w:asciiTheme="majorHAnsi" w:hAnsiTheme="majorHAnsi" w:cs="Arial"/>
            <w:color w:val="262626"/>
            <w:sz w:val="22"/>
            <w:szCs w:val="22"/>
            <w:u w:val="single" w:color="262626"/>
          </w:rPr>
          <w:t>Eidelman M</w:t>
        </w:r>
      </w:hyperlink>
      <w:r w:rsidRPr="008337E8">
        <w:rPr>
          <w:rFonts w:asciiTheme="majorHAnsi" w:hAnsiTheme="majorHAnsi" w:cs="Arial"/>
          <w:sz w:val="22"/>
          <w:szCs w:val="22"/>
        </w:rPr>
        <w:t xml:space="preserve">1, </w:t>
      </w:r>
      <w:hyperlink r:id="rId24" w:history="1">
        <w:r w:rsidRPr="008337E8">
          <w:rPr>
            <w:rFonts w:asciiTheme="majorHAnsi" w:hAnsiTheme="majorHAnsi" w:cs="Arial"/>
            <w:color w:val="262626"/>
            <w:sz w:val="22"/>
            <w:szCs w:val="22"/>
            <w:u w:val="single" w:color="262626"/>
          </w:rPr>
          <w:t>Katzman A</w:t>
        </w:r>
      </w:hyperlink>
      <w:r w:rsidRPr="008337E8">
        <w:rPr>
          <w:rFonts w:asciiTheme="majorHAnsi" w:hAnsiTheme="majorHAnsi" w:cs="Arial"/>
          <w:sz w:val="22"/>
          <w:szCs w:val="22"/>
        </w:rPr>
        <w:t xml:space="preserve">, </w:t>
      </w:r>
      <w:hyperlink r:id="rId25" w:history="1">
        <w:r w:rsidRPr="008337E8">
          <w:rPr>
            <w:rFonts w:asciiTheme="majorHAnsi" w:hAnsiTheme="majorHAnsi" w:cs="Arial"/>
            <w:color w:val="262626"/>
            <w:sz w:val="22"/>
            <w:szCs w:val="22"/>
            <w:u w:val="single" w:color="262626"/>
          </w:rPr>
          <w:t>Bialik V</w:t>
        </w:r>
      </w:hyperlink>
      <w:r w:rsidRPr="008337E8">
        <w:rPr>
          <w:rFonts w:asciiTheme="majorHAnsi" w:hAnsiTheme="majorHAnsi" w:cs="Arial"/>
          <w:sz w:val="22"/>
          <w:szCs w:val="22"/>
        </w:rPr>
        <w:t>. A novel elastic exsanguination tourniquet as an alternative to</w:t>
      </w:r>
      <w:r>
        <w:rPr>
          <w:rFonts w:asciiTheme="majorHAnsi" w:hAnsiTheme="majorHAnsi" w:cs="Arial"/>
          <w:sz w:val="22"/>
          <w:szCs w:val="22"/>
        </w:rPr>
        <w:t xml:space="preserve"> </w:t>
      </w:r>
      <w:r w:rsidRPr="008337E8">
        <w:rPr>
          <w:rFonts w:asciiTheme="majorHAnsi" w:hAnsiTheme="majorHAnsi" w:cs="Arial"/>
          <w:sz w:val="22"/>
          <w:szCs w:val="22"/>
        </w:rPr>
        <w:t xml:space="preserve">the pneumatic cuff in pediatric orthopedic limb surgery. </w:t>
      </w:r>
      <w:r w:rsidRPr="008337E8">
        <w:rPr>
          <w:rFonts w:asciiTheme="majorHAnsi" w:hAnsiTheme="majorHAnsi" w:cs="Arial"/>
          <w:color w:val="262626"/>
          <w:sz w:val="22"/>
          <w:szCs w:val="22"/>
          <w:u w:val="single" w:color="262626"/>
        </w:rPr>
        <w:t>J Pediatr Orthop B.</w:t>
      </w:r>
      <w:r>
        <w:rPr>
          <w:rFonts w:asciiTheme="majorHAnsi" w:hAnsiTheme="majorHAnsi" w:cs="Arial"/>
          <w:sz w:val="22"/>
          <w:szCs w:val="22"/>
          <w:u w:color="262626"/>
        </w:rPr>
        <w:t xml:space="preserve"> 2006 </w:t>
      </w:r>
      <w:r w:rsidRPr="008337E8">
        <w:rPr>
          <w:rFonts w:asciiTheme="majorHAnsi" w:hAnsiTheme="majorHAnsi" w:cs="Arial"/>
          <w:sz w:val="22"/>
          <w:szCs w:val="22"/>
          <w:u w:color="262626"/>
        </w:rPr>
        <w:t>Sep;15(5):379-84.</w:t>
      </w:r>
    </w:p>
    <w:p w14:paraId="6B6C548E" w14:textId="77777777" w:rsidR="00533FF9" w:rsidRPr="008337E8" w:rsidRDefault="00533FF9" w:rsidP="00533FF9">
      <w:pPr>
        <w:widowControl w:val="0"/>
        <w:autoSpaceDE w:val="0"/>
        <w:autoSpaceDN w:val="0"/>
        <w:adjustRightInd w:val="0"/>
        <w:rPr>
          <w:rFonts w:asciiTheme="majorHAnsi" w:hAnsiTheme="majorHAnsi" w:cs="Arial"/>
          <w:color w:val="191919"/>
          <w:sz w:val="22"/>
          <w:szCs w:val="22"/>
        </w:rPr>
      </w:pPr>
    </w:p>
    <w:p w14:paraId="35F4CB6A" w14:textId="77777777" w:rsidR="00533FF9" w:rsidRPr="008337E8" w:rsidRDefault="00533FF9" w:rsidP="00533FF9">
      <w:pPr>
        <w:pStyle w:val="ListParagraph"/>
        <w:widowControl w:val="0"/>
        <w:numPr>
          <w:ilvl w:val="0"/>
          <w:numId w:val="22"/>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Authors, year of publication, site:</w:t>
      </w:r>
      <w:r w:rsidRPr="008337E8">
        <w:rPr>
          <w:rFonts w:asciiTheme="majorHAnsi" w:hAnsiTheme="majorHAnsi" w:cs="Arial"/>
          <w:color w:val="18376A"/>
          <w:sz w:val="22"/>
          <w:szCs w:val="22"/>
        </w:rPr>
        <w:t xml:space="preserve"> 2006 Haifa,Israel</w:t>
      </w:r>
    </w:p>
    <w:p w14:paraId="0B2C76DB" w14:textId="77777777" w:rsidR="00533FF9" w:rsidRPr="008337E8" w:rsidRDefault="00533FF9" w:rsidP="00533FF9">
      <w:pPr>
        <w:pStyle w:val="ListParagraph"/>
        <w:widowControl w:val="0"/>
        <w:numPr>
          <w:ilvl w:val="0"/>
          <w:numId w:val="22"/>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Intervention type, duration:</w:t>
      </w:r>
      <w:r w:rsidRPr="008337E8">
        <w:rPr>
          <w:rFonts w:asciiTheme="majorHAnsi" w:hAnsiTheme="majorHAnsi" w:cs="Arial"/>
          <w:color w:val="18376A"/>
          <w:sz w:val="22"/>
          <w:szCs w:val="22"/>
        </w:rPr>
        <w:t xml:space="preserve"> prospective use of the S-Mart tourniquet use for limb surgery in place of pneumatic exsanguination device standard, with no control. </w:t>
      </w:r>
    </w:p>
    <w:p w14:paraId="43D85EC3" w14:textId="77777777" w:rsidR="00533FF9" w:rsidRPr="008337E8" w:rsidRDefault="00533FF9" w:rsidP="00533FF9">
      <w:pPr>
        <w:pStyle w:val="ListParagraph"/>
        <w:widowControl w:val="0"/>
        <w:numPr>
          <w:ilvl w:val="0"/>
          <w:numId w:val="22"/>
        </w:numPr>
        <w:autoSpaceDE w:val="0"/>
        <w:autoSpaceDN w:val="0"/>
        <w:adjustRightInd w:val="0"/>
        <w:rPr>
          <w:rFonts w:asciiTheme="majorHAnsi" w:hAnsiTheme="majorHAnsi" w:cs="Arial"/>
          <w:sz w:val="22"/>
          <w:szCs w:val="22"/>
        </w:rPr>
      </w:pPr>
      <w:r w:rsidRPr="008337E8">
        <w:rPr>
          <w:rFonts w:asciiTheme="majorHAnsi" w:hAnsiTheme="majorHAnsi" w:cs="Arial"/>
          <w:b/>
          <w:color w:val="18376A"/>
          <w:sz w:val="22"/>
          <w:szCs w:val="22"/>
        </w:rPr>
        <w:t>Study populations/settings:</w:t>
      </w:r>
      <w:r w:rsidRPr="008337E8">
        <w:rPr>
          <w:rFonts w:asciiTheme="majorHAnsi" w:hAnsiTheme="majorHAnsi" w:cs="Arial"/>
          <w:color w:val="18376A"/>
          <w:sz w:val="22"/>
          <w:szCs w:val="22"/>
        </w:rPr>
        <w:t xml:space="preserve"> </w:t>
      </w:r>
      <w:r w:rsidRPr="008337E8">
        <w:rPr>
          <w:rFonts w:asciiTheme="majorHAnsi" w:hAnsiTheme="majorHAnsi" w:cs="Arial"/>
          <w:sz w:val="22"/>
          <w:szCs w:val="22"/>
        </w:rPr>
        <w:t>Only patients with limb dimensions within the range specified by the manufacturer (circumference &gt; 24 cm) were included. Exclusion criteria included patients with grossly misaligned and unstable limb fracture or disloca-tion, deep vein thrombosis, severe skin disorders and procedures with tourniquet time expected to last &gt; 2 hours</w:t>
      </w:r>
    </w:p>
    <w:p w14:paraId="5EB84950" w14:textId="77777777" w:rsidR="00533FF9" w:rsidRPr="008337E8" w:rsidRDefault="00533FF9" w:rsidP="00533FF9">
      <w:pPr>
        <w:pStyle w:val="ListParagraph"/>
        <w:widowControl w:val="0"/>
        <w:numPr>
          <w:ilvl w:val="0"/>
          <w:numId w:val="22"/>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Aims of study:</w:t>
      </w:r>
      <w:r w:rsidRPr="008337E8">
        <w:rPr>
          <w:rFonts w:asciiTheme="majorHAnsi" w:hAnsiTheme="majorHAnsi" w:cs="Arial"/>
          <w:color w:val="18376A"/>
          <w:sz w:val="22"/>
          <w:szCs w:val="22"/>
        </w:rPr>
        <w:t xml:space="preserve"> Evaluate criteria of the S-mart tourniquet device: </w:t>
      </w:r>
    </w:p>
    <w:p w14:paraId="5EE1602C" w14:textId="77777777" w:rsidR="00533FF9" w:rsidRPr="008337E8" w:rsidRDefault="00533FF9" w:rsidP="00533FF9">
      <w:pPr>
        <w:pStyle w:val="ListParagraph"/>
        <w:widowControl w:val="0"/>
        <w:numPr>
          <w:ilvl w:val="1"/>
          <w:numId w:val="22"/>
        </w:numPr>
        <w:autoSpaceDE w:val="0"/>
        <w:autoSpaceDN w:val="0"/>
        <w:adjustRightInd w:val="0"/>
        <w:rPr>
          <w:rFonts w:asciiTheme="majorHAnsi" w:hAnsiTheme="majorHAnsi" w:cs="Arial"/>
          <w:sz w:val="22"/>
          <w:szCs w:val="22"/>
        </w:rPr>
      </w:pPr>
      <w:r w:rsidRPr="008337E8">
        <w:rPr>
          <w:rFonts w:asciiTheme="majorHAnsi" w:hAnsiTheme="majorHAnsi" w:cs="Arial"/>
          <w:color w:val="18376A"/>
          <w:sz w:val="22"/>
          <w:szCs w:val="22"/>
        </w:rPr>
        <w:t>E</w:t>
      </w:r>
      <w:r w:rsidRPr="008337E8">
        <w:rPr>
          <w:rFonts w:asciiTheme="majorHAnsi" w:hAnsiTheme="majorHAnsi" w:cs="Arial"/>
          <w:sz w:val="22"/>
          <w:szCs w:val="22"/>
        </w:rPr>
        <w:t>ase of application</w:t>
      </w:r>
    </w:p>
    <w:p w14:paraId="07335739" w14:textId="77777777" w:rsidR="00533FF9" w:rsidRPr="008337E8" w:rsidRDefault="00533FF9" w:rsidP="00533FF9">
      <w:pPr>
        <w:pStyle w:val="ListParagraph"/>
        <w:widowControl w:val="0"/>
        <w:numPr>
          <w:ilvl w:val="1"/>
          <w:numId w:val="22"/>
        </w:numPr>
        <w:autoSpaceDE w:val="0"/>
        <w:autoSpaceDN w:val="0"/>
        <w:adjustRightInd w:val="0"/>
        <w:rPr>
          <w:rFonts w:asciiTheme="majorHAnsi" w:hAnsiTheme="majorHAnsi" w:cs="Arial"/>
          <w:sz w:val="22"/>
          <w:szCs w:val="22"/>
        </w:rPr>
      </w:pPr>
      <w:r w:rsidRPr="008337E8">
        <w:rPr>
          <w:rFonts w:asciiTheme="majorHAnsi" w:hAnsiTheme="majorHAnsi" w:cs="Arial"/>
          <w:sz w:val="22"/>
          <w:szCs w:val="22"/>
        </w:rPr>
        <w:t>Time of application</w:t>
      </w:r>
    </w:p>
    <w:p w14:paraId="57A5D403" w14:textId="77777777" w:rsidR="00533FF9" w:rsidRPr="008337E8" w:rsidRDefault="00533FF9" w:rsidP="00533FF9">
      <w:pPr>
        <w:pStyle w:val="ListParagraph"/>
        <w:widowControl w:val="0"/>
        <w:numPr>
          <w:ilvl w:val="1"/>
          <w:numId w:val="22"/>
        </w:numPr>
        <w:autoSpaceDE w:val="0"/>
        <w:autoSpaceDN w:val="0"/>
        <w:adjustRightInd w:val="0"/>
        <w:rPr>
          <w:rFonts w:asciiTheme="majorHAnsi" w:hAnsiTheme="majorHAnsi" w:cs="Arial"/>
          <w:sz w:val="22"/>
          <w:szCs w:val="22"/>
        </w:rPr>
      </w:pPr>
      <w:r w:rsidRPr="008337E8">
        <w:rPr>
          <w:rFonts w:asciiTheme="majorHAnsi" w:hAnsiTheme="majorHAnsi" w:cs="Arial"/>
          <w:sz w:val="22"/>
          <w:szCs w:val="22"/>
        </w:rPr>
        <w:t>Tourniquet position on the limb</w:t>
      </w:r>
    </w:p>
    <w:p w14:paraId="0FC35AAC" w14:textId="77777777" w:rsidR="00533FF9" w:rsidRPr="008337E8" w:rsidRDefault="00533FF9" w:rsidP="00533FF9">
      <w:pPr>
        <w:pStyle w:val="ListParagraph"/>
        <w:widowControl w:val="0"/>
        <w:numPr>
          <w:ilvl w:val="1"/>
          <w:numId w:val="22"/>
        </w:numPr>
        <w:autoSpaceDE w:val="0"/>
        <w:autoSpaceDN w:val="0"/>
        <w:adjustRightInd w:val="0"/>
        <w:rPr>
          <w:rFonts w:asciiTheme="majorHAnsi" w:hAnsiTheme="majorHAnsi" w:cs="Arial"/>
          <w:sz w:val="22"/>
          <w:szCs w:val="22"/>
        </w:rPr>
      </w:pPr>
      <w:r w:rsidRPr="008337E8">
        <w:rPr>
          <w:rFonts w:asciiTheme="majorHAnsi" w:hAnsiTheme="majorHAnsi" w:cs="Arial"/>
          <w:sz w:val="22"/>
          <w:szCs w:val="22"/>
        </w:rPr>
        <w:t>Quality of exsanguination – bleeding upon  firstincision</w:t>
      </w:r>
    </w:p>
    <w:p w14:paraId="547A3B52" w14:textId="77777777" w:rsidR="00533FF9" w:rsidRPr="008337E8" w:rsidRDefault="00533FF9" w:rsidP="00533FF9">
      <w:pPr>
        <w:pStyle w:val="ListParagraph"/>
        <w:widowControl w:val="0"/>
        <w:numPr>
          <w:ilvl w:val="1"/>
          <w:numId w:val="22"/>
        </w:numPr>
        <w:autoSpaceDE w:val="0"/>
        <w:autoSpaceDN w:val="0"/>
        <w:adjustRightInd w:val="0"/>
        <w:rPr>
          <w:rFonts w:asciiTheme="majorHAnsi" w:hAnsiTheme="majorHAnsi" w:cs="Arial"/>
          <w:sz w:val="22"/>
          <w:szCs w:val="22"/>
        </w:rPr>
      </w:pPr>
      <w:r w:rsidRPr="008337E8">
        <w:rPr>
          <w:rFonts w:asciiTheme="majorHAnsi" w:hAnsiTheme="majorHAnsi" w:cs="Arial"/>
          <w:sz w:val="22"/>
          <w:szCs w:val="22"/>
        </w:rPr>
        <w:t>Prevention of subsequent bleeding – throughout the entire procedure</w:t>
      </w:r>
    </w:p>
    <w:p w14:paraId="70429386" w14:textId="77777777" w:rsidR="00533FF9" w:rsidRPr="008337E8" w:rsidRDefault="00533FF9" w:rsidP="00533FF9">
      <w:pPr>
        <w:pStyle w:val="ListParagraph"/>
        <w:widowControl w:val="0"/>
        <w:numPr>
          <w:ilvl w:val="1"/>
          <w:numId w:val="22"/>
        </w:numPr>
        <w:autoSpaceDE w:val="0"/>
        <w:autoSpaceDN w:val="0"/>
        <w:adjustRightInd w:val="0"/>
        <w:rPr>
          <w:rFonts w:asciiTheme="majorHAnsi" w:hAnsiTheme="majorHAnsi" w:cs="Arial"/>
          <w:sz w:val="22"/>
          <w:szCs w:val="22"/>
        </w:rPr>
      </w:pPr>
      <w:r w:rsidRPr="008337E8">
        <w:rPr>
          <w:rFonts w:asciiTheme="majorHAnsi" w:hAnsiTheme="majorHAnsi" w:cs="Arial"/>
          <w:sz w:val="22"/>
          <w:szCs w:val="22"/>
        </w:rPr>
        <w:t>Interference with surgical site/procedure</w:t>
      </w:r>
    </w:p>
    <w:p w14:paraId="45227A9C" w14:textId="77777777" w:rsidR="00533FF9" w:rsidRPr="008337E8" w:rsidRDefault="00533FF9" w:rsidP="00533FF9">
      <w:pPr>
        <w:pStyle w:val="ListParagraph"/>
        <w:widowControl w:val="0"/>
        <w:numPr>
          <w:ilvl w:val="1"/>
          <w:numId w:val="22"/>
        </w:numPr>
        <w:autoSpaceDE w:val="0"/>
        <w:autoSpaceDN w:val="0"/>
        <w:adjustRightInd w:val="0"/>
        <w:rPr>
          <w:rFonts w:asciiTheme="majorHAnsi" w:hAnsiTheme="majorHAnsi" w:cs="Arial"/>
          <w:sz w:val="22"/>
          <w:szCs w:val="22"/>
        </w:rPr>
      </w:pPr>
      <w:r w:rsidRPr="008337E8">
        <w:rPr>
          <w:rFonts w:asciiTheme="majorHAnsi" w:hAnsiTheme="majorHAnsi" w:cs="Arial"/>
          <w:sz w:val="22"/>
          <w:szCs w:val="22"/>
        </w:rPr>
        <w:t>Limb/joint mobility distal and  proximal  to  thetourniquet ring</w:t>
      </w:r>
    </w:p>
    <w:p w14:paraId="56C6811F" w14:textId="77777777" w:rsidR="00533FF9" w:rsidRPr="008337E8" w:rsidRDefault="00533FF9" w:rsidP="00533FF9">
      <w:pPr>
        <w:pStyle w:val="ListParagraph"/>
        <w:widowControl w:val="0"/>
        <w:numPr>
          <w:ilvl w:val="1"/>
          <w:numId w:val="22"/>
        </w:numPr>
        <w:autoSpaceDE w:val="0"/>
        <w:autoSpaceDN w:val="0"/>
        <w:adjustRightInd w:val="0"/>
        <w:rPr>
          <w:rFonts w:asciiTheme="majorHAnsi" w:hAnsiTheme="majorHAnsi" w:cs="Arial"/>
          <w:sz w:val="22"/>
          <w:szCs w:val="22"/>
        </w:rPr>
      </w:pPr>
      <w:r w:rsidRPr="008337E8">
        <w:rPr>
          <w:rFonts w:asciiTheme="majorHAnsi" w:hAnsiTheme="majorHAnsi" w:cs="Arial"/>
          <w:sz w:val="22"/>
          <w:szCs w:val="22"/>
        </w:rPr>
        <w:t>Quality of stockinet</w:t>
      </w:r>
    </w:p>
    <w:p w14:paraId="185462EC" w14:textId="77777777" w:rsidR="00533FF9" w:rsidRPr="008337E8" w:rsidRDefault="00533FF9" w:rsidP="00533FF9">
      <w:pPr>
        <w:pStyle w:val="ListParagraph"/>
        <w:widowControl w:val="0"/>
        <w:numPr>
          <w:ilvl w:val="1"/>
          <w:numId w:val="22"/>
        </w:numPr>
        <w:autoSpaceDE w:val="0"/>
        <w:autoSpaceDN w:val="0"/>
        <w:adjustRightInd w:val="0"/>
        <w:rPr>
          <w:rFonts w:asciiTheme="majorHAnsi" w:hAnsiTheme="majorHAnsi" w:cs="Arial"/>
          <w:sz w:val="22"/>
          <w:szCs w:val="22"/>
        </w:rPr>
      </w:pPr>
      <w:r w:rsidRPr="008337E8">
        <w:rPr>
          <w:rFonts w:asciiTheme="majorHAnsi" w:hAnsiTheme="majorHAnsi" w:cs="Arial"/>
          <w:sz w:val="22"/>
          <w:szCs w:val="22"/>
        </w:rPr>
        <w:t xml:space="preserve">Ease of removal </w:t>
      </w:r>
    </w:p>
    <w:p w14:paraId="7863B758" w14:textId="77777777" w:rsidR="00533FF9" w:rsidRPr="008337E8" w:rsidRDefault="00533FF9" w:rsidP="00533FF9">
      <w:pPr>
        <w:pStyle w:val="ListParagraph"/>
        <w:widowControl w:val="0"/>
        <w:numPr>
          <w:ilvl w:val="1"/>
          <w:numId w:val="22"/>
        </w:numPr>
        <w:autoSpaceDE w:val="0"/>
        <w:autoSpaceDN w:val="0"/>
        <w:adjustRightInd w:val="0"/>
        <w:rPr>
          <w:rFonts w:asciiTheme="majorHAnsi" w:hAnsiTheme="majorHAnsi" w:cs="Arial"/>
          <w:color w:val="18376A"/>
          <w:sz w:val="22"/>
          <w:szCs w:val="22"/>
        </w:rPr>
      </w:pPr>
      <w:r w:rsidRPr="008337E8">
        <w:rPr>
          <w:rFonts w:asciiTheme="majorHAnsi" w:hAnsiTheme="majorHAnsi" w:cs="Arial"/>
          <w:sz w:val="22"/>
          <w:szCs w:val="22"/>
        </w:rPr>
        <w:t>Surgical complications</w:t>
      </w:r>
    </w:p>
    <w:p w14:paraId="247DB357" w14:textId="77777777" w:rsidR="00533FF9" w:rsidRPr="008337E8" w:rsidRDefault="00533FF9" w:rsidP="00533FF9">
      <w:pPr>
        <w:pStyle w:val="ListParagraph"/>
        <w:widowControl w:val="0"/>
        <w:numPr>
          <w:ilvl w:val="0"/>
          <w:numId w:val="22"/>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Methodology:</w:t>
      </w:r>
      <w:r w:rsidRPr="008337E8">
        <w:rPr>
          <w:rFonts w:asciiTheme="majorHAnsi" w:hAnsiTheme="majorHAnsi" w:cs="Arial"/>
          <w:color w:val="18376A"/>
          <w:sz w:val="22"/>
          <w:szCs w:val="22"/>
        </w:rPr>
        <w:t xml:space="preserve"> Observational trial </w:t>
      </w:r>
    </w:p>
    <w:p w14:paraId="0555DA90" w14:textId="77777777" w:rsidR="00533FF9" w:rsidRPr="008337E8" w:rsidRDefault="00533FF9" w:rsidP="00533FF9">
      <w:pPr>
        <w:pStyle w:val="ListParagraph"/>
        <w:widowControl w:val="0"/>
        <w:numPr>
          <w:ilvl w:val="0"/>
          <w:numId w:val="22"/>
        </w:numPr>
        <w:autoSpaceDE w:val="0"/>
        <w:autoSpaceDN w:val="0"/>
        <w:adjustRightInd w:val="0"/>
        <w:rPr>
          <w:rFonts w:asciiTheme="majorHAnsi" w:hAnsiTheme="majorHAnsi" w:cs="Arial"/>
          <w:sz w:val="22"/>
          <w:szCs w:val="22"/>
        </w:rPr>
      </w:pPr>
      <w:r w:rsidRPr="008337E8">
        <w:rPr>
          <w:rFonts w:asciiTheme="majorHAnsi" w:hAnsiTheme="majorHAnsi" w:cs="Arial"/>
          <w:b/>
          <w:color w:val="18376A"/>
          <w:sz w:val="22"/>
          <w:szCs w:val="22"/>
        </w:rPr>
        <w:t>Outcomes:</w:t>
      </w:r>
      <w:r w:rsidRPr="008337E8">
        <w:rPr>
          <w:rFonts w:asciiTheme="majorHAnsi" w:hAnsiTheme="majorHAnsi" w:cs="Arial"/>
          <w:color w:val="18376A"/>
          <w:sz w:val="22"/>
          <w:szCs w:val="22"/>
        </w:rPr>
        <w:t xml:space="preserve"> </w:t>
      </w:r>
      <w:r w:rsidRPr="008337E8">
        <w:rPr>
          <w:rFonts w:asciiTheme="majorHAnsi" w:hAnsiTheme="majorHAnsi" w:cs="Arial"/>
          <w:sz w:val="22"/>
          <w:szCs w:val="22"/>
        </w:rPr>
        <w:t xml:space="preserve">The overall rating of the new device is high and we feel that it is a very useful contribution to clinical practice. The device was sterile, kept the surgical field free of blood, was easy to use, and didn’t damage the underlying skin. </w:t>
      </w:r>
    </w:p>
    <w:p w14:paraId="49AE8481" w14:textId="77777777" w:rsidR="00533FF9" w:rsidRPr="008337E8" w:rsidRDefault="00533FF9" w:rsidP="00533FF9">
      <w:pPr>
        <w:pStyle w:val="ListParagraph"/>
        <w:widowControl w:val="0"/>
        <w:numPr>
          <w:ilvl w:val="0"/>
          <w:numId w:val="22"/>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Important results:</w:t>
      </w:r>
      <w:r w:rsidRPr="008337E8">
        <w:rPr>
          <w:rFonts w:asciiTheme="majorHAnsi" w:hAnsiTheme="majorHAnsi" w:cs="Arial"/>
          <w:color w:val="18376A"/>
          <w:sz w:val="22"/>
          <w:szCs w:val="22"/>
        </w:rPr>
        <w:t xml:space="preserve"> As above. </w:t>
      </w:r>
    </w:p>
    <w:p w14:paraId="471E1990" w14:textId="77777777" w:rsidR="00533FF9" w:rsidRPr="008337E8" w:rsidRDefault="00533FF9" w:rsidP="00533FF9">
      <w:pPr>
        <w:pStyle w:val="ListParagraph"/>
        <w:widowControl w:val="0"/>
        <w:numPr>
          <w:ilvl w:val="0"/>
          <w:numId w:val="22"/>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Critiques of the data:</w:t>
      </w:r>
      <w:r w:rsidRPr="008337E8">
        <w:rPr>
          <w:rFonts w:asciiTheme="majorHAnsi" w:hAnsiTheme="majorHAnsi" w:cs="Arial"/>
          <w:color w:val="18376A"/>
          <w:sz w:val="22"/>
          <w:szCs w:val="22"/>
        </w:rPr>
        <w:t xml:space="preserve"> tourniquet used in operative theater rather than a prehospital ‘stop the bleed’ application. </w:t>
      </w:r>
    </w:p>
    <w:p w14:paraId="68C774D7" w14:textId="77777777" w:rsidR="00533FF9" w:rsidRPr="008337E8" w:rsidRDefault="00533FF9" w:rsidP="00533FF9">
      <w:pPr>
        <w:widowControl w:val="0"/>
        <w:autoSpaceDE w:val="0"/>
        <w:autoSpaceDN w:val="0"/>
        <w:adjustRightInd w:val="0"/>
        <w:rPr>
          <w:rFonts w:asciiTheme="majorHAnsi" w:hAnsiTheme="majorHAnsi" w:cs="Arial"/>
          <w:color w:val="18376A"/>
          <w:sz w:val="22"/>
          <w:szCs w:val="22"/>
        </w:rPr>
      </w:pPr>
    </w:p>
    <w:p w14:paraId="46DA398A" w14:textId="77777777" w:rsidR="00533FF9" w:rsidRPr="008337E8" w:rsidRDefault="00533FF9" w:rsidP="00533FF9">
      <w:pPr>
        <w:widowControl w:val="0"/>
        <w:autoSpaceDE w:val="0"/>
        <w:autoSpaceDN w:val="0"/>
        <w:adjustRightInd w:val="0"/>
        <w:rPr>
          <w:rFonts w:asciiTheme="majorHAnsi" w:hAnsiTheme="majorHAnsi" w:cs="Arial"/>
          <w:sz w:val="22"/>
          <w:szCs w:val="22"/>
          <w:u w:color="262626"/>
        </w:rPr>
      </w:pPr>
      <w:r>
        <w:rPr>
          <w:rFonts w:asciiTheme="majorHAnsi" w:hAnsiTheme="majorHAnsi"/>
          <w:sz w:val="22"/>
          <w:szCs w:val="22"/>
        </w:rPr>
        <w:t xml:space="preserve">7)  </w:t>
      </w:r>
      <w:hyperlink r:id="rId26" w:history="1">
        <w:r w:rsidRPr="008337E8">
          <w:rPr>
            <w:rFonts w:asciiTheme="majorHAnsi" w:hAnsiTheme="majorHAnsi" w:cs="Arial"/>
            <w:color w:val="262626"/>
            <w:sz w:val="22"/>
            <w:szCs w:val="22"/>
            <w:u w:val="single" w:color="262626"/>
          </w:rPr>
          <w:t>Goodarzi M</w:t>
        </w:r>
      </w:hyperlink>
      <w:r w:rsidRPr="008337E8">
        <w:rPr>
          <w:rFonts w:asciiTheme="majorHAnsi" w:hAnsiTheme="majorHAnsi" w:cs="Arial"/>
          <w:sz w:val="22"/>
          <w:szCs w:val="22"/>
          <w:u w:color="262626"/>
        </w:rPr>
        <w:t xml:space="preserve">1, </w:t>
      </w:r>
      <w:hyperlink r:id="rId27" w:history="1">
        <w:r w:rsidRPr="008337E8">
          <w:rPr>
            <w:rFonts w:asciiTheme="majorHAnsi" w:hAnsiTheme="majorHAnsi" w:cs="Arial"/>
            <w:color w:val="262626"/>
            <w:sz w:val="22"/>
            <w:szCs w:val="22"/>
            <w:u w:val="single" w:color="262626"/>
          </w:rPr>
          <w:t>Shier NH</w:t>
        </w:r>
      </w:hyperlink>
      <w:r w:rsidRPr="008337E8">
        <w:rPr>
          <w:rFonts w:asciiTheme="majorHAnsi" w:hAnsiTheme="majorHAnsi" w:cs="Arial"/>
          <w:sz w:val="22"/>
          <w:szCs w:val="22"/>
          <w:u w:color="262626"/>
        </w:rPr>
        <w:t xml:space="preserve">, </w:t>
      </w:r>
      <w:hyperlink r:id="rId28" w:history="1">
        <w:r w:rsidRPr="008337E8">
          <w:rPr>
            <w:rFonts w:asciiTheme="majorHAnsi" w:hAnsiTheme="majorHAnsi" w:cs="Arial"/>
            <w:color w:val="262626"/>
            <w:sz w:val="22"/>
            <w:szCs w:val="22"/>
            <w:u w:val="single" w:color="262626"/>
          </w:rPr>
          <w:t>Grogan DP</w:t>
        </w:r>
      </w:hyperlink>
      <w:r w:rsidRPr="008337E8">
        <w:rPr>
          <w:rFonts w:asciiTheme="majorHAnsi" w:hAnsiTheme="majorHAnsi" w:cs="Arial"/>
          <w:sz w:val="22"/>
          <w:szCs w:val="22"/>
          <w:u w:color="262626"/>
        </w:rPr>
        <w:t>.</w:t>
      </w:r>
      <w:r w:rsidRPr="008337E8">
        <w:rPr>
          <w:rFonts w:asciiTheme="majorHAnsi" w:hAnsiTheme="majorHAnsi" w:cs="Arial"/>
          <w:color w:val="18376A"/>
          <w:sz w:val="22"/>
          <w:szCs w:val="22"/>
        </w:rPr>
        <w:t xml:space="preserve"> </w:t>
      </w:r>
      <w:r w:rsidRPr="008337E8">
        <w:rPr>
          <w:rFonts w:asciiTheme="majorHAnsi" w:hAnsiTheme="majorHAnsi" w:cs="Arial"/>
          <w:b/>
          <w:bCs/>
          <w:sz w:val="22"/>
          <w:szCs w:val="22"/>
          <w:u w:color="262626"/>
        </w:rPr>
        <w:t xml:space="preserve">Does sympathetic blockade prevent the physiologic changes associated with tourniquet use in children? </w:t>
      </w:r>
      <w:r w:rsidRPr="008337E8">
        <w:rPr>
          <w:rFonts w:asciiTheme="majorHAnsi" w:hAnsiTheme="majorHAnsi" w:cs="Arial"/>
          <w:color w:val="262626"/>
          <w:sz w:val="22"/>
          <w:szCs w:val="22"/>
          <w:u w:val="single" w:color="262626"/>
        </w:rPr>
        <w:t>Pediatr Orthop.</w:t>
      </w:r>
      <w:r w:rsidRPr="008337E8">
        <w:rPr>
          <w:rFonts w:asciiTheme="majorHAnsi" w:hAnsiTheme="majorHAnsi" w:cs="Arial"/>
          <w:sz w:val="22"/>
          <w:szCs w:val="22"/>
          <w:u w:color="262626"/>
        </w:rPr>
        <w:t xml:space="preserve"> 1997 May-Jun;17(3):289-92.</w:t>
      </w:r>
    </w:p>
    <w:p w14:paraId="3CDE5061" w14:textId="77777777" w:rsidR="00533FF9" w:rsidRPr="008337E8" w:rsidRDefault="00533FF9" w:rsidP="00533FF9">
      <w:pPr>
        <w:widowControl w:val="0"/>
        <w:autoSpaceDE w:val="0"/>
        <w:autoSpaceDN w:val="0"/>
        <w:adjustRightInd w:val="0"/>
        <w:rPr>
          <w:rFonts w:asciiTheme="majorHAnsi" w:hAnsiTheme="majorHAnsi" w:cs="Arial"/>
          <w:color w:val="18376A"/>
          <w:sz w:val="22"/>
          <w:szCs w:val="22"/>
        </w:rPr>
      </w:pPr>
    </w:p>
    <w:p w14:paraId="37BE6CA2" w14:textId="77777777" w:rsidR="00533FF9" w:rsidRPr="008337E8" w:rsidRDefault="00533FF9" w:rsidP="00533FF9">
      <w:pPr>
        <w:pStyle w:val="ListParagraph"/>
        <w:widowControl w:val="0"/>
        <w:numPr>
          <w:ilvl w:val="0"/>
          <w:numId w:val="18"/>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Authors:</w:t>
      </w:r>
      <w:r w:rsidRPr="008337E8">
        <w:rPr>
          <w:rFonts w:asciiTheme="majorHAnsi" w:hAnsiTheme="majorHAnsi" w:cs="Arial"/>
          <w:color w:val="18376A"/>
          <w:sz w:val="22"/>
          <w:szCs w:val="22"/>
        </w:rPr>
        <w:t xml:space="preserve"> 1997, Shriners Children’s Hospital Tampa</w:t>
      </w:r>
    </w:p>
    <w:p w14:paraId="1F5A6310" w14:textId="77777777" w:rsidR="00533FF9" w:rsidRPr="008337E8" w:rsidRDefault="00533FF9" w:rsidP="00533FF9">
      <w:pPr>
        <w:pStyle w:val="ListParagraph"/>
        <w:widowControl w:val="0"/>
        <w:numPr>
          <w:ilvl w:val="0"/>
          <w:numId w:val="18"/>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Intervention type, duration:</w:t>
      </w:r>
      <w:r w:rsidRPr="008337E8">
        <w:rPr>
          <w:rFonts w:asciiTheme="majorHAnsi" w:hAnsiTheme="majorHAnsi" w:cs="Arial"/>
          <w:color w:val="18376A"/>
          <w:sz w:val="22"/>
          <w:szCs w:val="22"/>
        </w:rPr>
        <w:t xml:space="preserve"> RCT</w:t>
      </w:r>
    </w:p>
    <w:p w14:paraId="699718FA" w14:textId="77777777" w:rsidR="00533FF9" w:rsidRPr="008337E8" w:rsidRDefault="00533FF9" w:rsidP="00533FF9">
      <w:pPr>
        <w:pStyle w:val="ListParagraph"/>
        <w:widowControl w:val="0"/>
        <w:numPr>
          <w:ilvl w:val="0"/>
          <w:numId w:val="18"/>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Study populations/settings:</w:t>
      </w:r>
      <w:r w:rsidRPr="008337E8">
        <w:rPr>
          <w:rFonts w:asciiTheme="majorHAnsi" w:hAnsiTheme="majorHAnsi" w:cs="Arial"/>
          <w:color w:val="18376A"/>
          <w:sz w:val="22"/>
          <w:szCs w:val="22"/>
        </w:rPr>
        <w:t xml:space="preserve"> 40 patients (9 months to 10 years, mean age 6.5 years) were randomized into two groups of 20, the control group had nitrous/narcotic, the intervention group had epidural bupivacaine sympathetic blockade. A thermographic </w:t>
      </w:r>
      <w:r w:rsidRPr="008337E8">
        <w:rPr>
          <w:rFonts w:asciiTheme="majorHAnsi" w:hAnsiTheme="majorHAnsi" w:cs="Arial"/>
          <w:color w:val="18376A"/>
          <w:sz w:val="22"/>
          <w:szCs w:val="22"/>
        </w:rPr>
        <w:lastRenderedPageBreak/>
        <w:t xml:space="preserve">study was used to confirm sympathetic blockade. Data collected every 15 minutes till tourniquet deflated. </w:t>
      </w:r>
    </w:p>
    <w:p w14:paraId="64A6298D" w14:textId="77777777" w:rsidR="00533FF9" w:rsidRPr="008337E8" w:rsidRDefault="00533FF9" w:rsidP="00533FF9">
      <w:pPr>
        <w:pStyle w:val="ListParagraph"/>
        <w:widowControl w:val="0"/>
        <w:numPr>
          <w:ilvl w:val="0"/>
          <w:numId w:val="18"/>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Aims of study:</w:t>
      </w:r>
      <w:r w:rsidRPr="008337E8">
        <w:rPr>
          <w:rFonts w:asciiTheme="majorHAnsi" w:hAnsiTheme="majorHAnsi" w:cs="Arial"/>
          <w:color w:val="18376A"/>
          <w:sz w:val="22"/>
          <w:szCs w:val="22"/>
        </w:rPr>
        <w:t xml:space="preserve"> Determine if sympathetic blockade prevents post-tourniquet syndrome (e.g. neurological dysfunction, swelling)</w:t>
      </w:r>
    </w:p>
    <w:p w14:paraId="5594F44B" w14:textId="77777777" w:rsidR="00533FF9" w:rsidRPr="008337E8" w:rsidRDefault="00533FF9" w:rsidP="00533FF9">
      <w:pPr>
        <w:pStyle w:val="ListParagraph"/>
        <w:widowControl w:val="0"/>
        <w:numPr>
          <w:ilvl w:val="0"/>
          <w:numId w:val="18"/>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Methodology:</w:t>
      </w:r>
      <w:r w:rsidRPr="008337E8">
        <w:rPr>
          <w:rFonts w:asciiTheme="majorHAnsi" w:hAnsiTheme="majorHAnsi" w:cs="Arial"/>
          <w:color w:val="18376A"/>
          <w:sz w:val="22"/>
          <w:szCs w:val="22"/>
        </w:rPr>
        <w:t xml:space="preserve"> Intervention group had epidural bupivacaine, control had nitrous/narcotic only. </w:t>
      </w:r>
    </w:p>
    <w:p w14:paraId="4E6CB491" w14:textId="77777777" w:rsidR="00533FF9" w:rsidRPr="008337E8" w:rsidRDefault="00533FF9" w:rsidP="00533FF9">
      <w:pPr>
        <w:pStyle w:val="ListParagraph"/>
        <w:widowControl w:val="0"/>
        <w:numPr>
          <w:ilvl w:val="0"/>
          <w:numId w:val="18"/>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Outcomes:</w:t>
      </w:r>
      <w:r w:rsidRPr="008337E8">
        <w:rPr>
          <w:rFonts w:asciiTheme="majorHAnsi" w:hAnsiTheme="majorHAnsi" w:cs="Arial"/>
          <w:color w:val="18376A"/>
          <w:sz w:val="22"/>
          <w:szCs w:val="22"/>
        </w:rPr>
        <w:t xml:space="preserve"> the intervention group had fewer deviations in vital signs and tolerated the blockade well. </w:t>
      </w:r>
    </w:p>
    <w:p w14:paraId="3B57F7EA" w14:textId="77777777" w:rsidR="00533FF9" w:rsidRPr="008337E8" w:rsidRDefault="00533FF9" w:rsidP="00533FF9">
      <w:pPr>
        <w:pStyle w:val="ListParagraph"/>
        <w:widowControl w:val="0"/>
        <w:numPr>
          <w:ilvl w:val="0"/>
          <w:numId w:val="18"/>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Important results:</w:t>
      </w:r>
      <w:r w:rsidRPr="008337E8">
        <w:rPr>
          <w:rFonts w:asciiTheme="majorHAnsi" w:hAnsiTheme="majorHAnsi" w:cs="Arial"/>
          <w:color w:val="18376A"/>
          <w:sz w:val="22"/>
          <w:szCs w:val="22"/>
        </w:rPr>
        <w:t xml:space="preserve"> Blockade blunts the physiologic changes associated with tourniquet use. </w:t>
      </w:r>
    </w:p>
    <w:p w14:paraId="38CEB2A9" w14:textId="77777777" w:rsidR="00533FF9" w:rsidRPr="008337E8" w:rsidRDefault="00533FF9" w:rsidP="00533FF9">
      <w:pPr>
        <w:pStyle w:val="ListParagraph"/>
        <w:widowControl w:val="0"/>
        <w:numPr>
          <w:ilvl w:val="0"/>
          <w:numId w:val="18"/>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Critiques of the data:</w:t>
      </w:r>
      <w:r w:rsidRPr="008337E8">
        <w:rPr>
          <w:rFonts w:asciiTheme="majorHAnsi" w:hAnsiTheme="majorHAnsi" w:cs="Arial"/>
          <w:color w:val="18376A"/>
          <w:sz w:val="22"/>
          <w:szCs w:val="22"/>
        </w:rPr>
        <w:t xml:space="preserve"> Would need a different route, sympathetic drive may promote survival in some trauma patients, so this kind of blockade may be impractical. </w:t>
      </w:r>
    </w:p>
    <w:p w14:paraId="2375B48F" w14:textId="77777777" w:rsidR="00533FF9" w:rsidRPr="008337E8" w:rsidRDefault="00533FF9" w:rsidP="00533FF9">
      <w:pPr>
        <w:widowControl w:val="0"/>
        <w:autoSpaceDE w:val="0"/>
        <w:autoSpaceDN w:val="0"/>
        <w:adjustRightInd w:val="0"/>
        <w:rPr>
          <w:rFonts w:asciiTheme="majorHAnsi" w:hAnsiTheme="majorHAnsi" w:cs="Arial"/>
          <w:color w:val="191919"/>
          <w:sz w:val="22"/>
          <w:szCs w:val="22"/>
        </w:rPr>
      </w:pPr>
    </w:p>
    <w:p w14:paraId="759C9382" w14:textId="77777777" w:rsidR="00533FF9" w:rsidRPr="008337E8" w:rsidRDefault="00533FF9" w:rsidP="00533FF9">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8)  </w:t>
      </w:r>
      <w:r w:rsidRPr="008337E8">
        <w:rPr>
          <w:rFonts w:asciiTheme="majorHAnsi" w:hAnsiTheme="majorHAnsi" w:cs="Arial"/>
          <w:sz w:val="22"/>
          <w:szCs w:val="22"/>
        </w:rPr>
        <w:t xml:space="preserve">Goodarzi M, Shier NH, Ogden JA. </w:t>
      </w:r>
      <w:hyperlink r:id="rId29" w:history="1">
        <w:r w:rsidRPr="008337E8">
          <w:rPr>
            <w:rFonts w:asciiTheme="majorHAnsi" w:hAnsiTheme="majorHAnsi" w:cs="Arial"/>
            <w:b/>
            <w:bCs/>
            <w:color w:val="1800C0"/>
            <w:sz w:val="22"/>
            <w:szCs w:val="22"/>
            <w:u w:val="single" w:color="1800C0"/>
          </w:rPr>
          <w:t>Physiologic</w:t>
        </w:r>
        <w:r w:rsidRPr="008337E8">
          <w:rPr>
            <w:rFonts w:asciiTheme="majorHAnsi" w:hAnsiTheme="majorHAnsi" w:cs="Arial"/>
            <w:color w:val="1800C0"/>
            <w:sz w:val="22"/>
            <w:szCs w:val="22"/>
            <w:u w:val="single" w:color="1800C0"/>
          </w:rPr>
          <w:t xml:space="preserve"> </w:t>
        </w:r>
        <w:r w:rsidRPr="008337E8">
          <w:rPr>
            <w:rFonts w:asciiTheme="majorHAnsi" w:hAnsiTheme="majorHAnsi" w:cs="Arial"/>
            <w:b/>
            <w:bCs/>
            <w:color w:val="1800C0"/>
            <w:sz w:val="22"/>
            <w:szCs w:val="22"/>
            <w:u w:val="single" w:color="1800C0"/>
          </w:rPr>
          <w:t>changes</w:t>
        </w:r>
        <w:r w:rsidRPr="008337E8">
          <w:rPr>
            <w:rFonts w:asciiTheme="majorHAnsi" w:hAnsiTheme="majorHAnsi" w:cs="Arial"/>
            <w:color w:val="1800C0"/>
            <w:sz w:val="22"/>
            <w:szCs w:val="22"/>
            <w:u w:val="single" w:color="1800C0"/>
          </w:rPr>
          <w:t xml:space="preserve"> during </w:t>
        </w:r>
        <w:r w:rsidRPr="008337E8">
          <w:rPr>
            <w:rFonts w:asciiTheme="majorHAnsi" w:hAnsiTheme="majorHAnsi" w:cs="Arial"/>
            <w:b/>
            <w:bCs/>
            <w:color w:val="1800C0"/>
            <w:sz w:val="22"/>
            <w:szCs w:val="22"/>
            <w:u w:val="single" w:color="1800C0"/>
          </w:rPr>
          <w:t>tourniquet</w:t>
        </w:r>
        <w:r w:rsidRPr="008337E8">
          <w:rPr>
            <w:rFonts w:asciiTheme="majorHAnsi" w:hAnsiTheme="majorHAnsi" w:cs="Arial"/>
            <w:color w:val="1800C0"/>
            <w:sz w:val="22"/>
            <w:szCs w:val="22"/>
            <w:u w:val="single" w:color="1800C0"/>
          </w:rPr>
          <w:t xml:space="preserve"> use in </w:t>
        </w:r>
        <w:r w:rsidRPr="008337E8">
          <w:rPr>
            <w:rFonts w:asciiTheme="majorHAnsi" w:hAnsiTheme="majorHAnsi" w:cs="Arial"/>
            <w:b/>
            <w:bCs/>
            <w:color w:val="1800C0"/>
            <w:sz w:val="22"/>
            <w:szCs w:val="22"/>
            <w:u w:val="single" w:color="1800C0"/>
          </w:rPr>
          <w:t>children</w:t>
        </w:r>
        <w:r w:rsidRPr="008337E8">
          <w:rPr>
            <w:rFonts w:asciiTheme="majorHAnsi" w:hAnsiTheme="majorHAnsi" w:cs="Arial"/>
            <w:color w:val="1800C0"/>
            <w:sz w:val="22"/>
            <w:szCs w:val="22"/>
            <w:u w:val="single" w:color="1800C0"/>
          </w:rPr>
          <w:t>.</w:t>
        </w:r>
      </w:hyperlink>
      <w:r w:rsidRPr="008337E8">
        <w:rPr>
          <w:rFonts w:asciiTheme="majorHAnsi" w:hAnsiTheme="majorHAnsi" w:cs="Arial"/>
          <w:sz w:val="22"/>
          <w:szCs w:val="22"/>
        </w:rPr>
        <w:t xml:space="preserve"> J Pediatr Orthop. 1992 Jul-Aug;12(4):510-3.</w:t>
      </w:r>
    </w:p>
    <w:p w14:paraId="12D3DFF6" w14:textId="77777777" w:rsidR="00533FF9" w:rsidRPr="008337E8" w:rsidRDefault="00533FF9" w:rsidP="00533FF9">
      <w:pPr>
        <w:widowControl w:val="0"/>
        <w:autoSpaceDE w:val="0"/>
        <w:autoSpaceDN w:val="0"/>
        <w:adjustRightInd w:val="0"/>
        <w:rPr>
          <w:rFonts w:asciiTheme="majorHAnsi" w:hAnsiTheme="majorHAnsi" w:cs="Arial"/>
          <w:color w:val="191919"/>
          <w:sz w:val="22"/>
          <w:szCs w:val="22"/>
        </w:rPr>
      </w:pPr>
    </w:p>
    <w:p w14:paraId="65438C0C" w14:textId="77777777" w:rsidR="00533FF9" w:rsidRPr="008337E8" w:rsidRDefault="00533FF9" w:rsidP="00533FF9">
      <w:pPr>
        <w:pStyle w:val="ListParagraph"/>
        <w:widowControl w:val="0"/>
        <w:numPr>
          <w:ilvl w:val="0"/>
          <w:numId w:val="19"/>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Authors, year of publication, site:</w:t>
      </w:r>
      <w:r w:rsidRPr="008337E8">
        <w:rPr>
          <w:rFonts w:asciiTheme="majorHAnsi" w:hAnsiTheme="majorHAnsi" w:cs="Arial"/>
          <w:color w:val="18376A"/>
          <w:sz w:val="22"/>
          <w:szCs w:val="22"/>
        </w:rPr>
        <w:t xml:space="preserve"> 1992. Shriner’s Children’s Hospital.</w:t>
      </w:r>
    </w:p>
    <w:p w14:paraId="6B60A497" w14:textId="77777777" w:rsidR="00533FF9" w:rsidRPr="008337E8" w:rsidRDefault="00533FF9" w:rsidP="00533FF9">
      <w:pPr>
        <w:pStyle w:val="ListParagraph"/>
        <w:widowControl w:val="0"/>
        <w:numPr>
          <w:ilvl w:val="0"/>
          <w:numId w:val="19"/>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Intervention type, duration:</w:t>
      </w:r>
      <w:r w:rsidRPr="008337E8">
        <w:rPr>
          <w:rFonts w:asciiTheme="majorHAnsi" w:hAnsiTheme="majorHAnsi" w:cs="Arial"/>
          <w:color w:val="18376A"/>
          <w:sz w:val="22"/>
          <w:szCs w:val="22"/>
        </w:rPr>
        <w:t xml:space="preserve"> hemodynamic and metabolic changes associated with unilateral tourniquet use in children. </w:t>
      </w:r>
    </w:p>
    <w:p w14:paraId="759714D6" w14:textId="77777777" w:rsidR="00533FF9" w:rsidRPr="008337E8" w:rsidRDefault="00533FF9" w:rsidP="00533FF9">
      <w:pPr>
        <w:pStyle w:val="ListParagraph"/>
        <w:widowControl w:val="0"/>
        <w:numPr>
          <w:ilvl w:val="0"/>
          <w:numId w:val="19"/>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Study populations/settings:</w:t>
      </w:r>
      <w:r w:rsidRPr="008337E8">
        <w:rPr>
          <w:rFonts w:asciiTheme="majorHAnsi" w:hAnsiTheme="majorHAnsi" w:cs="Arial"/>
          <w:color w:val="18376A"/>
          <w:sz w:val="22"/>
          <w:szCs w:val="22"/>
        </w:rPr>
        <w:t xml:space="preserve"> 30 children undergoing orthopedic surgery, age 8-14. </w:t>
      </w:r>
    </w:p>
    <w:p w14:paraId="400749CE" w14:textId="77777777" w:rsidR="00533FF9" w:rsidRPr="008337E8" w:rsidRDefault="00533FF9" w:rsidP="00533FF9">
      <w:pPr>
        <w:pStyle w:val="ListParagraph"/>
        <w:widowControl w:val="0"/>
        <w:numPr>
          <w:ilvl w:val="0"/>
          <w:numId w:val="19"/>
        </w:numPr>
        <w:autoSpaceDE w:val="0"/>
        <w:autoSpaceDN w:val="0"/>
        <w:adjustRightInd w:val="0"/>
        <w:rPr>
          <w:rFonts w:asciiTheme="majorHAnsi" w:hAnsiTheme="majorHAnsi" w:cs="Arial"/>
          <w:color w:val="18376A"/>
          <w:sz w:val="22"/>
          <w:szCs w:val="22"/>
        </w:rPr>
      </w:pPr>
      <w:r w:rsidRPr="008337E8">
        <w:rPr>
          <w:rFonts w:asciiTheme="majorHAnsi" w:hAnsiTheme="majorHAnsi" w:cs="Arial"/>
          <w:color w:val="18376A"/>
          <w:sz w:val="22"/>
          <w:szCs w:val="22"/>
        </w:rPr>
        <w:t xml:space="preserve">Aims of study: Determine the hemodynamic and metabolic changes associated with unilateral tourniquet use in children. </w:t>
      </w:r>
    </w:p>
    <w:p w14:paraId="72A74B9C" w14:textId="77777777" w:rsidR="00533FF9" w:rsidRPr="008337E8" w:rsidRDefault="00533FF9" w:rsidP="00533FF9">
      <w:pPr>
        <w:pStyle w:val="ListParagraph"/>
        <w:widowControl w:val="0"/>
        <w:numPr>
          <w:ilvl w:val="0"/>
          <w:numId w:val="19"/>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Methodology:</w:t>
      </w:r>
      <w:r w:rsidRPr="008337E8">
        <w:rPr>
          <w:rFonts w:asciiTheme="majorHAnsi" w:hAnsiTheme="majorHAnsi" w:cs="Arial"/>
          <w:color w:val="18376A"/>
          <w:sz w:val="22"/>
          <w:szCs w:val="22"/>
        </w:rPr>
        <w:t xml:space="preserve"> Compared the duration of tourniquet inflation for lower extremity surgery with regards to: temperature, pulse, lactate and end tidal CO2 before tourniquet inflation and before tourniquet deflation. </w:t>
      </w:r>
    </w:p>
    <w:p w14:paraId="170C8F78" w14:textId="77777777" w:rsidR="00533FF9" w:rsidRPr="008337E8" w:rsidRDefault="00533FF9" w:rsidP="00533FF9">
      <w:pPr>
        <w:pStyle w:val="ListParagraph"/>
        <w:widowControl w:val="0"/>
        <w:numPr>
          <w:ilvl w:val="0"/>
          <w:numId w:val="19"/>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Outcomes:</w:t>
      </w:r>
      <w:r w:rsidRPr="008337E8">
        <w:rPr>
          <w:rFonts w:asciiTheme="majorHAnsi" w:hAnsiTheme="majorHAnsi" w:cs="Arial"/>
          <w:color w:val="18376A"/>
          <w:sz w:val="22"/>
          <w:szCs w:val="22"/>
        </w:rPr>
        <w:t xml:space="preserve"> Lactate, EtCO2 and temperature all increased with tourniquet application, particularly after 70 minutes. </w:t>
      </w:r>
    </w:p>
    <w:p w14:paraId="57E8A25E" w14:textId="77777777" w:rsidR="00533FF9" w:rsidRPr="008337E8" w:rsidRDefault="00533FF9" w:rsidP="00533FF9">
      <w:pPr>
        <w:pStyle w:val="ListParagraph"/>
        <w:widowControl w:val="0"/>
        <w:numPr>
          <w:ilvl w:val="0"/>
          <w:numId w:val="19"/>
        </w:numPr>
        <w:autoSpaceDE w:val="0"/>
        <w:autoSpaceDN w:val="0"/>
        <w:adjustRightInd w:val="0"/>
        <w:rPr>
          <w:rFonts w:asciiTheme="majorHAnsi" w:hAnsiTheme="majorHAnsi" w:cs="Arial"/>
          <w:color w:val="18376A"/>
          <w:sz w:val="22"/>
          <w:szCs w:val="22"/>
        </w:rPr>
      </w:pPr>
      <w:r w:rsidRPr="008337E8">
        <w:rPr>
          <w:rFonts w:asciiTheme="majorHAnsi" w:hAnsiTheme="majorHAnsi" w:cs="Arial"/>
          <w:b/>
          <w:color w:val="18376A"/>
          <w:sz w:val="22"/>
          <w:szCs w:val="22"/>
        </w:rPr>
        <w:t>Important results:</w:t>
      </w:r>
      <w:r w:rsidRPr="008337E8">
        <w:rPr>
          <w:rFonts w:asciiTheme="majorHAnsi" w:hAnsiTheme="majorHAnsi" w:cs="Arial"/>
          <w:color w:val="18376A"/>
          <w:sz w:val="22"/>
          <w:szCs w:val="22"/>
        </w:rPr>
        <w:t xml:space="preserve"> hyperthermia, hypercarbia (relative) and lactic acidosis occurred with prolonged tourniquet inflation. </w:t>
      </w:r>
    </w:p>
    <w:p w14:paraId="12A9DDB2" w14:textId="77777777" w:rsidR="00533FF9" w:rsidRPr="008337E8" w:rsidRDefault="00533FF9" w:rsidP="00533FF9">
      <w:pPr>
        <w:pStyle w:val="ListParagraph"/>
        <w:widowControl w:val="0"/>
        <w:numPr>
          <w:ilvl w:val="0"/>
          <w:numId w:val="19"/>
        </w:numPr>
        <w:autoSpaceDE w:val="0"/>
        <w:autoSpaceDN w:val="0"/>
        <w:adjustRightInd w:val="0"/>
        <w:rPr>
          <w:rFonts w:asciiTheme="majorHAnsi" w:hAnsiTheme="majorHAnsi" w:cs="Arial"/>
          <w:color w:val="191919"/>
          <w:sz w:val="22"/>
          <w:szCs w:val="22"/>
        </w:rPr>
      </w:pPr>
      <w:r w:rsidRPr="008337E8">
        <w:rPr>
          <w:rFonts w:asciiTheme="majorHAnsi" w:hAnsiTheme="majorHAnsi" w:cs="Arial"/>
          <w:b/>
          <w:color w:val="18376A"/>
          <w:sz w:val="22"/>
          <w:szCs w:val="22"/>
        </w:rPr>
        <w:t>Critiques of the data:</w:t>
      </w:r>
      <w:r w:rsidRPr="008337E8">
        <w:rPr>
          <w:rFonts w:asciiTheme="majorHAnsi" w:hAnsiTheme="majorHAnsi" w:cs="Arial"/>
          <w:color w:val="18376A"/>
          <w:sz w:val="22"/>
          <w:szCs w:val="22"/>
        </w:rPr>
        <w:t xml:space="preserve"> No comment about pulse, may not have been significant. </w:t>
      </w:r>
    </w:p>
    <w:p w14:paraId="465DB6C3" w14:textId="77777777" w:rsidR="00533FF9" w:rsidRPr="008337E8" w:rsidRDefault="00533FF9" w:rsidP="00533FF9">
      <w:pPr>
        <w:rPr>
          <w:rFonts w:asciiTheme="majorHAnsi" w:hAnsiTheme="majorHAnsi" w:cs="Arial"/>
          <w:sz w:val="22"/>
          <w:szCs w:val="22"/>
        </w:rPr>
      </w:pPr>
    </w:p>
    <w:p w14:paraId="14393ADF" w14:textId="77777777" w:rsidR="00533FF9" w:rsidRPr="008337E8" w:rsidRDefault="00533FF9" w:rsidP="00533FF9">
      <w:pPr>
        <w:widowControl w:val="0"/>
        <w:tabs>
          <w:tab w:val="left" w:pos="220"/>
          <w:tab w:val="left" w:pos="720"/>
        </w:tabs>
        <w:autoSpaceDE w:val="0"/>
        <w:autoSpaceDN w:val="0"/>
        <w:adjustRightInd w:val="0"/>
        <w:rPr>
          <w:rFonts w:asciiTheme="majorHAnsi" w:hAnsiTheme="majorHAnsi" w:cs="Arial"/>
          <w:sz w:val="22"/>
          <w:szCs w:val="22"/>
        </w:rPr>
      </w:pPr>
      <w:r>
        <w:rPr>
          <w:rFonts w:asciiTheme="majorHAnsi" w:hAnsiTheme="majorHAnsi" w:cs="Arial"/>
          <w:sz w:val="22"/>
          <w:szCs w:val="22"/>
        </w:rPr>
        <w:t xml:space="preserve">9) </w:t>
      </w:r>
      <w:r w:rsidRPr="008337E8">
        <w:rPr>
          <w:rFonts w:asciiTheme="majorHAnsi" w:hAnsiTheme="majorHAnsi" w:cs="Arial"/>
          <w:sz w:val="22"/>
          <w:szCs w:val="22"/>
        </w:rPr>
        <w:t>King DR, van der Wilden G, Kragh JF Jr, Blackbourne LH. Forward assessment of 79 prehospital battlefield tourniquets used in the current war. J Spec Oper Med. 2012 Winter;12(4):33-8.</w:t>
      </w:r>
    </w:p>
    <w:p w14:paraId="7294434B" w14:textId="77777777" w:rsidR="00533FF9" w:rsidRPr="008337E8" w:rsidRDefault="00533FF9" w:rsidP="00533FF9">
      <w:pPr>
        <w:widowControl w:val="0"/>
        <w:tabs>
          <w:tab w:val="left" w:pos="220"/>
          <w:tab w:val="left" w:pos="720"/>
        </w:tabs>
        <w:autoSpaceDE w:val="0"/>
        <w:autoSpaceDN w:val="0"/>
        <w:adjustRightInd w:val="0"/>
        <w:rPr>
          <w:rFonts w:asciiTheme="majorHAnsi" w:hAnsiTheme="majorHAnsi" w:cs="Arial"/>
          <w:sz w:val="22"/>
          <w:szCs w:val="22"/>
        </w:rPr>
      </w:pPr>
    </w:p>
    <w:p w14:paraId="3CE67C9F" w14:textId="77777777" w:rsidR="00533FF9" w:rsidRPr="008337E8" w:rsidRDefault="00533FF9" w:rsidP="00533FF9">
      <w:pPr>
        <w:pStyle w:val="ListParagraph"/>
        <w:widowControl w:val="0"/>
        <w:numPr>
          <w:ilvl w:val="0"/>
          <w:numId w:val="20"/>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Authors, year of publication, site</w:t>
      </w:r>
      <w:r w:rsidRPr="008337E8">
        <w:rPr>
          <w:rFonts w:asciiTheme="majorHAnsi" w:hAnsiTheme="majorHAnsi" w:cs="Calibri"/>
          <w:sz w:val="22"/>
          <w:szCs w:val="22"/>
        </w:rPr>
        <w:t xml:space="preserve"> – 2012, Afghanistan (war casualties presenting to forward surgical team)</w:t>
      </w:r>
    </w:p>
    <w:p w14:paraId="7147BAA6" w14:textId="77777777" w:rsidR="00533FF9" w:rsidRPr="008337E8" w:rsidRDefault="00533FF9" w:rsidP="00533FF9">
      <w:pPr>
        <w:pStyle w:val="ListParagraph"/>
        <w:widowControl w:val="0"/>
        <w:numPr>
          <w:ilvl w:val="0"/>
          <w:numId w:val="20"/>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Intervention type, duration</w:t>
      </w:r>
      <w:r w:rsidRPr="008337E8">
        <w:rPr>
          <w:rFonts w:asciiTheme="majorHAnsi" w:hAnsiTheme="majorHAnsi" w:cs="Calibri"/>
          <w:sz w:val="22"/>
          <w:szCs w:val="22"/>
        </w:rPr>
        <w:t xml:space="preserve"> – Combat tourniquet application form 8/2011-11/2011</w:t>
      </w:r>
    </w:p>
    <w:p w14:paraId="67D058CE" w14:textId="77777777" w:rsidR="00533FF9" w:rsidRPr="008337E8" w:rsidRDefault="00533FF9" w:rsidP="00533FF9">
      <w:pPr>
        <w:pStyle w:val="ListParagraph"/>
        <w:widowControl w:val="0"/>
        <w:numPr>
          <w:ilvl w:val="0"/>
          <w:numId w:val="20"/>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Study populations/settings</w:t>
      </w:r>
      <w:r w:rsidRPr="008337E8">
        <w:rPr>
          <w:rFonts w:asciiTheme="majorHAnsi" w:hAnsiTheme="majorHAnsi" w:cs="Calibri"/>
          <w:sz w:val="22"/>
          <w:szCs w:val="22"/>
        </w:rPr>
        <w:t xml:space="preserve"> – War casualties, 79 tourniquets on 65 limbs, 54 pts</w:t>
      </w:r>
    </w:p>
    <w:p w14:paraId="3EEBC342" w14:textId="77777777" w:rsidR="00533FF9" w:rsidRPr="008337E8" w:rsidRDefault="00533FF9" w:rsidP="00533FF9">
      <w:pPr>
        <w:pStyle w:val="ListParagraph"/>
        <w:widowControl w:val="0"/>
        <w:numPr>
          <w:ilvl w:val="0"/>
          <w:numId w:val="20"/>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Aims of study</w:t>
      </w:r>
      <w:r w:rsidRPr="008337E8">
        <w:rPr>
          <w:rFonts w:asciiTheme="majorHAnsi" w:hAnsiTheme="majorHAnsi" w:cs="Calibri"/>
          <w:sz w:val="22"/>
          <w:szCs w:val="22"/>
        </w:rPr>
        <w:t xml:space="preserve"> – Review of tourniquet use, multiple techniques, effectiveness</w:t>
      </w:r>
    </w:p>
    <w:p w14:paraId="75AE8E72" w14:textId="77777777" w:rsidR="00533FF9" w:rsidRPr="008337E8" w:rsidRDefault="00533FF9" w:rsidP="00533FF9">
      <w:pPr>
        <w:pStyle w:val="ListParagraph"/>
        <w:widowControl w:val="0"/>
        <w:numPr>
          <w:ilvl w:val="0"/>
          <w:numId w:val="20"/>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Methodology</w:t>
      </w:r>
      <w:r w:rsidRPr="008337E8">
        <w:rPr>
          <w:rFonts w:asciiTheme="majorHAnsi" w:hAnsiTheme="majorHAnsi" w:cs="Calibri"/>
          <w:sz w:val="22"/>
          <w:szCs w:val="22"/>
        </w:rPr>
        <w:t xml:space="preserve"> – Retrospective review</w:t>
      </w:r>
    </w:p>
    <w:p w14:paraId="449B9297" w14:textId="77777777" w:rsidR="00533FF9" w:rsidRPr="008337E8" w:rsidRDefault="00533FF9" w:rsidP="00533FF9">
      <w:pPr>
        <w:pStyle w:val="ListParagraph"/>
        <w:widowControl w:val="0"/>
        <w:numPr>
          <w:ilvl w:val="0"/>
          <w:numId w:val="20"/>
        </w:numPr>
        <w:autoSpaceDE w:val="0"/>
        <w:autoSpaceDN w:val="0"/>
        <w:adjustRightInd w:val="0"/>
        <w:rPr>
          <w:rFonts w:asciiTheme="majorHAnsi" w:hAnsiTheme="majorHAnsi" w:cs="Times New Roman"/>
          <w:b/>
          <w:sz w:val="22"/>
          <w:szCs w:val="22"/>
        </w:rPr>
      </w:pPr>
      <w:r w:rsidRPr="008337E8">
        <w:rPr>
          <w:rFonts w:asciiTheme="majorHAnsi" w:hAnsiTheme="majorHAnsi" w:cs="Calibri"/>
          <w:b/>
          <w:sz w:val="22"/>
          <w:szCs w:val="22"/>
        </w:rPr>
        <w:t xml:space="preserve">Outcomes </w:t>
      </w:r>
      <w:r w:rsidRPr="008337E8">
        <w:rPr>
          <w:rFonts w:asciiTheme="majorHAnsi" w:hAnsiTheme="majorHAnsi" w:cs="Calibri"/>
          <w:sz w:val="22"/>
          <w:szCs w:val="22"/>
        </w:rPr>
        <w:t>– 83% of limbs with palpable distal pulses, need for reapplication of tourniquets, conversion of venous to arterial tourniquet frequent</w:t>
      </w:r>
    </w:p>
    <w:p w14:paraId="1F538958" w14:textId="77777777" w:rsidR="00533FF9" w:rsidRPr="008337E8" w:rsidRDefault="00533FF9" w:rsidP="00533FF9">
      <w:pPr>
        <w:pStyle w:val="ListParagraph"/>
        <w:widowControl w:val="0"/>
        <w:numPr>
          <w:ilvl w:val="0"/>
          <w:numId w:val="20"/>
        </w:numPr>
        <w:autoSpaceDE w:val="0"/>
        <w:autoSpaceDN w:val="0"/>
        <w:adjustRightInd w:val="0"/>
        <w:rPr>
          <w:rFonts w:asciiTheme="majorHAnsi" w:hAnsiTheme="majorHAnsi" w:cs="Times New Roman"/>
          <w:b/>
          <w:sz w:val="22"/>
          <w:szCs w:val="22"/>
        </w:rPr>
      </w:pPr>
      <w:r w:rsidRPr="008337E8">
        <w:rPr>
          <w:rFonts w:asciiTheme="majorHAnsi" w:hAnsiTheme="majorHAnsi" w:cs="Calibri"/>
          <w:b/>
          <w:sz w:val="22"/>
          <w:szCs w:val="22"/>
        </w:rPr>
        <w:t xml:space="preserve">Important results </w:t>
      </w:r>
      <w:r w:rsidRPr="008337E8">
        <w:rPr>
          <w:rFonts w:asciiTheme="majorHAnsi" w:hAnsiTheme="majorHAnsi" w:cs="Calibri"/>
          <w:sz w:val="22"/>
          <w:szCs w:val="22"/>
        </w:rPr>
        <w:t>– Continued need of re-evaluation after application of tourniquet.  Only 17/65 limbs with tourniquets had vascular injury!  100% of injuries presented with tourniquet.</w:t>
      </w:r>
    </w:p>
    <w:p w14:paraId="62C8AA51" w14:textId="77777777" w:rsidR="00533FF9" w:rsidRPr="008337E8" w:rsidRDefault="00533FF9" w:rsidP="00533FF9">
      <w:pPr>
        <w:pStyle w:val="ListParagraph"/>
        <w:numPr>
          <w:ilvl w:val="0"/>
          <w:numId w:val="20"/>
        </w:numPr>
        <w:rPr>
          <w:rFonts w:asciiTheme="majorHAnsi" w:hAnsiTheme="majorHAnsi" w:cs="Calibri"/>
          <w:b/>
          <w:sz w:val="22"/>
          <w:szCs w:val="22"/>
        </w:rPr>
      </w:pPr>
      <w:r w:rsidRPr="008337E8">
        <w:rPr>
          <w:rFonts w:asciiTheme="majorHAnsi" w:hAnsiTheme="majorHAnsi" w:cs="Calibri"/>
          <w:b/>
          <w:sz w:val="22"/>
          <w:szCs w:val="22"/>
        </w:rPr>
        <w:t>Critiques of the data</w:t>
      </w:r>
      <w:r w:rsidRPr="008337E8">
        <w:rPr>
          <w:rFonts w:asciiTheme="majorHAnsi" w:hAnsiTheme="majorHAnsi" w:cs="Calibri"/>
          <w:sz w:val="22"/>
          <w:szCs w:val="22"/>
        </w:rPr>
        <w:t xml:space="preserve"> – retrospective case series, single site, no ages of patients documented in study, unclear if any children included</w:t>
      </w:r>
    </w:p>
    <w:p w14:paraId="473ACBDA" w14:textId="77777777" w:rsidR="00533FF9" w:rsidRPr="008337E8" w:rsidRDefault="00533FF9" w:rsidP="00533FF9">
      <w:pPr>
        <w:widowControl w:val="0"/>
        <w:tabs>
          <w:tab w:val="left" w:pos="220"/>
          <w:tab w:val="left" w:pos="720"/>
        </w:tabs>
        <w:autoSpaceDE w:val="0"/>
        <w:autoSpaceDN w:val="0"/>
        <w:adjustRightInd w:val="0"/>
        <w:rPr>
          <w:rFonts w:asciiTheme="majorHAnsi" w:hAnsiTheme="majorHAnsi" w:cs="Arial"/>
          <w:sz w:val="22"/>
          <w:szCs w:val="22"/>
        </w:rPr>
      </w:pPr>
    </w:p>
    <w:p w14:paraId="35AB4FA6" w14:textId="77777777" w:rsidR="00533FF9" w:rsidRPr="008337E8" w:rsidRDefault="00533FF9" w:rsidP="00533FF9">
      <w:pPr>
        <w:rPr>
          <w:rFonts w:asciiTheme="majorHAnsi" w:hAnsiTheme="majorHAnsi" w:cs="Arial"/>
          <w:sz w:val="22"/>
          <w:szCs w:val="22"/>
        </w:rPr>
      </w:pPr>
      <w:r>
        <w:rPr>
          <w:rFonts w:asciiTheme="majorHAnsi" w:hAnsiTheme="majorHAnsi" w:cs="Arial"/>
          <w:sz w:val="22"/>
          <w:szCs w:val="22"/>
        </w:rPr>
        <w:t xml:space="preserve">10)  </w:t>
      </w:r>
      <w:r w:rsidRPr="008337E8">
        <w:rPr>
          <w:rFonts w:asciiTheme="majorHAnsi" w:hAnsiTheme="majorHAnsi" w:cs="Arial"/>
          <w:sz w:val="22"/>
          <w:szCs w:val="22"/>
        </w:rPr>
        <w:t>King DR, Larentzakis A, Ramly EP; Boston Trauma Collaborative. Tourniquet use at the Boston Marathon bombing: Lost in translation. J Trauma Acute Care Surg. 2015 Mar;78(3):594-9.</w:t>
      </w:r>
    </w:p>
    <w:p w14:paraId="081B6AE6" w14:textId="77777777" w:rsidR="00533FF9" w:rsidRPr="008337E8" w:rsidRDefault="00533FF9" w:rsidP="00533FF9">
      <w:pPr>
        <w:rPr>
          <w:rFonts w:asciiTheme="majorHAnsi" w:hAnsiTheme="majorHAnsi" w:cs="Arial"/>
          <w:sz w:val="22"/>
          <w:szCs w:val="22"/>
        </w:rPr>
      </w:pPr>
    </w:p>
    <w:p w14:paraId="1EE0B9FF" w14:textId="77777777" w:rsidR="00533FF9" w:rsidRPr="008337E8" w:rsidRDefault="00533FF9" w:rsidP="00533FF9">
      <w:pPr>
        <w:pStyle w:val="EndNoteBibliography"/>
        <w:widowControl w:val="0"/>
        <w:numPr>
          <w:ilvl w:val="0"/>
          <w:numId w:val="5"/>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Authors, year of publication, site</w:t>
      </w:r>
      <w:r w:rsidRPr="008337E8">
        <w:rPr>
          <w:rFonts w:asciiTheme="majorHAnsi" w:hAnsiTheme="majorHAnsi" w:cs="Calibri"/>
          <w:sz w:val="22"/>
          <w:szCs w:val="22"/>
        </w:rPr>
        <w:t xml:space="preserve"> – 2015, Boston marathon bombing</w:t>
      </w:r>
    </w:p>
    <w:p w14:paraId="2E4C2735" w14:textId="77777777" w:rsidR="00533FF9" w:rsidRPr="008337E8" w:rsidRDefault="00533FF9" w:rsidP="00533FF9">
      <w:pPr>
        <w:pStyle w:val="EndNoteBibliography"/>
        <w:widowControl w:val="0"/>
        <w:numPr>
          <w:ilvl w:val="0"/>
          <w:numId w:val="5"/>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Intervention type, duration</w:t>
      </w:r>
      <w:r w:rsidRPr="008337E8">
        <w:rPr>
          <w:rFonts w:asciiTheme="majorHAnsi" w:hAnsiTheme="majorHAnsi" w:cs="Calibri"/>
          <w:sz w:val="22"/>
          <w:szCs w:val="22"/>
        </w:rPr>
        <w:t xml:space="preserve"> – Improvised tourniquets, single event</w:t>
      </w:r>
    </w:p>
    <w:p w14:paraId="3A88DF3E" w14:textId="77777777" w:rsidR="00533FF9" w:rsidRPr="008337E8" w:rsidRDefault="00533FF9" w:rsidP="00533FF9">
      <w:pPr>
        <w:pStyle w:val="EndNoteBibliography"/>
        <w:widowControl w:val="0"/>
        <w:numPr>
          <w:ilvl w:val="0"/>
          <w:numId w:val="5"/>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Study populations/settings</w:t>
      </w:r>
      <w:r w:rsidRPr="008337E8">
        <w:rPr>
          <w:rFonts w:asciiTheme="majorHAnsi" w:hAnsiTheme="majorHAnsi" w:cs="Calibri"/>
          <w:sz w:val="22"/>
          <w:szCs w:val="22"/>
        </w:rPr>
        <w:t xml:space="preserve"> – Age 15-71 years</w:t>
      </w:r>
    </w:p>
    <w:p w14:paraId="2FE90FD6" w14:textId="77777777" w:rsidR="00533FF9" w:rsidRPr="008337E8" w:rsidRDefault="00533FF9" w:rsidP="00533FF9">
      <w:pPr>
        <w:pStyle w:val="EndNoteBibliography"/>
        <w:numPr>
          <w:ilvl w:val="0"/>
          <w:numId w:val="5"/>
        </w:numPr>
        <w:rPr>
          <w:rFonts w:asciiTheme="majorHAnsi" w:hAnsiTheme="majorHAnsi" w:cs="Times New Roman"/>
          <w:sz w:val="22"/>
          <w:szCs w:val="22"/>
        </w:rPr>
      </w:pPr>
      <w:r w:rsidRPr="008337E8">
        <w:rPr>
          <w:rFonts w:asciiTheme="majorHAnsi" w:hAnsiTheme="majorHAnsi" w:cs="Calibri"/>
          <w:b/>
          <w:sz w:val="22"/>
          <w:szCs w:val="22"/>
        </w:rPr>
        <w:t>Aims of study</w:t>
      </w:r>
      <w:r w:rsidRPr="008337E8">
        <w:rPr>
          <w:rFonts w:asciiTheme="majorHAnsi" w:hAnsiTheme="majorHAnsi" w:cs="Calibri"/>
          <w:sz w:val="22"/>
          <w:szCs w:val="22"/>
        </w:rPr>
        <w:t xml:space="preserve"> – Evaluate tourniquet use in patients with extremity injury resulting from Boston Marathon bombing</w:t>
      </w:r>
    </w:p>
    <w:p w14:paraId="1B115511" w14:textId="77777777" w:rsidR="00533FF9" w:rsidRPr="008337E8" w:rsidRDefault="00533FF9" w:rsidP="00533FF9">
      <w:pPr>
        <w:pStyle w:val="EndNoteBibliography"/>
        <w:numPr>
          <w:ilvl w:val="0"/>
          <w:numId w:val="5"/>
        </w:numPr>
        <w:rPr>
          <w:rFonts w:asciiTheme="majorHAnsi" w:hAnsiTheme="majorHAnsi" w:cs="Times New Roman"/>
          <w:sz w:val="22"/>
          <w:szCs w:val="22"/>
        </w:rPr>
      </w:pPr>
      <w:r w:rsidRPr="008337E8">
        <w:rPr>
          <w:rFonts w:asciiTheme="majorHAnsi" w:hAnsiTheme="majorHAnsi" w:cs="Calibri"/>
          <w:b/>
          <w:sz w:val="22"/>
          <w:szCs w:val="22"/>
        </w:rPr>
        <w:t>Methodology</w:t>
      </w:r>
      <w:r w:rsidRPr="008337E8">
        <w:rPr>
          <w:rFonts w:asciiTheme="majorHAnsi" w:hAnsiTheme="majorHAnsi" w:cs="Calibri"/>
          <w:sz w:val="22"/>
          <w:szCs w:val="22"/>
        </w:rPr>
        <w:t xml:space="preserve"> – Retrospective review of database detailing injuries from Boston Marathon bombings treated by all Level 1 Boston trauma centers</w:t>
      </w:r>
    </w:p>
    <w:p w14:paraId="02F93C3B" w14:textId="77777777" w:rsidR="00533FF9" w:rsidRPr="008337E8" w:rsidRDefault="00533FF9" w:rsidP="00533FF9">
      <w:pPr>
        <w:pStyle w:val="EndNoteBibliography"/>
        <w:numPr>
          <w:ilvl w:val="0"/>
          <w:numId w:val="5"/>
        </w:numPr>
        <w:rPr>
          <w:rFonts w:asciiTheme="majorHAnsi" w:hAnsiTheme="majorHAnsi" w:cs="Times New Roman"/>
          <w:b/>
          <w:sz w:val="22"/>
          <w:szCs w:val="22"/>
        </w:rPr>
      </w:pPr>
      <w:r w:rsidRPr="008337E8">
        <w:rPr>
          <w:rFonts w:asciiTheme="majorHAnsi" w:hAnsiTheme="majorHAnsi" w:cs="Calibri"/>
          <w:b/>
          <w:sz w:val="22"/>
          <w:szCs w:val="22"/>
        </w:rPr>
        <w:t xml:space="preserve">Outcomes </w:t>
      </w:r>
      <w:r w:rsidRPr="008337E8">
        <w:rPr>
          <w:rFonts w:asciiTheme="majorHAnsi" w:hAnsiTheme="majorHAnsi" w:cs="Calibri"/>
          <w:sz w:val="22"/>
          <w:szCs w:val="22"/>
        </w:rPr>
        <w:t>– 66 patients with extremity injury, only 27 tourniquets (16/17 traumatic amputations, 5/12 lower extremity major vascular injuries, 6 major soft tissue injury)</w:t>
      </w:r>
    </w:p>
    <w:p w14:paraId="2E8848C0" w14:textId="77777777" w:rsidR="00533FF9" w:rsidRPr="008337E8" w:rsidRDefault="00533FF9" w:rsidP="00533FF9">
      <w:pPr>
        <w:pStyle w:val="EndNoteBibliography"/>
        <w:numPr>
          <w:ilvl w:val="0"/>
          <w:numId w:val="5"/>
        </w:numPr>
        <w:rPr>
          <w:rFonts w:asciiTheme="majorHAnsi" w:hAnsiTheme="majorHAnsi" w:cs="Times New Roman"/>
          <w:b/>
          <w:sz w:val="22"/>
          <w:szCs w:val="22"/>
        </w:rPr>
      </w:pPr>
      <w:r w:rsidRPr="008337E8">
        <w:rPr>
          <w:rFonts w:asciiTheme="majorHAnsi" w:hAnsiTheme="majorHAnsi" w:cs="Calibri"/>
          <w:b/>
          <w:sz w:val="22"/>
          <w:szCs w:val="22"/>
        </w:rPr>
        <w:t xml:space="preserve">Important results </w:t>
      </w:r>
      <w:r w:rsidRPr="008337E8">
        <w:rPr>
          <w:rFonts w:asciiTheme="majorHAnsi" w:hAnsiTheme="majorHAnsi" w:cs="Calibri"/>
          <w:sz w:val="22"/>
          <w:szCs w:val="22"/>
        </w:rPr>
        <w:t>– Majority of injuries not treated with tourniquets, all improvised tourniquets, many non-hemostatic tourniquet.  Need for extension of military tourniquet protocols with commercially available tourniquets in civilian practice, and more liberal tourniquet use</w:t>
      </w:r>
    </w:p>
    <w:p w14:paraId="3D5BB2C3" w14:textId="77777777" w:rsidR="00533FF9" w:rsidRPr="008337E8" w:rsidRDefault="00533FF9" w:rsidP="00533FF9">
      <w:pPr>
        <w:pStyle w:val="EndNoteBibliography"/>
        <w:numPr>
          <w:ilvl w:val="0"/>
          <w:numId w:val="5"/>
        </w:numPr>
        <w:rPr>
          <w:rFonts w:asciiTheme="majorHAnsi" w:hAnsiTheme="majorHAnsi" w:cs="Calibri"/>
          <w:b/>
          <w:sz w:val="22"/>
          <w:szCs w:val="22"/>
        </w:rPr>
      </w:pPr>
      <w:r w:rsidRPr="008337E8">
        <w:rPr>
          <w:rFonts w:asciiTheme="majorHAnsi" w:hAnsiTheme="majorHAnsi" w:cs="Calibri"/>
          <w:b/>
          <w:sz w:val="22"/>
          <w:szCs w:val="22"/>
        </w:rPr>
        <w:t>Critiques of the data</w:t>
      </w:r>
      <w:r w:rsidRPr="008337E8">
        <w:rPr>
          <w:rFonts w:asciiTheme="majorHAnsi" w:hAnsiTheme="majorHAnsi" w:cs="Calibri"/>
          <w:sz w:val="22"/>
          <w:szCs w:val="22"/>
        </w:rPr>
        <w:t xml:space="preserve"> – small sample size, retrospective case series, single event</w:t>
      </w:r>
    </w:p>
    <w:p w14:paraId="64E33820" w14:textId="77777777" w:rsidR="00533FF9" w:rsidRPr="008337E8" w:rsidRDefault="00533FF9" w:rsidP="00533FF9">
      <w:pPr>
        <w:rPr>
          <w:rFonts w:asciiTheme="majorHAnsi" w:hAnsiTheme="majorHAnsi" w:cs="Arial"/>
          <w:sz w:val="22"/>
          <w:szCs w:val="22"/>
        </w:rPr>
      </w:pPr>
    </w:p>
    <w:p w14:paraId="7BECFD9D" w14:textId="77777777" w:rsidR="00533FF9" w:rsidRPr="008337E8" w:rsidRDefault="00533FF9" w:rsidP="00533FF9">
      <w:pPr>
        <w:rPr>
          <w:rFonts w:asciiTheme="majorHAnsi" w:hAnsiTheme="majorHAnsi"/>
          <w:sz w:val="22"/>
          <w:szCs w:val="22"/>
        </w:rPr>
      </w:pPr>
      <w:r>
        <w:rPr>
          <w:rFonts w:asciiTheme="majorHAnsi" w:hAnsiTheme="majorHAnsi"/>
          <w:sz w:val="22"/>
          <w:szCs w:val="22"/>
        </w:rPr>
        <w:t xml:space="preserve">11)  </w:t>
      </w:r>
      <w:r w:rsidRPr="008337E8">
        <w:rPr>
          <w:rFonts w:asciiTheme="majorHAnsi" w:hAnsiTheme="majorHAnsi"/>
          <w:sz w:val="22"/>
          <w:szCs w:val="22"/>
        </w:rPr>
        <w:t>Kragh, J.F., Jr., et al., Survey of trauma registry data on tourniquet use in pediatric war casualties. Pediatr Emerg Care, 2012. 28(12): p. 1361-5.</w:t>
      </w:r>
    </w:p>
    <w:p w14:paraId="4DCA66A5" w14:textId="77777777" w:rsidR="00533FF9" w:rsidRPr="008337E8" w:rsidRDefault="00533FF9" w:rsidP="00533FF9">
      <w:pPr>
        <w:rPr>
          <w:rFonts w:asciiTheme="majorHAnsi" w:hAnsiTheme="majorHAnsi"/>
          <w:sz w:val="22"/>
          <w:szCs w:val="22"/>
        </w:rPr>
      </w:pPr>
    </w:p>
    <w:p w14:paraId="68D0B675" w14:textId="77777777" w:rsidR="00533FF9" w:rsidRPr="008337E8" w:rsidRDefault="00533FF9" w:rsidP="00533FF9">
      <w:pPr>
        <w:pStyle w:val="EndNoteBibliography"/>
        <w:widowControl w:val="0"/>
        <w:numPr>
          <w:ilvl w:val="0"/>
          <w:numId w:val="6"/>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Authors, year of publication, site</w:t>
      </w:r>
      <w:r w:rsidRPr="008337E8">
        <w:rPr>
          <w:rFonts w:asciiTheme="majorHAnsi" w:hAnsiTheme="majorHAnsi" w:cs="Calibri"/>
          <w:sz w:val="22"/>
          <w:szCs w:val="22"/>
        </w:rPr>
        <w:t xml:space="preserve"> – 2012, 88 pediatric patients </w:t>
      </w:r>
    </w:p>
    <w:p w14:paraId="29F4A3A3" w14:textId="77777777" w:rsidR="00533FF9" w:rsidRPr="008337E8" w:rsidRDefault="00533FF9" w:rsidP="00533FF9">
      <w:pPr>
        <w:pStyle w:val="EndNoteBibliography"/>
        <w:numPr>
          <w:ilvl w:val="0"/>
          <w:numId w:val="6"/>
        </w:numPr>
        <w:rPr>
          <w:rFonts w:asciiTheme="majorHAnsi" w:hAnsiTheme="majorHAnsi" w:cs="Times New Roman"/>
          <w:sz w:val="22"/>
          <w:szCs w:val="22"/>
        </w:rPr>
      </w:pPr>
      <w:r w:rsidRPr="008337E8">
        <w:rPr>
          <w:rFonts w:asciiTheme="majorHAnsi" w:hAnsiTheme="majorHAnsi" w:cs="Calibri"/>
          <w:b/>
          <w:sz w:val="22"/>
          <w:szCs w:val="22"/>
        </w:rPr>
        <w:t>Intervention type, duration</w:t>
      </w:r>
      <w:r w:rsidRPr="008337E8">
        <w:rPr>
          <w:rFonts w:asciiTheme="majorHAnsi" w:hAnsiTheme="majorHAnsi" w:cs="Calibri"/>
          <w:sz w:val="22"/>
          <w:szCs w:val="22"/>
        </w:rPr>
        <w:t xml:space="preserve"> – </w:t>
      </w:r>
    </w:p>
    <w:p w14:paraId="293664BB" w14:textId="77777777" w:rsidR="00533FF9" w:rsidRPr="008337E8" w:rsidRDefault="00533FF9" w:rsidP="00533FF9">
      <w:pPr>
        <w:pStyle w:val="EndNoteBibliography"/>
        <w:numPr>
          <w:ilvl w:val="0"/>
          <w:numId w:val="6"/>
        </w:numPr>
        <w:rPr>
          <w:rFonts w:asciiTheme="majorHAnsi" w:hAnsiTheme="majorHAnsi" w:cs="Times New Roman"/>
          <w:sz w:val="22"/>
          <w:szCs w:val="22"/>
        </w:rPr>
      </w:pPr>
      <w:r w:rsidRPr="008337E8">
        <w:rPr>
          <w:rFonts w:asciiTheme="majorHAnsi" w:hAnsiTheme="majorHAnsi" w:cs="Calibri"/>
          <w:b/>
          <w:sz w:val="22"/>
          <w:szCs w:val="22"/>
        </w:rPr>
        <w:t>Study populations/settings</w:t>
      </w:r>
      <w:r w:rsidRPr="008337E8">
        <w:rPr>
          <w:rFonts w:asciiTheme="majorHAnsi" w:hAnsiTheme="majorHAnsi" w:cs="Calibri"/>
          <w:sz w:val="22"/>
          <w:szCs w:val="22"/>
        </w:rPr>
        <w:t xml:space="preserve"> – 4-17 years old, average 11</w:t>
      </w:r>
    </w:p>
    <w:p w14:paraId="26C31C79" w14:textId="77777777" w:rsidR="00533FF9" w:rsidRPr="008337E8" w:rsidRDefault="00533FF9" w:rsidP="00533FF9">
      <w:pPr>
        <w:pStyle w:val="EndNoteBibliography"/>
        <w:numPr>
          <w:ilvl w:val="0"/>
          <w:numId w:val="6"/>
        </w:numPr>
        <w:rPr>
          <w:rFonts w:asciiTheme="majorHAnsi" w:hAnsiTheme="majorHAnsi" w:cs="Times New Roman"/>
          <w:sz w:val="22"/>
          <w:szCs w:val="22"/>
        </w:rPr>
      </w:pPr>
      <w:r w:rsidRPr="008337E8">
        <w:rPr>
          <w:rFonts w:asciiTheme="majorHAnsi" w:hAnsiTheme="majorHAnsi" w:cs="Calibri"/>
          <w:b/>
          <w:sz w:val="22"/>
          <w:szCs w:val="22"/>
        </w:rPr>
        <w:t>Aims of study</w:t>
      </w:r>
      <w:r w:rsidRPr="008337E8">
        <w:rPr>
          <w:rFonts w:asciiTheme="majorHAnsi" w:hAnsiTheme="majorHAnsi" w:cs="Calibri"/>
          <w:sz w:val="22"/>
          <w:szCs w:val="22"/>
        </w:rPr>
        <w:t xml:space="preserve"> – Evaluate emergency tourniquet use in children war casualties</w:t>
      </w:r>
    </w:p>
    <w:p w14:paraId="26280CD3" w14:textId="77777777" w:rsidR="00533FF9" w:rsidRPr="008337E8" w:rsidRDefault="00533FF9" w:rsidP="00533FF9">
      <w:pPr>
        <w:pStyle w:val="EndNoteBibliography"/>
        <w:numPr>
          <w:ilvl w:val="0"/>
          <w:numId w:val="6"/>
        </w:numPr>
        <w:rPr>
          <w:rFonts w:asciiTheme="majorHAnsi" w:hAnsiTheme="majorHAnsi" w:cs="Times New Roman"/>
          <w:sz w:val="22"/>
          <w:szCs w:val="22"/>
        </w:rPr>
      </w:pPr>
      <w:r w:rsidRPr="008337E8">
        <w:rPr>
          <w:rFonts w:asciiTheme="majorHAnsi" w:hAnsiTheme="majorHAnsi" w:cs="Calibri"/>
          <w:b/>
          <w:sz w:val="22"/>
          <w:szCs w:val="22"/>
        </w:rPr>
        <w:t>Methodology</w:t>
      </w:r>
      <w:r w:rsidRPr="008337E8">
        <w:rPr>
          <w:rFonts w:asciiTheme="majorHAnsi" w:hAnsiTheme="majorHAnsi" w:cs="Calibri"/>
          <w:sz w:val="22"/>
          <w:szCs w:val="22"/>
        </w:rPr>
        <w:t xml:space="preserve"> – Retrospective review of war casualty trauma registry 2003-2009</w:t>
      </w:r>
    </w:p>
    <w:p w14:paraId="6980BD56" w14:textId="77777777" w:rsidR="00533FF9" w:rsidRPr="008337E8" w:rsidRDefault="00533FF9" w:rsidP="00533FF9">
      <w:pPr>
        <w:pStyle w:val="EndNoteBibliography"/>
        <w:numPr>
          <w:ilvl w:val="0"/>
          <w:numId w:val="6"/>
        </w:numPr>
        <w:rPr>
          <w:rFonts w:asciiTheme="majorHAnsi" w:hAnsiTheme="majorHAnsi" w:cs="Times New Roman"/>
          <w:b/>
          <w:sz w:val="22"/>
          <w:szCs w:val="22"/>
        </w:rPr>
      </w:pPr>
      <w:r w:rsidRPr="008337E8">
        <w:rPr>
          <w:rFonts w:asciiTheme="majorHAnsi" w:hAnsiTheme="majorHAnsi" w:cs="Calibri"/>
          <w:b/>
          <w:sz w:val="22"/>
          <w:szCs w:val="22"/>
        </w:rPr>
        <w:t xml:space="preserve">Outcomes </w:t>
      </w:r>
      <w:r w:rsidRPr="008337E8">
        <w:rPr>
          <w:rFonts w:asciiTheme="majorHAnsi" w:hAnsiTheme="majorHAnsi" w:cs="Calibri"/>
          <w:sz w:val="22"/>
          <w:szCs w:val="22"/>
        </w:rPr>
        <w:t>– 93% survival rate.  Commercially available tourniquets used in soldiers were effective for children</w:t>
      </w:r>
    </w:p>
    <w:p w14:paraId="0AEC7F69" w14:textId="77777777" w:rsidR="00533FF9" w:rsidRPr="008337E8" w:rsidRDefault="00533FF9" w:rsidP="00533FF9">
      <w:pPr>
        <w:pStyle w:val="EndNoteBibliography"/>
        <w:numPr>
          <w:ilvl w:val="0"/>
          <w:numId w:val="6"/>
        </w:numPr>
        <w:rPr>
          <w:rFonts w:asciiTheme="majorHAnsi" w:hAnsiTheme="majorHAnsi" w:cs="Times New Roman"/>
          <w:b/>
          <w:sz w:val="22"/>
          <w:szCs w:val="22"/>
        </w:rPr>
      </w:pPr>
      <w:r w:rsidRPr="008337E8">
        <w:rPr>
          <w:rFonts w:asciiTheme="majorHAnsi" w:hAnsiTheme="majorHAnsi" w:cs="Calibri"/>
          <w:b/>
          <w:sz w:val="22"/>
          <w:szCs w:val="22"/>
        </w:rPr>
        <w:t xml:space="preserve">Important results </w:t>
      </w:r>
      <w:r w:rsidRPr="008337E8">
        <w:rPr>
          <w:rFonts w:asciiTheme="majorHAnsi" w:hAnsiTheme="majorHAnsi" w:cs="Calibri"/>
          <w:sz w:val="22"/>
          <w:szCs w:val="22"/>
        </w:rPr>
        <w:t>– Similar to adults, effectiveness of technique, ? improved overall pediatric survival in war time resulting from tourniquet usage</w:t>
      </w:r>
    </w:p>
    <w:p w14:paraId="1C710369" w14:textId="2DAF6870" w:rsidR="00533FF9" w:rsidRPr="00533FF9" w:rsidRDefault="00533FF9" w:rsidP="00533FF9">
      <w:pPr>
        <w:pStyle w:val="EndNoteBibliography"/>
        <w:numPr>
          <w:ilvl w:val="0"/>
          <w:numId w:val="6"/>
        </w:numPr>
        <w:rPr>
          <w:rFonts w:asciiTheme="majorHAnsi" w:hAnsiTheme="majorHAnsi" w:cs="Calibri"/>
          <w:b/>
          <w:sz w:val="22"/>
          <w:szCs w:val="22"/>
        </w:rPr>
      </w:pPr>
      <w:r w:rsidRPr="008337E8">
        <w:rPr>
          <w:rFonts w:asciiTheme="majorHAnsi" w:hAnsiTheme="majorHAnsi" w:cs="Calibri"/>
          <w:b/>
          <w:sz w:val="22"/>
          <w:szCs w:val="22"/>
        </w:rPr>
        <w:t>Critiques of the data</w:t>
      </w:r>
      <w:r w:rsidRPr="008337E8">
        <w:rPr>
          <w:rFonts w:asciiTheme="majorHAnsi" w:hAnsiTheme="majorHAnsi" w:cs="Calibri"/>
          <w:sz w:val="22"/>
          <w:szCs w:val="22"/>
        </w:rPr>
        <w:t xml:space="preserve"> – retrospective review, trauma registry, unclear indication of tourniquets in every case</w:t>
      </w:r>
    </w:p>
    <w:p w14:paraId="369C868C" w14:textId="77777777" w:rsidR="00533FF9" w:rsidRPr="008337E8" w:rsidRDefault="00533FF9" w:rsidP="00533FF9">
      <w:pPr>
        <w:rPr>
          <w:rFonts w:asciiTheme="majorHAnsi" w:hAnsiTheme="majorHAnsi"/>
          <w:sz w:val="22"/>
          <w:szCs w:val="22"/>
        </w:rPr>
      </w:pPr>
    </w:p>
    <w:p w14:paraId="2DE27390" w14:textId="77777777" w:rsidR="00533FF9" w:rsidRPr="008337E8" w:rsidRDefault="00533FF9" w:rsidP="00533FF9">
      <w:pPr>
        <w:rPr>
          <w:rFonts w:asciiTheme="majorHAnsi" w:hAnsiTheme="majorHAnsi" w:cs="Arial"/>
          <w:sz w:val="22"/>
          <w:szCs w:val="22"/>
        </w:rPr>
      </w:pPr>
      <w:r>
        <w:rPr>
          <w:rFonts w:asciiTheme="majorHAnsi" w:hAnsiTheme="majorHAnsi" w:cs="Arial"/>
          <w:sz w:val="22"/>
          <w:szCs w:val="22"/>
        </w:rPr>
        <w:t xml:space="preserve">12)  </w:t>
      </w:r>
      <w:r w:rsidRPr="008337E8">
        <w:rPr>
          <w:rFonts w:asciiTheme="majorHAnsi" w:hAnsiTheme="majorHAnsi" w:cs="Arial"/>
          <w:sz w:val="22"/>
          <w:szCs w:val="22"/>
        </w:rPr>
        <w:t>Kragh JF Jr, Walters TJ, Baer DG, Fox CJ, Wade CE, Salinas J, Holcomb JB. Survival with emergency tourniquet use to stop bleeding in major limb trauma. Ann Surg. 2009 Jan;249(1):1-7.</w:t>
      </w:r>
    </w:p>
    <w:p w14:paraId="637838D2" w14:textId="77777777" w:rsidR="00533FF9" w:rsidRPr="008337E8" w:rsidRDefault="00533FF9" w:rsidP="00533FF9">
      <w:pPr>
        <w:rPr>
          <w:rFonts w:asciiTheme="majorHAnsi" w:hAnsiTheme="majorHAnsi" w:cs="Arial"/>
          <w:sz w:val="22"/>
          <w:szCs w:val="22"/>
        </w:rPr>
      </w:pPr>
    </w:p>
    <w:p w14:paraId="1628C481" w14:textId="77777777" w:rsidR="00533FF9" w:rsidRPr="008337E8" w:rsidRDefault="00533FF9" w:rsidP="00533FF9">
      <w:pPr>
        <w:pStyle w:val="EndNoteBibliography"/>
        <w:widowControl w:val="0"/>
        <w:numPr>
          <w:ilvl w:val="0"/>
          <w:numId w:val="7"/>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Authors, year of publication, site</w:t>
      </w:r>
      <w:r w:rsidRPr="008337E8">
        <w:rPr>
          <w:rFonts w:asciiTheme="majorHAnsi" w:hAnsiTheme="majorHAnsi" w:cs="Calibri"/>
          <w:sz w:val="22"/>
          <w:szCs w:val="22"/>
        </w:rPr>
        <w:t xml:space="preserve"> – 2009, </w:t>
      </w:r>
    </w:p>
    <w:p w14:paraId="35075823" w14:textId="77777777" w:rsidR="00533FF9" w:rsidRPr="008337E8" w:rsidRDefault="00533FF9" w:rsidP="00533FF9">
      <w:pPr>
        <w:pStyle w:val="EndNoteBibliography"/>
        <w:numPr>
          <w:ilvl w:val="0"/>
          <w:numId w:val="7"/>
        </w:numPr>
        <w:rPr>
          <w:rFonts w:asciiTheme="majorHAnsi" w:hAnsiTheme="majorHAnsi" w:cs="Times New Roman"/>
          <w:sz w:val="22"/>
          <w:szCs w:val="22"/>
        </w:rPr>
      </w:pPr>
      <w:r w:rsidRPr="008337E8">
        <w:rPr>
          <w:rFonts w:asciiTheme="majorHAnsi" w:hAnsiTheme="majorHAnsi" w:cs="Calibri"/>
          <w:b/>
          <w:sz w:val="22"/>
          <w:szCs w:val="22"/>
        </w:rPr>
        <w:t>Intervention type, duration</w:t>
      </w:r>
      <w:r w:rsidRPr="008337E8">
        <w:rPr>
          <w:rFonts w:asciiTheme="majorHAnsi" w:hAnsiTheme="majorHAnsi" w:cs="Calibri"/>
          <w:sz w:val="22"/>
          <w:szCs w:val="22"/>
        </w:rPr>
        <w:t xml:space="preserve"> – Combat tourniquet use, 3/2006 – 10/2006</w:t>
      </w:r>
    </w:p>
    <w:p w14:paraId="75CD174B" w14:textId="77777777" w:rsidR="00533FF9" w:rsidRPr="008337E8" w:rsidRDefault="00533FF9" w:rsidP="00533FF9">
      <w:pPr>
        <w:pStyle w:val="EndNoteBibliography"/>
        <w:numPr>
          <w:ilvl w:val="0"/>
          <w:numId w:val="7"/>
        </w:numPr>
        <w:rPr>
          <w:rFonts w:asciiTheme="majorHAnsi" w:hAnsiTheme="majorHAnsi" w:cs="Times New Roman"/>
          <w:sz w:val="22"/>
          <w:szCs w:val="22"/>
        </w:rPr>
      </w:pPr>
      <w:r w:rsidRPr="008337E8">
        <w:rPr>
          <w:rFonts w:asciiTheme="majorHAnsi" w:hAnsiTheme="majorHAnsi" w:cs="Calibri"/>
          <w:b/>
          <w:sz w:val="22"/>
          <w:szCs w:val="22"/>
        </w:rPr>
        <w:t>Study populations/settings</w:t>
      </w:r>
      <w:r w:rsidRPr="008337E8">
        <w:rPr>
          <w:rFonts w:asciiTheme="majorHAnsi" w:hAnsiTheme="majorHAnsi" w:cs="Calibri"/>
          <w:sz w:val="22"/>
          <w:szCs w:val="22"/>
        </w:rPr>
        <w:t xml:space="preserve"> – Combat casualties, age 4-70 years, 9 children (232 total patients)</w:t>
      </w:r>
    </w:p>
    <w:p w14:paraId="58039D9E" w14:textId="77777777" w:rsidR="00533FF9" w:rsidRPr="008337E8" w:rsidRDefault="00533FF9" w:rsidP="00533FF9">
      <w:pPr>
        <w:pStyle w:val="EndNoteBibliography"/>
        <w:numPr>
          <w:ilvl w:val="0"/>
          <w:numId w:val="7"/>
        </w:numPr>
        <w:rPr>
          <w:rFonts w:asciiTheme="majorHAnsi" w:hAnsiTheme="majorHAnsi" w:cs="Times New Roman"/>
          <w:sz w:val="22"/>
          <w:szCs w:val="22"/>
        </w:rPr>
      </w:pPr>
      <w:r w:rsidRPr="008337E8">
        <w:rPr>
          <w:rFonts w:asciiTheme="majorHAnsi" w:hAnsiTheme="majorHAnsi" w:cs="Calibri"/>
          <w:b/>
          <w:sz w:val="22"/>
          <w:szCs w:val="22"/>
        </w:rPr>
        <w:t>Aims of study</w:t>
      </w:r>
      <w:r w:rsidRPr="008337E8">
        <w:rPr>
          <w:rFonts w:asciiTheme="majorHAnsi" w:hAnsiTheme="majorHAnsi" w:cs="Calibri"/>
          <w:sz w:val="22"/>
          <w:szCs w:val="22"/>
        </w:rPr>
        <w:t xml:space="preserve"> – Effectiveness of emergency tourniquet use in combat setting</w:t>
      </w:r>
    </w:p>
    <w:p w14:paraId="1DC29C87" w14:textId="77777777" w:rsidR="00533FF9" w:rsidRPr="008337E8" w:rsidRDefault="00533FF9" w:rsidP="00533FF9">
      <w:pPr>
        <w:pStyle w:val="EndNoteBibliography"/>
        <w:numPr>
          <w:ilvl w:val="0"/>
          <w:numId w:val="7"/>
        </w:numPr>
        <w:rPr>
          <w:rFonts w:asciiTheme="majorHAnsi" w:hAnsiTheme="majorHAnsi" w:cs="Times New Roman"/>
          <w:sz w:val="22"/>
          <w:szCs w:val="22"/>
        </w:rPr>
      </w:pPr>
      <w:r w:rsidRPr="008337E8">
        <w:rPr>
          <w:rFonts w:asciiTheme="majorHAnsi" w:hAnsiTheme="majorHAnsi" w:cs="Calibri"/>
          <w:b/>
          <w:sz w:val="22"/>
          <w:szCs w:val="22"/>
        </w:rPr>
        <w:t>Methodology</w:t>
      </w:r>
      <w:r w:rsidRPr="008337E8">
        <w:rPr>
          <w:rFonts w:asciiTheme="majorHAnsi" w:hAnsiTheme="majorHAnsi" w:cs="Calibri"/>
          <w:sz w:val="22"/>
          <w:szCs w:val="22"/>
        </w:rPr>
        <w:t xml:space="preserve"> – Prospective observational study, cohort and subgroup analtisis</w:t>
      </w:r>
    </w:p>
    <w:p w14:paraId="4DFBB09F" w14:textId="77777777" w:rsidR="00533FF9" w:rsidRPr="008337E8" w:rsidRDefault="00533FF9" w:rsidP="00533FF9">
      <w:pPr>
        <w:pStyle w:val="EndNoteBibliography"/>
        <w:numPr>
          <w:ilvl w:val="0"/>
          <w:numId w:val="7"/>
        </w:numPr>
        <w:rPr>
          <w:rFonts w:asciiTheme="majorHAnsi" w:hAnsiTheme="majorHAnsi" w:cs="Times New Roman"/>
          <w:b/>
          <w:sz w:val="22"/>
          <w:szCs w:val="22"/>
        </w:rPr>
      </w:pPr>
      <w:r w:rsidRPr="008337E8">
        <w:rPr>
          <w:rFonts w:asciiTheme="majorHAnsi" w:hAnsiTheme="majorHAnsi" w:cs="Calibri"/>
          <w:b/>
          <w:sz w:val="22"/>
          <w:szCs w:val="22"/>
        </w:rPr>
        <w:t xml:space="preserve">Outcomes </w:t>
      </w:r>
      <w:r w:rsidRPr="008337E8">
        <w:rPr>
          <w:rFonts w:asciiTheme="majorHAnsi" w:hAnsiTheme="majorHAnsi" w:cs="Calibri"/>
          <w:sz w:val="22"/>
          <w:szCs w:val="22"/>
        </w:rPr>
        <w:t>– Improved survival with tourniquets</w:t>
      </w:r>
    </w:p>
    <w:p w14:paraId="4BB3ABD6" w14:textId="77777777" w:rsidR="00533FF9" w:rsidRPr="008337E8" w:rsidRDefault="00533FF9" w:rsidP="00533FF9">
      <w:pPr>
        <w:pStyle w:val="EndNoteBibliography"/>
        <w:numPr>
          <w:ilvl w:val="0"/>
          <w:numId w:val="7"/>
        </w:numPr>
        <w:rPr>
          <w:rFonts w:asciiTheme="majorHAnsi" w:hAnsiTheme="majorHAnsi" w:cs="Times New Roman"/>
          <w:b/>
          <w:sz w:val="22"/>
          <w:szCs w:val="22"/>
        </w:rPr>
      </w:pPr>
      <w:r w:rsidRPr="008337E8">
        <w:rPr>
          <w:rFonts w:asciiTheme="majorHAnsi" w:hAnsiTheme="majorHAnsi" w:cs="Calibri"/>
          <w:b/>
          <w:sz w:val="22"/>
          <w:szCs w:val="22"/>
        </w:rPr>
        <w:t xml:space="preserve">Important results </w:t>
      </w:r>
      <w:r w:rsidRPr="008337E8">
        <w:rPr>
          <w:rFonts w:asciiTheme="majorHAnsi" w:hAnsiTheme="majorHAnsi" w:cs="Calibri"/>
          <w:sz w:val="22"/>
          <w:szCs w:val="22"/>
        </w:rPr>
        <w:t>– tourniquets save lives especially in setting of shock, few complications from tourniquet use – benefits far outweigh risks</w:t>
      </w:r>
    </w:p>
    <w:p w14:paraId="46D4160C" w14:textId="77777777" w:rsidR="00533FF9" w:rsidRPr="008337E8" w:rsidRDefault="00533FF9" w:rsidP="00533FF9">
      <w:pPr>
        <w:pStyle w:val="EndNoteBibliography"/>
        <w:numPr>
          <w:ilvl w:val="0"/>
          <w:numId w:val="7"/>
        </w:numPr>
        <w:rPr>
          <w:rFonts w:asciiTheme="majorHAnsi" w:hAnsiTheme="majorHAnsi" w:cs="Calibri"/>
          <w:b/>
          <w:sz w:val="22"/>
          <w:szCs w:val="22"/>
        </w:rPr>
      </w:pPr>
      <w:r w:rsidRPr="008337E8">
        <w:rPr>
          <w:rFonts w:asciiTheme="majorHAnsi" w:hAnsiTheme="majorHAnsi" w:cs="Calibri"/>
          <w:b/>
          <w:sz w:val="22"/>
          <w:szCs w:val="22"/>
        </w:rPr>
        <w:t>Critiques of the data</w:t>
      </w:r>
      <w:r w:rsidRPr="008337E8">
        <w:rPr>
          <w:rFonts w:asciiTheme="majorHAnsi" w:hAnsiTheme="majorHAnsi" w:cs="Calibri"/>
          <w:sz w:val="22"/>
          <w:szCs w:val="22"/>
        </w:rPr>
        <w:t xml:space="preserve"> – combat setting, mixed population with few children</w:t>
      </w:r>
    </w:p>
    <w:p w14:paraId="515E9403" w14:textId="77777777" w:rsidR="00533FF9" w:rsidRPr="008337E8" w:rsidRDefault="00533FF9" w:rsidP="00533FF9">
      <w:pPr>
        <w:pStyle w:val="EndNoteBibliography"/>
        <w:widowControl w:val="0"/>
        <w:autoSpaceDE w:val="0"/>
        <w:autoSpaceDN w:val="0"/>
        <w:adjustRightInd w:val="0"/>
        <w:ind w:left="720"/>
        <w:rPr>
          <w:rFonts w:asciiTheme="majorHAnsi" w:hAnsiTheme="majorHAnsi" w:cs="Times New Roman"/>
          <w:sz w:val="22"/>
          <w:szCs w:val="22"/>
        </w:rPr>
      </w:pPr>
    </w:p>
    <w:p w14:paraId="34612622" w14:textId="77777777" w:rsidR="00533FF9" w:rsidRPr="008337E8" w:rsidRDefault="00533FF9" w:rsidP="00533FF9">
      <w:pPr>
        <w:rPr>
          <w:rFonts w:asciiTheme="majorHAnsi" w:hAnsiTheme="majorHAnsi"/>
          <w:sz w:val="22"/>
          <w:szCs w:val="22"/>
        </w:rPr>
      </w:pPr>
      <w:r>
        <w:rPr>
          <w:rFonts w:asciiTheme="majorHAnsi" w:hAnsiTheme="majorHAnsi"/>
          <w:sz w:val="22"/>
          <w:szCs w:val="22"/>
        </w:rPr>
        <w:t xml:space="preserve">13)  </w:t>
      </w:r>
      <w:r w:rsidRPr="008337E8">
        <w:rPr>
          <w:rFonts w:asciiTheme="majorHAnsi" w:hAnsiTheme="majorHAnsi"/>
          <w:sz w:val="22"/>
          <w:szCs w:val="22"/>
        </w:rPr>
        <w:t>Lieberman, J.R., L.T. Staheli, and M.C. Dales, Tourniquet pressures on pediatric patients: a clinical study. Orthopedics, 1997. 20(12): p. 1143-7.</w:t>
      </w:r>
    </w:p>
    <w:p w14:paraId="0E00C789" w14:textId="77777777" w:rsidR="00533FF9" w:rsidRPr="008337E8" w:rsidRDefault="00533FF9" w:rsidP="00533FF9">
      <w:pPr>
        <w:widowControl w:val="0"/>
        <w:autoSpaceDE w:val="0"/>
        <w:autoSpaceDN w:val="0"/>
        <w:adjustRightInd w:val="0"/>
        <w:rPr>
          <w:rFonts w:asciiTheme="majorHAnsi" w:hAnsiTheme="majorHAnsi" w:cs="Calibri"/>
          <w:color w:val="18376A"/>
          <w:sz w:val="22"/>
          <w:szCs w:val="22"/>
        </w:rPr>
      </w:pPr>
    </w:p>
    <w:p w14:paraId="4EF39CCC" w14:textId="77777777" w:rsidR="00533FF9" w:rsidRPr="008337E8" w:rsidRDefault="00533FF9" w:rsidP="00533FF9">
      <w:pPr>
        <w:pStyle w:val="EndNoteBibliography"/>
        <w:widowControl w:val="0"/>
        <w:numPr>
          <w:ilvl w:val="0"/>
          <w:numId w:val="8"/>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Authors, year of publication, site</w:t>
      </w:r>
      <w:r w:rsidRPr="008337E8">
        <w:rPr>
          <w:rFonts w:asciiTheme="majorHAnsi" w:hAnsiTheme="majorHAnsi" w:cs="Calibri"/>
          <w:sz w:val="22"/>
          <w:szCs w:val="22"/>
        </w:rPr>
        <w:t xml:space="preserve"> – 1997</w:t>
      </w:r>
    </w:p>
    <w:p w14:paraId="72D329A1" w14:textId="77777777" w:rsidR="00533FF9" w:rsidRPr="008337E8" w:rsidRDefault="00533FF9" w:rsidP="00533FF9">
      <w:pPr>
        <w:pStyle w:val="EndNoteBibliography"/>
        <w:numPr>
          <w:ilvl w:val="0"/>
          <w:numId w:val="8"/>
        </w:numPr>
        <w:rPr>
          <w:rFonts w:asciiTheme="majorHAnsi" w:hAnsiTheme="majorHAnsi" w:cs="Times New Roman"/>
          <w:sz w:val="22"/>
          <w:szCs w:val="22"/>
        </w:rPr>
      </w:pPr>
      <w:r w:rsidRPr="008337E8">
        <w:rPr>
          <w:rFonts w:asciiTheme="majorHAnsi" w:hAnsiTheme="majorHAnsi" w:cs="Calibri"/>
          <w:b/>
          <w:sz w:val="22"/>
          <w:szCs w:val="22"/>
        </w:rPr>
        <w:t>Intervention type, duration</w:t>
      </w:r>
      <w:r w:rsidRPr="008337E8">
        <w:rPr>
          <w:rFonts w:asciiTheme="majorHAnsi" w:hAnsiTheme="majorHAnsi" w:cs="Calibri"/>
          <w:sz w:val="22"/>
          <w:szCs w:val="22"/>
        </w:rPr>
        <w:t xml:space="preserve"> – observation of hemostasis with tourniquet pressure in 29 surgical cases</w:t>
      </w:r>
    </w:p>
    <w:p w14:paraId="29F0F86E" w14:textId="77777777" w:rsidR="00533FF9" w:rsidRPr="008337E8" w:rsidRDefault="00533FF9" w:rsidP="00533FF9">
      <w:pPr>
        <w:pStyle w:val="EndNoteBibliography"/>
        <w:numPr>
          <w:ilvl w:val="0"/>
          <w:numId w:val="8"/>
        </w:numPr>
        <w:rPr>
          <w:rFonts w:asciiTheme="majorHAnsi" w:hAnsiTheme="majorHAnsi" w:cs="Times New Roman"/>
          <w:sz w:val="22"/>
          <w:szCs w:val="22"/>
        </w:rPr>
      </w:pPr>
      <w:r w:rsidRPr="008337E8">
        <w:rPr>
          <w:rFonts w:asciiTheme="majorHAnsi" w:hAnsiTheme="majorHAnsi" w:cs="Calibri"/>
          <w:b/>
          <w:sz w:val="22"/>
          <w:szCs w:val="22"/>
        </w:rPr>
        <w:t>Study populations/settings</w:t>
      </w:r>
      <w:r w:rsidRPr="008337E8">
        <w:rPr>
          <w:rFonts w:asciiTheme="majorHAnsi" w:hAnsiTheme="majorHAnsi" w:cs="Calibri"/>
          <w:sz w:val="22"/>
          <w:szCs w:val="22"/>
        </w:rPr>
        <w:t xml:space="preserve"> – operating room</w:t>
      </w:r>
    </w:p>
    <w:p w14:paraId="1C776004" w14:textId="77777777" w:rsidR="00533FF9" w:rsidRPr="008337E8" w:rsidRDefault="00533FF9" w:rsidP="00533FF9">
      <w:pPr>
        <w:pStyle w:val="EndNoteBibliography"/>
        <w:numPr>
          <w:ilvl w:val="0"/>
          <w:numId w:val="8"/>
        </w:numPr>
        <w:rPr>
          <w:rFonts w:asciiTheme="majorHAnsi" w:hAnsiTheme="majorHAnsi" w:cs="Times New Roman"/>
          <w:sz w:val="22"/>
          <w:szCs w:val="22"/>
        </w:rPr>
      </w:pPr>
      <w:r w:rsidRPr="008337E8">
        <w:rPr>
          <w:rFonts w:asciiTheme="majorHAnsi" w:hAnsiTheme="majorHAnsi" w:cs="Calibri"/>
          <w:b/>
          <w:sz w:val="22"/>
          <w:szCs w:val="22"/>
        </w:rPr>
        <w:t>Aims of study</w:t>
      </w:r>
      <w:r w:rsidRPr="008337E8">
        <w:rPr>
          <w:rFonts w:asciiTheme="majorHAnsi" w:hAnsiTheme="majorHAnsi" w:cs="Calibri"/>
          <w:sz w:val="22"/>
          <w:szCs w:val="22"/>
        </w:rPr>
        <w:t xml:space="preserve"> – determine appropriate tourniquet pressure used in extremity surgeries in children</w:t>
      </w:r>
    </w:p>
    <w:p w14:paraId="2AAB3AF1" w14:textId="77777777" w:rsidR="00533FF9" w:rsidRPr="008337E8" w:rsidRDefault="00533FF9" w:rsidP="00533FF9">
      <w:pPr>
        <w:pStyle w:val="EndNoteBibliography"/>
        <w:numPr>
          <w:ilvl w:val="0"/>
          <w:numId w:val="8"/>
        </w:numPr>
        <w:rPr>
          <w:rFonts w:asciiTheme="majorHAnsi" w:hAnsiTheme="majorHAnsi" w:cs="Times New Roman"/>
          <w:sz w:val="22"/>
          <w:szCs w:val="22"/>
        </w:rPr>
      </w:pPr>
      <w:r w:rsidRPr="008337E8">
        <w:rPr>
          <w:rFonts w:asciiTheme="majorHAnsi" w:hAnsiTheme="majorHAnsi" w:cs="Calibri"/>
          <w:b/>
          <w:sz w:val="22"/>
          <w:szCs w:val="22"/>
        </w:rPr>
        <w:t>Methodology</w:t>
      </w:r>
      <w:r w:rsidRPr="008337E8">
        <w:rPr>
          <w:rFonts w:asciiTheme="majorHAnsi" w:hAnsiTheme="majorHAnsi" w:cs="Calibri"/>
          <w:sz w:val="22"/>
          <w:szCs w:val="22"/>
        </w:rPr>
        <w:t xml:space="preserve"> – prospective, observational study</w:t>
      </w:r>
    </w:p>
    <w:p w14:paraId="0600FFF4" w14:textId="77777777" w:rsidR="00533FF9" w:rsidRPr="008337E8" w:rsidRDefault="00533FF9" w:rsidP="00533FF9">
      <w:pPr>
        <w:pStyle w:val="EndNoteBibliography"/>
        <w:numPr>
          <w:ilvl w:val="0"/>
          <w:numId w:val="8"/>
        </w:numPr>
        <w:rPr>
          <w:rFonts w:asciiTheme="majorHAnsi" w:hAnsiTheme="majorHAnsi" w:cs="Times New Roman"/>
          <w:b/>
          <w:sz w:val="22"/>
          <w:szCs w:val="22"/>
        </w:rPr>
      </w:pPr>
      <w:r w:rsidRPr="008337E8">
        <w:rPr>
          <w:rFonts w:asciiTheme="majorHAnsi" w:hAnsiTheme="majorHAnsi" w:cs="Calibri"/>
          <w:b/>
          <w:sz w:val="22"/>
          <w:szCs w:val="22"/>
        </w:rPr>
        <w:t xml:space="preserve">Outcomes </w:t>
      </w:r>
      <w:r w:rsidRPr="008337E8">
        <w:rPr>
          <w:rFonts w:asciiTheme="majorHAnsi" w:hAnsiTheme="majorHAnsi" w:cs="Calibri"/>
          <w:sz w:val="22"/>
          <w:szCs w:val="22"/>
        </w:rPr>
        <w:t>– Setting tourniquet pressure to 50 mmhg over occlusion pressure resulting in 86/5 with adequate hemostasis</w:t>
      </w:r>
    </w:p>
    <w:p w14:paraId="6F67E34B" w14:textId="77777777" w:rsidR="00533FF9" w:rsidRPr="008337E8" w:rsidRDefault="00533FF9" w:rsidP="00533FF9">
      <w:pPr>
        <w:pStyle w:val="EndNoteBibliography"/>
        <w:numPr>
          <w:ilvl w:val="0"/>
          <w:numId w:val="8"/>
        </w:numPr>
        <w:rPr>
          <w:rFonts w:asciiTheme="majorHAnsi" w:hAnsiTheme="majorHAnsi" w:cs="Times New Roman"/>
          <w:b/>
          <w:sz w:val="22"/>
          <w:szCs w:val="22"/>
        </w:rPr>
      </w:pPr>
      <w:r w:rsidRPr="008337E8">
        <w:rPr>
          <w:rFonts w:asciiTheme="majorHAnsi" w:hAnsiTheme="majorHAnsi" w:cs="Calibri"/>
          <w:b/>
          <w:sz w:val="22"/>
          <w:szCs w:val="22"/>
        </w:rPr>
        <w:t xml:space="preserve">Important results </w:t>
      </w:r>
      <w:r w:rsidRPr="008337E8">
        <w:rPr>
          <w:rFonts w:asciiTheme="majorHAnsi" w:hAnsiTheme="majorHAnsi" w:cs="Calibri"/>
          <w:sz w:val="22"/>
          <w:szCs w:val="22"/>
        </w:rPr>
        <w:t>– Lower tourniquet pressures may be effective in data</w:t>
      </w:r>
    </w:p>
    <w:p w14:paraId="7F87A22A" w14:textId="77777777" w:rsidR="00533FF9" w:rsidRPr="008337E8" w:rsidRDefault="00533FF9" w:rsidP="00533FF9">
      <w:pPr>
        <w:pStyle w:val="EndNoteBibliography"/>
        <w:numPr>
          <w:ilvl w:val="0"/>
          <w:numId w:val="8"/>
        </w:numPr>
        <w:rPr>
          <w:rFonts w:asciiTheme="majorHAnsi" w:hAnsiTheme="majorHAnsi" w:cs="Calibri"/>
          <w:b/>
          <w:sz w:val="22"/>
          <w:szCs w:val="22"/>
        </w:rPr>
      </w:pPr>
      <w:r w:rsidRPr="008337E8">
        <w:rPr>
          <w:rFonts w:asciiTheme="majorHAnsi" w:hAnsiTheme="majorHAnsi" w:cs="Calibri"/>
          <w:b/>
          <w:sz w:val="22"/>
          <w:szCs w:val="22"/>
        </w:rPr>
        <w:t>Critiques of the data</w:t>
      </w:r>
      <w:r w:rsidRPr="008337E8">
        <w:rPr>
          <w:rFonts w:asciiTheme="majorHAnsi" w:hAnsiTheme="majorHAnsi" w:cs="Calibri"/>
          <w:sz w:val="22"/>
          <w:szCs w:val="22"/>
        </w:rPr>
        <w:t xml:space="preserve"> –   Small series, no comparison group</w:t>
      </w:r>
    </w:p>
    <w:p w14:paraId="11651115" w14:textId="77777777" w:rsidR="00533FF9" w:rsidRPr="008337E8" w:rsidRDefault="00533FF9" w:rsidP="00533FF9">
      <w:pPr>
        <w:widowControl w:val="0"/>
        <w:autoSpaceDE w:val="0"/>
        <w:autoSpaceDN w:val="0"/>
        <w:adjustRightInd w:val="0"/>
        <w:rPr>
          <w:rFonts w:asciiTheme="majorHAnsi" w:hAnsiTheme="majorHAnsi" w:cs="Calibri"/>
          <w:color w:val="18376A"/>
          <w:sz w:val="22"/>
          <w:szCs w:val="22"/>
        </w:rPr>
      </w:pPr>
    </w:p>
    <w:p w14:paraId="258F981F" w14:textId="6F455442" w:rsidR="007360EF" w:rsidRPr="006C011E" w:rsidRDefault="007360EF" w:rsidP="007360EF">
      <w:pPr>
        <w:pStyle w:val="EndNoteBibliography"/>
        <w:rPr>
          <w:rFonts w:asciiTheme="majorHAnsi" w:hAnsiTheme="majorHAnsi"/>
          <w:noProof/>
          <w:sz w:val="22"/>
          <w:szCs w:val="22"/>
        </w:rPr>
      </w:pPr>
      <w:r>
        <w:rPr>
          <w:rFonts w:asciiTheme="majorHAnsi" w:hAnsiTheme="majorHAnsi"/>
          <w:sz w:val="22"/>
          <w:szCs w:val="22"/>
        </w:rPr>
        <w:t xml:space="preserve">14) </w:t>
      </w:r>
      <w:r w:rsidRPr="006C011E">
        <w:rPr>
          <w:rFonts w:asciiTheme="majorHAnsi" w:hAnsiTheme="majorHAnsi"/>
          <w:sz w:val="22"/>
          <w:szCs w:val="22"/>
        </w:rPr>
        <w:fldChar w:fldCharType="begin"/>
      </w:r>
      <w:r w:rsidRPr="006C011E">
        <w:rPr>
          <w:rFonts w:asciiTheme="majorHAnsi" w:hAnsiTheme="majorHAnsi"/>
          <w:sz w:val="22"/>
          <w:szCs w:val="22"/>
        </w:rPr>
        <w:instrText xml:space="preserve"> ADDIN EN.REFLIST </w:instrText>
      </w:r>
      <w:r w:rsidRPr="006C011E">
        <w:rPr>
          <w:rFonts w:asciiTheme="majorHAnsi" w:hAnsiTheme="majorHAnsi"/>
          <w:sz w:val="22"/>
          <w:szCs w:val="22"/>
        </w:rPr>
        <w:fldChar w:fldCharType="separate"/>
      </w:r>
      <w:r w:rsidRPr="006C011E">
        <w:rPr>
          <w:rFonts w:asciiTheme="majorHAnsi" w:hAnsiTheme="majorHAnsi"/>
          <w:noProof/>
          <w:sz w:val="22"/>
          <w:szCs w:val="22"/>
        </w:rPr>
        <w:t xml:space="preserve">Lynn, A. M., Fischer, T., Brandford, H. G., &amp; Pendergrass, T. W. (1986). Systemic responses to tourniquet release in children. </w:t>
      </w:r>
      <w:r w:rsidRPr="006C011E">
        <w:rPr>
          <w:rFonts w:asciiTheme="majorHAnsi" w:hAnsiTheme="majorHAnsi"/>
          <w:i/>
          <w:noProof/>
          <w:sz w:val="22"/>
          <w:szCs w:val="22"/>
        </w:rPr>
        <w:t>Anesth Analg, 65</w:t>
      </w:r>
      <w:r w:rsidRPr="006C011E">
        <w:rPr>
          <w:rFonts w:asciiTheme="majorHAnsi" w:hAnsiTheme="majorHAnsi"/>
          <w:noProof/>
          <w:sz w:val="22"/>
          <w:szCs w:val="22"/>
        </w:rPr>
        <w:t xml:space="preserve">(8), 865-872. </w:t>
      </w:r>
    </w:p>
    <w:p w14:paraId="41237222" w14:textId="10CBA353" w:rsidR="00533FF9" w:rsidRPr="008337E8" w:rsidRDefault="007360EF" w:rsidP="007360EF">
      <w:pPr>
        <w:widowControl w:val="0"/>
        <w:autoSpaceDE w:val="0"/>
        <w:autoSpaceDN w:val="0"/>
        <w:adjustRightInd w:val="0"/>
        <w:rPr>
          <w:rFonts w:asciiTheme="majorHAnsi" w:hAnsiTheme="majorHAnsi" w:cs="Calibri"/>
          <w:color w:val="18376A"/>
          <w:sz w:val="22"/>
          <w:szCs w:val="22"/>
        </w:rPr>
      </w:pPr>
      <w:r w:rsidRPr="006C011E">
        <w:rPr>
          <w:rFonts w:asciiTheme="majorHAnsi" w:hAnsiTheme="majorHAnsi"/>
          <w:sz w:val="22"/>
          <w:szCs w:val="22"/>
        </w:rPr>
        <w:fldChar w:fldCharType="end"/>
      </w:r>
    </w:p>
    <w:p w14:paraId="07DE59CC" w14:textId="77777777" w:rsidR="00533FF9" w:rsidRPr="008337E8" w:rsidRDefault="00533FF9" w:rsidP="00533FF9">
      <w:pPr>
        <w:pStyle w:val="EndNoteBibliography"/>
        <w:widowControl w:val="0"/>
        <w:numPr>
          <w:ilvl w:val="0"/>
          <w:numId w:val="10"/>
        </w:numPr>
        <w:autoSpaceDE w:val="0"/>
        <w:autoSpaceDN w:val="0"/>
        <w:adjustRightInd w:val="0"/>
        <w:rPr>
          <w:rFonts w:asciiTheme="majorHAnsi" w:hAnsiTheme="majorHAnsi" w:cs="Times New Roman"/>
          <w:sz w:val="22"/>
          <w:szCs w:val="22"/>
        </w:rPr>
      </w:pPr>
      <w:r w:rsidRPr="008337E8">
        <w:rPr>
          <w:rFonts w:asciiTheme="majorHAnsi" w:hAnsiTheme="majorHAnsi" w:cs="Calibri"/>
          <w:b/>
          <w:sz w:val="22"/>
          <w:szCs w:val="22"/>
        </w:rPr>
        <w:t>Authors, year of publication, site</w:t>
      </w:r>
      <w:r w:rsidRPr="008337E8">
        <w:rPr>
          <w:rFonts w:asciiTheme="majorHAnsi" w:hAnsiTheme="majorHAnsi" w:cs="Calibri"/>
          <w:sz w:val="22"/>
          <w:szCs w:val="22"/>
        </w:rPr>
        <w:t xml:space="preserve"> – single-center prospective observational study, U Washington</w:t>
      </w:r>
    </w:p>
    <w:p w14:paraId="7827999C" w14:textId="77777777" w:rsidR="00533FF9" w:rsidRPr="008337E8" w:rsidRDefault="00533FF9" w:rsidP="00533FF9">
      <w:pPr>
        <w:pStyle w:val="EndNoteBibliography"/>
        <w:numPr>
          <w:ilvl w:val="0"/>
          <w:numId w:val="10"/>
        </w:numPr>
        <w:rPr>
          <w:rFonts w:asciiTheme="majorHAnsi" w:hAnsiTheme="majorHAnsi" w:cs="Times New Roman"/>
          <w:sz w:val="22"/>
          <w:szCs w:val="22"/>
        </w:rPr>
      </w:pPr>
      <w:r w:rsidRPr="008337E8">
        <w:rPr>
          <w:rFonts w:asciiTheme="majorHAnsi" w:hAnsiTheme="majorHAnsi" w:cs="Calibri"/>
          <w:b/>
          <w:sz w:val="22"/>
          <w:szCs w:val="22"/>
        </w:rPr>
        <w:t>Intervention type, duration</w:t>
      </w:r>
      <w:r w:rsidRPr="008337E8">
        <w:rPr>
          <w:rFonts w:asciiTheme="majorHAnsi" w:hAnsiTheme="majorHAnsi" w:cs="Calibri"/>
          <w:sz w:val="22"/>
          <w:szCs w:val="22"/>
        </w:rPr>
        <w:t xml:space="preserve"> – observation of metabolic changes after tourniquet release, 15 children (8 unilateral, 7 bilateral)</w:t>
      </w:r>
    </w:p>
    <w:p w14:paraId="223CDFD9" w14:textId="77777777" w:rsidR="00533FF9" w:rsidRPr="008337E8" w:rsidRDefault="00533FF9" w:rsidP="00533FF9">
      <w:pPr>
        <w:pStyle w:val="EndNoteBibliography"/>
        <w:numPr>
          <w:ilvl w:val="0"/>
          <w:numId w:val="10"/>
        </w:numPr>
        <w:rPr>
          <w:rFonts w:asciiTheme="majorHAnsi" w:hAnsiTheme="majorHAnsi" w:cs="Times New Roman"/>
          <w:sz w:val="22"/>
          <w:szCs w:val="22"/>
        </w:rPr>
      </w:pPr>
      <w:r w:rsidRPr="008337E8">
        <w:rPr>
          <w:rFonts w:asciiTheme="majorHAnsi" w:hAnsiTheme="majorHAnsi" w:cs="Calibri"/>
          <w:b/>
          <w:sz w:val="22"/>
          <w:szCs w:val="22"/>
        </w:rPr>
        <w:t>Study populations/settings</w:t>
      </w:r>
      <w:r w:rsidRPr="008337E8">
        <w:rPr>
          <w:rFonts w:asciiTheme="majorHAnsi" w:hAnsiTheme="majorHAnsi" w:cs="Calibri"/>
          <w:sz w:val="22"/>
          <w:szCs w:val="22"/>
        </w:rPr>
        <w:t xml:space="preserve"> – 6mo – 15 yr, elective orthopedic cases</w:t>
      </w:r>
    </w:p>
    <w:p w14:paraId="14644A26" w14:textId="77777777" w:rsidR="00533FF9" w:rsidRPr="008337E8" w:rsidRDefault="00533FF9" w:rsidP="00533FF9">
      <w:pPr>
        <w:pStyle w:val="EndNoteBibliography"/>
        <w:numPr>
          <w:ilvl w:val="0"/>
          <w:numId w:val="10"/>
        </w:numPr>
        <w:rPr>
          <w:rFonts w:asciiTheme="majorHAnsi" w:hAnsiTheme="majorHAnsi" w:cs="Times New Roman"/>
          <w:sz w:val="22"/>
          <w:szCs w:val="22"/>
        </w:rPr>
      </w:pPr>
      <w:r w:rsidRPr="008337E8">
        <w:rPr>
          <w:rFonts w:asciiTheme="majorHAnsi" w:hAnsiTheme="majorHAnsi" w:cs="Calibri"/>
          <w:b/>
          <w:sz w:val="22"/>
          <w:szCs w:val="22"/>
        </w:rPr>
        <w:t>Aims of study</w:t>
      </w:r>
      <w:r w:rsidRPr="008337E8">
        <w:rPr>
          <w:rFonts w:asciiTheme="majorHAnsi" w:hAnsiTheme="majorHAnsi" w:cs="Calibri"/>
          <w:sz w:val="22"/>
          <w:szCs w:val="22"/>
        </w:rPr>
        <w:t xml:space="preserve"> – document lactic acidosis as a function of tourniquet time, with physiologic compensation</w:t>
      </w:r>
    </w:p>
    <w:p w14:paraId="667D3DC3" w14:textId="77777777" w:rsidR="00533FF9" w:rsidRPr="008337E8" w:rsidRDefault="00533FF9" w:rsidP="00533FF9">
      <w:pPr>
        <w:pStyle w:val="EndNoteBibliography"/>
        <w:numPr>
          <w:ilvl w:val="0"/>
          <w:numId w:val="10"/>
        </w:numPr>
        <w:rPr>
          <w:rFonts w:asciiTheme="majorHAnsi" w:hAnsiTheme="majorHAnsi" w:cs="Times New Roman"/>
          <w:sz w:val="22"/>
          <w:szCs w:val="22"/>
        </w:rPr>
      </w:pPr>
      <w:r w:rsidRPr="008337E8">
        <w:rPr>
          <w:rFonts w:asciiTheme="majorHAnsi" w:hAnsiTheme="majorHAnsi" w:cs="Calibri"/>
          <w:b/>
          <w:sz w:val="22"/>
          <w:szCs w:val="22"/>
        </w:rPr>
        <w:t>Methodology</w:t>
      </w:r>
      <w:r w:rsidRPr="008337E8">
        <w:rPr>
          <w:rFonts w:asciiTheme="majorHAnsi" w:hAnsiTheme="majorHAnsi" w:cs="Calibri"/>
          <w:sz w:val="22"/>
          <w:szCs w:val="22"/>
        </w:rPr>
        <w:t xml:space="preserve"> – ABG with lactate and VS measured prior to deflation and at 1, 3, 5 and 10 min after deflation</w:t>
      </w:r>
    </w:p>
    <w:p w14:paraId="6DB75740" w14:textId="77777777" w:rsidR="00533FF9" w:rsidRPr="008337E8" w:rsidRDefault="00533FF9" w:rsidP="00533FF9">
      <w:pPr>
        <w:pStyle w:val="EndNoteBibliography"/>
        <w:numPr>
          <w:ilvl w:val="0"/>
          <w:numId w:val="10"/>
        </w:numPr>
        <w:rPr>
          <w:rFonts w:asciiTheme="majorHAnsi" w:hAnsiTheme="majorHAnsi" w:cs="Times New Roman"/>
          <w:b/>
          <w:sz w:val="22"/>
          <w:szCs w:val="22"/>
        </w:rPr>
      </w:pPr>
      <w:r w:rsidRPr="008337E8">
        <w:rPr>
          <w:rFonts w:asciiTheme="majorHAnsi" w:hAnsiTheme="majorHAnsi" w:cs="Calibri"/>
          <w:b/>
          <w:sz w:val="22"/>
          <w:szCs w:val="22"/>
        </w:rPr>
        <w:t xml:space="preserve">Outcomes </w:t>
      </w:r>
      <w:r w:rsidRPr="008337E8">
        <w:rPr>
          <w:rFonts w:asciiTheme="majorHAnsi" w:hAnsiTheme="majorHAnsi" w:cs="Calibri"/>
          <w:sz w:val="22"/>
          <w:szCs w:val="22"/>
        </w:rPr>
        <w:t>– BP decrease 8-10 mmHg, HR stable, linear increase in arterial lactate as a function of tourniquet time</w:t>
      </w:r>
    </w:p>
    <w:p w14:paraId="2D9B244B" w14:textId="77777777" w:rsidR="00533FF9" w:rsidRPr="008337E8" w:rsidRDefault="00533FF9" w:rsidP="00533FF9">
      <w:pPr>
        <w:pStyle w:val="EndNoteBibliography"/>
        <w:numPr>
          <w:ilvl w:val="0"/>
          <w:numId w:val="10"/>
        </w:numPr>
        <w:rPr>
          <w:rFonts w:asciiTheme="majorHAnsi" w:hAnsiTheme="majorHAnsi" w:cs="Times New Roman"/>
          <w:b/>
          <w:sz w:val="22"/>
          <w:szCs w:val="22"/>
        </w:rPr>
      </w:pPr>
      <w:r w:rsidRPr="008337E8">
        <w:rPr>
          <w:rFonts w:asciiTheme="majorHAnsi" w:hAnsiTheme="majorHAnsi" w:cs="Calibri"/>
          <w:b/>
          <w:sz w:val="22"/>
          <w:szCs w:val="22"/>
        </w:rPr>
        <w:t xml:space="preserve">Important results </w:t>
      </w:r>
      <w:r w:rsidRPr="008337E8">
        <w:rPr>
          <w:rFonts w:asciiTheme="majorHAnsi" w:hAnsiTheme="majorHAnsi" w:cs="Calibri"/>
          <w:sz w:val="22"/>
          <w:szCs w:val="22"/>
        </w:rPr>
        <w:t>– recommend controlled ventilation during tourniquet release to correct met acidosis, larger increases in lactate (&gt;1.5 mol/l) reported with tourniquet times &gt; 75 min, acidosis commonly takes &gt; 10 min to correct</w:t>
      </w:r>
    </w:p>
    <w:p w14:paraId="33CC1668" w14:textId="77777777" w:rsidR="00533FF9" w:rsidRPr="008337E8" w:rsidRDefault="00533FF9" w:rsidP="00533FF9">
      <w:pPr>
        <w:pStyle w:val="EndNoteBibliography"/>
        <w:numPr>
          <w:ilvl w:val="0"/>
          <w:numId w:val="10"/>
        </w:numPr>
        <w:rPr>
          <w:rFonts w:asciiTheme="majorHAnsi" w:hAnsiTheme="majorHAnsi" w:cs="Calibri"/>
          <w:b/>
          <w:sz w:val="22"/>
          <w:szCs w:val="22"/>
        </w:rPr>
      </w:pPr>
      <w:r w:rsidRPr="008337E8">
        <w:rPr>
          <w:rFonts w:asciiTheme="majorHAnsi" w:hAnsiTheme="majorHAnsi" w:cs="Calibri"/>
          <w:b/>
          <w:sz w:val="22"/>
          <w:szCs w:val="22"/>
        </w:rPr>
        <w:t>Critiques of the data</w:t>
      </w:r>
      <w:r w:rsidRPr="008337E8">
        <w:rPr>
          <w:rFonts w:asciiTheme="majorHAnsi" w:hAnsiTheme="majorHAnsi" w:cs="Calibri"/>
          <w:sz w:val="22"/>
          <w:szCs w:val="22"/>
        </w:rPr>
        <w:t xml:space="preserve"> – small sample, single institution, healthy subjects at baseline</w:t>
      </w:r>
    </w:p>
    <w:p w14:paraId="3784605C" w14:textId="77777777" w:rsidR="00533FF9" w:rsidRPr="008337E8" w:rsidRDefault="00533FF9" w:rsidP="00533FF9">
      <w:pPr>
        <w:pStyle w:val="EndNoteBibliography"/>
        <w:widowControl w:val="0"/>
        <w:autoSpaceDE w:val="0"/>
        <w:autoSpaceDN w:val="0"/>
        <w:adjustRightInd w:val="0"/>
        <w:ind w:left="720"/>
        <w:rPr>
          <w:rFonts w:asciiTheme="majorHAnsi" w:hAnsiTheme="majorHAnsi" w:cs="Times New Roman"/>
          <w:sz w:val="22"/>
          <w:szCs w:val="22"/>
        </w:rPr>
      </w:pPr>
    </w:p>
    <w:p w14:paraId="6C717552" w14:textId="77777777" w:rsidR="00533FF9" w:rsidRPr="008337E8" w:rsidRDefault="00533FF9" w:rsidP="00533FF9">
      <w:pPr>
        <w:pStyle w:val="EndNoteBibliography"/>
        <w:rPr>
          <w:rFonts w:asciiTheme="majorHAnsi" w:hAnsiTheme="majorHAnsi"/>
          <w:noProof/>
          <w:sz w:val="22"/>
          <w:szCs w:val="22"/>
        </w:rPr>
      </w:pPr>
      <w:r>
        <w:rPr>
          <w:rFonts w:asciiTheme="majorHAnsi" w:hAnsiTheme="majorHAnsi"/>
          <w:noProof/>
          <w:sz w:val="22"/>
          <w:szCs w:val="22"/>
        </w:rPr>
        <w:t xml:space="preserve">15)  </w:t>
      </w:r>
      <w:r w:rsidRPr="008337E8">
        <w:rPr>
          <w:rFonts w:asciiTheme="majorHAnsi" w:hAnsiTheme="majorHAnsi"/>
          <w:noProof/>
          <w:sz w:val="22"/>
          <w:szCs w:val="22"/>
        </w:rPr>
        <w:t xml:space="preserve">Reilly, C. W., McEwen, J. A., Leveille, L., Perdios, A., &amp; Mulpuri, K. (2009). Minimizing tourniquet pressure in pediatric anterior cruciate ligament reconstructive surgery: a blinded, prospective randomized controlled trial. </w:t>
      </w:r>
      <w:r w:rsidRPr="008337E8">
        <w:rPr>
          <w:rFonts w:asciiTheme="majorHAnsi" w:hAnsiTheme="majorHAnsi"/>
          <w:i/>
          <w:noProof/>
          <w:sz w:val="22"/>
          <w:szCs w:val="22"/>
        </w:rPr>
        <w:t>J Pediatr Orthop, 29</w:t>
      </w:r>
      <w:r w:rsidRPr="008337E8">
        <w:rPr>
          <w:rFonts w:asciiTheme="majorHAnsi" w:hAnsiTheme="majorHAnsi"/>
          <w:noProof/>
          <w:sz w:val="22"/>
          <w:szCs w:val="22"/>
        </w:rPr>
        <w:t xml:space="preserve">(3), 275-280. </w:t>
      </w:r>
    </w:p>
    <w:p w14:paraId="57AECB11" w14:textId="77777777" w:rsidR="00533FF9" w:rsidRPr="008337E8" w:rsidRDefault="00533FF9" w:rsidP="00533FF9">
      <w:pPr>
        <w:pStyle w:val="EndNoteBibliography"/>
        <w:ind w:left="720"/>
        <w:rPr>
          <w:rFonts w:asciiTheme="majorHAnsi" w:hAnsiTheme="majorHAnsi"/>
          <w:noProof/>
          <w:sz w:val="22"/>
          <w:szCs w:val="22"/>
        </w:rPr>
      </w:pPr>
    </w:p>
    <w:p w14:paraId="67B123D0" w14:textId="77777777" w:rsidR="00533FF9" w:rsidRPr="008337E8" w:rsidRDefault="00533FF9" w:rsidP="00533FF9">
      <w:pPr>
        <w:pStyle w:val="EndNoteBibliography"/>
        <w:widowControl w:val="0"/>
        <w:numPr>
          <w:ilvl w:val="0"/>
          <w:numId w:val="11"/>
        </w:numPr>
        <w:autoSpaceDE w:val="0"/>
        <w:autoSpaceDN w:val="0"/>
        <w:adjustRightInd w:val="0"/>
        <w:rPr>
          <w:rFonts w:asciiTheme="majorHAnsi" w:hAnsiTheme="majorHAnsi" w:cs="Times New Roman"/>
          <w:b/>
          <w:sz w:val="22"/>
          <w:szCs w:val="22"/>
        </w:rPr>
      </w:pPr>
      <w:r w:rsidRPr="008337E8">
        <w:rPr>
          <w:rFonts w:asciiTheme="majorHAnsi" w:hAnsiTheme="majorHAnsi" w:cs="Calibri"/>
          <w:b/>
          <w:sz w:val="22"/>
          <w:szCs w:val="22"/>
        </w:rPr>
        <w:t xml:space="preserve">Authors, year of publication, site </w:t>
      </w:r>
      <w:r w:rsidRPr="008337E8">
        <w:rPr>
          <w:rFonts w:asciiTheme="majorHAnsi" w:hAnsiTheme="majorHAnsi" w:cs="Calibri"/>
          <w:sz w:val="22"/>
          <w:szCs w:val="22"/>
        </w:rPr>
        <w:t>– single institution study at University of British Columbia</w:t>
      </w:r>
    </w:p>
    <w:p w14:paraId="11B7DE33" w14:textId="77777777" w:rsidR="00533FF9" w:rsidRPr="008337E8" w:rsidRDefault="00533FF9" w:rsidP="00533FF9">
      <w:pPr>
        <w:pStyle w:val="EndNoteBibliography"/>
        <w:numPr>
          <w:ilvl w:val="0"/>
          <w:numId w:val="11"/>
        </w:numPr>
        <w:rPr>
          <w:rFonts w:asciiTheme="majorHAnsi" w:hAnsiTheme="majorHAnsi" w:cs="Times New Roman"/>
          <w:b/>
          <w:sz w:val="22"/>
          <w:szCs w:val="22"/>
        </w:rPr>
      </w:pPr>
      <w:r w:rsidRPr="008337E8">
        <w:rPr>
          <w:rFonts w:asciiTheme="majorHAnsi" w:hAnsiTheme="majorHAnsi" w:cs="Calibri"/>
          <w:b/>
          <w:sz w:val="22"/>
          <w:szCs w:val="22"/>
        </w:rPr>
        <w:t>Intervention type, duration</w:t>
      </w:r>
      <w:r w:rsidRPr="008337E8">
        <w:rPr>
          <w:rFonts w:asciiTheme="majorHAnsi" w:hAnsiTheme="majorHAnsi" w:cs="Calibri"/>
          <w:sz w:val="22"/>
          <w:szCs w:val="22"/>
        </w:rPr>
        <w:t xml:space="preserve"> – prospective randomized controlled trial over 1 year</w:t>
      </w:r>
    </w:p>
    <w:p w14:paraId="55D3F2C3" w14:textId="77777777" w:rsidR="00533FF9" w:rsidRPr="008337E8" w:rsidRDefault="00533FF9" w:rsidP="00533FF9">
      <w:pPr>
        <w:pStyle w:val="EndNoteBibliography"/>
        <w:numPr>
          <w:ilvl w:val="0"/>
          <w:numId w:val="11"/>
        </w:numPr>
        <w:rPr>
          <w:rFonts w:asciiTheme="majorHAnsi" w:hAnsiTheme="majorHAnsi" w:cs="Times New Roman"/>
          <w:b/>
          <w:sz w:val="22"/>
          <w:szCs w:val="22"/>
        </w:rPr>
      </w:pPr>
      <w:r w:rsidRPr="008337E8">
        <w:rPr>
          <w:rFonts w:asciiTheme="majorHAnsi" w:hAnsiTheme="majorHAnsi" w:cs="Calibri"/>
          <w:b/>
          <w:sz w:val="22"/>
          <w:szCs w:val="22"/>
        </w:rPr>
        <w:t>Study populations/settings</w:t>
      </w:r>
      <w:r w:rsidRPr="008337E8">
        <w:rPr>
          <w:rFonts w:asciiTheme="majorHAnsi" w:hAnsiTheme="majorHAnsi" w:cs="Calibri"/>
          <w:sz w:val="22"/>
          <w:szCs w:val="22"/>
        </w:rPr>
        <w:t xml:space="preserve"> – 21 children, age 10-17y, elective orthopedic cases</w:t>
      </w:r>
    </w:p>
    <w:p w14:paraId="3F15116F" w14:textId="77777777" w:rsidR="00533FF9" w:rsidRPr="008337E8" w:rsidRDefault="00533FF9" w:rsidP="00533FF9">
      <w:pPr>
        <w:pStyle w:val="EndNoteBibliography"/>
        <w:numPr>
          <w:ilvl w:val="0"/>
          <w:numId w:val="11"/>
        </w:numPr>
        <w:rPr>
          <w:rFonts w:asciiTheme="majorHAnsi" w:hAnsiTheme="majorHAnsi" w:cs="Times New Roman"/>
          <w:b/>
          <w:sz w:val="22"/>
          <w:szCs w:val="22"/>
        </w:rPr>
      </w:pPr>
      <w:r w:rsidRPr="008337E8">
        <w:rPr>
          <w:rFonts w:asciiTheme="majorHAnsi" w:hAnsiTheme="majorHAnsi" w:cs="Calibri"/>
          <w:b/>
          <w:sz w:val="22"/>
          <w:szCs w:val="22"/>
        </w:rPr>
        <w:t>Aims of study</w:t>
      </w:r>
      <w:r w:rsidRPr="008337E8">
        <w:rPr>
          <w:rFonts w:asciiTheme="majorHAnsi" w:hAnsiTheme="majorHAnsi" w:cs="Calibri"/>
          <w:sz w:val="22"/>
          <w:szCs w:val="22"/>
        </w:rPr>
        <w:t xml:space="preserve"> – investigate use of limb occlusion pressure in wide tourniquets as alternative to standardized pressure, 300 mmHg</w:t>
      </w:r>
    </w:p>
    <w:p w14:paraId="264AAD10" w14:textId="77777777" w:rsidR="00533FF9" w:rsidRPr="008337E8" w:rsidRDefault="00533FF9" w:rsidP="00533FF9">
      <w:pPr>
        <w:pStyle w:val="EndNoteBibliography"/>
        <w:numPr>
          <w:ilvl w:val="0"/>
          <w:numId w:val="11"/>
        </w:numPr>
        <w:rPr>
          <w:rFonts w:asciiTheme="majorHAnsi" w:hAnsiTheme="majorHAnsi" w:cs="Times New Roman"/>
          <w:b/>
          <w:sz w:val="22"/>
          <w:szCs w:val="22"/>
        </w:rPr>
      </w:pPr>
      <w:r w:rsidRPr="008337E8">
        <w:rPr>
          <w:rFonts w:asciiTheme="majorHAnsi" w:hAnsiTheme="majorHAnsi" w:cs="Calibri"/>
          <w:b/>
          <w:sz w:val="22"/>
          <w:szCs w:val="22"/>
        </w:rPr>
        <w:t xml:space="preserve">Methodology </w:t>
      </w:r>
      <w:r w:rsidRPr="008337E8">
        <w:rPr>
          <w:rFonts w:asciiTheme="majorHAnsi" w:hAnsiTheme="majorHAnsi" w:cs="Calibri"/>
          <w:sz w:val="22"/>
          <w:szCs w:val="22"/>
        </w:rPr>
        <w:t>– ½ randomized to control (300 mmHg) and ½ randomized to limb occlusion pressure for ACL repairs. Then visual analog score of adequacy of surgical field and cuff pressures compared for control and protocol groups</w:t>
      </w:r>
    </w:p>
    <w:p w14:paraId="19DDFB35" w14:textId="77777777" w:rsidR="00533FF9" w:rsidRPr="008337E8" w:rsidRDefault="00533FF9" w:rsidP="00533FF9">
      <w:pPr>
        <w:pStyle w:val="EndNoteBibliography"/>
        <w:numPr>
          <w:ilvl w:val="0"/>
          <w:numId w:val="11"/>
        </w:numPr>
        <w:rPr>
          <w:rFonts w:asciiTheme="majorHAnsi" w:hAnsiTheme="majorHAnsi" w:cs="Times New Roman"/>
          <w:b/>
          <w:sz w:val="22"/>
          <w:szCs w:val="22"/>
        </w:rPr>
      </w:pPr>
      <w:r w:rsidRPr="008337E8">
        <w:rPr>
          <w:rFonts w:asciiTheme="majorHAnsi" w:hAnsiTheme="majorHAnsi" w:cs="Calibri"/>
          <w:b/>
          <w:sz w:val="22"/>
          <w:szCs w:val="22"/>
        </w:rPr>
        <w:t>Outcomes</w:t>
      </w:r>
      <w:r w:rsidRPr="008337E8">
        <w:rPr>
          <w:rFonts w:asciiTheme="majorHAnsi" w:hAnsiTheme="majorHAnsi" w:cs="Calibri"/>
          <w:sz w:val="22"/>
          <w:szCs w:val="22"/>
        </w:rPr>
        <w:t xml:space="preserve"> – measurement of limb occlusion pressure with wider cuff allowed for effective cuff pressure of 150 mmHg compared to 300 mmHg without significant difference in halt of blood flow</w:t>
      </w:r>
    </w:p>
    <w:p w14:paraId="73FAE329" w14:textId="77777777" w:rsidR="00533FF9" w:rsidRPr="008337E8" w:rsidRDefault="00533FF9" w:rsidP="00533FF9">
      <w:pPr>
        <w:pStyle w:val="EndNoteBibliography"/>
        <w:numPr>
          <w:ilvl w:val="0"/>
          <w:numId w:val="11"/>
        </w:numPr>
        <w:rPr>
          <w:rFonts w:asciiTheme="majorHAnsi" w:hAnsiTheme="majorHAnsi" w:cs="Times New Roman"/>
          <w:b/>
          <w:sz w:val="22"/>
          <w:szCs w:val="22"/>
        </w:rPr>
      </w:pPr>
      <w:r w:rsidRPr="008337E8">
        <w:rPr>
          <w:rFonts w:asciiTheme="majorHAnsi" w:hAnsiTheme="majorHAnsi" w:cs="Calibri"/>
          <w:b/>
          <w:sz w:val="22"/>
          <w:szCs w:val="22"/>
        </w:rPr>
        <w:t xml:space="preserve">Important results </w:t>
      </w:r>
      <w:r w:rsidRPr="008337E8">
        <w:rPr>
          <w:rFonts w:asciiTheme="majorHAnsi" w:hAnsiTheme="majorHAnsi" w:cs="Times New Roman"/>
          <w:b/>
          <w:sz w:val="22"/>
          <w:szCs w:val="22"/>
        </w:rPr>
        <w:t xml:space="preserve">– </w:t>
      </w:r>
      <w:r w:rsidRPr="008337E8">
        <w:rPr>
          <w:rFonts w:asciiTheme="majorHAnsi" w:hAnsiTheme="majorHAnsi" w:cs="Times New Roman"/>
          <w:sz w:val="22"/>
          <w:szCs w:val="22"/>
        </w:rPr>
        <w:t>table of recommendations for pediatric tourniquet use in the elective setting: Esmarch exsanguination, use limb occlusion pressure + safety margin (based on SBP), use wide cuff, skin protectant sleeve, minimize tourniquet time</w:t>
      </w:r>
    </w:p>
    <w:p w14:paraId="7AE9A3F6" w14:textId="77777777" w:rsidR="00533FF9" w:rsidRPr="008337E8" w:rsidRDefault="00533FF9" w:rsidP="00533FF9">
      <w:pPr>
        <w:pStyle w:val="EndNoteBibliography"/>
        <w:numPr>
          <w:ilvl w:val="0"/>
          <w:numId w:val="11"/>
        </w:numPr>
        <w:rPr>
          <w:rFonts w:asciiTheme="majorHAnsi" w:hAnsiTheme="majorHAnsi" w:cs="Calibri"/>
          <w:b/>
          <w:sz w:val="22"/>
          <w:szCs w:val="22"/>
        </w:rPr>
      </w:pPr>
      <w:r w:rsidRPr="008337E8">
        <w:rPr>
          <w:rFonts w:asciiTheme="majorHAnsi" w:hAnsiTheme="majorHAnsi" w:cs="Calibri"/>
          <w:b/>
          <w:sz w:val="22"/>
          <w:szCs w:val="22"/>
        </w:rPr>
        <w:t xml:space="preserve">Critiques of the data </w:t>
      </w:r>
      <w:r w:rsidRPr="008337E8">
        <w:rPr>
          <w:rFonts w:asciiTheme="majorHAnsi" w:hAnsiTheme="majorHAnsi" w:cs="Calibri"/>
          <w:sz w:val="22"/>
          <w:szCs w:val="22"/>
        </w:rPr>
        <w:t>– poor evidence that lower tourniquet pressure is safer or offers benefits, did not meet self-defined sample size to achieve desired power</w:t>
      </w:r>
    </w:p>
    <w:p w14:paraId="70440F2C" w14:textId="77777777" w:rsidR="00533FF9" w:rsidRPr="008337E8" w:rsidRDefault="00533FF9" w:rsidP="00533FF9">
      <w:pPr>
        <w:rPr>
          <w:rFonts w:asciiTheme="majorHAnsi" w:hAnsiTheme="majorHAnsi" w:cs="Calibri"/>
          <w:sz w:val="22"/>
          <w:szCs w:val="22"/>
        </w:rPr>
      </w:pPr>
    </w:p>
    <w:p w14:paraId="7E070018" w14:textId="77777777" w:rsidR="00533FF9" w:rsidRPr="008337E8" w:rsidRDefault="00533FF9" w:rsidP="00533FF9">
      <w:pPr>
        <w:pStyle w:val="EndNoteBibliography"/>
        <w:rPr>
          <w:rFonts w:asciiTheme="majorHAnsi" w:hAnsiTheme="majorHAnsi"/>
          <w:noProof/>
          <w:sz w:val="22"/>
          <w:szCs w:val="22"/>
        </w:rPr>
      </w:pPr>
      <w:r>
        <w:rPr>
          <w:rFonts w:asciiTheme="majorHAnsi" w:hAnsiTheme="majorHAnsi"/>
          <w:noProof/>
          <w:sz w:val="22"/>
          <w:szCs w:val="22"/>
        </w:rPr>
        <w:t xml:space="preserve">16)  </w:t>
      </w:r>
      <w:r w:rsidRPr="008337E8">
        <w:rPr>
          <w:rFonts w:asciiTheme="majorHAnsi" w:hAnsiTheme="majorHAnsi"/>
          <w:noProof/>
          <w:sz w:val="22"/>
          <w:szCs w:val="22"/>
        </w:rPr>
        <w:t xml:space="preserve">Sokol, K. K., Black, G. E., Azarow, K. S., Long, W., Martin, M. J., &amp; Eckert, M. J. (2015). Prehospital interventions in severely injured pediatric patients: Rethinking the ABCs. </w:t>
      </w:r>
      <w:r w:rsidRPr="008337E8">
        <w:rPr>
          <w:rFonts w:asciiTheme="majorHAnsi" w:hAnsiTheme="majorHAnsi"/>
          <w:i/>
          <w:noProof/>
          <w:sz w:val="22"/>
          <w:szCs w:val="22"/>
        </w:rPr>
        <w:t>J Trauma Acute Care Surg, 79</w:t>
      </w:r>
      <w:r w:rsidRPr="008337E8">
        <w:rPr>
          <w:rFonts w:asciiTheme="majorHAnsi" w:hAnsiTheme="majorHAnsi"/>
          <w:noProof/>
          <w:sz w:val="22"/>
          <w:szCs w:val="22"/>
        </w:rPr>
        <w:t>(6), 983-989; discussion 989-990.</w:t>
      </w:r>
    </w:p>
    <w:p w14:paraId="6D9B9552" w14:textId="77777777" w:rsidR="00533FF9" w:rsidRPr="008337E8" w:rsidRDefault="00533FF9" w:rsidP="00533FF9">
      <w:pPr>
        <w:pStyle w:val="EndNoteBibliography"/>
        <w:ind w:left="720"/>
        <w:rPr>
          <w:rFonts w:asciiTheme="majorHAnsi" w:hAnsiTheme="majorHAnsi"/>
          <w:noProof/>
          <w:sz w:val="22"/>
          <w:szCs w:val="22"/>
        </w:rPr>
      </w:pPr>
    </w:p>
    <w:p w14:paraId="04BC6DB1" w14:textId="77777777" w:rsidR="00533FF9" w:rsidRPr="008337E8" w:rsidRDefault="00533FF9" w:rsidP="00533FF9">
      <w:pPr>
        <w:pStyle w:val="EndNoteBibliography"/>
        <w:widowControl w:val="0"/>
        <w:numPr>
          <w:ilvl w:val="0"/>
          <w:numId w:val="12"/>
        </w:numPr>
        <w:autoSpaceDE w:val="0"/>
        <w:autoSpaceDN w:val="0"/>
        <w:adjustRightInd w:val="0"/>
        <w:rPr>
          <w:rFonts w:asciiTheme="majorHAnsi" w:hAnsiTheme="majorHAnsi" w:cs="Times New Roman"/>
          <w:b/>
          <w:sz w:val="22"/>
          <w:szCs w:val="22"/>
        </w:rPr>
      </w:pPr>
      <w:r w:rsidRPr="008337E8">
        <w:rPr>
          <w:rFonts w:asciiTheme="majorHAnsi" w:hAnsiTheme="majorHAnsi" w:cs="Calibri"/>
          <w:b/>
          <w:sz w:val="22"/>
          <w:szCs w:val="22"/>
        </w:rPr>
        <w:t xml:space="preserve">Authors, year of publication, site </w:t>
      </w:r>
      <w:r w:rsidRPr="008337E8">
        <w:rPr>
          <w:rFonts w:asciiTheme="majorHAnsi" w:hAnsiTheme="majorHAnsi" w:cs="Calibri"/>
          <w:sz w:val="22"/>
          <w:szCs w:val="22"/>
        </w:rPr>
        <w:t>– single institution retrospective review of military base in Afghanistan performed by clinicians now operating out of PNW</w:t>
      </w:r>
    </w:p>
    <w:p w14:paraId="4BC8DF5D" w14:textId="77777777" w:rsidR="00533FF9" w:rsidRPr="008337E8" w:rsidRDefault="00533FF9" w:rsidP="00533FF9">
      <w:pPr>
        <w:pStyle w:val="EndNoteBibliography"/>
        <w:numPr>
          <w:ilvl w:val="0"/>
          <w:numId w:val="12"/>
        </w:numPr>
        <w:rPr>
          <w:rFonts w:asciiTheme="majorHAnsi" w:hAnsiTheme="majorHAnsi" w:cs="Times New Roman"/>
          <w:b/>
          <w:sz w:val="22"/>
          <w:szCs w:val="22"/>
        </w:rPr>
      </w:pPr>
      <w:r w:rsidRPr="008337E8">
        <w:rPr>
          <w:rFonts w:asciiTheme="majorHAnsi" w:hAnsiTheme="majorHAnsi" w:cs="Calibri"/>
          <w:b/>
          <w:sz w:val="22"/>
          <w:szCs w:val="22"/>
        </w:rPr>
        <w:t>Intervention type, duration</w:t>
      </w:r>
      <w:r w:rsidRPr="008337E8">
        <w:rPr>
          <w:rFonts w:asciiTheme="majorHAnsi" w:hAnsiTheme="majorHAnsi" w:cs="Calibri"/>
          <w:sz w:val="22"/>
          <w:szCs w:val="22"/>
        </w:rPr>
        <w:t xml:space="preserve"> – retrospective review of DoD trauma registry of pediatric interventions performed at Camp Bastion from 2004-2012</w:t>
      </w:r>
    </w:p>
    <w:p w14:paraId="742DD83C" w14:textId="77777777" w:rsidR="00533FF9" w:rsidRPr="008337E8" w:rsidRDefault="00533FF9" w:rsidP="00533FF9">
      <w:pPr>
        <w:pStyle w:val="EndNoteBibliography"/>
        <w:numPr>
          <w:ilvl w:val="0"/>
          <w:numId w:val="12"/>
        </w:numPr>
        <w:rPr>
          <w:rFonts w:asciiTheme="majorHAnsi" w:hAnsiTheme="majorHAnsi" w:cs="Times New Roman"/>
          <w:b/>
          <w:sz w:val="22"/>
          <w:szCs w:val="22"/>
        </w:rPr>
      </w:pPr>
      <w:r w:rsidRPr="008337E8">
        <w:rPr>
          <w:rFonts w:asciiTheme="majorHAnsi" w:hAnsiTheme="majorHAnsi" w:cs="Calibri"/>
          <w:b/>
          <w:sz w:val="22"/>
          <w:szCs w:val="22"/>
        </w:rPr>
        <w:t xml:space="preserve">Study populations/settings </w:t>
      </w:r>
      <w:r w:rsidRPr="008337E8">
        <w:rPr>
          <w:rFonts w:asciiTheme="majorHAnsi" w:hAnsiTheme="majorHAnsi" w:cs="Calibri"/>
          <w:sz w:val="22"/>
          <w:szCs w:val="22"/>
        </w:rPr>
        <w:t xml:space="preserve"> -- pediatric (age &lt; 18y) trauma patients, Afghanistan </w:t>
      </w:r>
    </w:p>
    <w:p w14:paraId="1DCD73C1" w14:textId="77777777" w:rsidR="00533FF9" w:rsidRPr="008337E8" w:rsidRDefault="00533FF9" w:rsidP="00533FF9">
      <w:pPr>
        <w:pStyle w:val="EndNoteBibliography"/>
        <w:numPr>
          <w:ilvl w:val="0"/>
          <w:numId w:val="12"/>
        </w:numPr>
        <w:rPr>
          <w:rFonts w:asciiTheme="majorHAnsi" w:hAnsiTheme="majorHAnsi" w:cs="Times New Roman"/>
          <w:b/>
          <w:sz w:val="22"/>
          <w:szCs w:val="22"/>
        </w:rPr>
      </w:pPr>
      <w:r w:rsidRPr="008337E8">
        <w:rPr>
          <w:rFonts w:asciiTheme="majorHAnsi" w:hAnsiTheme="majorHAnsi" w:cs="Calibri"/>
          <w:b/>
          <w:sz w:val="22"/>
          <w:szCs w:val="22"/>
        </w:rPr>
        <w:t xml:space="preserve">Aims of study </w:t>
      </w:r>
      <w:r w:rsidRPr="008337E8">
        <w:rPr>
          <w:rFonts w:asciiTheme="majorHAnsi" w:hAnsiTheme="majorHAnsi" w:cs="Calibri"/>
          <w:sz w:val="22"/>
          <w:szCs w:val="22"/>
        </w:rPr>
        <w:t>– define epidemiology and outcomes related to pre-hospital interventions for problems associated with ABCs</w:t>
      </w:r>
    </w:p>
    <w:p w14:paraId="6DDE73A0" w14:textId="77777777" w:rsidR="00533FF9" w:rsidRPr="008337E8" w:rsidRDefault="00533FF9" w:rsidP="00533FF9">
      <w:pPr>
        <w:pStyle w:val="EndNoteBibliography"/>
        <w:numPr>
          <w:ilvl w:val="0"/>
          <w:numId w:val="12"/>
        </w:numPr>
        <w:rPr>
          <w:rFonts w:asciiTheme="majorHAnsi" w:hAnsiTheme="majorHAnsi" w:cs="Times New Roman"/>
          <w:b/>
          <w:sz w:val="22"/>
          <w:szCs w:val="22"/>
        </w:rPr>
      </w:pPr>
      <w:r w:rsidRPr="008337E8">
        <w:rPr>
          <w:rFonts w:asciiTheme="majorHAnsi" w:hAnsiTheme="majorHAnsi" w:cs="Calibri"/>
          <w:b/>
          <w:sz w:val="22"/>
          <w:szCs w:val="22"/>
        </w:rPr>
        <w:t xml:space="preserve">Methodology </w:t>
      </w:r>
      <w:r w:rsidRPr="008337E8">
        <w:rPr>
          <w:rFonts w:asciiTheme="majorHAnsi" w:hAnsiTheme="majorHAnsi" w:cs="Calibri"/>
          <w:sz w:val="22"/>
          <w:szCs w:val="22"/>
        </w:rPr>
        <w:t>– reviewed 766 pediatric trauma patients over 8 years, sorted by pre-hospital interventions, measured VS, basic lab values, resuscitation required and mortality</w:t>
      </w:r>
    </w:p>
    <w:p w14:paraId="0A06AA07" w14:textId="77777777" w:rsidR="00533FF9" w:rsidRPr="008337E8" w:rsidRDefault="00533FF9" w:rsidP="00533FF9">
      <w:pPr>
        <w:pStyle w:val="EndNoteBibliography"/>
        <w:numPr>
          <w:ilvl w:val="0"/>
          <w:numId w:val="12"/>
        </w:numPr>
        <w:rPr>
          <w:rFonts w:asciiTheme="majorHAnsi" w:hAnsiTheme="majorHAnsi" w:cs="Times New Roman"/>
          <w:b/>
          <w:sz w:val="22"/>
          <w:szCs w:val="22"/>
        </w:rPr>
      </w:pPr>
      <w:r w:rsidRPr="008337E8">
        <w:rPr>
          <w:rFonts w:asciiTheme="majorHAnsi" w:hAnsiTheme="majorHAnsi" w:cs="Calibri"/>
          <w:b/>
          <w:sz w:val="22"/>
          <w:szCs w:val="22"/>
        </w:rPr>
        <w:t xml:space="preserve">Outcomes </w:t>
      </w:r>
      <w:r w:rsidRPr="008337E8">
        <w:rPr>
          <w:rFonts w:asciiTheme="majorHAnsi" w:hAnsiTheme="majorHAnsi" w:cs="Calibri"/>
          <w:sz w:val="22"/>
          <w:szCs w:val="22"/>
        </w:rPr>
        <w:t>– reduction of PRBCs (4.7U vs 15U) and IVF (0.7L vs 3.0L) used for resuscitation in subjects where a tourniquet/hemostatic dressing was employed. No statistical significance in mortality although trend towards decrease with tourniquets</w:t>
      </w:r>
    </w:p>
    <w:p w14:paraId="3CB58D69" w14:textId="77777777" w:rsidR="00533FF9" w:rsidRPr="008337E8" w:rsidRDefault="00533FF9" w:rsidP="00533FF9">
      <w:pPr>
        <w:pStyle w:val="EndNoteBibliography"/>
        <w:numPr>
          <w:ilvl w:val="0"/>
          <w:numId w:val="12"/>
        </w:numPr>
        <w:rPr>
          <w:rFonts w:asciiTheme="majorHAnsi" w:hAnsiTheme="majorHAnsi" w:cs="Times New Roman"/>
          <w:b/>
          <w:sz w:val="22"/>
          <w:szCs w:val="22"/>
        </w:rPr>
      </w:pPr>
      <w:r w:rsidRPr="008337E8">
        <w:rPr>
          <w:rFonts w:asciiTheme="majorHAnsi" w:hAnsiTheme="majorHAnsi" w:cs="Calibri"/>
          <w:b/>
          <w:sz w:val="22"/>
          <w:szCs w:val="22"/>
        </w:rPr>
        <w:t xml:space="preserve">Important results </w:t>
      </w:r>
      <w:r w:rsidRPr="008337E8">
        <w:rPr>
          <w:rFonts w:asciiTheme="majorHAnsi" w:hAnsiTheme="majorHAnsi" w:cs="Calibri"/>
          <w:sz w:val="22"/>
          <w:szCs w:val="22"/>
        </w:rPr>
        <w:t>– tourniquet use can dramatically decrease resuscitation fluid requirements and trend towards decreasing mortality in pediatric population</w:t>
      </w:r>
    </w:p>
    <w:p w14:paraId="1BFEB7D5" w14:textId="77777777" w:rsidR="00533FF9" w:rsidRPr="008337E8" w:rsidRDefault="00533FF9" w:rsidP="00533FF9">
      <w:pPr>
        <w:pStyle w:val="EndNoteBibliography"/>
        <w:numPr>
          <w:ilvl w:val="0"/>
          <w:numId w:val="12"/>
        </w:numPr>
        <w:rPr>
          <w:rFonts w:asciiTheme="majorHAnsi" w:hAnsiTheme="majorHAnsi" w:cs="Calibri"/>
          <w:b/>
          <w:sz w:val="22"/>
          <w:szCs w:val="22"/>
        </w:rPr>
      </w:pPr>
      <w:r w:rsidRPr="008337E8">
        <w:rPr>
          <w:rFonts w:asciiTheme="majorHAnsi" w:hAnsiTheme="majorHAnsi" w:cs="Calibri"/>
          <w:b/>
          <w:sz w:val="22"/>
          <w:szCs w:val="22"/>
        </w:rPr>
        <w:t xml:space="preserve">Critiques of the data </w:t>
      </w:r>
      <w:r w:rsidRPr="008337E8">
        <w:rPr>
          <w:rFonts w:asciiTheme="majorHAnsi" w:hAnsiTheme="majorHAnsi" w:cs="Calibri"/>
          <w:sz w:val="22"/>
          <w:szCs w:val="22"/>
        </w:rPr>
        <w:t>– single institution, retrospective, 38% of tourniquets/hemostatic dressing without documented injury, only 66% of patients with indication received intervention</w:t>
      </w:r>
    </w:p>
    <w:p w14:paraId="2EBB4C85" w14:textId="77777777" w:rsidR="00533FF9" w:rsidRPr="008337E8" w:rsidRDefault="00533FF9" w:rsidP="00533FF9">
      <w:pPr>
        <w:rPr>
          <w:rFonts w:asciiTheme="majorHAnsi" w:hAnsiTheme="majorHAnsi" w:cs="Calibri"/>
          <w:sz w:val="22"/>
          <w:szCs w:val="22"/>
        </w:rPr>
      </w:pPr>
    </w:p>
    <w:p w14:paraId="627357DE" w14:textId="77777777" w:rsidR="00533FF9" w:rsidRPr="008337E8" w:rsidRDefault="00533FF9" w:rsidP="00533FF9">
      <w:pPr>
        <w:pStyle w:val="EndNoteBibliography"/>
        <w:rPr>
          <w:rFonts w:asciiTheme="majorHAnsi" w:hAnsiTheme="majorHAnsi"/>
          <w:noProof/>
          <w:sz w:val="22"/>
          <w:szCs w:val="22"/>
        </w:rPr>
      </w:pPr>
      <w:r>
        <w:rPr>
          <w:rFonts w:asciiTheme="majorHAnsi" w:hAnsiTheme="majorHAnsi"/>
          <w:noProof/>
          <w:sz w:val="22"/>
          <w:szCs w:val="22"/>
        </w:rPr>
        <w:t xml:space="preserve">17)  </w:t>
      </w:r>
      <w:r w:rsidRPr="008337E8">
        <w:rPr>
          <w:rFonts w:asciiTheme="majorHAnsi" w:hAnsiTheme="majorHAnsi"/>
          <w:noProof/>
          <w:sz w:val="22"/>
          <w:szCs w:val="22"/>
        </w:rPr>
        <w:t xml:space="preserve">Tredwell, S. J., Wilmink, M., Inkpen, K., &amp; McEwen, J. A. (2001). Pediatric tourniquets: analysis of cuff and limb interface, current practice, and guidelines for use. </w:t>
      </w:r>
      <w:r w:rsidRPr="008337E8">
        <w:rPr>
          <w:rFonts w:asciiTheme="majorHAnsi" w:hAnsiTheme="majorHAnsi"/>
          <w:i/>
          <w:noProof/>
          <w:sz w:val="22"/>
          <w:szCs w:val="22"/>
        </w:rPr>
        <w:t>J Pediatr Orthop, 21</w:t>
      </w:r>
      <w:r w:rsidRPr="008337E8">
        <w:rPr>
          <w:rFonts w:asciiTheme="majorHAnsi" w:hAnsiTheme="majorHAnsi"/>
          <w:noProof/>
          <w:sz w:val="22"/>
          <w:szCs w:val="22"/>
        </w:rPr>
        <w:t xml:space="preserve">(5), 671-676. </w:t>
      </w:r>
    </w:p>
    <w:p w14:paraId="7DFEB969" w14:textId="77777777" w:rsidR="00533FF9" w:rsidRPr="008337E8" w:rsidRDefault="00533FF9" w:rsidP="00533FF9">
      <w:pPr>
        <w:pStyle w:val="EndNoteBibliography"/>
        <w:rPr>
          <w:rFonts w:asciiTheme="majorHAnsi" w:hAnsiTheme="majorHAnsi"/>
          <w:noProof/>
          <w:sz w:val="22"/>
          <w:szCs w:val="22"/>
        </w:rPr>
      </w:pPr>
    </w:p>
    <w:p w14:paraId="301BE236" w14:textId="77777777" w:rsidR="00533FF9" w:rsidRPr="008337E8" w:rsidRDefault="00533FF9" w:rsidP="00533FF9">
      <w:pPr>
        <w:pStyle w:val="EndNoteBibliography"/>
        <w:widowControl w:val="0"/>
        <w:numPr>
          <w:ilvl w:val="0"/>
          <w:numId w:val="13"/>
        </w:numPr>
        <w:autoSpaceDE w:val="0"/>
        <w:autoSpaceDN w:val="0"/>
        <w:adjustRightInd w:val="0"/>
        <w:rPr>
          <w:rFonts w:asciiTheme="majorHAnsi" w:hAnsiTheme="majorHAnsi" w:cs="Times New Roman"/>
          <w:b/>
          <w:sz w:val="22"/>
          <w:szCs w:val="22"/>
        </w:rPr>
      </w:pPr>
      <w:r w:rsidRPr="008337E8">
        <w:rPr>
          <w:rFonts w:asciiTheme="majorHAnsi" w:hAnsiTheme="majorHAnsi" w:cs="Calibri"/>
          <w:b/>
          <w:sz w:val="22"/>
          <w:szCs w:val="22"/>
        </w:rPr>
        <w:t xml:space="preserve">Authors, year of publication, site </w:t>
      </w:r>
      <w:r w:rsidRPr="008337E8">
        <w:rPr>
          <w:rFonts w:asciiTheme="majorHAnsi" w:hAnsiTheme="majorHAnsi" w:cs="Calibri"/>
          <w:sz w:val="22"/>
          <w:szCs w:val="22"/>
        </w:rPr>
        <w:t>– University of British Columbia, North American survey</w:t>
      </w:r>
    </w:p>
    <w:p w14:paraId="38C20F34" w14:textId="77777777" w:rsidR="00533FF9" w:rsidRPr="008337E8" w:rsidRDefault="00533FF9" w:rsidP="00533FF9">
      <w:pPr>
        <w:pStyle w:val="EndNoteBibliography"/>
        <w:numPr>
          <w:ilvl w:val="0"/>
          <w:numId w:val="13"/>
        </w:numPr>
        <w:rPr>
          <w:rFonts w:asciiTheme="majorHAnsi" w:hAnsiTheme="majorHAnsi" w:cs="Times New Roman"/>
          <w:b/>
          <w:sz w:val="22"/>
          <w:szCs w:val="22"/>
        </w:rPr>
      </w:pPr>
      <w:r w:rsidRPr="008337E8">
        <w:rPr>
          <w:rFonts w:asciiTheme="majorHAnsi" w:hAnsiTheme="majorHAnsi" w:cs="Calibri"/>
          <w:b/>
          <w:sz w:val="22"/>
          <w:szCs w:val="22"/>
        </w:rPr>
        <w:t xml:space="preserve">Intervention type, duration </w:t>
      </w:r>
      <w:r w:rsidRPr="008337E8">
        <w:rPr>
          <w:rFonts w:asciiTheme="majorHAnsi" w:hAnsiTheme="majorHAnsi" w:cs="Calibri"/>
          <w:sz w:val="22"/>
          <w:szCs w:val="22"/>
        </w:rPr>
        <w:t>– review of literature, survey of US/Canadian pediatric surgeons, clinical model of skin wrinkling with tourniquet, clay used</w:t>
      </w:r>
    </w:p>
    <w:p w14:paraId="07CE12B7" w14:textId="77777777" w:rsidR="00533FF9" w:rsidRPr="008337E8" w:rsidRDefault="00533FF9" w:rsidP="00533FF9">
      <w:pPr>
        <w:pStyle w:val="EndNoteBibliography"/>
        <w:numPr>
          <w:ilvl w:val="0"/>
          <w:numId w:val="13"/>
        </w:numPr>
        <w:rPr>
          <w:rFonts w:asciiTheme="majorHAnsi" w:hAnsiTheme="majorHAnsi" w:cs="Times New Roman"/>
          <w:b/>
          <w:sz w:val="22"/>
          <w:szCs w:val="22"/>
        </w:rPr>
      </w:pPr>
      <w:r w:rsidRPr="008337E8">
        <w:rPr>
          <w:rFonts w:asciiTheme="majorHAnsi" w:hAnsiTheme="majorHAnsi" w:cs="Calibri"/>
          <w:b/>
          <w:sz w:val="22"/>
          <w:szCs w:val="22"/>
        </w:rPr>
        <w:t xml:space="preserve">Study populations/settings </w:t>
      </w:r>
      <w:r w:rsidRPr="008337E8">
        <w:rPr>
          <w:rFonts w:asciiTheme="majorHAnsi" w:hAnsiTheme="majorHAnsi" w:cs="Calibri"/>
          <w:sz w:val="22"/>
          <w:szCs w:val="22"/>
        </w:rPr>
        <w:t>– questionnaire sent to pediatric orthopedic surgeons in North America</w:t>
      </w:r>
    </w:p>
    <w:p w14:paraId="07B09B46" w14:textId="77777777" w:rsidR="00533FF9" w:rsidRPr="008337E8" w:rsidRDefault="00533FF9" w:rsidP="00533FF9">
      <w:pPr>
        <w:pStyle w:val="EndNoteBibliography"/>
        <w:numPr>
          <w:ilvl w:val="0"/>
          <w:numId w:val="13"/>
        </w:numPr>
        <w:rPr>
          <w:rFonts w:asciiTheme="majorHAnsi" w:hAnsiTheme="majorHAnsi" w:cs="Times New Roman"/>
          <w:b/>
          <w:sz w:val="22"/>
          <w:szCs w:val="22"/>
        </w:rPr>
      </w:pPr>
      <w:r w:rsidRPr="008337E8">
        <w:rPr>
          <w:rFonts w:asciiTheme="majorHAnsi" w:hAnsiTheme="majorHAnsi" w:cs="Calibri"/>
          <w:b/>
          <w:sz w:val="22"/>
          <w:szCs w:val="22"/>
        </w:rPr>
        <w:t>Aims of study</w:t>
      </w:r>
      <w:r w:rsidRPr="008337E8">
        <w:rPr>
          <w:rFonts w:asciiTheme="majorHAnsi" w:hAnsiTheme="majorHAnsi" w:cs="Calibri"/>
          <w:sz w:val="22"/>
          <w:szCs w:val="22"/>
        </w:rPr>
        <w:t xml:space="preserve"> – determine current clinical practice of pediatric tourniquet use, define most common complications, develop practice guideline to reduce cutaneous complications</w:t>
      </w:r>
    </w:p>
    <w:p w14:paraId="1D418707" w14:textId="77777777" w:rsidR="00533FF9" w:rsidRPr="008337E8" w:rsidRDefault="00533FF9" w:rsidP="00533FF9">
      <w:pPr>
        <w:pStyle w:val="EndNoteBibliography"/>
        <w:numPr>
          <w:ilvl w:val="0"/>
          <w:numId w:val="13"/>
        </w:numPr>
        <w:rPr>
          <w:rFonts w:asciiTheme="majorHAnsi" w:hAnsiTheme="majorHAnsi" w:cs="Times New Roman"/>
          <w:b/>
          <w:sz w:val="22"/>
          <w:szCs w:val="22"/>
        </w:rPr>
      </w:pPr>
      <w:r w:rsidRPr="008337E8">
        <w:rPr>
          <w:rFonts w:asciiTheme="majorHAnsi" w:hAnsiTheme="majorHAnsi" w:cs="Calibri"/>
          <w:b/>
          <w:sz w:val="22"/>
          <w:szCs w:val="22"/>
        </w:rPr>
        <w:t xml:space="preserve">Methodology </w:t>
      </w:r>
      <w:r w:rsidRPr="008337E8">
        <w:rPr>
          <w:rFonts w:asciiTheme="majorHAnsi" w:hAnsiTheme="majorHAnsi" w:cs="Calibri"/>
          <w:sz w:val="22"/>
          <w:szCs w:val="22"/>
        </w:rPr>
        <w:t>– survey of tourniquet use, brand, underlying protective device, method for determining cuff pressure, complications experienced (blood in surgical field, soft tissue, nerve, muscle)</w:t>
      </w:r>
    </w:p>
    <w:p w14:paraId="75E5CCAA" w14:textId="77777777" w:rsidR="00533FF9" w:rsidRPr="008337E8" w:rsidRDefault="00533FF9" w:rsidP="00533FF9">
      <w:pPr>
        <w:pStyle w:val="EndNoteBibliography"/>
        <w:numPr>
          <w:ilvl w:val="0"/>
          <w:numId w:val="13"/>
        </w:numPr>
        <w:rPr>
          <w:rFonts w:asciiTheme="majorHAnsi" w:hAnsiTheme="majorHAnsi" w:cs="Times New Roman"/>
          <w:b/>
          <w:sz w:val="22"/>
          <w:szCs w:val="22"/>
        </w:rPr>
      </w:pPr>
      <w:r w:rsidRPr="008337E8">
        <w:rPr>
          <w:rFonts w:asciiTheme="majorHAnsi" w:hAnsiTheme="majorHAnsi" w:cs="Calibri"/>
          <w:b/>
          <w:sz w:val="22"/>
          <w:szCs w:val="22"/>
        </w:rPr>
        <w:t>Outcomes</w:t>
      </w:r>
      <w:r w:rsidRPr="008337E8">
        <w:rPr>
          <w:rFonts w:asciiTheme="majorHAnsi" w:hAnsiTheme="majorHAnsi" w:cs="Calibri"/>
          <w:sz w:val="22"/>
          <w:szCs w:val="22"/>
        </w:rPr>
        <w:t xml:space="preserve"> – Complication distribution: soft tissue injuries 31%, nerve injuries 21%, muscle injuries 12% -- total incidence 0.4-1.4%?</w:t>
      </w:r>
    </w:p>
    <w:p w14:paraId="0BE98DA6" w14:textId="77777777" w:rsidR="00533FF9" w:rsidRPr="008337E8" w:rsidRDefault="00533FF9" w:rsidP="00533FF9">
      <w:pPr>
        <w:pStyle w:val="EndNoteBibliography"/>
        <w:numPr>
          <w:ilvl w:val="0"/>
          <w:numId w:val="13"/>
        </w:numPr>
        <w:rPr>
          <w:rFonts w:asciiTheme="majorHAnsi" w:hAnsiTheme="majorHAnsi" w:cs="Times New Roman"/>
          <w:b/>
          <w:sz w:val="22"/>
          <w:szCs w:val="22"/>
        </w:rPr>
      </w:pPr>
      <w:r w:rsidRPr="008337E8">
        <w:rPr>
          <w:rFonts w:asciiTheme="majorHAnsi" w:hAnsiTheme="majorHAnsi" w:cs="Calibri"/>
          <w:b/>
          <w:sz w:val="22"/>
          <w:szCs w:val="22"/>
        </w:rPr>
        <w:t xml:space="preserve">Important results </w:t>
      </w:r>
      <w:r w:rsidRPr="008337E8">
        <w:rPr>
          <w:rFonts w:asciiTheme="majorHAnsi" w:hAnsiTheme="majorHAnsi" w:cs="Calibri"/>
          <w:sz w:val="22"/>
          <w:szCs w:val="22"/>
        </w:rPr>
        <w:t xml:space="preserve">– Delfi pediatric cuff with limb protection sleeve causes least skin deformity, theoretically suggests least incidence of soft tissue injury. Proposed guidelines for tourniquet use: wide cuff, inflate to limb occlusion pressure + 50 mmHg, use limb protection sleeve, exsanguinate with Esmarch type sleeve, minimize tourniquet time. </w:t>
      </w:r>
    </w:p>
    <w:p w14:paraId="19EBBE66" w14:textId="77777777" w:rsidR="00533FF9" w:rsidRPr="008337E8" w:rsidRDefault="00533FF9" w:rsidP="00533FF9">
      <w:pPr>
        <w:pStyle w:val="EndNoteBibliography"/>
        <w:numPr>
          <w:ilvl w:val="0"/>
          <w:numId w:val="13"/>
        </w:numPr>
        <w:rPr>
          <w:rFonts w:asciiTheme="majorHAnsi" w:hAnsiTheme="majorHAnsi" w:cs="Calibri"/>
          <w:b/>
          <w:sz w:val="22"/>
          <w:szCs w:val="22"/>
        </w:rPr>
      </w:pPr>
      <w:r w:rsidRPr="008337E8">
        <w:rPr>
          <w:rFonts w:asciiTheme="majorHAnsi" w:hAnsiTheme="majorHAnsi" w:cs="Calibri"/>
          <w:b/>
          <w:sz w:val="22"/>
          <w:szCs w:val="22"/>
        </w:rPr>
        <w:t xml:space="preserve">Critiques of the data </w:t>
      </w:r>
      <w:r w:rsidRPr="008337E8">
        <w:rPr>
          <w:rFonts w:asciiTheme="majorHAnsi" w:hAnsiTheme="majorHAnsi" w:cs="Calibri"/>
          <w:sz w:val="22"/>
          <w:szCs w:val="22"/>
        </w:rPr>
        <w:t>– poor descriptive statistics, odd measurement of skin deformation model, offers little information about correlation between any variables (padding, cuff pressure, etc.) and incidence of complications, survey only</w:t>
      </w:r>
    </w:p>
    <w:p w14:paraId="429092E6" w14:textId="77777777" w:rsidR="00533FF9" w:rsidRPr="008337E8" w:rsidRDefault="00533FF9" w:rsidP="00533FF9">
      <w:pPr>
        <w:rPr>
          <w:rFonts w:asciiTheme="majorHAnsi" w:hAnsiTheme="majorHAnsi" w:cs="Calibri"/>
          <w:sz w:val="22"/>
          <w:szCs w:val="22"/>
        </w:rPr>
      </w:pPr>
    </w:p>
    <w:p w14:paraId="3F605493" w14:textId="77777777" w:rsidR="00533FF9" w:rsidRPr="008337E8" w:rsidRDefault="00533FF9" w:rsidP="00533FF9">
      <w:pPr>
        <w:pStyle w:val="EndNoteBibliography"/>
        <w:rPr>
          <w:rFonts w:asciiTheme="majorHAnsi" w:hAnsiTheme="majorHAnsi"/>
          <w:noProof/>
          <w:sz w:val="22"/>
          <w:szCs w:val="22"/>
        </w:rPr>
      </w:pPr>
      <w:r>
        <w:rPr>
          <w:rFonts w:asciiTheme="majorHAnsi" w:hAnsiTheme="majorHAnsi"/>
          <w:noProof/>
          <w:sz w:val="22"/>
          <w:szCs w:val="22"/>
        </w:rPr>
        <w:t xml:space="preserve">18)  </w:t>
      </w:r>
      <w:r w:rsidRPr="008337E8">
        <w:rPr>
          <w:rFonts w:asciiTheme="majorHAnsi" w:hAnsiTheme="majorHAnsi"/>
          <w:noProof/>
          <w:sz w:val="22"/>
          <w:szCs w:val="22"/>
        </w:rPr>
        <w:t xml:space="preserve">Villamaria, C. Y., Morrison, J. J., Fitzpatrick, C. M., Cannon, J. W., &amp; Rasmussen, T. E. (2014). Wartime vascular injuries in the pediatric population of Iraq and Afghanistan: 2002-2011. </w:t>
      </w:r>
      <w:r w:rsidRPr="008337E8">
        <w:rPr>
          <w:rFonts w:asciiTheme="majorHAnsi" w:hAnsiTheme="majorHAnsi"/>
          <w:i/>
          <w:noProof/>
          <w:sz w:val="22"/>
          <w:szCs w:val="22"/>
        </w:rPr>
        <w:t>J Pediatr Surg, 49</w:t>
      </w:r>
      <w:r w:rsidRPr="008337E8">
        <w:rPr>
          <w:rFonts w:asciiTheme="majorHAnsi" w:hAnsiTheme="majorHAnsi"/>
          <w:noProof/>
          <w:sz w:val="22"/>
          <w:szCs w:val="22"/>
        </w:rPr>
        <w:t>(3), 428-432.</w:t>
      </w:r>
    </w:p>
    <w:p w14:paraId="6D996F21" w14:textId="77777777" w:rsidR="00533FF9" w:rsidRPr="008337E8" w:rsidRDefault="00533FF9" w:rsidP="00533FF9">
      <w:pPr>
        <w:pStyle w:val="EndNoteBibliography"/>
        <w:ind w:left="720"/>
        <w:rPr>
          <w:rFonts w:asciiTheme="majorHAnsi" w:hAnsiTheme="majorHAnsi"/>
          <w:noProof/>
          <w:sz w:val="22"/>
          <w:szCs w:val="22"/>
        </w:rPr>
      </w:pPr>
    </w:p>
    <w:p w14:paraId="32493C20" w14:textId="77777777" w:rsidR="00533FF9" w:rsidRPr="008337E8" w:rsidRDefault="00533FF9" w:rsidP="00533FF9">
      <w:pPr>
        <w:pStyle w:val="EndNoteBibliography"/>
        <w:widowControl w:val="0"/>
        <w:numPr>
          <w:ilvl w:val="0"/>
          <w:numId w:val="14"/>
        </w:numPr>
        <w:autoSpaceDE w:val="0"/>
        <w:autoSpaceDN w:val="0"/>
        <w:adjustRightInd w:val="0"/>
        <w:rPr>
          <w:rFonts w:asciiTheme="majorHAnsi" w:hAnsiTheme="majorHAnsi" w:cs="Times New Roman"/>
          <w:b/>
          <w:sz w:val="22"/>
          <w:szCs w:val="22"/>
        </w:rPr>
      </w:pPr>
      <w:r w:rsidRPr="008337E8">
        <w:rPr>
          <w:rFonts w:asciiTheme="majorHAnsi" w:hAnsiTheme="majorHAnsi" w:cs="Calibri"/>
          <w:b/>
          <w:sz w:val="22"/>
          <w:szCs w:val="22"/>
        </w:rPr>
        <w:t xml:space="preserve">Authors, year of publication, site </w:t>
      </w:r>
      <w:r w:rsidRPr="008337E8">
        <w:rPr>
          <w:rFonts w:asciiTheme="majorHAnsi" w:hAnsiTheme="majorHAnsi" w:cs="Calibri"/>
          <w:sz w:val="22"/>
          <w:szCs w:val="22"/>
        </w:rPr>
        <w:t>– multi institution retrospective review of pediatric vascular trauma, performed by US Army Institute of Surgical Research</w:t>
      </w:r>
    </w:p>
    <w:p w14:paraId="3E946A45" w14:textId="77777777" w:rsidR="00533FF9" w:rsidRPr="008337E8" w:rsidRDefault="00533FF9" w:rsidP="00533FF9">
      <w:pPr>
        <w:pStyle w:val="EndNoteBibliography"/>
        <w:numPr>
          <w:ilvl w:val="0"/>
          <w:numId w:val="14"/>
        </w:numPr>
        <w:rPr>
          <w:rFonts w:asciiTheme="majorHAnsi" w:hAnsiTheme="majorHAnsi" w:cs="Times New Roman"/>
          <w:b/>
          <w:sz w:val="22"/>
          <w:szCs w:val="22"/>
        </w:rPr>
      </w:pPr>
      <w:r w:rsidRPr="008337E8">
        <w:rPr>
          <w:rFonts w:asciiTheme="majorHAnsi" w:hAnsiTheme="majorHAnsi" w:cs="Calibri"/>
          <w:b/>
          <w:sz w:val="22"/>
          <w:szCs w:val="22"/>
        </w:rPr>
        <w:t xml:space="preserve">Intervention type, duration -- </w:t>
      </w:r>
      <w:r w:rsidRPr="008337E8">
        <w:rPr>
          <w:rFonts w:asciiTheme="majorHAnsi" w:hAnsiTheme="majorHAnsi" w:cs="Calibri"/>
          <w:sz w:val="22"/>
          <w:szCs w:val="22"/>
        </w:rPr>
        <w:t>retrospective review of DoD trauma registry of pediatric vascular injuries treated at US military hospitals in Iraq and Afghanistan from 2002-2011</w:t>
      </w:r>
    </w:p>
    <w:p w14:paraId="5EBDC051" w14:textId="77777777" w:rsidR="00533FF9" w:rsidRPr="008337E8" w:rsidRDefault="00533FF9" w:rsidP="00533FF9">
      <w:pPr>
        <w:pStyle w:val="EndNoteBibliography"/>
        <w:numPr>
          <w:ilvl w:val="0"/>
          <w:numId w:val="14"/>
        </w:numPr>
        <w:rPr>
          <w:rFonts w:asciiTheme="majorHAnsi" w:hAnsiTheme="majorHAnsi" w:cs="Times New Roman"/>
          <w:b/>
          <w:sz w:val="22"/>
          <w:szCs w:val="22"/>
        </w:rPr>
      </w:pPr>
      <w:r w:rsidRPr="008337E8">
        <w:rPr>
          <w:rFonts w:asciiTheme="majorHAnsi" w:hAnsiTheme="majorHAnsi" w:cs="Calibri"/>
          <w:b/>
          <w:sz w:val="22"/>
          <w:szCs w:val="22"/>
        </w:rPr>
        <w:t xml:space="preserve">Study populations/settings </w:t>
      </w:r>
      <w:r w:rsidRPr="008337E8">
        <w:rPr>
          <w:rFonts w:asciiTheme="majorHAnsi" w:hAnsiTheme="majorHAnsi" w:cs="Calibri"/>
          <w:sz w:val="22"/>
          <w:szCs w:val="22"/>
        </w:rPr>
        <w:t xml:space="preserve">– pediatric (&lt;18y) trauma patients, in military Role III hospitals, Iraq and Afghanistan </w:t>
      </w:r>
    </w:p>
    <w:p w14:paraId="3087C8CE" w14:textId="77777777" w:rsidR="00533FF9" w:rsidRPr="008337E8" w:rsidRDefault="00533FF9" w:rsidP="00533FF9">
      <w:pPr>
        <w:pStyle w:val="EndNoteBibliography"/>
        <w:numPr>
          <w:ilvl w:val="0"/>
          <w:numId w:val="14"/>
        </w:numPr>
        <w:rPr>
          <w:rFonts w:asciiTheme="majorHAnsi" w:hAnsiTheme="majorHAnsi" w:cs="Times New Roman"/>
          <w:b/>
          <w:sz w:val="22"/>
          <w:szCs w:val="22"/>
        </w:rPr>
      </w:pPr>
      <w:r w:rsidRPr="008337E8">
        <w:rPr>
          <w:rFonts w:asciiTheme="majorHAnsi" w:hAnsiTheme="majorHAnsi" w:cs="Calibri"/>
          <w:b/>
          <w:sz w:val="22"/>
          <w:szCs w:val="22"/>
        </w:rPr>
        <w:t>Aims of study</w:t>
      </w:r>
      <w:r w:rsidRPr="008337E8">
        <w:rPr>
          <w:rFonts w:asciiTheme="majorHAnsi" w:hAnsiTheme="majorHAnsi" w:cs="Calibri"/>
          <w:sz w:val="22"/>
          <w:szCs w:val="22"/>
        </w:rPr>
        <w:t xml:space="preserve"> – characterize pediatric vascular trauma, pattern of injury, management strategies and outcomes in the wars in Iraq and Afghanistan</w:t>
      </w:r>
    </w:p>
    <w:p w14:paraId="642F5775" w14:textId="77777777" w:rsidR="00533FF9" w:rsidRPr="008337E8" w:rsidRDefault="00533FF9" w:rsidP="00533FF9">
      <w:pPr>
        <w:pStyle w:val="EndNoteBibliography"/>
        <w:widowControl w:val="0"/>
        <w:numPr>
          <w:ilvl w:val="0"/>
          <w:numId w:val="14"/>
        </w:numPr>
        <w:autoSpaceDE w:val="0"/>
        <w:autoSpaceDN w:val="0"/>
        <w:adjustRightInd w:val="0"/>
        <w:rPr>
          <w:rFonts w:asciiTheme="majorHAnsi" w:hAnsiTheme="majorHAnsi" w:cs="Times New Roman"/>
          <w:b/>
          <w:sz w:val="22"/>
          <w:szCs w:val="22"/>
        </w:rPr>
      </w:pPr>
      <w:r w:rsidRPr="008337E8">
        <w:rPr>
          <w:rFonts w:asciiTheme="majorHAnsi" w:hAnsiTheme="majorHAnsi" w:cs="Calibri"/>
          <w:b/>
          <w:sz w:val="22"/>
          <w:szCs w:val="22"/>
        </w:rPr>
        <w:t xml:space="preserve">Methodology </w:t>
      </w:r>
      <w:r w:rsidRPr="008337E8">
        <w:rPr>
          <w:rFonts w:asciiTheme="majorHAnsi" w:hAnsiTheme="majorHAnsi" w:cs="Calibri"/>
          <w:sz w:val="22"/>
          <w:szCs w:val="22"/>
        </w:rPr>
        <w:t>– demographics, mechanism, vessel injured, treatment modalities, ISS, outcomes collected on all ped vascular injuries</w:t>
      </w:r>
    </w:p>
    <w:p w14:paraId="073B0E6E" w14:textId="77777777" w:rsidR="00533FF9" w:rsidRPr="008337E8" w:rsidRDefault="00533FF9" w:rsidP="00533FF9">
      <w:pPr>
        <w:pStyle w:val="EndNoteBibliography"/>
        <w:numPr>
          <w:ilvl w:val="0"/>
          <w:numId w:val="14"/>
        </w:numPr>
        <w:rPr>
          <w:rFonts w:asciiTheme="majorHAnsi" w:hAnsiTheme="majorHAnsi" w:cs="Times New Roman"/>
          <w:b/>
          <w:sz w:val="22"/>
          <w:szCs w:val="22"/>
        </w:rPr>
      </w:pPr>
      <w:r w:rsidRPr="008337E8">
        <w:rPr>
          <w:rFonts w:asciiTheme="majorHAnsi" w:hAnsiTheme="majorHAnsi" w:cs="Calibri"/>
          <w:b/>
          <w:sz w:val="22"/>
          <w:szCs w:val="22"/>
        </w:rPr>
        <w:t xml:space="preserve">Outcomes </w:t>
      </w:r>
      <w:r w:rsidRPr="008337E8">
        <w:rPr>
          <w:rFonts w:asciiTheme="majorHAnsi" w:hAnsiTheme="majorHAnsi" w:cs="Calibri"/>
          <w:sz w:val="22"/>
          <w:szCs w:val="22"/>
        </w:rPr>
        <w:t>– 6 tourniquets applied in 70 LE vascular injuries: 1 death from concomitant brain injury, 3 ultimately required amputation. No tourniquet complications observed.</w:t>
      </w:r>
    </w:p>
    <w:p w14:paraId="7FA54D27" w14:textId="77777777" w:rsidR="00533FF9" w:rsidRPr="008337E8" w:rsidRDefault="00533FF9" w:rsidP="00533FF9">
      <w:pPr>
        <w:pStyle w:val="EndNoteBibliography"/>
        <w:numPr>
          <w:ilvl w:val="0"/>
          <w:numId w:val="14"/>
        </w:numPr>
        <w:rPr>
          <w:rFonts w:asciiTheme="majorHAnsi" w:hAnsiTheme="majorHAnsi" w:cs="Times New Roman"/>
          <w:b/>
          <w:sz w:val="22"/>
          <w:szCs w:val="22"/>
        </w:rPr>
      </w:pPr>
      <w:r w:rsidRPr="008337E8">
        <w:rPr>
          <w:rFonts w:asciiTheme="majorHAnsi" w:hAnsiTheme="majorHAnsi" w:cs="Calibri"/>
          <w:b/>
          <w:sz w:val="22"/>
          <w:szCs w:val="22"/>
        </w:rPr>
        <w:t>Important results</w:t>
      </w:r>
      <w:r w:rsidRPr="008337E8">
        <w:rPr>
          <w:rFonts w:asciiTheme="majorHAnsi" w:hAnsiTheme="majorHAnsi" w:cs="Calibri"/>
          <w:sz w:val="22"/>
          <w:szCs w:val="22"/>
        </w:rPr>
        <w:t xml:space="preserve"> – tourniquet use limited in wartime extremity vascular injury, but not associated with complications, although high rate of amputation despite tourniquet use in this population</w:t>
      </w:r>
    </w:p>
    <w:p w14:paraId="038DBE0B" w14:textId="77777777" w:rsidR="00533FF9" w:rsidRPr="008337E8" w:rsidRDefault="00533FF9" w:rsidP="00533FF9">
      <w:pPr>
        <w:pStyle w:val="EndNoteBibliography"/>
        <w:widowControl w:val="0"/>
        <w:numPr>
          <w:ilvl w:val="0"/>
          <w:numId w:val="14"/>
        </w:numPr>
        <w:autoSpaceDE w:val="0"/>
        <w:autoSpaceDN w:val="0"/>
        <w:adjustRightInd w:val="0"/>
        <w:rPr>
          <w:rFonts w:asciiTheme="majorHAnsi" w:hAnsiTheme="majorHAnsi" w:cs="Times New Roman"/>
          <w:b/>
          <w:sz w:val="22"/>
          <w:szCs w:val="22"/>
        </w:rPr>
      </w:pPr>
      <w:r w:rsidRPr="008337E8">
        <w:rPr>
          <w:rFonts w:asciiTheme="majorHAnsi" w:hAnsiTheme="majorHAnsi" w:cs="Calibri"/>
          <w:b/>
          <w:sz w:val="22"/>
          <w:szCs w:val="22"/>
        </w:rPr>
        <w:t>Critiques of the data</w:t>
      </w:r>
      <w:r w:rsidRPr="008337E8">
        <w:rPr>
          <w:rFonts w:asciiTheme="majorHAnsi" w:hAnsiTheme="majorHAnsi" w:cs="Calibri"/>
          <w:sz w:val="22"/>
          <w:szCs w:val="22"/>
        </w:rPr>
        <w:t xml:space="preserve"> – minimal data on pediatric tourniquet use</w:t>
      </w:r>
    </w:p>
    <w:p w14:paraId="6FC05C9F" w14:textId="77777777" w:rsidR="00533FF9" w:rsidRPr="008337E8" w:rsidRDefault="00533FF9" w:rsidP="00533FF9">
      <w:pPr>
        <w:pStyle w:val="EndNoteBibliography"/>
        <w:rPr>
          <w:rFonts w:asciiTheme="majorHAnsi" w:hAnsiTheme="majorHAnsi" w:cs="Times New Roman"/>
          <w:b/>
          <w:sz w:val="22"/>
          <w:szCs w:val="22"/>
        </w:rPr>
      </w:pPr>
    </w:p>
    <w:p w14:paraId="41AE3B8B" w14:textId="77777777" w:rsidR="00533FF9" w:rsidRPr="006C011E" w:rsidRDefault="00533FF9" w:rsidP="00533FF9">
      <w:pPr>
        <w:pStyle w:val="EndNoteBibliography"/>
        <w:rPr>
          <w:rFonts w:asciiTheme="majorHAnsi" w:hAnsiTheme="majorHAnsi" w:cs="Calibri"/>
          <w:sz w:val="22"/>
          <w:szCs w:val="22"/>
        </w:rPr>
      </w:pPr>
    </w:p>
    <w:p w14:paraId="542F2008" w14:textId="77777777" w:rsidR="00533FF9" w:rsidRPr="006C011E" w:rsidRDefault="00533FF9" w:rsidP="00533FF9">
      <w:pPr>
        <w:rPr>
          <w:rFonts w:asciiTheme="majorHAnsi" w:hAnsiTheme="majorHAnsi" w:cs="Calibri"/>
          <w:sz w:val="22"/>
          <w:szCs w:val="22"/>
        </w:rPr>
      </w:pPr>
    </w:p>
    <w:p w14:paraId="2EECB942" w14:textId="77777777" w:rsidR="00533FF9" w:rsidRDefault="00533FF9" w:rsidP="00533FF9"/>
    <w:p w14:paraId="147A974B" w14:textId="77777777" w:rsidR="00533FF9" w:rsidRDefault="00533FF9" w:rsidP="0043202E">
      <w:pPr>
        <w:rPr>
          <w:u w:val="single"/>
        </w:rPr>
      </w:pPr>
    </w:p>
    <w:p w14:paraId="045AE999" w14:textId="16191CFC" w:rsidR="0043202E" w:rsidRPr="00600FB7" w:rsidRDefault="0043202E" w:rsidP="00C53DBE">
      <w:pPr>
        <w:rPr>
          <w:u w:val="single"/>
        </w:rPr>
      </w:pPr>
    </w:p>
    <w:sectPr w:rsidR="0043202E" w:rsidRPr="00600FB7" w:rsidSect="002D47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285CF" w14:textId="77777777" w:rsidR="000A0A75" w:rsidRDefault="000A0A75" w:rsidP="0039745A">
      <w:r>
        <w:separator/>
      </w:r>
    </w:p>
  </w:endnote>
  <w:endnote w:type="continuationSeparator" w:id="0">
    <w:p w14:paraId="7047A455" w14:textId="77777777" w:rsidR="000A0A75" w:rsidRDefault="000A0A75" w:rsidP="003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B8EB8" w14:textId="77777777" w:rsidR="000A0A75" w:rsidRDefault="000A0A75" w:rsidP="0039745A">
      <w:r>
        <w:separator/>
      </w:r>
    </w:p>
  </w:footnote>
  <w:footnote w:type="continuationSeparator" w:id="0">
    <w:p w14:paraId="3D5F6B02" w14:textId="77777777" w:rsidR="000A0A75" w:rsidRDefault="000A0A75" w:rsidP="0039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DC4B5A"/>
    <w:multiLevelType w:val="hybridMultilevel"/>
    <w:tmpl w:val="9C5608B8"/>
    <w:lvl w:ilvl="0" w:tplc="04090017">
      <w:start w:val="1"/>
      <w:numFmt w:val="lowerLetter"/>
      <w:lvlText w:val="%1)"/>
      <w:lvlJc w:val="left"/>
      <w:pPr>
        <w:ind w:left="720" w:hanging="360"/>
      </w:pPr>
      <w:rPr>
        <w:b w:val="0"/>
      </w:rPr>
    </w:lvl>
    <w:lvl w:ilvl="1" w:tplc="0D76DC30">
      <w:start w:val="1"/>
      <w:numFmt w:val="decimal"/>
      <w:lvlText w:val="%2)"/>
      <w:lvlJc w:val="left"/>
      <w:pPr>
        <w:ind w:left="1620" w:hanging="540"/>
      </w:pPr>
      <w:rPr>
        <w:rFonts w:hint="default"/>
        <w:color w:val="18376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23323"/>
    <w:multiLevelType w:val="hybridMultilevel"/>
    <w:tmpl w:val="4B56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906F2"/>
    <w:multiLevelType w:val="hybridMultilevel"/>
    <w:tmpl w:val="279E2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F554B"/>
    <w:multiLevelType w:val="hybridMultilevel"/>
    <w:tmpl w:val="E716C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4788E"/>
    <w:multiLevelType w:val="hybridMultilevel"/>
    <w:tmpl w:val="426C8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719AA"/>
    <w:multiLevelType w:val="hybridMultilevel"/>
    <w:tmpl w:val="68A2A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D38FE"/>
    <w:multiLevelType w:val="hybridMultilevel"/>
    <w:tmpl w:val="E22654C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2691D"/>
    <w:multiLevelType w:val="hybridMultilevel"/>
    <w:tmpl w:val="B94C0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C4A2A"/>
    <w:multiLevelType w:val="hybridMultilevel"/>
    <w:tmpl w:val="09BCB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11086"/>
    <w:multiLevelType w:val="hybridMultilevel"/>
    <w:tmpl w:val="33B86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12"/>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6"/>
  </w:num>
  <w:num w:numId="17">
    <w:abstractNumId w:val="13"/>
  </w:num>
  <w:num w:numId="18">
    <w:abstractNumId w:val="7"/>
  </w:num>
  <w:num w:numId="19">
    <w:abstractNumId w:val="11"/>
  </w:num>
  <w:num w:numId="20">
    <w:abstractNumId w:val="8"/>
  </w:num>
  <w:num w:numId="21">
    <w:abstractNumId w:val="9"/>
  </w:num>
  <w:num w:numId="22">
    <w:abstractNumId w:val="10"/>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wft0rzdlxzfwkevp0qvst9kvwee9t0vzr9t&quot;&gt;Pediatric Tourniquet&lt;record-ids&gt;&lt;item&gt;1&lt;/item&gt;&lt;item&gt;2&lt;/item&gt;&lt;item&gt;3&lt;/item&gt;&lt;item&gt;4&lt;/item&gt;&lt;item&gt;5&lt;/item&gt;&lt;item&gt;8&lt;/item&gt;&lt;item&gt;9&lt;/item&gt;&lt;item&gt;10&lt;/item&gt;&lt;item&gt;11&lt;/item&gt;&lt;/record-ids&gt;&lt;/item&gt;&lt;/Libraries&gt;"/>
  </w:docVars>
  <w:rsids>
    <w:rsidRoot w:val="00C53DBE"/>
    <w:rsid w:val="00047F6A"/>
    <w:rsid w:val="000A0A75"/>
    <w:rsid w:val="000E7528"/>
    <w:rsid w:val="00166F86"/>
    <w:rsid w:val="00180C97"/>
    <w:rsid w:val="001A5E8D"/>
    <w:rsid w:val="001C02B7"/>
    <w:rsid w:val="00203EE6"/>
    <w:rsid w:val="00286F37"/>
    <w:rsid w:val="002D47CB"/>
    <w:rsid w:val="002D5BE6"/>
    <w:rsid w:val="002E64D2"/>
    <w:rsid w:val="00316F6D"/>
    <w:rsid w:val="0039745A"/>
    <w:rsid w:val="003A4932"/>
    <w:rsid w:val="003B2672"/>
    <w:rsid w:val="003B7B0E"/>
    <w:rsid w:val="003D3CE6"/>
    <w:rsid w:val="003F59FD"/>
    <w:rsid w:val="004107D2"/>
    <w:rsid w:val="00415854"/>
    <w:rsid w:val="0043202E"/>
    <w:rsid w:val="00457547"/>
    <w:rsid w:val="00471D5B"/>
    <w:rsid w:val="0047778C"/>
    <w:rsid w:val="004A0141"/>
    <w:rsid w:val="004B3D6C"/>
    <w:rsid w:val="004D2396"/>
    <w:rsid w:val="004E5E1A"/>
    <w:rsid w:val="00533FF9"/>
    <w:rsid w:val="005C4C2A"/>
    <w:rsid w:val="00600FB7"/>
    <w:rsid w:val="006366CB"/>
    <w:rsid w:val="00671BE4"/>
    <w:rsid w:val="006E1EDF"/>
    <w:rsid w:val="007360EF"/>
    <w:rsid w:val="00755670"/>
    <w:rsid w:val="007B1B35"/>
    <w:rsid w:val="00802F9D"/>
    <w:rsid w:val="00811E44"/>
    <w:rsid w:val="00854D21"/>
    <w:rsid w:val="0086311F"/>
    <w:rsid w:val="00873981"/>
    <w:rsid w:val="008E12B0"/>
    <w:rsid w:val="009376E3"/>
    <w:rsid w:val="009A2D7B"/>
    <w:rsid w:val="009E3D61"/>
    <w:rsid w:val="00A571D3"/>
    <w:rsid w:val="00A7640E"/>
    <w:rsid w:val="00B1787D"/>
    <w:rsid w:val="00B9773B"/>
    <w:rsid w:val="00BD0B82"/>
    <w:rsid w:val="00C106D4"/>
    <w:rsid w:val="00C53DBE"/>
    <w:rsid w:val="00C81C09"/>
    <w:rsid w:val="00D143BB"/>
    <w:rsid w:val="00D96026"/>
    <w:rsid w:val="00DA337C"/>
    <w:rsid w:val="00DC3849"/>
    <w:rsid w:val="00F1410B"/>
    <w:rsid w:val="00F2746B"/>
    <w:rsid w:val="00F92A16"/>
    <w:rsid w:val="00FE4808"/>
    <w:rsid w:val="00FE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55D4DC"/>
  <w14:defaultImageDpi w14:val="300"/>
  <w15:docId w15:val="{D3101440-7981-4039-AA9B-C049581B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932"/>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4932"/>
    <w:rPr>
      <w:sz w:val="18"/>
      <w:szCs w:val="18"/>
    </w:rPr>
  </w:style>
  <w:style w:type="paragraph" w:styleId="CommentText">
    <w:name w:val="annotation text"/>
    <w:basedOn w:val="Normal"/>
    <w:link w:val="CommentTextChar"/>
    <w:uiPriority w:val="99"/>
    <w:semiHidden/>
    <w:unhideWhenUsed/>
    <w:rsid w:val="003A4932"/>
  </w:style>
  <w:style w:type="character" w:customStyle="1" w:styleId="CommentTextChar">
    <w:name w:val="Comment Text Char"/>
    <w:basedOn w:val="DefaultParagraphFont"/>
    <w:link w:val="CommentText"/>
    <w:uiPriority w:val="99"/>
    <w:semiHidden/>
    <w:rsid w:val="003A4932"/>
  </w:style>
  <w:style w:type="paragraph" w:styleId="CommentSubject">
    <w:name w:val="annotation subject"/>
    <w:basedOn w:val="CommentText"/>
    <w:next w:val="CommentText"/>
    <w:link w:val="CommentSubjectChar"/>
    <w:uiPriority w:val="99"/>
    <w:semiHidden/>
    <w:unhideWhenUsed/>
    <w:rsid w:val="003A4932"/>
    <w:rPr>
      <w:b/>
      <w:bCs/>
      <w:sz w:val="20"/>
      <w:szCs w:val="20"/>
    </w:rPr>
  </w:style>
  <w:style w:type="character" w:customStyle="1" w:styleId="CommentSubjectChar">
    <w:name w:val="Comment Subject Char"/>
    <w:basedOn w:val="CommentTextChar"/>
    <w:link w:val="CommentSubject"/>
    <w:uiPriority w:val="99"/>
    <w:semiHidden/>
    <w:rsid w:val="003A4932"/>
    <w:rPr>
      <w:b/>
      <w:bCs/>
      <w:sz w:val="20"/>
      <w:szCs w:val="20"/>
    </w:rPr>
  </w:style>
  <w:style w:type="paragraph" w:styleId="ListParagraph">
    <w:name w:val="List Paragraph"/>
    <w:basedOn w:val="Normal"/>
    <w:uiPriority w:val="34"/>
    <w:qFormat/>
    <w:rsid w:val="00533FF9"/>
    <w:pPr>
      <w:ind w:left="720"/>
      <w:contextualSpacing/>
    </w:pPr>
  </w:style>
  <w:style w:type="paragraph" w:customStyle="1" w:styleId="EndNoteBibliography">
    <w:name w:val="EndNote Bibliography"/>
    <w:basedOn w:val="Normal"/>
    <w:rsid w:val="00533FF9"/>
    <w:rPr>
      <w:rFonts w:ascii="Cambria" w:hAnsi="Cambria"/>
    </w:rPr>
  </w:style>
  <w:style w:type="paragraph" w:styleId="FootnoteText">
    <w:name w:val="footnote text"/>
    <w:basedOn w:val="Normal"/>
    <w:link w:val="FootnoteTextChar"/>
    <w:uiPriority w:val="99"/>
    <w:unhideWhenUsed/>
    <w:rsid w:val="0039745A"/>
  </w:style>
  <w:style w:type="character" w:customStyle="1" w:styleId="FootnoteTextChar">
    <w:name w:val="Footnote Text Char"/>
    <w:basedOn w:val="DefaultParagraphFont"/>
    <w:link w:val="FootnoteText"/>
    <w:uiPriority w:val="99"/>
    <w:rsid w:val="0039745A"/>
  </w:style>
  <w:style w:type="character" w:styleId="FootnoteReference">
    <w:name w:val="footnote reference"/>
    <w:basedOn w:val="DefaultParagraphFont"/>
    <w:uiPriority w:val="99"/>
    <w:unhideWhenUsed/>
    <w:rsid w:val="0039745A"/>
    <w:rPr>
      <w:vertAlign w:val="superscript"/>
    </w:rPr>
  </w:style>
  <w:style w:type="paragraph" w:customStyle="1" w:styleId="EndNoteBibliographyTitle">
    <w:name w:val="EndNote Bibliography Title"/>
    <w:basedOn w:val="Normal"/>
    <w:rsid w:val="00166F86"/>
    <w:pPr>
      <w:jc w:val="center"/>
    </w:pPr>
    <w:rPr>
      <w:rFonts w:ascii="Cambria" w:hAnsi="Cambria"/>
    </w:rPr>
  </w:style>
  <w:style w:type="character" w:styleId="Hyperlink">
    <w:name w:val="Hyperlink"/>
    <w:basedOn w:val="DefaultParagraphFont"/>
    <w:uiPriority w:val="99"/>
    <w:unhideWhenUsed/>
    <w:rsid w:val="00166F86"/>
    <w:rPr>
      <w:color w:val="0000FF" w:themeColor="hyperlink"/>
      <w:u w:val="single"/>
    </w:rPr>
  </w:style>
  <w:style w:type="character" w:styleId="FollowedHyperlink">
    <w:name w:val="FollowedHyperlink"/>
    <w:basedOn w:val="DefaultParagraphFont"/>
    <w:uiPriority w:val="99"/>
    <w:semiHidden/>
    <w:unhideWhenUsed/>
    <w:rsid w:val="007360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Pavlovic%20D%5BAuthor%5D&amp;cauthor=true&amp;cauthor_uid=21777032" TargetMode="External"/><Relationship Id="rId13" Type="http://schemas.openxmlformats.org/officeDocument/2006/relationships/hyperlink" Target="https://www.ncbi.nlm.nih.gov/pubmed/?term=Zivanovic%20D%5BAuthor%5D&amp;cauthor=true&amp;cauthor_uid=21777032" TargetMode="External"/><Relationship Id="rId18" Type="http://schemas.openxmlformats.org/officeDocument/2006/relationships/hyperlink" Target="https://www.ncbi.nlm.nih.gov/pubmed/?term=Spinella%20PC%5BAuthor%5D&amp;cauthor=true&amp;cauthor_uid=23683379" TargetMode="External"/><Relationship Id="rId26" Type="http://schemas.openxmlformats.org/officeDocument/2006/relationships/hyperlink" Target="https://www.ncbi.nlm.nih.gov/pubmed/?term=Goodarzi%20M%5BAuthor%5D&amp;cauthor=true&amp;cauthor_uid=9150013" TargetMode="External"/><Relationship Id="rId3" Type="http://schemas.openxmlformats.org/officeDocument/2006/relationships/settings" Target="settings.xml"/><Relationship Id="rId21" Type="http://schemas.openxmlformats.org/officeDocument/2006/relationships/hyperlink" Target="https://www.ncbi.nlm.nih.gov/pubmed/?term=Mahoney%20P%5BAuthor%5D&amp;cauthor=true&amp;cauthor_uid=23683379" TargetMode="External"/><Relationship Id="rId7" Type="http://schemas.openxmlformats.org/officeDocument/2006/relationships/hyperlink" Target="https://www.ncbi.nlm.nih.gov/pubmed/?term=Budic%20I%5BAuthor%5D&amp;cauthor=true&amp;cauthor_uid=21777032" TargetMode="External"/><Relationship Id="rId12" Type="http://schemas.openxmlformats.org/officeDocument/2006/relationships/hyperlink" Target="https://www.ncbi.nlm.nih.gov/pubmed/?term=Basic%20J%5BAuthor%5D&amp;cauthor=true&amp;cauthor_uid=21777032" TargetMode="External"/><Relationship Id="rId17" Type="http://schemas.openxmlformats.org/officeDocument/2006/relationships/hyperlink" Target="https://www.ncbi.nlm.nih.gov/pubmed/?term=Kragh%20JF%20Jr%5BAuthor%5D&amp;cauthor=true&amp;cauthor_uid=23683379" TargetMode="External"/><Relationship Id="rId25" Type="http://schemas.openxmlformats.org/officeDocument/2006/relationships/hyperlink" Target="https://www.ncbi.nlm.nih.gov/pubmed/?term=Bialik%20V%5BAuthor%5D&amp;cauthor=true&amp;cauthor_uid=16891968" TargetMode="External"/><Relationship Id="rId2" Type="http://schemas.openxmlformats.org/officeDocument/2006/relationships/styles" Target="styles.xml"/><Relationship Id="rId16" Type="http://schemas.openxmlformats.org/officeDocument/2006/relationships/hyperlink" Target="https://www.ncbi.nlm.nih.gov/pubmed/?term=Kreishman%20P%5BAuthor%5D&amp;cauthor=true&amp;cauthor_uid=23683379" TargetMode="External"/><Relationship Id="rId20" Type="http://schemas.openxmlformats.org/officeDocument/2006/relationships/hyperlink" Target="https://www.ncbi.nlm.nih.gov/pubmed/?term=Gillespie%20DL%5BAuthor%5D&amp;cauthor=true&amp;cauthor_uid=23683379" TargetMode="External"/><Relationship Id="rId29" Type="http://schemas.openxmlformats.org/officeDocument/2006/relationships/hyperlink" Target="https://www.ncbi.nlm.nih.gov/pubmed/16130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Simic%20D%5BAuthor%5D&amp;cauthor=true&amp;cauthor_uid=21777032" TargetMode="External"/><Relationship Id="rId24" Type="http://schemas.openxmlformats.org/officeDocument/2006/relationships/hyperlink" Target="https://www.ncbi.nlm.nih.gov/pubmed/?term=Katzman%20A%5BAuthor%5D&amp;cauthor=true&amp;cauthor_uid=16891968" TargetMode="External"/><Relationship Id="rId5" Type="http://schemas.openxmlformats.org/officeDocument/2006/relationships/footnotes" Target="footnotes.xml"/><Relationship Id="rId15" Type="http://schemas.openxmlformats.org/officeDocument/2006/relationships/hyperlink" Target="https://www.ncbi.nlm.nih.gov/pubmed/?term=Via%20KC%5BAuthor%5D&amp;cauthor=true&amp;cauthor_uid=23683379" TargetMode="External"/><Relationship Id="rId23" Type="http://schemas.openxmlformats.org/officeDocument/2006/relationships/hyperlink" Target="https://www.ncbi.nlm.nih.gov/pubmed/?term=Eidelman%20M%5BAuthor%5D&amp;cauthor=true&amp;cauthor_uid=16891968" TargetMode="External"/><Relationship Id="rId28" Type="http://schemas.openxmlformats.org/officeDocument/2006/relationships/hyperlink" Target="https://www.ncbi.nlm.nih.gov/pubmed/?term=Grogan%20DP%5BAuthor%5D&amp;cauthor=true&amp;cauthor_uid=9150013" TargetMode="External"/><Relationship Id="rId10" Type="http://schemas.openxmlformats.org/officeDocument/2006/relationships/hyperlink" Target="https://www.ncbi.nlm.nih.gov/pubmed/?term=Cvetkovic%20T%5BAuthor%5D&amp;cauthor=true&amp;cauthor_uid=21777032" TargetMode="External"/><Relationship Id="rId19" Type="http://schemas.openxmlformats.org/officeDocument/2006/relationships/hyperlink" Target="https://www.ncbi.nlm.nih.gov/pubmed/?term=Patel%20B%5BAuthor%5D&amp;cauthor=true&amp;cauthor_uid=2368337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Kocic%20G%5BAuthor%5D&amp;cauthor=true&amp;cauthor_uid=21777032" TargetMode="External"/><Relationship Id="rId14" Type="http://schemas.openxmlformats.org/officeDocument/2006/relationships/hyperlink" Target="https://www.ncbi.nlm.nih.gov/pubmed/?term=Dua%20A%5BAuthor%5D&amp;cauthor=true&amp;cauthor_uid=23683379" TargetMode="External"/><Relationship Id="rId22" Type="http://schemas.openxmlformats.org/officeDocument/2006/relationships/hyperlink" Target="https://www.ncbi.nlm.nih.gov/pubmed/?term=Fox%20CJ%5BAuthor%5D&amp;cauthor=true&amp;cauthor_uid=23683379" TargetMode="External"/><Relationship Id="rId27" Type="http://schemas.openxmlformats.org/officeDocument/2006/relationships/hyperlink" Target="https://www.ncbi.nlm.nih.gov/pubmed/?term=Shier%20NH%5BAuthor%5D&amp;cauthor=true&amp;cauthor_uid=91500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Mubeen Jafri</dc:creator>
  <cp:keywords/>
  <dc:description/>
  <cp:lastModifiedBy>Elashvili, Dinah</cp:lastModifiedBy>
  <cp:revision>2</cp:revision>
  <dcterms:created xsi:type="dcterms:W3CDTF">2018-02-12T19:15:00Z</dcterms:created>
  <dcterms:modified xsi:type="dcterms:W3CDTF">2018-02-12T19:15:00Z</dcterms:modified>
</cp:coreProperties>
</file>