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D" w:rsidRPr="00270252" w:rsidRDefault="008C3B6D" w:rsidP="008C3B6D">
      <w:pPr>
        <w:pStyle w:val="Kop2"/>
        <w:rPr>
          <w:sz w:val="24"/>
        </w:rPr>
      </w:pPr>
      <w:r w:rsidRPr="00270252">
        <w:rPr>
          <w:sz w:val="24"/>
        </w:rPr>
        <w:t>Supplementary</w:t>
      </w:r>
    </w:p>
    <w:p w:rsidR="008C3B6D" w:rsidRPr="00270252" w:rsidRDefault="008C3B6D" w:rsidP="008C3B6D">
      <w:pPr>
        <w:spacing w:line="276" w:lineRule="auto"/>
        <w:rPr>
          <w:sz w:val="20"/>
        </w:rPr>
      </w:pPr>
      <w:r w:rsidRPr="00270252">
        <w:rPr>
          <w:sz w:val="20"/>
        </w:rPr>
        <w:t xml:space="preserve">Search strategy: Components from all three parts needed to be in the title or abstract to deliver a search hit. Part 1 determining that antiretroviral agents. Part 2 determining HIV infection, and part 3 handling PK or Therapeutic drug monitoring. </w:t>
      </w:r>
    </w:p>
    <w:p w:rsidR="008C3B6D" w:rsidRPr="00270252" w:rsidRDefault="008C3B6D" w:rsidP="008C3B6D">
      <w:pPr>
        <w:pStyle w:val="Kop3"/>
        <w:rPr>
          <w:sz w:val="20"/>
        </w:rPr>
      </w:pPr>
      <w:r w:rsidRPr="00270252">
        <w:rPr>
          <w:sz w:val="20"/>
        </w:rPr>
        <w:t>Search terms</w:t>
      </w:r>
    </w:p>
    <w:p w:rsidR="008C3B6D" w:rsidRPr="00270252" w:rsidRDefault="008C3B6D" w:rsidP="008C3B6D">
      <w:pPr>
        <w:pStyle w:val="Kop3"/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Part 1: anti-retroviral agents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"Anti-Retroviral Agents"[Mesh] OR "Anti-Retroviral Agents" [Pharmacological Action]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</w:rPr>
        <w:t>OR</w:t>
      </w:r>
    </w:p>
    <w:p w:rsidR="008C3B6D" w:rsidRPr="00270252" w:rsidRDefault="008C3B6D" w:rsidP="008C3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270252">
        <w:rPr>
          <w:sz w:val="18"/>
          <w:lang w:val="en-US"/>
        </w:rPr>
        <w:t>Anti Retroviral Agent*[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Antiretroviral Agent*[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Anti HIV Agent*[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Anti HIV Drug*[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Reverse Transcriptase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CCR5 Receptor Antagonist*[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CCR5 Receptor Blocker*[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Chemokine</w:t>
      </w:r>
      <w:proofErr w:type="spellEnd"/>
      <w:r w:rsidRPr="00270252">
        <w:rPr>
          <w:sz w:val="18"/>
          <w:lang w:val="en-US"/>
        </w:rPr>
        <w:t xml:space="preserve"> Co receptor 5 Antagonist*[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Chemokine</w:t>
      </w:r>
      <w:proofErr w:type="spellEnd"/>
      <w:r w:rsidRPr="00270252">
        <w:rPr>
          <w:sz w:val="18"/>
          <w:lang w:val="en-US"/>
        </w:rPr>
        <w:t xml:space="preserve"> Co receptor 5 blocker*[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Chemokine</w:t>
      </w:r>
      <w:proofErr w:type="spellEnd"/>
      <w:r w:rsidRPr="00270252">
        <w:rPr>
          <w:sz w:val="18"/>
          <w:lang w:val="en-US"/>
        </w:rPr>
        <w:t xml:space="preserve"> </w:t>
      </w:r>
      <w:proofErr w:type="spellStart"/>
      <w:r w:rsidRPr="00270252">
        <w:rPr>
          <w:sz w:val="18"/>
          <w:lang w:val="en-US"/>
        </w:rPr>
        <w:t>Coreceptor</w:t>
      </w:r>
      <w:proofErr w:type="spellEnd"/>
      <w:r w:rsidRPr="00270252">
        <w:rPr>
          <w:sz w:val="18"/>
          <w:lang w:val="en-US"/>
        </w:rPr>
        <w:t xml:space="preserve"> 5 Antagonist*[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Chemokine</w:t>
      </w:r>
      <w:proofErr w:type="spellEnd"/>
      <w:r w:rsidRPr="00270252">
        <w:rPr>
          <w:sz w:val="18"/>
          <w:lang w:val="en-US"/>
        </w:rPr>
        <w:t xml:space="preserve"> </w:t>
      </w:r>
      <w:proofErr w:type="spellStart"/>
      <w:r w:rsidRPr="00270252">
        <w:rPr>
          <w:sz w:val="18"/>
          <w:lang w:val="en-US"/>
        </w:rPr>
        <w:t>Coreceptor</w:t>
      </w:r>
      <w:proofErr w:type="spellEnd"/>
      <w:r w:rsidRPr="00270252">
        <w:rPr>
          <w:sz w:val="18"/>
          <w:lang w:val="en-US"/>
        </w:rPr>
        <w:t xml:space="preserve"> 5 blocker*[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Cell Fusion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Fusion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Entry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Integrase</w:t>
      </w:r>
      <w:proofErr w:type="spellEnd"/>
      <w:r w:rsidRPr="00270252">
        <w:rPr>
          <w:sz w:val="18"/>
          <w:lang w:val="en-US"/>
        </w:rPr>
        <w:t xml:space="preserve">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Protease Inhibitor*[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abacavir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atazanavir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darunavir[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didanosine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dolutegravir[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efavirenz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elvitegravir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emtricitabine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enfuvirtide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etravirine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fosamprenavir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lamivudine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lopinavir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maraviroc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nevirapine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raltegravir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rilpivirine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ritonavir[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saquinavir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tenofovir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tipranavir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zidovudine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ART[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cART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HAART[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</w:p>
    <w:p w:rsidR="008C3B6D" w:rsidRPr="00270252" w:rsidRDefault="008C3B6D" w:rsidP="008C3B6D">
      <w:pPr>
        <w:pStyle w:val="Kop3"/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AND</w:t>
      </w:r>
    </w:p>
    <w:p w:rsidR="008C3B6D" w:rsidRPr="00270252" w:rsidRDefault="008C3B6D" w:rsidP="008C3B6D">
      <w:pPr>
        <w:pStyle w:val="Kop3"/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Part 2:HIV infections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“HIV infections”[</w:t>
      </w:r>
      <w:proofErr w:type="spellStart"/>
      <w:r w:rsidRPr="00270252">
        <w:rPr>
          <w:sz w:val="18"/>
          <w:lang w:val="en-US"/>
        </w:rPr>
        <w:t>MeSH</w:t>
      </w:r>
      <w:proofErr w:type="spellEnd"/>
      <w:r w:rsidRPr="00270252">
        <w:rPr>
          <w:sz w:val="18"/>
          <w:lang w:val="en-US"/>
        </w:rPr>
        <w:t>]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OR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 xml:space="preserve">Acquired </w:t>
      </w:r>
      <w:proofErr w:type="spellStart"/>
      <w:r w:rsidRPr="00270252">
        <w:rPr>
          <w:sz w:val="18"/>
          <w:lang w:val="en-US"/>
        </w:rPr>
        <w:t>Immuno</w:t>
      </w:r>
      <w:proofErr w:type="spellEnd"/>
      <w:r w:rsidRPr="00270252">
        <w:rPr>
          <w:sz w:val="18"/>
          <w:lang w:val="en-US"/>
        </w:rPr>
        <w:t xml:space="preserve"> Deficiency Syndrome[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Acquired Immunodeficiency Syndromes[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Acute Retroviral Syndrome[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r w:rsidRPr="00270252">
        <w:rPr>
          <w:sz w:val="18"/>
          <w:lang w:val="en-US" w:eastAsia="nl-NL"/>
        </w:rPr>
        <w:t>HIV Infection[</w:t>
      </w:r>
      <w:proofErr w:type="spellStart"/>
      <w:r w:rsidRPr="00270252">
        <w:rPr>
          <w:sz w:val="18"/>
          <w:lang w:val="en-US" w:eastAsia="nl-NL"/>
        </w:rPr>
        <w:t>tiab</w:t>
      </w:r>
      <w:proofErr w:type="spellEnd"/>
      <w:r w:rsidRPr="00270252">
        <w:rPr>
          <w:sz w:val="18"/>
          <w:lang w:val="en-US" w:eastAsia="nl-NL"/>
        </w:rPr>
        <w:t xml:space="preserve">] OR </w:t>
      </w:r>
      <w:r w:rsidRPr="00270252">
        <w:rPr>
          <w:sz w:val="18"/>
          <w:lang w:val="en-US"/>
        </w:rPr>
        <w:t>HTLV-III-LAV Infections[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Central Nervous System AIDS </w:t>
      </w:r>
      <w:proofErr w:type="spellStart"/>
      <w:r w:rsidRPr="00270252">
        <w:rPr>
          <w:sz w:val="18"/>
          <w:lang w:val="en-US"/>
        </w:rPr>
        <w:t>Arteritis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Associated </w:t>
      </w:r>
      <w:proofErr w:type="spellStart"/>
      <w:r w:rsidRPr="00270252">
        <w:rPr>
          <w:sz w:val="18"/>
          <w:lang w:val="en-US"/>
        </w:rPr>
        <w:t>Vasculitis</w:t>
      </w:r>
      <w:proofErr w:type="spellEnd"/>
      <w:r w:rsidRPr="00270252">
        <w:rPr>
          <w:sz w:val="18"/>
          <w:lang w:val="en-US"/>
        </w:rPr>
        <w:t xml:space="preserve"> of the Central Nervous System[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HIV-Associated CNS </w:t>
      </w:r>
      <w:proofErr w:type="spellStart"/>
      <w:r w:rsidRPr="00270252">
        <w:rPr>
          <w:sz w:val="18"/>
          <w:lang w:val="en-US"/>
        </w:rPr>
        <w:t>Vasculit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HIV-1-Associated CNS </w:t>
      </w:r>
      <w:proofErr w:type="spellStart"/>
      <w:r w:rsidRPr="00270252">
        <w:rPr>
          <w:sz w:val="18"/>
          <w:lang w:val="en-US"/>
        </w:rPr>
        <w:t>Vasculit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AIDS Associated Cerebral </w:t>
      </w:r>
      <w:proofErr w:type="spellStart"/>
      <w:r w:rsidRPr="00270252">
        <w:rPr>
          <w:sz w:val="18"/>
          <w:lang w:val="en-US"/>
        </w:rPr>
        <w:t>Aneurysmal</w:t>
      </w:r>
      <w:proofErr w:type="spellEnd"/>
      <w:r w:rsidRPr="00270252">
        <w:rPr>
          <w:sz w:val="18"/>
          <w:lang w:val="en-US"/>
        </w:rPr>
        <w:t xml:space="preserve"> </w:t>
      </w:r>
      <w:proofErr w:type="spellStart"/>
      <w:r w:rsidRPr="00270252">
        <w:rPr>
          <w:sz w:val="18"/>
          <w:lang w:val="en-US"/>
        </w:rPr>
        <w:t>Arteriopathy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Human Immunodeficiency Virus Associated Nephropathy[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HIV-Associated </w:t>
      </w:r>
      <w:proofErr w:type="spellStart"/>
      <w:r w:rsidRPr="00270252">
        <w:rPr>
          <w:sz w:val="18"/>
          <w:lang w:val="en-US"/>
        </w:rPr>
        <w:t>Nephropath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HIV-Related </w:t>
      </w:r>
      <w:proofErr w:type="spellStart"/>
      <w:r w:rsidRPr="00270252">
        <w:rPr>
          <w:sz w:val="18"/>
          <w:lang w:val="en-US"/>
        </w:rPr>
        <w:t>Nephropath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AIDS </w:t>
      </w:r>
      <w:proofErr w:type="spellStart"/>
      <w:r w:rsidRPr="00270252">
        <w:rPr>
          <w:sz w:val="18"/>
          <w:lang w:val="en-US"/>
        </w:rPr>
        <w:t>Nephropath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Associated Cognitive Motor Complex[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Acquired-Immune Deficiency Syndrome Dementia Complex[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AIDS Related Dementia Complex[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Dementia*[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HIV-1 Cognitive and Motor Complex[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Encephalopath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AIDS </w:t>
      </w:r>
      <w:proofErr w:type="spellStart"/>
      <w:r w:rsidRPr="00270252">
        <w:rPr>
          <w:sz w:val="18"/>
          <w:lang w:val="en-US"/>
        </w:rPr>
        <w:t>Encephalopath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AIDS Related Complex[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</w:t>
      </w:r>
      <w:proofErr w:type="spellStart"/>
      <w:r w:rsidRPr="00270252">
        <w:rPr>
          <w:sz w:val="18"/>
          <w:lang w:val="en-US"/>
        </w:rPr>
        <w:t>Lymphadenopathy</w:t>
      </w:r>
      <w:proofErr w:type="spellEnd"/>
      <w:r w:rsidRPr="00270252">
        <w:rPr>
          <w:sz w:val="18"/>
          <w:lang w:val="en-US"/>
        </w:rPr>
        <w:t xml:space="preserve"> Syndrome*[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ARC[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AIDS Related Opportunistic Infection*[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Related Opportunistic Infection*[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Lipodystrophy</w:t>
      </w:r>
      <w:proofErr w:type="spellEnd"/>
      <w:r w:rsidRPr="00270252">
        <w:rPr>
          <w:sz w:val="18"/>
          <w:lang w:val="en-US"/>
        </w:rPr>
        <w:t xml:space="preserve"> Syndrome[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Associated </w:t>
      </w:r>
      <w:proofErr w:type="spellStart"/>
      <w:r w:rsidRPr="00270252">
        <w:rPr>
          <w:sz w:val="18"/>
          <w:lang w:val="en-US"/>
        </w:rPr>
        <w:t>Lipodystrophy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Enteropathies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Idiopathic AIDS </w:t>
      </w:r>
      <w:proofErr w:type="spellStart"/>
      <w:r w:rsidRPr="00270252">
        <w:rPr>
          <w:sz w:val="18"/>
          <w:lang w:val="en-US"/>
        </w:rPr>
        <w:t>Enteropath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HIV-Associated </w:t>
      </w:r>
      <w:proofErr w:type="spellStart"/>
      <w:r w:rsidRPr="00270252">
        <w:rPr>
          <w:sz w:val="18"/>
          <w:lang w:val="en-US"/>
        </w:rPr>
        <w:t>Enteropath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AIDS Associated </w:t>
      </w:r>
      <w:proofErr w:type="spellStart"/>
      <w:r w:rsidRPr="00270252">
        <w:rPr>
          <w:sz w:val="18"/>
          <w:lang w:val="en-US"/>
        </w:rPr>
        <w:t>Enteropath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Associated </w:t>
      </w:r>
      <w:proofErr w:type="spellStart"/>
      <w:r w:rsidRPr="00270252">
        <w:rPr>
          <w:sz w:val="18"/>
          <w:lang w:val="en-US"/>
        </w:rPr>
        <w:t>Enteropathy</w:t>
      </w:r>
      <w:proofErr w:type="spellEnd"/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AIDS </w:t>
      </w:r>
      <w:proofErr w:type="spellStart"/>
      <w:r w:rsidRPr="00270252">
        <w:rPr>
          <w:sz w:val="18"/>
          <w:lang w:val="en-US"/>
        </w:rPr>
        <w:t>Enteropath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Seropositivit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Anti HIV </w:t>
      </w:r>
      <w:proofErr w:type="spellStart"/>
      <w:r w:rsidRPr="00270252">
        <w:rPr>
          <w:sz w:val="18"/>
          <w:lang w:val="en-US"/>
        </w:rPr>
        <w:t>Positivit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HTLV-III </w:t>
      </w:r>
      <w:proofErr w:type="spellStart"/>
      <w:r w:rsidRPr="00270252">
        <w:rPr>
          <w:sz w:val="18"/>
          <w:lang w:val="en-US"/>
        </w:rPr>
        <w:t>Seropositivit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</w:t>
      </w:r>
      <w:proofErr w:type="spellStart"/>
      <w:r w:rsidRPr="00270252">
        <w:rPr>
          <w:sz w:val="18"/>
          <w:lang w:val="en-US"/>
        </w:rPr>
        <w:t>Seroconversion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HTLV-III </w:t>
      </w:r>
      <w:proofErr w:type="spellStart"/>
      <w:r w:rsidRPr="00270252">
        <w:rPr>
          <w:sz w:val="18"/>
          <w:lang w:val="en-US"/>
        </w:rPr>
        <w:t>Seroconversion</w:t>
      </w:r>
      <w:proofErr w:type="spellEnd"/>
      <w:r w:rsidRPr="00270252">
        <w:rPr>
          <w:sz w:val="18"/>
          <w:lang w:val="en-US"/>
        </w:rPr>
        <w:t>*[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OR HIV Antibody </w:t>
      </w:r>
      <w:proofErr w:type="spellStart"/>
      <w:r w:rsidRPr="00270252">
        <w:rPr>
          <w:sz w:val="18"/>
          <w:lang w:val="en-US"/>
        </w:rPr>
        <w:t>Positivit</w:t>
      </w:r>
      <w:proofErr w:type="spellEnd"/>
      <w:r w:rsidRPr="00270252">
        <w:rPr>
          <w:sz w:val="18"/>
          <w:lang w:val="en-US" w:eastAsia="nl-NL"/>
        </w:rPr>
        <w:t>*[</w:t>
      </w:r>
      <w:proofErr w:type="spellStart"/>
      <w:r w:rsidRPr="00270252">
        <w:rPr>
          <w:sz w:val="18"/>
          <w:lang w:val="en-US" w:eastAsia="nl-NL"/>
        </w:rPr>
        <w:t>tiab</w:t>
      </w:r>
      <w:proofErr w:type="spellEnd"/>
      <w:r w:rsidRPr="00270252">
        <w:rPr>
          <w:sz w:val="18"/>
          <w:lang w:val="en-US" w:eastAsia="nl-NL"/>
        </w:rPr>
        <w:t xml:space="preserve">] OR </w:t>
      </w:r>
      <w:r w:rsidRPr="00270252">
        <w:rPr>
          <w:sz w:val="18"/>
          <w:lang w:val="en-US"/>
        </w:rPr>
        <w:t>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HIV Wasting Disease[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AIDS Wasting Syndrome[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Wasting Syndrome, AIDS[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</w:t>
      </w:r>
    </w:p>
    <w:p w:rsidR="008C3B6D" w:rsidRPr="00270252" w:rsidRDefault="008C3B6D" w:rsidP="008C3B6D">
      <w:pPr>
        <w:rPr>
          <w:sz w:val="20"/>
          <w:lang w:val="en-US"/>
        </w:rPr>
      </w:pPr>
      <w:r w:rsidRPr="00270252">
        <w:rPr>
          <w:sz w:val="20"/>
          <w:lang w:val="en-US"/>
        </w:rPr>
        <w:t>AND</w:t>
      </w:r>
    </w:p>
    <w:p w:rsidR="008C3B6D" w:rsidRPr="00270252" w:rsidRDefault="008C3B6D" w:rsidP="008C3B6D">
      <w:pPr>
        <w:pStyle w:val="Kop3"/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Part 3: PK and therapeutic drug monitoring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“Therapeutic drug monitoring”[</w:t>
      </w:r>
      <w:proofErr w:type="spellStart"/>
      <w:r w:rsidRPr="00270252">
        <w:rPr>
          <w:sz w:val="18"/>
          <w:lang w:val="en-US"/>
        </w:rPr>
        <w:t>MeSH</w:t>
      </w:r>
      <w:proofErr w:type="spellEnd"/>
      <w:r w:rsidRPr="00270252">
        <w:rPr>
          <w:sz w:val="18"/>
          <w:lang w:val="en-US"/>
        </w:rPr>
        <w:t>]</w:t>
      </w:r>
    </w:p>
    <w:p w:rsidR="008C3B6D" w:rsidRPr="00270252" w:rsidRDefault="008C3B6D" w:rsidP="008C3B6D">
      <w:pPr>
        <w:spacing w:line="240" w:lineRule="auto"/>
        <w:rPr>
          <w:sz w:val="18"/>
          <w:lang w:val="en-US"/>
        </w:rPr>
      </w:pPr>
      <w:r w:rsidRPr="00270252">
        <w:rPr>
          <w:sz w:val="18"/>
          <w:lang w:val="en-US"/>
        </w:rPr>
        <w:t>OR</w:t>
      </w:r>
    </w:p>
    <w:p w:rsidR="008C3B6D" w:rsidRPr="00270252" w:rsidRDefault="008C3B6D" w:rsidP="008C3B6D">
      <w:pPr>
        <w:spacing w:line="240" w:lineRule="auto"/>
        <w:rPr>
          <w:sz w:val="18"/>
        </w:rPr>
      </w:pPr>
      <w:r w:rsidRPr="00270252">
        <w:rPr>
          <w:sz w:val="18"/>
          <w:lang w:val="en-US"/>
        </w:rPr>
        <w:t>Therapeutic Drug Monitoring[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>] OR Pharmacokinetics[</w:t>
      </w:r>
      <w:proofErr w:type="spellStart"/>
      <w:r w:rsidRPr="00270252">
        <w:rPr>
          <w:sz w:val="18"/>
          <w:lang w:val="en-US"/>
        </w:rPr>
        <w:t>tiab</w:t>
      </w:r>
      <w:proofErr w:type="spellEnd"/>
      <w:r w:rsidRPr="00270252">
        <w:rPr>
          <w:sz w:val="18"/>
          <w:lang w:val="en-US"/>
        </w:rPr>
        <w:t xml:space="preserve">] </w:t>
      </w:r>
    </w:p>
    <w:p w:rsidR="008C3B6D" w:rsidRPr="00270252" w:rsidRDefault="008C3B6D" w:rsidP="008C3B6D">
      <w:pPr>
        <w:rPr>
          <w:sz w:val="20"/>
        </w:rPr>
      </w:pPr>
    </w:p>
    <w:sectPr w:rsidR="008C3B6D" w:rsidRPr="00270252" w:rsidSect="008C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9EC"/>
    <w:multiLevelType w:val="hybridMultilevel"/>
    <w:tmpl w:val="85ACB9EA"/>
    <w:lvl w:ilvl="0" w:tplc="78D2A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A4F96"/>
    <w:multiLevelType w:val="multilevel"/>
    <w:tmpl w:val="FF8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D5DAE"/>
    <w:multiLevelType w:val="hybridMultilevel"/>
    <w:tmpl w:val="45F2B24A"/>
    <w:lvl w:ilvl="0" w:tplc="2256A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21A3"/>
    <w:multiLevelType w:val="hybridMultilevel"/>
    <w:tmpl w:val="4B80F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4DF1"/>
    <w:multiLevelType w:val="hybridMultilevel"/>
    <w:tmpl w:val="03483E6C"/>
    <w:lvl w:ilvl="0" w:tplc="B2422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66DF2"/>
    <w:multiLevelType w:val="hybridMultilevel"/>
    <w:tmpl w:val="B972E5EC"/>
    <w:lvl w:ilvl="0" w:tplc="41388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7B9A"/>
    <w:multiLevelType w:val="hybridMultilevel"/>
    <w:tmpl w:val="E89A1FB2"/>
    <w:lvl w:ilvl="0" w:tplc="FC2A609E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A5921"/>
    <w:multiLevelType w:val="hybridMultilevel"/>
    <w:tmpl w:val="FA5E9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812"/>
    <w:multiLevelType w:val="hybridMultilevel"/>
    <w:tmpl w:val="57B0880E"/>
    <w:lvl w:ilvl="0" w:tplc="F73E8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F9C"/>
    <w:rsid w:val="000B36DD"/>
    <w:rsid w:val="00137C94"/>
    <w:rsid w:val="00171264"/>
    <w:rsid w:val="002345D7"/>
    <w:rsid w:val="00270252"/>
    <w:rsid w:val="002C5C4F"/>
    <w:rsid w:val="002C5DB6"/>
    <w:rsid w:val="00303AFF"/>
    <w:rsid w:val="0035726A"/>
    <w:rsid w:val="003F7D5A"/>
    <w:rsid w:val="004460A8"/>
    <w:rsid w:val="004D3CB4"/>
    <w:rsid w:val="00507D50"/>
    <w:rsid w:val="00612F9C"/>
    <w:rsid w:val="007A3C1F"/>
    <w:rsid w:val="008C3B6D"/>
    <w:rsid w:val="00B06CBF"/>
    <w:rsid w:val="00C06C67"/>
    <w:rsid w:val="00C65B65"/>
    <w:rsid w:val="00CA4A46"/>
    <w:rsid w:val="00D9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B6D"/>
    <w:pPr>
      <w:spacing w:line="36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8C3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3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3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8C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8C3B6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C3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8C3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C3B6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C3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Standaardalinea-lettertype"/>
    <w:uiPriority w:val="99"/>
    <w:unhideWhenUsed/>
    <w:rsid w:val="008C3B6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8C3B6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C3B6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C3B6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C3B6D"/>
    <w:rPr>
      <w:rFonts w:ascii="Calibri" w:hAnsi="Calibri"/>
      <w:noProof/>
      <w:lang w:val="en-US"/>
    </w:rPr>
  </w:style>
  <w:style w:type="character" w:styleId="Verwijzingopmerking">
    <w:name w:val="annotation reference"/>
    <w:basedOn w:val="Standaardalinea-lettertype"/>
    <w:unhideWhenUsed/>
    <w:rsid w:val="008C3B6D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C3B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C3B6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3B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3B6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B6D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8C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basedOn w:val="Standaardtabel"/>
    <w:uiPriority w:val="61"/>
    <w:rsid w:val="008C3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emiddeldelijst11">
    <w:name w:val="Gemiddelde lijst 11"/>
    <w:basedOn w:val="Standaardtabel"/>
    <w:uiPriority w:val="65"/>
    <w:rsid w:val="008C3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emiddeldelijst21">
    <w:name w:val="Gemiddelde lijst 21"/>
    <w:basedOn w:val="Standaardtabel"/>
    <w:uiPriority w:val="66"/>
    <w:rsid w:val="008C3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8C3B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C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8C3B6D"/>
    <w:pPr>
      <w:spacing w:after="0" w:line="240" w:lineRule="auto"/>
    </w:pPr>
    <w:rPr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8C3B6D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C3B6D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semiHidden/>
    <w:unhideWhenUsed/>
    <w:rsid w:val="008C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C3B6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C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3B6D"/>
    <w:rPr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3B6D"/>
    <w:rPr>
      <w:color w:val="800080" w:themeColor="followedHyperlink"/>
      <w:u w:val="single"/>
    </w:rPr>
  </w:style>
  <w:style w:type="paragraph" w:customStyle="1" w:styleId="Default">
    <w:name w:val="Default"/>
    <w:rsid w:val="008C3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8C3B6D"/>
    <w:pPr>
      <w:spacing w:after="0" w:line="240" w:lineRule="auto"/>
    </w:pPr>
    <w:rPr>
      <w:lang w:val="en-GB"/>
    </w:rPr>
  </w:style>
  <w:style w:type="table" w:customStyle="1" w:styleId="Lichtearcering1">
    <w:name w:val="Lichte arcering1"/>
    <w:basedOn w:val="Standaardtabel"/>
    <w:uiPriority w:val="60"/>
    <w:rsid w:val="008C3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8C3B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arcering2">
    <w:name w:val="Lichte arcering2"/>
    <w:basedOn w:val="Standaardtabel"/>
    <w:uiPriority w:val="60"/>
    <w:rsid w:val="008C3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2-accent5">
    <w:name w:val="Medium List 2 Accent 5"/>
    <w:basedOn w:val="Standaardtabel"/>
    <w:uiPriority w:val="66"/>
    <w:rsid w:val="008C3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ablefootnote">
    <w:name w:val="table_footnote"/>
    <w:basedOn w:val="Standaardalinea-lettertype"/>
    <w:rsid w:val="008C3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Hylke Waalewijn</dc:creator>
  <cp:lastModifiedBy>Hylke Waalewijn</cp:lastModifiedBy>
  <cp:revision>3</cp:revision>
  <dcterms:created xsi:type="dcterms:W3CDTF">2018-11-27T15:39:00Z</dcterms:created>
  <dcterms:modified xsi:type="dcterms:W3CDTF">2018-11-27T15:39:00Z</dcterms:modified>
</cp:coreProperties>
</file>