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327645D" w14:textId="468AF045" w:rsidR="00B261D4" w:rsidRPr="00221447" w:rsidRDefault="00B261D4" w:rsidP="00B261D4">
      <w:pPr>
        <w:adjustRightInd w:val="0"/>
        <w:snapToGrid w:val="0"/>
        <w:spacing w:line="480" w:lineRule="auto"/>
        <w:ind w:rightChars="-159" w:right="-334"/>
        <w:rPr>
          <w:rFonts w:ascii="TimesNewRomanPS-BoldMT" w:hAnsi="TimesNewRomanPS-BoldMT" w:hint="eastAsia"/>
          <w:b/>
          <w:bCs/>
          <w:color w:val="000000" w:themeColor="text1"/>
          <w:sz w:val="24"/>
          <w:szCs w:val="24"/>
        </w:rPr>
      </w:pPr>
      <w:r w:rsidRPr="00221447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>Supplementary Text</w:t>
      </w:r>
    </w:p>
    <w:p w14:paraId="49423EBE" w14:textId="5B3057C3" w:rsidR="00B261D4" w:rsidRPr="00221447" w:rsidRDefault="00B261D4" w:rsidP="00B261D4">
      <w:pPr>
        <w:adjustRightInd w:val="0"/>
        <w:snapToGrid w:val="0"/>
        <w:spacing w:line="480" w:lineRule="auto"/>
        <w:ind w:rightChars="-159" w:right="-334"/>
        <w:rPr>
          <w:rFonts w:ascii="TimesNewRomanPS-BoldMT" w:hAnsi="TimesNewRomanPS-BoldMT" w:hint="eastAsia"/>
          <w:b/>
          <w:bCs/>
          <w:color w:val="000000" w:themeColor="text1"/>
          <w:sz w:val="24"/>
          <w:szCs w:val="24"/>
        </w:rPr>
      </w:pPr>
      <w:r w:rsidRPr="00221447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 xml:space="preserve">Details of the statistical analysis </w:t>
      </w:r>
      <w:r w:rsidR="00A91C07" w:rsidRPr="00221447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>performed for the</w:t>
      </w:r>
      <w:r w:rsidRPr="00221447">
        <w:rPr>
          <w:rFonts w:ascii="TimesNewRomanPS-BoldMT" w:hAnsi="TimesNewRomanPS-BoldMT" w:hint="eastAsia"/>
          <w:b/>
          <w:bCs/>
          <w:color w:val="000000" w:themeColor="text1"/>
          <w:sz w:val="24"/>
          <w:szCs w:val="24"/>
        </w:rPr>
        <w:t xml:space="preserve"> cost-effectiveness analysis</w:t>
      </w:r>
    </w:p>
    <w:p w14:paraId="0D6DDBB7" w14:textId="77777777" w:rsidR="00B261D4" w:rsidRPr="00221447" w:rsidRDefault="00B261D4" w:rsidP="00B261D4">
      <w:pPr>
        <w:adjustRightInd w:val="0"/>
        <w:snapToGrid w:val="0"/>
        <w:spacing w:line="480" w:lineRule="auto"/>
        <w:ind w:rightChars="-159" w:right="-334"/>
        <w:rPr>
          <w:rFonts w:ascii="TimesNewRomanPS-BoldMT" w:hAnsi="TimesNewRomanPS-BoldMT" w:hint="eastAsia"/>
          <w:bCs/>
          <w:i/>
          <w:color w:val="000000" w:themeColor="text1"/>
          <w:sz w:val="24"/>
          <w:szCs w:val="24"/>
        </w:rPr>
      </w:pPr>
      <w:r w:rsidRPr="00221447">
        <w:rPr>
          <w:rFonts w:ascii="TimesNewRomanPS-BoldMT" w:hAnsi="TimesNewRomanPS-BoldMT" w:hint="eastAsia"/>
          <w:bCs/>
          <w:i/>
          <w:color w:val="000000" w:themeColor="text1"/>
          <w:sz w:val="24"/>
          <w:szCs w:val="24"/>
        </w:rPr>
        <w:t xml:space="preserve">Model structure </w:t>
      </w:r>
    </w:p>
    <w:p w14:paraId="4A92A30B" w14:textId="4F7A3FD7" w:rsidR="00B261D4" w:rsidRPr="0068063D" w:rsidRDefault="00D27630" w:rsidP="00B261D4">
      <w:pPr>
        <w:adjustRightInd w:val="0"/>
        <w:snapToGrid w:val="0"/>
        <w:spacing w:line="480" w:lineRule="auto"/>
        <w:ind w:rightChars="-159" w:right="-334"/>
        <w:rPr>
          <w:rFonts w:cs="Times New Roman"/>
          <w:color w:val="000000" w:themeColor="text1"/>
          <w:sz w:val="24"/>
          <w:szCs w:val="28"/>
        </w:rPr>
      </w:pPr>
      <w:r w:rsidRPr="00221447">
        <w:rPr>
          <w:rFonts w:ascii="TimesNewRomanPS-BoldMT" w:hAnsi="TimesNewRomanPS-BoldMT" w:hint="eastAsia"/>
          <w:bCs/>
          <w:color w:val="000000" w:themeColor="text1"/>
          <w:sz w:val="24"/>
          <w:szCs w:val="24"/>
        </w:rPr>
        <w:t xml:space="preserve">We conducted a decision-analytic model </w:t>
      </w:r>
      <w:r w:rsidRPr="00221447">
        <w:rPr>
          <w:color w:val="000000" w:themeColor="text1"/>
          <w:sz w:val="24"/>
          <w:szCs w:val="24"/>
        </w:rPr>
        <w:t xml:space="preserve">from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a health-system perspective in China to </w:t>
      </w:r>
      <w:r w:rsidRPr="00221447">
        <w:rPr>
          <w:rFonts w:ascii="TimesNewRomanPS-BoldMT" w:hAnsi="TimesNewRomanPS-BoldMT" w:hint="eastAsia"/>
          <w:bCs/>
          <w:color w:val="000000" w:themeColor="text1"/>
          <w:sz w:val="24"/>
          <w:szCs w:val="24"/>
        </w:rPr>
        <w:t xml:space="preserve">assess </w:t>
      </w:r>
      <w:r w:rsidRPr="0068063D">
        <w:rPr>
          <w:rFonts w:cs="Times New Roman"/>
          <w:color w:val="000000" w:themeColor="text1"/>
          <w:sz w:val="24"/>
          <w:szCs w:val="28"/>
        </w:rPr>
        <w:t>the</w:t>
      </w:r>
      <w:r w:rsidRPr="00221447">
        <w:rPr>
          <w:color w:val="000000" w:themeColor="text1"/>
        </w:rPr>
        <w:t xml:space="preserve">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cost-effectiveness of TDM </w:t>
      </w:r>
      <w:r w:rsidRPr="00221447">
        <w:rPr>
          <w:rFonts w:ascii="TimesNewRomanPS-BoldMT" w:hAnsi="TimesNewRomanPS-BoldMT" w:hint="eastAsia"/>
          <w:bCs/>
          <w:color w:val="000000" w:themeColor="text1"/>
          <w:sz w:val="24"/>
          <w:szCs w:val="24"/>
        </w:rPr>
        <w:t>using TreeAge Pro 2011 (TreeAge Software, Inc., MA, USA</w:t>
      </w:r>
      <w:r w:rsidR="00221447">
        <w:rPr>
          <w:rFonts w:ascii="TimesNewRomanPS-BoldMT" w:hAnsi="TimesNewRomanPS-BoldMT"/>
          <w:bCs/>
          <w:color w:val="000000" w:themeColor="text1"/>
          <w:sz w:val="24"/>
          <w:szCs w:val="24"/>
        </w:rPr>
        <w:t>)</w:t>
      </w:r>
      <w:r w:rsidRPr="00221447">
        <w:rPr>
          <w:rFonts w:ascii="TimesNewRomanPS-BoldMT" w:hAnsi="TimesNewRomanPS-BoldMT" w:hint="eastAsia"/>
          <w:bCs/>
          <w:color w:val="000000" w:themeColor="text1"/>
          <w:sz w:val="24"/>
          <w:szCs w:val="24"/>
        </w:rPr>
        <w:t xml:space="preserve">.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For each patient, the frequency of vancomycin trough concentrations less than or equal to 20 mg/L and greater than 20 mg/L was determined from our prospective study. The TDM group consisted of patients whose TDM were implemented during vancomycin therapy. </w:t>
      </w:r>
      <w:r w:rsidR="00A91C07" w:rsidRPr="0068063D">
        <w:rPr>
          <w:rFonts w:cs="Times New Roman"/>
          <w:color w:val="000000" w:themeColor="text1"/>
          <w:sz w:val="24"/>
          <w:szCs w:val="28"/>
        </w:rPr>
        <w:t>T</w:t>
      </w:r>
      <w:r w:rsidRPr="0068063D">
        <w:rPr>
          <w:rFonts w:cs="Times New Roman"/>
          <w:color w:val="000000" w:themeColor="text1"/>
          <w:sz w:val="24"/>
          <w:szCs w:val="28"/>
        </w:rPr>
        <w:t>he non-TDM group</w:t>
      </w:r>
      <w:r w:rsidR="00A91C07" w:rsidRPr="0068063D">
        <w:rPr>
          <w:rFonts w:cs="Times New Roman"/>
          <w:color w:val="000000" w:themeColor="text1"/>
          <w:sz w:val="24"/>
          <w:szCs w:val="28"/>
        </w:rPr>
        <w:t xml:space="preserve"> consisted of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patients </w:t>
      </w:r>
      <w:r w:rsidR="00A91C07" w:rsidRPr="0068063D">
        <w:rPr>
          <w:rFonts w:cs="Times New Roman"/>
          <w:color w:val="000000" w:themeColor="text1"/>
          <w:sz w:val="24"/>
          <w:szCs w:val="28"/>
        </w:rPr>
        <w:t xml:space="preserve">administered the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standard dosing regimen with the assumption that no dosage changes would be </w:t>
      </w:r>
      <w:r w:rsidR="00A91C07" w:rsidRPr="0068063D">
        <w:rPr>
          <w:rFonts w:cs="Times New Roman"/>
          <w:color w:val="000000" w:themeColor="text1"/>
          <w:sz w:val="24"/>
          <w:szCs w:val="28"/>
        </w:rPr>
        <w:t xml:space="preserve">performed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without monitoring. </w:t>
      </w:r>
    </w:p>
    <w:p w14:paraId="7685B33C" w14:textId="77777777" w:rsidR="00B261D4" w:rsidRPr="0068063D" w:rsidRDefault="00B261D4" w:rsidP="00B261D4">
      <w:pPr>
        <w:adjustRightInd w:val="0"/>
        <w:snapToGrid w:val="0"/>
        <w:spacing w:line="480" w:lineRule="auto"/>
        <w:ind w:rightChars="-159" w:right="-334"/>
        <w:rPr>
          <w:rFonts w:cs="Times New Roman"/>
          <w:i/>
          <w:color w:val="000000" w:themeColor="text1"/>
          <w:sz w:val="24"/>
          <w:szCs w:val="28"/>
        </w:rPr>
      </w:pPr>
      <w:r w:rsidRPr="0068063D">
        <w:rPr>
          <w:rFonts w:cs="Times New Roman"/>
          <w:i/>
          <w:color w:val="000000" w:themeColor="text1"/>
          <w:sz w:val="24"/>
          <w:szCs w:val="28"/>
        </w:rPr>
        <w:t>Model inputs</w:t>
      </w:r>
    </w:p>
    <w:p w14:paraId="023A07A0" w14:textId="6473A605" w:rsidR="00B261D4" w:rsidRPr="0068063D" w:rsidRDefault="00D27630" w:rsidP="00B261D4">
      <w:pPr>
        <w:adjustRightInd w:val="0"/>
        <w:snapToGrid w:val="0"/>
        <w:spacing w:line="480" w:lineRule="auto"/>
        <w:ind w:rightChars="-159" w:right="-334"/>
        <w:rPr>
          <w:rFonts w:cs="Times New Roman"/>
          <w:color w:val="000000" w:themeColor="text1"/>
          <w:sz w:val="24"/>
          <w:szCs w:val="28"/>
        </w:rPr>
      </w:pPr>
      <w:r w:rsidRPr="0068063D">
        <w:rPr>
          <w:rFonts w:cs="Times New Roman"/>
          <w:color w:val="000000" w:themeColor="text1"/>
          <w:sz w:val="24"/>
          <w:szCs w:val="28"/>
        </w:rPr>
        <w:t>The probabilities of VAN data were derived from our study. The costs were obtained from the National Health and Family Planning Commission of the People’s Republic of China</w:t>
      </w:r>
      <w:r w:rsidRPr="00221447">
        <w:rPr>
          <w:color w:val="000000" w:themeColor="text1"/>
        </w:rPr>
        <w:t xml:space="preserve"> </w:t>
      </w:r>
      <w:r w:rsidRPr="00221447">
        <w:rPr>
          <w:rFonts w:ascii="TimesNewRomanPSMT" w:hAnsi="TimesNewRomanPSMT" w:hint="eastAsia"/>
          <w:color w:val="000000" w:themeColor="text1"/>
          <w:sz w:val="24"/>
          <w:szCs w:val="24"/>
        </w:rPr>
        <w:t>(http://www.nhfpc.gov.cn)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. Cost accrued </w:t>
      </w:r>
      <w:r w:rsidR="00A91C07" w:rsidRPr="0068063D">
        <w:rPr>
          <w:rFonts w:cs="Times New Roman"/>
          <w:color w:val="000000" w:themeColor="text1"/>
          <w:sz w:val="24"/>
          <w:szCs w:val="28"/>
        </w:rPr>
        <w:t>dur</w:t>
      </w:r>
      <w:r w:rsidRPr="0068063D">
        <w:rPr>
          <w:rFonts w:cs="Times New Roman"/>
          <w:color w:val="000000" w:themeColor="text1"/>
          <w:sz w:val="24"/>
          <w:szCs w:val="28"/>
        </w:rPr>
        <w:t>in</w:t>
      </w:r>
      <w:r w:rsidR="00A91C07" w:rsidRPr="0068063D">
        <w:rPr>
          <w:rFonts w:cs="Times New Roman"/>
          <w:color w:val="000000" w:themeColor="text1"/>
          <w:sz w:val="24"/>
          <w:szCs w:val="28"/>
        </w:rPr>
        <w:t>g the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monitoring </w:t>
      </w:r>
      <w:r w:rsidR="00A91C07" w:rsidRPr="0068063D">
        <w:rPr>
          <w:rFonts w:cs="Times New Roman"/>
          <w:color w:val="000000" w:themeColor="text1"/>
          <w:sz w:val="24"/>
          <w:szCs w:val="28"/>
        </w:rPr>
        <w:t xml:space="preserve">of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vancomycin levels was calculated </w:t>
      </w:r>
      <w:r w:rsidR="00A91C07" w:rsidRPr="0068063D">
        <w:rPr>
          <w:rFonts w:cs="Times New Roman"/>
          <w:color w:val="000000" w:themeColor="text1"/>
          <w:sz w:val="24"/>
          <w:szCs w:val="28"/>
        </w:rPr>
        <w:t xml:space="preserve">using </w:t>
      </w:r>
      <w:r w:rsidRPr="0068063D">
        <w:rPr>
          <w:rFonts w:cs="Times New Roman"/>
          <w:color w:val="000000" w:themeColor="text1"/>
          <w:sz w:val="24"/>
          <w:szCs w:val="28"/>
        </w:rPr>
        <w:t>the following: cost of the serum vancomycin assays (drug assay kits, calibration, quality control, and other medical supplies); costs of time spent by nurses; costs of laboratory test; pharmacists performing these monitoring activities;</w:t>
      </w:r>
      <w:r w:rsidR="00014ED0" w:rsidRPr="0068063D">
        <w:rPr>
          <w:rFonts w:cs="Times New Roman"/>
          <w:color w:val="000000" w:themeColor="text1"/>
          <w:sz w:val="24"/>
          <w:szCs w:val="28"/>
        </w:rPr>
        <w:t xml:space="preserve"> and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treatment of AKI.</w:t>
      </w:r>
      <w:r w:rsidRPr="00221447">
        <w:rPr>
          <w:color w:val="000000" w:themeColor="text1"/>
        </w:rPr>
        <w:t xml:space="preserve">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Discounting was not considered </w:t>
      </w:r>
      <w:r w:rsidR="00014ED0" w:rsidRPr="0068063D">
        <w:rPr>
          <w:rFonts w:cs="Times New Roman"/>
          <w:color w:val="000000" w:themeColor="text1"/>
          <w:sz w:val="24"/>
          <w:szCs w:val="28"/>
        </w:rPr>
        <w:t xml:space="preserve">as </w:t>
      </w:r>
      <w:r w:rsidRPr="0068063D">
        <w:rPr>
          <w:rFonts w:cs="Times New Roman"/>
          <w:color w:val="000000" w:themeColor="text1"/>
          <w:sz w:val="24"/>
          <w:szCs w:val="28"/>
        </w:rPr>
        <w:t>benefits and costs occurred in the same time period.</w:t>
      </w:r>
    </w:p>
    <w:p w14:paraId="07433E4D" w14:textId="0A925324" w:rsidR="00B261D4" w:rsidRPr="0068063D" w:rsidRDefault="00B261D4" w:rsidP="00B261D4">
      <w:pPr>
        <w:adjustRightInd w:val="0"/>
        <w:snapToGrid w:val="0"/>
        <w:spacing w:line="480" w:lineRule="auto"/>
        <w:ind w:rightChars="-159" w:right="-334"/>
        <w:rPr>
          <w:rFonts w:cs="Times New Roman"/>
          <w:i/>
          <w:color w:val="000000" w:themeColor="text1"/>
          <w:sz w:val="24"/>
          <w:szCs w:val="28"/>
        </w:rPr>
      </w:pPr>
      <w:r w:rsidRPr="0068063D">
        <w:rPr>
          <w:rFonts w:cs="Times New Roman"/>
          <w:i/>
          <w:color w:val="000000" w:themeColor="text1"/>
          <w:sz w:val="24"/>
          <w:szCs w:val="28"/>
        </w:rPr>
        <w:t xml:space="preserve">Outcomes and </w:t>
      </w:r>
      <w:r w:rsidR="008A75B3" w:rsidRPr="00221447">
        <w:rPr>
          <w:rFonts w:cs="Times New Roman"/>
          <w:i/>
          <w:color w:val="000000" w:themeColor="text1"/>
          <w:sz w:val="24"/>
          <w:szCs w:val="28"/>
        </w:rPr>
        <w:t xml:space="preserve">sensitivity </w:t>
      </w:r>
      <w:r w:rsidRPr="0068063D">
        <w:rPr>
          <w:rFonts w:cs="Times New Roman"/>
          <w:i/>
          <w:color w:val="000000" w:themeColor="text1"/>
          <w:sz w:val="24"/>
          <w:szCs w:val="28"/>
        </w:rPr>
        <w:t>analysis</w:t>
      </w:r>
    </w:p>
    <w:p w14:paraId="39B9B3CB" w14:textId="0A874CE5" w:rsidR="00D27630" w:rsidRPr="0068063D" w:rsidRDefault="00D27630" w:rsidP="00B261D4">
      <w:pPr>
        <w:adjustRightInd w:val="0"/>
        <w:snapToGrid w:val="0"/>
        <w:spacing w:line="480" w:lineRule="auto"/>
        <w:ind w:rightChars="-159" w:right="-334"/>
        <w:rPr>
          <w:rFonts w:cs="Times New Roman"/>
          <w:color w:val="000000" w:themeColor="text1"/>
          <w:sz w:val="22"/>
          <w:szCs w:val="28"/>
        </w:rPr>
      </w:pPr>
      <w:r w:rsidRPr="0068063D">
        <w:rPr>
          <w:rFonts w:cs="Times New Roman"/>
          <w:color w:val="000000" w:themeColor="text1"/>
          <w:sz w:val="24"/>
          <w:szCs w:val="28"/>
        </w:rPr>
        <w:t>The outcomes of interest were</w:t>
      </w:r>
      <w:r w:rsidRPr="00221447">
        <w:rPr>
          <w:color w:val="000000" w:themeColor="text1"/>
        </w:rPr>
        <w:t xml:space="preserve"> </w:t>
      </w:r>
      <w:r w:rsidRPr="0068063D">
        <w:rPr>
          <w:rFonts w:cs="Times New Roman"/>
          <w:color w:val="000000" w:themeColor="text1"/>
          <w:sz w:val="24"/>
          <w:szCs w:val="28"/>
        </w:rPr>
        <w:t>treating nephrotoxicity costs and</w:t>
      </w:r>
      <w:r w:rsidR="00014ED0" w:rsidRPr="0068063D">
        <w:rPr>
          <w:rFonts w:cs="Times New Roman"/>
          <w:color w:val="000000" w:themeColor="text1"/>
          <w:sz w:val="24"/>
          <w:szCs w:val="28"/>
        </w:rPr>
        <w:t xml:space="preserve"> the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nephrotoxic episode prevented. The incremental cost</w:t>
      </w:r>
      <w:r w:rsidR="00014ED0" w:rsidRPr="0068063D">
        <w:rPr>
          <w:rFonts w:cs="Times New Roman"/>
          <w:color w:val="000000" w:themeColor="text1"/>
          <w:sz w:val="24"/>
          <w:szCs w:val="28"/>
        </w:rPr>
        <w:t xml:space="preserve"> </w:t>
      </w:r>
      <w:r w:rsidRPr="0068063D">
        <w:rPr>
          <w:rFonts w:cs="Times New Roman"/>
          <w:color w:val="000000" w:themeColor="text1"/>
          <w:sz w:val="24"/>
          <w:szCs w:val="28"/>
        </w:rPr>
        <w:t>effectiveness ratio (ICER) per nephrotoxic episode prevented was calculated</w:t>
      </w:r>
      <w:r w:rsidRPr="00221447">
        <w:rPr>
          <w:color w:val="000000" w:themeColor="text1"/>
        </w:rPr>
        <w:t xml:space="preserve"> </w:t>
      </w:r>
      <w:r w:rsidR="00014ED0" w:rsidRPr="0068063D">
        <w:rPr>
          <w:rFonts w:cs="Times New Roman"/>
          <w:color w:val="000000" w:themeColor="text1"/>
          <w:sz w:val="24"/>
          <w:szCs w:val="28"/>
        </w:rPr>
        <w:t xml:space="preserve">using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the frequencies of nephrotoxicity found in the two groups. </w:t>
      </w:r>
      <w:r w:rsidR="00014ED0" w:rsidRPr="0068063D">
        <w:rPr>
          <w:rFonts w:cs="Times New Roman"/>
          <w:color w:val="000000" w:themeColor="text1"/>
          <w:sz w:val="24"/>
          <w:szCs w:val="28"/>
        </w:rPr>
        <w:t>T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reatment strategies with an ICER of less than CNY 64,644 (i.e., Chinese gross domestic </w:t>
      </w:r>
      <w:r w:rsidRPr="0068063D">
        <w:rPr>
          <w:rFonts w:cs="Times New Roman"/>
          <w:color w:val="000000" w:themeColor="text1"/>
          <w:sz w:val="24"/>
          <w:szCs w:val="28"/>
        </w:rPr>
        <w:lastRenderedPageBreak/>
        <w:t xml:space="preserve">product [GDP] per capita in 2017) per nephrotoxic episode prevented </w:t>
      </w:r>
      <w:r w:rsidR="00014ED0" w:rsidRPr="0068063D">
        <w:rPr>
          <w:rFonts w:cs="Times New Roman"/>
          <w:color w:val="000000" w:themeColor="text1"/>
          <w:sz w:val="24"/>
          <w:szCs w:val="28"/>
        </w:rPr>
        <w:t>were deemed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acceptable.</w:t>
      </w:r>
      <w:r w:rsidRPr="00221447">
        <w:rPr>
          <w:color w:val="000000" w:themeColor="text1"/>
        </w:rPr>
        <w:t xml:space="preserve"> </w:t>
      </w:r>
      <w:r w:rsidRPr="0068063D">
        <w:rPr>
          <w:rFonts w:cs="Times New Roman"/>
          <w:color w:val="000000" w:themeColor="text1"/>
          <w:sz w:val="24"/>
          <w:szCs w:val="28"/>
        </w:rPr>
        <w:t>One-way sensitivity analyses were used to investigate how variation</w:t>
      </w:r>
      <w:r w:rsidR="00014ED0" w:rsidRPr="0068063D">
        <w:rPr>
          <w:rFonts w:cs="Times New Roman"/>
          <w:color w:val="000000" w:themeColor="text1"/>
          <w:sz w:val="24"/>
          <w:szCs w:val="28"/>
        </w:rPr>
        <w:t>s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in one variable could affect </w:t>
      </w:r>
      <w:r w:rsidR="00014ED0" w:rsidRPr="0068063D">
        <w:rPr>
          <w:rFonts w:cs="Times New Roman"/>
          <w:color w:val="000000" w:themeColor="text1"/>
          <w:sz w:val="24"/>
          <w:szCs w:val="28"/>
        </w:rPr>
        <w:t xml:space="preserve">the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model results. Probabilistic sensitivity analysis was carried out with 1,000 Monte Carlo simulations to </w:t>
      </w:r>
      <w:r w:rsidR="006B5805" w:rsidRPr="0068063D">
        <w:rPr>
          <w:rFonts w:cs="Times New Roman"/>
          <w:color w:val="000000" w:themeColor="text1"/>
          <w:sz w:val="24"/>
          <w:szCs w:val="28"/>
        </w:rPr>
        <w:t xml:space="preserve">simultaneously </w:t>
      </w:r>
      <w:r w:rsidRPr="0068063D">
        <w:rPr>
          <w:rFonts w:cs="Times New Roman"/>
          <w:color w:val="000000" w:themeColor="text1"/>
          <w:sz w:val="24"/>
          <w:szCs w:val="28"/>
        </w:rPr>
        <w:t>evaluate the impact of all variables.</w:t>
      </w:r>
    </w:p>
    <w:p w14:paraId="24333679" w14:textId="77777777" w:rsidR="00D27630" w:rsidRPr="0068063D" w:rsidRDefault="00D27630" w:rsidP="00D27630">
      <w:pPr>
        <w:widowControl/>
        <w:rPr>
          <w:rFonts w:cs="Times New Roman"/>
          <w:color w:val="000000" w:themeColor="text1"/>
          <w:sz w:val="22"/>
          <w:szCs w:val="28"/>
        </w:rPr>
      </w:pPr>
      <w:r w:rsidRPr="0068063D">
        <w:rPr>
          <w:rFonts w:cs="Times New Roman"/>
          <w:color w:val="000000" w:themeColor="text1"/>
          <w:sz w:val="22"/>
          <w:szCs w:val="28"/>
        </w:rPr>
        <w:br w:type="page"/>
      </w:r>
    </w:p>
    <w:p w14:paraId="5BBD924D" w14:textId="039D90C9" w:rsidR="002444B9" w:rsidRPr="0068063D" w:rsidRDefault="002444B9" w:rsidP="002444B9">
      <w:pPr>
        <w:adjustRightInd w:val="0"/>
        <w:snapToGrid w:val="0"/>
        <w:spacing w:line="360" w:lineRule="auto"/>
        <w:ind w:rightChars="-159" w:right="-334"/>
        <w:jc w:val="left"/>
        <w:rPr>
          <w:rFonts w:cs="Times New Roman"/>
          <w:color w:val="000000" w:themeColor="text1"/>
          <w:sz w:val="24"/>
          <w:szCs w:val="28"/>
        </w:rPr>
      </w:pPr>
      <w:r w:rsidRPr="0068063D">
        <w:rPr>
          <w:rFonts w:cs="Times New Roman"/>
          <w:b/>
          <w:color w:val="000000" w:themeColor="text1"/>
          <w:sz w:val="24"/>
          <w:szCs w:val="28"/>
        </w:rPr>
        <w:lastRenderedPageBreak/>
        <w:t xml:space="preserve">Table S1 </w:t>
      </w:r>
      <w:r w:rsidR="006B5805" w:rsidRPr="0068063D">
        <w:rPr>
          <w:rFonts w:cs="Times New Roman"/>
          <w:bCs/>
          <w:color w:val="000000" w:themeColor="text1"/>
          <w:sz w:val="24"/>
          <w:szCs w:val="28"/>
        </w:rPr>
        <w:t>The</w:t>
      </w:r>
      <w:r w:rsidR="006B5805" w:rsidRPr="0068063D">
        <w:rPr>
          <w:rFonts w:cs="Times New Roman"/>
          <w:b/>
          <w:color w:val="000000" w:themeColor="text1"/>
          <w:sz w:val="24"/>
          <w:szCs w:val="28"/>
        </w:rPr>
        <w:t xml:space="preserve"> 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RIFLE criteria for diagnosing and </w:t>
      </w:r>
      <w:r w:rsidR="006B5805" w:rsidRPr="0068063D">
        <w:rPr>
          <w:rFonts w:cs="Times New Roman"/>
          <w:color w:val="000000" w:themeColor="text1"/>
          <w:sz w:val="24"/>
          <w:szCs w:val="28"/>
        </w:rPr>
        <w:t xml:space="preserve">classifying the stage of </w:t>
      </w:r>
      <w:r w:rsidRPr="0068063D">
        <w:rPr>
          <w:rFonts w:cs="Times New Roman"/>
          <w:color w:val="000000" w:themeColor="text1"/>
          <w:sz w:val="24"/>
          <w:szCs w:val="28"/>
        </w:rPr>
        <w:t>acute kidney injury</w:t>
      </w:r>
    </w:p>
    <w:tbl>
      <w:tblPr>
        <w:tblStyle w:val="a5"/>
        <w:tblW w:w="9776" w:type="dxa"/>
        <w:tblInd w:w="-71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779"/>
        <w:gridCol w:w="3832"/>
        <w:gridCol w:w="3392"/>
      </w:tblGrid>
      <w:tr w:rsidR="00711BE5" w:rsidRPr="00221447" w14:paraId="158B0439" w14:textId="77777777" w:rsidTr="009616EB">
        <w:tc>
          <w:tcPr>
            <w:tcW w:w="177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A285B8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RIFLE criteria</w:t>
            </w:r>
          </w:p>
        </w:tc>
        <w:tc>
          <w:tcPr>
            <w:tcW w:w="7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F08CFA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Stage</w:t>
            </w:r>
          </w:p>
        </w:tc>
        <w:tc>
          <w:tcPr>
            <w:tcW w:w="38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5D484F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Creatinine-based criteria</w:t>
            </w:r>
          </w:p>
        </w:tc>
        <w:tc>
          <w:tcPr>
            <w:tcW w:w="33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ABD158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Urine output-based criteria</w:t>
            </w:r>
          </w:p>
        </w:tc>
      </w:tr>
      <w:tr w:rsidR="00711BE5" w:rsidRPr="00221447" w14:paraId="2700164F" w14:textId="77777777" w:rsidTr="009616EB">
        <w:tc>
          <w:tcPr>
            <w:tcW w:w="1773" w:type="dxa"/>
            <w:tcBorders>
              <w:top w:val="single" w:sz="4" w:space="0" w:color="auto"/>
            </w:tcBorders>
          </w:tcPr>
          <w:p w14:paraId="112DBDE0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22D9F293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14:paraId="1E3BADB9" w14:textId="43858BF4" w:rsidR="002444B9" w:rsidRPr="0068063D" w:rsidRDefault="006B5805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Increase in</w:t>
            </w:r>
            <w:r w:rsidR="002444B9" w:rsidRPr="0068063D">
              <w:rPr>
                <w:rFonts w:cs="Times New Roman"/>
                <w:color w:val="000000" w:themeColor="text1"/>
                <w:szCs w:val="21"/>
              </w:rPr>
              <w:t xml:space="preserve"> serum creatinine </w:t>
            </w:r>
            <w:r w:rsidR="002444B9" w:rsidRPr="0068063D">
              <w:rPr>
                <w:rFonts w:cs="Times New Roman" w:hint="eastAsia"/>
                <w:color w:val="000000" w:themeColor="text1"/>
                <w:szCs w:val="21"/>
              </w:rPr>
              <w:t>≥</w:t>
            </w:r>
            <w:r w:rsidR="002444B9" w:rsidRPr="0068063D">
              <w:rPr>
                <w:rFonts w:cs="Times New Roman"/>
                <w:color w:val="000000" w:themeColor="text1"/>
                <w:szCs w:val="21"/>
              </w:rPr>
              <w:t>50%</w:t>
            </w:r>
          </w:p>
          <w:p w14:paraId="72844E26" w14:textId="66E2CC92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 xml:space="preserve">within 7 days or </w:t>
            </w:r>
            <w:r w:rsidR="006B5805" w:rsidRPr="0068063D">
              <w:rPr>
                <w:rFonts w:cs="Times New Roman"/>
                <w:color w:val="000000" w:themeColor="text1"/>
                <w:szCs w:val="21"/>
              </w:rPr>
              <w:t xml:space="preserve">a </w:t>
            </w:r>
            <w:r w:rsidRPr="0068063D">
              <w:rPr>
                <w:rFonts w:cs="Times New Roman"/>
                <w:color w:val="000000" w:themeColor="text1"/>
                <w:szCs w:val="21"/>
              </w:rPr>
              <w:t>GFR decrease by</w:t>
            </w:r>
          </w:p>
          <w:p w14:paraId="58B6EDA2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25%</w:t>
            </w: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7CC733FE" w14:textId="7556ED13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&lt;0.5 ccs/kg/h for 6 consecutive</w:t>
            </w:r>
          </w:p>
          <w:p w14:paraId="012296CE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hours</w:t>
            </w:r>
          </w:p>
        </w:tc>
      </w:tr>
      <w:tr w:rsidR="00711BE5" w:rsidRPr="00221447" w14:paraId="6B81C7B6" w14:textId="77777777" w:rsidTr="009616EB">
        <w:tc>
          <w:tcPr>
            <w:tcW w:w="1773" w:type="dxa"/>
          </w:tcPr>
          <w:p w14:paraId="49649464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</w:tcPr>
          <w:p w14:paraId="329D8E71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I</w:t>
            </w:r>
          </w:p>
        </w:tc>
        <w:tc>
          <w:tcPr>
            <w:tcW w:w="3832" w:type="dxa"/>
          </w:tcPr>
          <w:p w14:paraId="616E5991" w14:textId="59FDAC7A" w:rsidR="002444B9" w:rsidRPr="0068063D" w:rsidRDefault="006B5805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Increase in</w:t>
            </w:r>
            <w:r w:rsidR="002444B9" w:rsidRPr="0068063D">
              <w:rPr>
                <w:rFonts w:cs="Times New Roman"/>
                <w:color w:val="000000" w:themeColor="text1"/>
                <w:szCs w:val="21"/>
              </w:rPr>
              <w:t xml:space="preserve"> serum creatinine &gt;100%</w:t>
            </w:r>
          </w:p>
          <w:p w14:paraId="616F0BAE" w14:textId="398B9DF1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 xml:space="preserve">or </w:t>
            </w:r>
            <w:r w:rsidR="006B5805" w:rsidRPr="0068063D">
              <w:rPr>
                <w:rFonts w:cs="Times New Roman"/>
                <w:color w:val="000000" w:themeColor="text1"/>
                <w:szCs w:val="21"/>
              </w:rPr>
              <w:t xml:space="preserve">a </w:t>
            </w:r>
            <w:r w:rsidRPr="0068063D">
              <w:rPr>
                <w:rFonts w:cs="Times New Roman"/>
                <w:color w:val="000000" w:themeColor="text1"/>
                <w:szCs w:val="21"/>
              </w:rPr>
              <w:t>GFR decrease by 50%</w:t>
            </w:r>
          </w:p>
        </w:tc>
        <w:tc>
          <w:tcPr>
            <w:tcW w:w="3392" w:type="dxa"/>
          </w:tcPr>
          <w:p w14:paraId="7C2003A6" w14:textId="73CE9E9B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&lt;0.5 ccs/kg/h for 12 consecutive</w:t>
            </w:r>
          </w:p>
          <w:p w14:paraId="7338F7A7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hours</w:t>
            </w:r>
          </w:p>
        </w:tc>
      </w:tr>
      <w:tr w:rsidR="00711BE5" w:rsidRPr="00221447" w14:paraId="68998DE2" w14:textId="77777777" w:rsidTr="009616EB">
        <w:tc>
          <w:tcPr>
            <w:tcW w:w="1773" w:type="dxa"/>
          </w:tcPr>
          <w:p w14:paraId="6CD78FAB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</w:tcPr>
          <w:p w14:paraId="24AF8B62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3832" w:type="dxa"/>
          </w:tcPr>
          <w:p w14:paraId="7D82F69B" w14:textId="605B3B9E" w:rsidR="002444B9" w:rsidRPr="0068063D" w:rsidRDefault="006B5805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Increase in</w:t>
            </w:r>
            <w:r w:rsidR="002444B9" w:rsidRPr="0068063D">
              <w:rPr>
                <w:rFonts w:cs="Times New Roman"/>
                <w:color w:val="000000" w:themeColor="text1"/>
                <w:szCs w:val="21"/>
              </w:rPr>
              <w:t xml:space="preserve"> serum creatinine &gt;200%</w:t>
            </w:r>
          </w:p>
          <w:p w14:paraId="243B8781" w14:textId="2934B6B0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 xml:space="preserve">or </w:t>
            </w:r>
            <w:r w:rsidR="006B5805" w:rsidRPr="0068063D">
              <w:rPr>
                <w:rFonts w:cs="Times New Roman"/>
                <w:color w:val="000000" w:themeColor="text1"/>
                <w:szCs w:val="21"/>
              </w:rPr>
              <w:t xml:space="preserve">a </w:t>
            </w:r>
            <w:r w:rsidRPr="0068063D">
              <w:rPr>
                <w:rFonts w:cs="Times New Roman"/>
                <w:color w:val="000000" w:themeColor="text1"/>
                <w:szCs w:val="21"/>
              </w:rPr>
              <w:t>GFR decrease by 75% or renal</w:t>
            </w:r>
          </w:p>
          <w:p w14:paraId="1ACA289F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replacement therapy</w:t>
            </w:r>
          </w:p>
        </w:tc>
        <w:tc>
          <w:tcPr>
            <w:tcW w:w="3392" w:type="dxa"/>
          </w:tcPr>
          <w:p w14:paraId="58851D8C" w14:textId="6B0E0E66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&lt;0.3 ccs/kg/h for 24 h or</w:t>
            </w:r>
          </w:p>
          <w:p w14:paraId="05CB7022" w14:textId="154B4B2E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anuria for 12 h</w:t>
            </w:r>
          </w:p>
        </w:tc>
      </w:tr>
      <w:tr w:rsidR="00711BE5" w:rsidRPr="00221447" w14:paraId="10C044BA" w14:textId="77777777" w:rsidTr="009616EB">
        <w:tc>
          <w:tcPr>
            <w:tcW w:w="1773" w:type="dxa"/>
          </w:tcPr>
          <w:p w14:paraId="65E50685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</w:tcPr>
          <w:p w14:paraId="1E37F9FB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L</w:t>
            </w:r>
          </w:p>
        </w:tc>
        <w:tc>
          <w:tcPr>
            <w:tcW w:w="3832" w:type="dxa"/>
          </w:tcPr>
          <w:p w14:paraId="647DC79B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Complete loss of function for more than 4 weeks</w:t>
            </w:r>
          </w:p>
        </w:tc>
        <w:tc>
          <w:tcPr>
            <w:tcW w:w="3392" w:type="dxa"/>
          </w:tcPr>
          <w:p w14:paraId="485F72B4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711BE5" w:rsidRPr="00221447" w14:paraId="6D581B44" w14:textId="77777777" w:rsidTr="009616EB">
        <w:tc>
          <w:tcPr>
            <w:tcW w:w="1773" w:type="dxa"/>
          </w:tcPr>
          <w:p w14:paraId="3B19452C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779" w:type="dxa"/>
          </w:tcPr>
          <w:p w14:paraId="537F8C43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E</w:t>
            </w:r>
          </w:p>
        </w:tc>
        <w:tc>
          <w:tcPr>
            <w:tcW w:w="3832" w:type="dxa"/>
          </w:tcPr>
          <w:p w14:paraId="5F34DA07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  <w:r w:rsidRPr="0068063D">
              <w:rPr>
                <w:rFonts w:cs="Times New Roman"/>
                <w:color w:val="000000" w:themeColor="text1"/>
                <w:szCs w:val="21"/>
              </w:rPr>
              <w:t>End stage renal disease</w:t>
            </w:r>
          </w:p>
        </w:tc>
        <w:tc>
          <w:tcPr>
            <w:tcW w:w="3392" w:type="dxa"/>
          </w:tcPr>
          <w:p w14:paraId="099D29C5" w14:textId="77777777" w:rsidR="002444B9" w:rsidRPr="0068063D" w:rsidRDefault="002444B9" w:rsidP="009616EB">
            <w:pPr>
              <w:adjustRightInd w:val="0"/>
              <w:snapToGrid w:val="0"/>
              <w:spacing w:line="360" w:lineRule="auto"/>
              <w:ind w:rightChars="-159" w:right="-334"/>
              <w:jc w:val="left"/>
              <w:rPr>
                <w:rFonts w:cs="Times New Roman"/>
                <w:color w:val="000000" w:themeColor="text1"/>
                <w:szCs w:val="21"/>
              </w:rPr>
            </w:pPr>
          </w:p>
        </w:tc>
      </w:tr>
    </w:tbl>
    <w:p w14:paraId="681B0273" w14:textId="77777777" w:rsidR="002444B9" w:rsidRPr="0068063D" w:rsidRDefault="002444B9" w:rsidP="002444B9">
      <w:pPr>
        <w:adjustRightInd w:val="0"/>
        <w:snapToGrid w:val="0"/>
        <w:spacing w:line="360" w:lineRule="auto"/>
        <w:ind w:rightChars="-159" w:right="-334"/>
        <w:jc w:val="left"/>
        <w:rPr>
          <w:rFonts w:cs="Times New Roman"/>
          <w:color w:val="000000" w:themeColor="text1"/>
          <w:sz w:val="24"/>
          <w:szCs w:val="28"/>
        </w:rPr>
      </w:pPr>
    </w:p>
    <w:p w14:paraId="6F39F4A1" w14:textId="77777777" w:rsidR="002444B9" w:rsidRPr="0068063D" w:rsidRDefault="002444B9" w:rsidP="002444B9">
      <w:pPr>
        <w:widowControl/>
        <w:jc w:val="left"/>
        <w:rPr>
          <w:rFonts w:cs="Times New Roman"/>
          <w:color w:val="000000" w:themeColor="text1"/>
          <w:sz w:val="22"/>
          <w:szCs w:val="28"/>
        </w:rPr>
      </w:pPr>
      <w:r w:rsidRPr="0068063D">
        <w:rPr>
          <w:rFonts w:cs="Times New Roman"/>
          <w:color w:val="000000" w:themeColor="text1"/>
          <w:sz w:val="22"/>
          <w:szCs w:val="28"/>
        </w:rPr>
        <w:br w:type="page"/>
      </w:r>
    </w:p>
    <w:p w14:paraId="1D6AB230" w14:textId="792551FD" w:rsidR="00C32E31" w:rsidRPr="0068063D" w:rsidRDefault="00C32E31" w:rsidP="00C32E31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  <w:r w:rsidRPr="0068063D">
        <w:rPr>
          <w:rFonts w:cs="Times New Roman"/>
          <w:b/>
          <w:color w:val="000000" w:themeColor="text1"/>
          <w:sz w:val="24"/>
          <w:szCs w:val="28"/>
        </w:rPr>
        <w:lastRenderedPageBreak/>
        <w:t>Table S</w:t>
      </w:r>
      <w:r w:rsidR="002444B9" w:rsidRPr="0068063D">
        <w:rPr>
          <w:rFonts w:cs="Times New Roman"/>
          <w:b/>
          <w:color w:val="000000" w:themeColor="text1"/>
          <w:sz w:val="24"/>
          <w:szCs w:val="28"/>
        </w:rPr>
        <w:t>2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Data on the pathogens involved and the</w:t>
      </w:r>
      <w:r w:rsidR="000C597C" w:rsidRPr="0068063D">
        <w:rPr>
          <w:rFonts w:cs="Times New Roman"/>
          <w:color w:val="000000" w:themeColor="text1"/>
          <w:sz w:val="24"/>
          <w:szCs w:val="28"/>
        </w:rPr>
        <w:t>ir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MIC values</w:t>
      </w:r>
    </w:p>
    <w:tbl>
      <w:tblPr>
        <w:tblStyle w:val="a5"/>
        <w:tblW w:w="779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709"/>
      </w:tblGrid>
      <w:tr w:rsidR="00711BE5" w:rsidRPr="00221447" w14:paraId="0E2EF8FA" w14:textId="77777777" w:rsidTr="00562EC5">
        <w:trPr>
          <w:trHeight w:val="280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21428BEB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Pathogens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10FE7DDB" w14:textId="77777777" w:rsidR="00C32E31" w:rsidRPr="00221447" w:rsidRDefault="00C32E31" w:rsidP="00562EC5">
            <w:pPr>
              <w:spacing w:line="360" w:lineRule="auto"/>
              <w:jc w:val="center"/>
              <w:rPr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MIC</w:t>
            </w:r>
          </w:p>
        </w:tc>
      </w:tr>
      <w:tr w:rsidR="00711BE5" w:rsidRPr="00221447" w14:paraId="38522DAD" w14:textId="77777777" w:rsidTr="00562EC5">
        <w:trPr>
          <w:trHeight w:val="280"/>
          <w:jc w:val="center"/>
        </w:trPr>
        <w:tc>
          <w:tcPr>
            <w:tcW w:w="368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B124E0F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497AFA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 w:hint="eastAsia"/>
                <w:color w:val="000000" w:themeColor="text1"/>
              </w:rPr>
              <w:t>≤</w:t>
            </w:r>
            <w:r w:rsidRPr="00221447">
              <w:rPr>
                <w:rFonts w:cs="Times New Roman" w:hint="eastAsia"/>
                <w:color w:val="000000" w:themeColor="text1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FFA761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C516EA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17AD" w14:textId="77777777" w:rsidR="00C32E31" w:rsidRPr="00221447" w:rsidRDefault="00C32E31" w:rsidP="00562EC5">
            <w:pPr>
              <w:spacing w:line="360" w:lineRule="auto"/>
              <w:rPr>
                <w:color w:val="000000" w:themeColor="text1"/>
              </w:rPr>
            </w:pPr>
            <w:r w:rsidRPr="00221447">
              <w:rPr>
                <w:color w:val="000000" w:themeColor="text1"/>
              </w:rPr>
              <w:t>4</w:t>
            </w:r>
          </w:p>
        </w:tc>
      </w:tr>
      <w:tr w:rsidR="00711BE5" w:rsidRPr="00221447" w14:paraId="149F6B26" w14:textId="77777777" w:rsidTr="00562EC5">
        <w:trPr>
          <w:trHeight w:val="280"/>
          <w:jc w:val="center"/>
        </w:trPr>
        <w:tc>
          <w:tcPr>
            <w:tcW w:w="3686" w:type="dxa"/>
            <w:tcBorders>
              <w:top w:val="single" w:sz="4" w:space="0" w:color="auto"/>
            </w:tcBorders>
            <w:noWrap/>
            <w:vAlign w:val="center"/>
          </w:tcPr>
          <w:p w14:paraId="43AF19EB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</w:t>
            </w:r>
            <w:r w:rsidRPr="00221447">
              <w:rPr>
                <w:rFonts w:cs="Times New Roman"/>
                <w:i/>
                <w:color w:val="000000" w:themeColor="text1"/>
              </w:rPr>
              <w:t>Enterococcus faecium</w:t>
            </w:r>
            <w:r w:rsidRPr="00221447">
              <w:rPr>
                <w:rFonts w:cs="Times New Roman"/>
                <w:color w:val="000000" w:themeColor="text1"/>
              </w:rPr>
              <w:t>, n (%)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2F821E92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2DDB847B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59763A6C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7AC35F9" w14:textId="77777777" w:rsidR="00C32E31" w:rsidRPr="00221447" w:rsidRDefault="00C32E31" w:rsidP="00562EC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11BE5" w:rsidRPr="00221447" w14:paraId="0EE4C25D" w14:textId="77777777" w:rsidTr="00562EC5">
        <w:trPr>
          <w:trHeight w:val="280"/>
          <w:jc w:val="center"/>
        </w:trPr>
        <w:tc>
          <w:tcPr>
            <w:tcW w:w="3686" w:type="dxa"/>
            <w:noWrap/>
            <w:vAlign w:val="center"/>
          </w:tcPr>
          <w:p w14:paraId="42DE548A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MSSA, n (%)</w:t>
            </w:r>
          </w:p>
        </w:tc>
        <w:tc>
          <w:tcPr>
            <w:tcW w:w="1134" w:type="dxa"/>
            <w:noWrap/>
            <w:vAlign w:val="center"/>
          </w:tcPr>
          <w:p w14:paraId="665E13C3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14:paraId="422913AE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14:paraId="3CE4CD02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099948D" w14:textId="77777777" w:rsidR="00C32E31" w:rsidRPr="00221447" w:rsidRDefault="00C32E31" w:rsidP="00562EC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11BE5" w:rsidRPr="00221447" w14:paraId="299407CF" w14:textId="77777777" w:rsidTr="00562EC5">
        <w:trPr>
          <w:trHeight w:val="280"/>
          <w:jc w:val="center"/>
        </w:trPr>
        <w:tc>
          <w:tcPr>
            <w:tcW w:w="3686" w:type="dxa"/>
            <w:noWrap/>
            <w:vAlign w:val="center"/>
          </w:tcPr>
          <w:p w14:paraId="790114CA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</w:t>
            </w:r>
            <w:r w:rsidRPr="00221447">
              <w:rPr>
                <w:rFonts w:cs="Times New Roman"/>
                <w:i/>
                <w:color w:val="000000" w:themeColor="text1"/>
              </w:rPr>
              <w:t>Staphylococcus epidermidis</w:t>
            </w:r>
            <w:r w:rsidRPr="00221447">
              <w:rPr>
                <w:rFonts w:cs="Times New Roman"/>
                <w:color w:val="000000" w:themeColor="text1"/>
              </w:rPr>
              <w:t>, n (%)</w:t>
            </w:r>
          </w:p>
        </w:tc>
        <w:tc>
          <w:tcPr>
            <w:tcW w:w="1134" w:type="dxa"/>
            <w:noWrap/>
            <w:vAlign w:val="center"/>
          </w:tcPr>
          <w:p w14:paraId="398793A0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14:paraId="21373FE9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1134" w:type="dxa"/>
            <w:noWrap/>
            <w:vAlign w:val="center"/>
          </w:tcPr>
          <w:p w14:paraId="5F9B9EDD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14:paraId="702A8097" w14:textId="77777777" w:rsidR="00C32E31" w:rsidRPr="00221447" w:rsidRDefault="00C32E31" w:rsidP="00562EC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11BE5" w:rsidRPr="00221447" w14:paraId="416D0479" w14:textId="77777777" w:rsidTr="00562EC5">
        <w:trPr>
          <w:trHeight w:val="280"/>
          <w:jc w:val="center"/>
        </w:trPr>
        <w:tc>
          <w:tcPr>
            <w:tcW w:w="3686" w:type="dxa"/>
            <w:noWrap/>
            <w:vAlign w:val="center"/>
            <w:hideMark/>
          </w:tcPr>
          <w:p w14:paraId="2EFC59DB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</w:t>
            </w:r>
            <w:r w:rsidRPr="00221447">
              <w:rPr>
                <w:rFonts w:cs="Times New Roman"/>
                <w:i/>
                <w:color w:val="000000" w:themeColor="text1"/>
              </w:rPr>
              <w:t>Enterococcus faecalis</w:t>
            </w:r>
            <w:r w:rsidRPr="00221447">
              <w:rPr>
                <w:rFonts w:cs="Times New Roman"/>
                <w:color w:val="000000" w:themeColor="text1"/>
              </w:rPr>
              <w:t>, n (%)</w:t>
            </w:r>
          </w:p>
        </w:tc>
        <w:tc>
          <w:tcPr>
            <w:tcW w:w="1134" w:type="dxa"/>
            <w:noWrap/>
            <w:vAlign w:val="center"/>
          </w:tcPr>
          <w:p w14:paraId="220FEF3E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5859D857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14:paraId="09CD7200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14:paraId="299B2F29" w14:textId="77777777" w:rsidR="00C32E31" w:rsidRPr="00221447" w:rsidRDefault="00C32E31" w:rsidP="00562EC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11BE5" w:rsidRPr="00221447" w14:paraId="1B3B6803" w14:textId="77777777" w:rsidTr="00562EC5">
        <w:trPr>
          <w:trHeight w:val="280"/>
          <w:jc w:val="center"/>
        </w:trPr>
        <w:tc>
          <w:tcPr>
            <w:tcW w:w="3686" w:type="dxa"/>
            <w:noWrap/>
            <w:vAlign w:val="center"/>
            <w:hideMark/>
          </w:tcPr>
          <w:p w14:paraId="0E5161DD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MRSA, n (%)</w:t>
            </w:r>
          </w:p>
        </w:tc>
        <w:tc>
          <w:tcPr>
            <w:tcW w:w="1134" w:type="dxa"/>
            <w:noWrap/>
            <w:vAlign w:val="center"/>
          </w:tcPr>
          <w:p w14:paraId="63240ED6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795A0061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0CCD84E0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36F2DC3" w14:textId="77777777" w:rsidR="00C32E31" w:rsidRPr="00221447" w:rsidRDefault="00C32E31" w:rsidP="00562EC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11BE5" w:rsidRPr="00221447" w14:paraId="268B24AC" w14:textId="77777777" w:rsidTr="00562EC5">
        <w:trPr>
          <w:trHeight w:val="280"/>
          <w:jc w:val="center"/>
        </w:trPr>
        <w:tc>
          <w:tcPr>
            <w:tcW w:w="3686" w:type="dxa"/>
            <w:noWrap/>
            <w:vAlign w:val="center"/>
            <w:hideMark/>
          </w:tcPr>
          <w:p w14:paraId="5111EA38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</w:t>
            </w:r>
            <w:r w:rsidRPr="00221447">
              <w:rPr>
                <w:rFonts w:cs="Times New Roman"/>
                <w:i/>
                <w:color w:val="000000" w:themeColor="text1"/>
              </w:rPr>
              <w:t>Staphylococcus haemolyticus</w:t>
            </w:r>
            <w:r w:rsidRPr="00221447">
              <w:rPr>
                <w:rFonts w:cs="Times New Roman"/>
                <w:color w:val="000000" w:themeColor="text1"/>
              </w:rPr>
              <w:t>, n (%)</w:t>
            </w:r>
          </w:p>
        </w:tc>
        <w:tc>
          <w:tcPr>
            <w:tcW w:w="1134" w:type="dxa"/>
            <w:noWrap/>
            <w:vAlign w:val="center"/>
          </w:tcPr>
          <w:p w14:paraId="375349D9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1144EC11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noWrap/>
            <w:vAlign w:val="center"/>
          </w:tcPr>
          <w:p w14:paraId="1C2100AD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14:paraId="39239EAD" w14:textId="77777777" w:rsidR="00C32E31" w:rsidRPr="00221447" w:rsidRDefault="00C32E31" w:rsidP="00562EC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11BE5" w:rsidRPr="00221447" w14:paraId="097D14E9" w14:textId="77777777" w:rsidTr="00562EC5">
        <w:trPr>
          <w:trHeight w:val="280"/>
          <w:jc w:val="center"/>
        </w:trPr>
        <w:tc>
          <w:tcPr>
            <w:tcW w:w="3686" w:type="dxa"/>
            <w:noWrap/>
            <w:vAlign w:val="center"/>
          </w:tcPr>
          <w:p w14:paraId="430A9B73" w14:textId="048FDB63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Other gram</w:t>
            </w:r>
            <w:r w:rsidR="000C597C" w:rsidRPr="00221447">
              <w:rPr>
                <w:rFonts w:cs="Times New Roman"/>
                <w:color w:val="000000" w:themeColor="text1"/>
              </w:rPr>
              <w:t>-</w:t>
            </w:r>
            <w:r w:rsidRPr="00221447">
              <w:rPr>
                <w:rFonts w:cs="Times New Roman"/>
                <w:color w:val="000000" w:themeColor="text1"/>
              </w:rPr>
              <w:t>positive bacteria, n (%)</w:t>
            </w:r>
          </w:p>
        </w:tc>
        <w:tc>
          <w:tcPr>
            <w:tcW w:w="1134" w:type="dxa"/>
            <w:noWrap/>
            <w:vAlign w:val="center"/>
          </w:tcPr>
          <w:p w14:paraId="08FA50C4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14:paraId="05F91558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14:paraId="3FB495E7" w14:textId="77777777" w:rsidR="00C32E31" w:rsidRPr="00221447" w:rsidRDefault="00C32E31" w:rsidP="00562EC5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14:paraId="0DE79CF5" w14:textId="77777777" w:rsidR="00C32E31" w:rsidRPr="00221447" w:rsidRDefault="00C32E31" w:rsidP="00562EC5">
            <w:pPr>
              <w:spacing w:line="360" w:lineRule="auto"/>
              <w:rPr>
                <w:color w:val="000000" w:themeColor="text1"/>
              </w:rPr>
            </w:pPr>
            <w:r w:rsidRPr="00221447">
              <w:rPr>
                <w:color w:val="000000" w:themeColor="text1"/>
              </w:rPr>
              <w:t>-</w:t>
            </w:r>
          </w:p>
        </w:tc>
      </w:tr>
    </w:tbl>
    <w:p w14:paraId="1E97E113" w14:textId="77777777" w:rsidR="00C32E31" w:rsidRPr="0068063D" w:rsidRDefault="00C32E31" w:rsidP="00C32E31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</w:p>
    <w:p w14:paraId="43A252BF" w14:textId="77777777" w:rsidR="00C32E31" w:rsidRPr="0068063D" w:rsidRDefault="00C32E31" w:rsidP="00C32E31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  <w:r w:rsidRPr="0068063D">
        <w:rPr>
          <w:rFonts w:cs="Times New Roman"/>
          <w:color w:val="000000" w:themeColor="text1"/>
          <w:sz w:val="24"/>
          <w:szCs w:val="28"/>
        </w:rPr>
        <w:t>MIC, minimum inhibitory concentration; MSSA, methicillin-sensitive S</w:t>
      </w:r>
      <w:r w:rsidRPr="0068063D">
        <w:rPr>
          <w:rFonts w:cs="Times New Roman"/>
          <w:i/>
          <w:iCs/>
          <w:color w:val="000000" w:themeColor="text1"/>
          <w:sz w:val="24"/>
          <w:szCs w:val="28"/>
        </w:rPr>
        <w:t>taphylococcus aureus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; MRSA, methicillin-resistant </w:t>
      </w:r>
      <w:r w:rsidRPr="0068063D">
        <w:rPr>
          <w:rFonts w:cs="Times New Roman"/>
          <w:i/>
          <w:iCs/>
          <w:color w:val="000000" w:themeColor="text1"/>
          <w:sz w:val="24"/>
          <w:szCs w:val="28"/>
        </w:rPr>
        <w:t>Staphylococcus aureus</w:t>
      </w:r>
      <w:r w:rsidRPr="0068063D">
        <w:rPr>
          <w:rFonts w:cs="Times New Roman"/>
          <w:color w:val="000000" w:themeColor="text1"/>
          <w:sz w:val="24"/>
          <w:szCs w:val="28"/>
        </w:rPr>
        <w:t>.</w:t>
      </w:r>
    </w:p>
    <w:p w14:paraId="454D2FBF" w14:textId="77777777" w:rsidR="006805E7" w:rsidRPr="0068063D" w:rsidRDefault="006805E7" w:rsidP="001F7C82">
      <w:pPr>
        <w:adjustRightInd w:val="0"/>
        <w:snapToGrid w:val="0"/>
        <w:spacing w:line="360" w:lineRule="auto"/>
        <w:ind w:rightChars="-159" w:right="-334"/>
        <w:jc w:val="left"/>
        <w:rPr>
          <w:rFonts w:cs="Times New Roman"/>
          <w:color w:val="000000" w:themeColor="text1"/>
          <w:sz w:val="22"/>
          <w:szCs w:val="28"/>
        </w:rPr>
      </w:pPr>
    </w:p>
    <w:p w14:paraId="3D2D7B5E" w14:textId="77777777" w:rsidR="006805E7" w:rsidRPr="0068063D" w:rsidRDefault="006805E7">
      <w:pPr>
        <w:widowControl/>
        <w:jc w:val="left"/>
        <w:rPr>
          <w:rFonts w:cs="Times New Roman"/>
          <w:color w:val="000000" w:themeColor="text1"/>
          <w:sz w:val="22"/>
          <w:szCs w:val="28"/>
        </w:rPr>
      </w:pPr>
      <w:r w:rsidRPr="0068063D">
        <w:rPr>
          <w:rFonts w:cs="Times New Roman"/>
          <w:color w:val="000000" w:themeColor="text1"/>
          <w:sz w:val="22"/>
          <w:szCs w:val="28"/>
        </w:rPr>
        <w:br w:type="page"/>
      </w:r>
    </w:p>
    <w:p w14:paraId="14E29BD8" w14:textId="38CFF334" w:rsidR="002444B9" w:rsidRPr="0068063D" w:rsidRDefault="002444B9" w:rsidP="002444B9">
      <w:pPr>
        <w:adjustRightInd w:val="0"/>
        <w:snapToGrid w:val="0"/>
        <w:spacing w:line="360" w:lineRule="auto"/>
        <w:ind w:rightChars="-159" w:right="-334"/>
        <w:jc w:val="left"/>
        <w:rPr>
          <w:rFonts w:cs="Times New Roman"/>
          <w:color w:val="000000" w:themeColor="text1"/>
          <w:sz w:val="24"/>
          <w:szCs w:val="24"/>
        </w:rPr>
      </w:pPr>
      <w:r w:rsidRPr="0068063D">
        <w:rPr>
          <w:rFonts w:cs="Times New Roman"/>
          <w:b/>
          <w:color w:val="000000" w:themeColor="text1"/>
          <w:sz w:val="24"/>
          <w:szCs w:val="24"/>
        </w:rPr>
        <w:lastRenderedPageBreak/>
        <w:t>Table S3</w:t>
      </w:r>
      <w:r w:rsidRPr="0068063D">
        <w:rPr>
          <w:rFonts w:cs="Times New Roman"/>
          <w:color w:val="000000" w:themeColor="text1"/>
          <w:sz w:val="24"/>
          <w:szCs w:val="24"/>
        </w:rPr>
        <w:t xml:space="preserve"> Outcomes </w:t>
      </w:r>
      <w:r w:rsidR="009B56DD" w:rsidRPr="00221447">
        <w:rPr>
          <w:rFonts w:cs="Times New Roman"/>
          <w:color w:val="000000" w:themeColor="text1"/>
          <w:sz w:val="24"/>
          <w:szCs w:val="24"/>
        </w:rPr>
        <w:t xml:space="preserve">associated </w:t>
      </w:r>
      <w:r w:rsidRPr="0068063D">
        <w:rPr>
          <w:rFonts w:cs="Times New Roman"/>
          <w:color w:val="000000" w:themeColor="text1"/>
          <w:sz w:val="24"/>
          <w:szCs w:val="24"/>
        </w:rPr>
        <w:t xml:space="preserve">with </w:t>
      </w:r>
      <w:r w:rsidR="000C597C" w:rsidRPr="0068063D">
        <w:rPr>
          <w:rFonts w:cs="Times New Roman"/>
          <w:color w:val="000000" w:themeColor="text1"/>
          <w:sz w:val="24"/>
          <w:szCs w:val="24"/>
        </w:rPr>
        <w:t xml:space="preserve">the </w:t>
      </w:r>
      <w:r w:rsidR="009B56DD" w:rsidRPr="00221447">
        <w:rPr>
          <w:rFonts w:cs="Times New Roman"/>
          <w:color w:val="000000" w:themeColor="text1"/>
          <w:sz w:val="24"/>
          <w:szCs w:val="24"/>
        </w:rPr>
        <w:t xml:space="preserve">receipt </w:t>
      </w:r>
      <w:r w:rsidRPr="0068063D">
        <w:rPr>
          <w:rFonts w:cs="Times New Roman"/>
          <w:color w:val="000000" w:themeColor="text1"/>
          <w:sz w:val="24"/>
          <w:szCs w:val="24"/>
        </w:rPr>
        <w:t xml:space="preserve">of TDM </w:t>
      </w:r>
      <w:r w:rsidR="009B56DD" w:rsidRPr="00221447">
        <w:rPr>
          <w:rFonts w:cs="Times New Roman"/>
          <w:color w:val="000000" w:themeColor="text1"/>
          <w:sz w:val="24"/>
          <w:szCs w:val="24"/>
        </w:rPr>
        <w:t xml:space="preserve">compared to receipt </w:t>
      </w:r>
      <w:r w:rsidRPr="0068063D">
        <w:rPr>
          <w:rFonts w:cs="Times New Roman"/>
          <w:color w:val="000000" w:themeColor="text1"/>
          <w:sz w:val="24"/>
          <w:szCs w:val="24"/>
        </w:rPr>
        <w:t>of non-TDM in the matched cohort</w:t>
      </w:r>
    </w:p>
    <w:tbl>
      <w:tblPr>
        <w:tblStyle w:val="a5"/>
        <w:tblW w:w="878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56"/>
        <w:gridCol w:w="1972"/>
        <w:gridCol w:w="992"/>
      </w:tblGrid>
      <w:tr w:rsidR="00711BE5" w:rsidRPr="00221447" w14:paraId="0C19F729" w14:textId="77777777" w:rsidTr="009616EB">
        <w:trPr>
          <w:trHeight w:val="560"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816703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68063D">
              <w:rPr>
                <w:rFonts w:cs="Times New Roman"/>
                <w:color w:val="000000" w:themeColor="text1"/>
                <w:sz w:val="22"/>
                <w:szCs w:val="28"/>
              </w:rPr>
              <w:t>Outcome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59CB1D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68063D">
              <w:rPr>
                <w:rFonts w:cs="Times New Roman"/>
                <w:color w:val="000000" w:themeColor="text1"/>
                <w:sz w:val="22"/>
                <w:szCs w:val="28"/>
              </w:rPr>
              <w:t>non-TDM</w:t>
            </w:r>
            <w:r w:rsidRPr="0068063D">
              <w:rPr>
                <w:rFonts w:cs="Times New Roman"/>
                <w:color w:val="000000" w:themeColor="text1"/>
                <w:sz w:val="22"/>
                <w:szCs w:val="28"/>
              </w:rPr>
              <w:br/>
              <w:t>(n=69)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D1D607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68063D">
              <w:rPr>
                <w:rFonts w:cs="Times New Roman"/>
                <w:color w:val="000000" w:themeColor="text1"/>
                <w:sz w:val="22"/>
                <w:szCs w:val="28"/>
              </w:rPr>
              <w:t xml:space="preserve">TDM </w:t>
            </w:r>
            <w:r w:rsidRPr="0068063D">
              <w:rPr>
                <w:rFonts w:cs="Times New Roman"/>
                <w:color w:val="000000" w:themeColor="text1"/>
                <w:sz w:val="22"/>
                <w:szCs w:val="28"/>
              </w:rPr>
              <w:br/>
              <w:t>(n=69)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0C90C0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68063D">
              <w:rPr>
                <w:rFonts w:cs="Times New Roman"/>
                <w:i/>
                <w:color w:val="000000" w:themeColor="text1"/>
                <w:sz w:val="22"/>
                <w:szCs w:val="28"/>
              </w:rPr>
              <w:t>P</w:t>
            </w:r>
            <w:r w:rsidRPr="0068063D">
              <w:rPr>
                <w:rFonts w:cs="Times New Roman"/>
                <w:color w:val="000000" w:themeColor="text1"/>
                <w:sz w:val="22"/>
                <w:szCs w:val="28"/>
              </w:rPr>
              <w:t xml:space="preserve"> value</w:t>
            </w:r>
          </w:p>
        </w:tc>
      </w:tr>
      <w:tr w:rsidR="00711BE5" w:rsidRPr="00221447" w14:paraId="5D4C0D59" w14:textId="77777777" w:rsidTr="009616EB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B9877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68063D">
              <w:rPr>
                <w:rFonts w:cs="Times New Roman"/>
                <w:color w:val="000000" w:themeColor="text1"/>
                <w:sz w:val="22"/>
                <w:szCs w:val="28"/>
              </w:rPr>
              <w:t>Bacteria eradication, n (%)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4EC64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221447">
              <w:rPr>
                <w:color w:val="000000" w:themeColor="text1"/>
                <w:sz w:val="22"/>
              </w:rPr>
              <w:t>16 (23%)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D8608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221447">
              <w:rPr>
                <w:color w:val="000000" w:themeColor="text1"/>
                <w:sz w:val="22"/>
              </w:rPr>
              <w:t>20 (28%)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BA23E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221447">
              <w:rPr>
                <w:color w:val="000000" w:themeColor="text1"/>
                <w:sz w:val="22"/>
              </w:rPr>
              <w:t>0.438</w:t>
            </w:r>
          </w:p>
        </w:tc>
      </w:tr>
      <w:tr w:rsidR="00711BE5" w:rsidRPr="00221447" w14:paraId="2240B9A2" w14:textId="77777777" w:rsidTr="009616EB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8EDAB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68063D">
              <w:rPr>
                <w:rFonts w:cs="Times New Roman"/>
                <w:color w:val="000000" w:themeColor="text1"/>
                <w:sz w:val="22"/>
                <w:szCs w:val="28"/>
              </w:rPr>
              <w:t>Length of hospital stay, days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286E5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221447">
              <w:rPr>
                <w:color w:val="000000" w:themeColor="text1"/>
                <w:sz w:val="22"/>
              </w:rPr>
              <w:t>27 (23-32)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DEDDD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221447">
              <w:rPr>
                <w:color w:val="000000" w:themeColor="text1"/>
                <w:sz w:val="22"/>
              </w:rPr>
              <w:t>23 (19-26)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AF5B3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b/>
                <w:color w:val="000000" w:themeColor="text1"/>
                <w:sz w:val="22"/>
                <w:szCs w:val="28"/>
              </w:rPr>
            </w:pPr>
            <w:r w:rsidRPr="00221447">
              <w:rPr>
                <w:b/>
                <w:color w:val="000000" w:themeColor="text1"/>
                <w:sz w:val="22"/>
              </w:rPr>
              <w:t>0.035</w:t>
            </w:r>
          </w:p>
        </w:tc>
      </w:tr>
      <w:tr w:rsidR="00711BE5" w:rsidRPr="00221447" w14:paraId="0486FBD8" w14:textId="77777777" w:rsidTr="009616EB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281E3B05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68063D">
              <w:rPr>
                <w:rFonts w:cs="Times New Roman"/>
                <w:color w:val="000000" w:themeColor="text1"/>
                <w:sz w:val="22"/>
                <w:szCs w:val="28"/>
              </w:rPr>
              <w:t>Vancomycin treatment failure, n (%)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ACAE704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221447">
              <w:rPr>
                <w:color w:val="000000" w:themeColor="text1"/>
                <w:sz w:val="22"/>
              </w:rPr>
              <w:t>21 (30%)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0D40C5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221447">
              <w:rPr>
                <w:color w:val="000000" w:themeColor="text1"/>
                <w:sz w:val="22"/>
              </w:rPr>
              <w:t>16 (23%)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7AA7E0" w14:textId="77777777" w:rsidR="002444B9" w:rsidRPr="0068063D" w:rsidRDefault="002444B9" w:rsidP="009616EB">
            <w:pPr>
              <w:spacing w:line="360" w:lineRule="auto"/>
              <w:rPr>
                <w:rFonts w:cs="Times New Roman"/>
                <w:color w:val="000000" w:themeColor="text1"/>
                <w:sz w:val="22"/>
                <w:szCs w:val="28"/>
              </w:rPr>
            </w:pPr>
            <w:r w:rsidRPr="00221447">
              <w:rPr>
                <w:color w:val="000000" w:themeColor="text1"/>
                <w:sz w:val="22"/>
              </w:rPr>
              <w:t>0.337</w:t>
            </w:r>
          </w:p>
        </w:tc>
      </w:tr>
    </w:tbl>
    <w:p w14:paraId="49783B2D" w14:textId="77777777" w:rsidR="002444B9" w:rsidRPr="0068063D" w:rsidRDefault="002444B9" w:rsidP="002444B9">
      <w:pPr>
        <w:adjustRightInd w:val="0"/>
        <w:snapToGrid w:val="0"/>
        <w:spacing w:line="360" w:lineRule="auto"/>
        <w:jc w:val="left"/>
        <w:rPr>
          <w:rFonts w:cs="Times New Roman"/>
          <w:color w:val="000000" w:themeColor="text1"/>
          <w:sz w:val="22"/>
          <w:szCs w:val="28"/>
        </w:rPr>
      </w:pPr>
    </w:p>
    <w:p w14:paraId="2482FF8C" w14:textId="77777777" w:rsidR="002444B9" w:rsidRPr="0068063D" w:rsidRDefault="002444B9" w:rsidP="002444B9">
      <w:pPr>
        <w:adjustRightInd w:val="0"/>
        <w:snapToGrid w:val="0"/>
        <w:spacing w:line="360" w:lineRule="auto"/>
        <w:jc w:val="left"/>
        <w:rPr>
          <w:rFonts w:cs="Times New Roman"/>
          <w:color w:val="000000" w:themeColor="text1"/>
          <w:sz w:val="24"/>
          <w:szCs w:val="24"/>
        </w:rPr>
      </w:pPr>
      <w:r w:rsidRPr="0068063D">
        <w:rPr>
          <w:rFonts w:cs="Times New Roman"/>
          <w:color w:val="000000" w:themeColor="text1"/>
          <w:sz w:val="24"/>
          <w:szCs w:val="24"/>
        </w:rPr>
        <w:t>TDM, therapeutic drug monitoring; PK/PD, pharmacokinetic/pharmacodynamic.</w:t>
      </w:r>
    </w:p>
    <w:p w14:paraId="50925B4D" w14:textId="77777777" w:rsidR="002444B9" w:rsidRPr="0068063D" w:rsidRDefault="002444B9" w:rsidP="002444B9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</w:p>
    <w:p w14:paraId="19C570B7" w14:textId="77777777" w:rsidR="002444B9" w:rsidRPr="0068063D" w:rsidRDefault="002444B9">
      <w:pPr>
        <w:widowControl/>
        <w:jc w:val="left"/>
        <w:rPr>
          <w:rFonts w:cs="Times New Roman"/>
          <w:color w:val="000000" w:themeColor="text1"/>
          <w:sz w:val="24"/>
          <w:szCs w:val="28"/>
        </w:rPr>
      </w:pPr>
      <w:r w:rsidRPr="0068063D">
        <w:rPr>
          <w:rFonts w:cs="Times New Roman"/>
          <w:color w:val="000000" w:themeColor="text1"/>
          <w:sz w:val="24"/>
          <w:szCs w:val="28"/>
        </w:rPr>
        <w:br w:type="page"/>
      </w:r>
    </w:p>
    <w:p w14:paraId="4681EADB" w14:textId="77777777" w:rsidR="002444B9" w:rsidRPr="0068063D" w:rsidRDefault="002444B9" w:rsidP="002444B9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  <w:r w:rsidRPr="0068063D">
        <w:rPr>
          <w:rFonts w:cs="Times New Roman"/>
          <w:b/>
          <w:color w:val="000000" w:themeColor="text1"/>
          <w:sz w:val="24"/>
          <w:szCs w:val="28"/>
        </w:rPr>
        <w:lastRenderedPageBreak/>
        <w:t>Table S4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Decision-analytic model variables</w:t>
      </w:r>
    </w:p>
    <w:tbl>
      <w:tblPr>
        <w:tblStyle w:val="a5"/>
        <w:tblW w:w="10065" w:type="dxa"/>
        <w:tblInd w:w="-85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1367"/>
        <w:gridCol w:w="2692"/>
        <w:gridCol w:w="152"/>
        <w:gridCol w:w="1691"/>
      </w:tblGrid>
      <w:tr w:rsidR="00711BE5" w:rsidRPr="00221447" w14:paraId="0EE87663" w14:textId="77777777" w:rsidTr="009616EB">
        <w:trPr>
          <w:trHeight w:val="280"/>
        </w:trPr>
        <w:tc>
          <w:tcPr>
            <w:tcW w:w="41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011BAD40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221447">
              <w:rPr>
                <w:rFonts w:cs="Times New Roman"/>
                <w:b/>
                <w:bCs/>
                <w:color w:val="000000" w:themeColor="text1"/>
              </w:rPr>
              <w:t>Parameter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DD233FD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221447">
              <w:rPr>
                <w:rFonts w:cs="Times New Roman"/>
                <w:b/>
                <w:bCs/>
                <w:color w:val="000000" w:themeColor="text1"/>
              </w:rPr>
              <w:t>Base case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24212C2E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221447">
              <w:rPr>
                <w:rFonts w:cs="Times New Roman"/>
                <w:b/>
                <w:bCs/>
                <w:color w:val="000000" w:themeColor="text1"/>
              </w:rPr>
              <w:t>Sensitivity Range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hideMark/>
          </w:tcPr>
          <w:p w14:paraId="27A8B9B1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221447">
              <w:rPr>
                <w:rFonts w:cs="Times New Roman"/>
                <w:b/>
                <w:bCs/>
                <w:color w:val="000000" w:themeColor="text1"/>
              </w:rPr>
              <w:t>References</w:t>
            </w:r>
          </w:p>
        </w:tc>
      </w:tr>
      <w:tr w:rsidR="00711BE5" w:rsidRPr="00221447" w14:paraId="62B0BE4D" w14:textId="77777777" w:rsidTr="009616EB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7125CD8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Model inputs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6806E05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809AA11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E3414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</w:tr>
      <w:tr w:rsidR="00711BE5" w:rsidRPr="00221447" w14:paraId="6F990980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1846A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TDM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C19453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D640860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71A204A4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</w:tr>
      <w:tr w:rsidR="00711BE5" w:rsidRPr="00221447" w14:paraId="336D0AF3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E7281" w14:textId="28DCAD83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Frequency of troughs </w:t>
            </w:r>
            <w:r w:rsidRPr="00221447">
              <w:rPr>
                <w:rFonts w:cs="Times New Roman" w:hint="eastAsia"/>
                <w:color w:val="000000" w:themeColor="text1"/>
              </w:rPr>
              <w:t>＞</w:t>
            </w:r>
            <w:r w:rsidRPr="00221447">
              <w:rPr>
                <w:rFonts w:cs="Times New Roman"/>
                <w:color w:val="000000" w:themeColor="text1"/>
              </w:rPr>
              <w:t>20 mg/L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B9436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0.262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18AD3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0.105-0.502 (Beta)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784C2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3DC8A58A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9EB82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     Nephrotoxicity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CD543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1.000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9EE28B4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C7886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223134C5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37885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     No nephrotoxicity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37AE8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37EE209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3F40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06707369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23E16" w14:textId="34F9448C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 w:hint="eastAsia"/>
                <w:color w:val="000000" w:themeColor="text1"/>
              </w:rPr>
              <w:t xml:space="preserve">        Frequency of troughs </w:t>
            </w:r>
            <w:r w:rsidRPr="00221447">
              <w:rPr>
                <w:rFonts w:cs="Times New Roman" w:hint="eastAsia"/>
                <w:color w:val="000000" w:themeColor="text1"/>
              </w:rPr>
              <w:t>≤</w:t>
            </w:r>
            <w:r w:rsidRPr="00221447">
              <w:rPr>
                <w:rFonts w:cs="Times New Roman"/>
                <w:color w:val="000000" w:themeColor="text1"/>
              </w:rPr>
              <w:t>20 mg/L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4A7A3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0.738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FE34C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0.423-0.901 (Beta)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F8E3C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128148B5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82DEE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     Nephrotoxicity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D6D270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B53D765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B2D2F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210BC12B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EF910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     No nephrotoxicity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57BDC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1.000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5DD5E5F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A25E0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373CDEB3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E4A56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Non-TDM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76BC87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E2B677A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522D8464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</w:tr>
      <w:tr w:rsidR="00711BE5" w:rsidRPr="00221447" w14:paraId="76C84F2D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841DC" w14:textId="59C76D0C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Frequency of troughs </w:t>
            </w:r>
            <w:r w:rsidRPr="00221447">
              <w:rPr>
                <w:rFonts w:cs="Times New Roman" w:hint="eastAsia"/>
                <w:color w:val="000000" w:themeColor="text1"/>
              </w:rPr>
              <w:t>＞</w:t>
            </w:r>
            <w:r w:rsidRPr="00221447">
              <w:rPr>
                <w:rFonts w:cs="Times New Roman"/>
                <w:color w:val="000000" w:themeColor="text1"/>
              </w:rPr>
              <w:t>20 mg/L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35DAD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0.524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D9E00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0.203-0.623 (Beta)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32BE9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658BE51E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260C3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     Nephrotoxicity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71CF0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0.812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3E0606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0.645-0.889 (Beta)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9B7C5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6D4A95A4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1A71C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     No nephrotoxicity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D4B6A2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0.188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F6069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0.102-0.376 (Beta)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263C7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7D0F88B9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BB84D" w14:textId="52AF5C6B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 w:hint="eastAsia"/>
                <w:color w:val="000000" w:themeColor="text1"/>
              </w:rPr>
              <w:t xml:space="preserve">        Frequency of troughs </w:t>
            </w:r>
            <w:r w:rsidRPr="00221447">
              <w:rPr>
                <w:rFonts w:cs="Times New Roman" w:hint="eastAsia"/>
                <w:color w:val="000000" w:themeColor="text1"/>
              </w:rPr>
              <w:t>≤</w:t>
            </w:r>
            <w:r w:rsidRPr="00221447">
              <w:rPr>
                <w:rFonts w:cs="Times New Roman"/>
                <w:color w:val="000000" w:themeColor="text1"/>
              </w:rPr>
              <w:t>20 mg/L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A4867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0.476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85683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0.217-0.732 (Beta)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B90D2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57350079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FD2980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     Nephrotoxicity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DFCED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0.188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CD961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0.102-0.376 (Beta)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C2A71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08E82617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0107A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             No nephrotoxicity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4EF17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0.812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505DE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0.645-0.889 (Beta)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EFE8C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Prospective study</w:t>
            </w:r>
          </w:p>
        </w:tc>
      </w:tr>
      <w:tr w:rsidR="00711BE5" w:rsidRPr="00221447" w14:paraId="2539DA80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A030B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Cost (CNY)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389CD" w14:textId="77777777" w:rsidR="002444B9" w:rsidRPr="00221447" w:rsidRDefault="002444B9" w:rsidP="009616E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A37EB" w14:textId="77777777" w:rsidR="002444B9" w:rsidRPr="00221447" w:rsidRDefault="002444B9" w:rsidP="009616EB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2FEFFFEC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</w:p>
        </w:tc>
      </w:tr>
      <w:tr w:rsidR="00711BE5" w:rsidRPr="00221447" w14:paraId="6AF30030" w14:textId="77777777" w:rsidTr="009616EB">
        <w:trPr>
          <w:trHeight w:val="28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02B34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 xml:space="preserve">Obtaining levels (drug assay kit, </w:t>
            </w:r>
            <w:r w:rsidRPr="00221447">
              <w:rPr>
                <w:rFonts w:cs="Times New Roman"/>
                <w:color w:val="000000" w:themeColor="text1"/>
              </w:rPr>
              <w:br/>
              <w:t>calibration, technician time,</w:t>
            </w:r>
            <w:r w:rsidRPr="00221447">
              <w:rPr>
                <w:rFonts w:cs="Times New Roman"/>
                <w:color w:val="000000" w:themeColor="text1"/>
              </w:rPr>
              <w:br/>
              <w:t>other medical supplies)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64767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168.00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EE0845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120.00-187.00 (Gamma)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00E58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NHFPC of China</w:t>
            </w:r>
          </w:p>
        </w:tc>
      </w:tr>
      <w:tr w:rsidR="00711BE5" w:rsidRPr="00221447" w14:paraId="40EC2120" w14:textId="77777777" w:rsidTr="009616EB">
        <w:trPr>
          <w:trHeight w:val="29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B1073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Treating nephrotoxicity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2CB8A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11233.50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75D13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4783.63-1693.50 (Gamma)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A89FB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NHFPC of China</w:t>
            </w:r>
          </w:p>
        </w:tc>
      </w:tr>
      <w:tr w:rsidR="00711BE5" w:rsidRPr="00221447" w14:paraId="3ED2FB05" w14:textId="77777777" w:rsidTr="009616EB">
        <w:trPr>
          <w:trHeight w:val="29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F9248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Pharmacist time (40 min)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B9CD5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43.38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C9EED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41.10-46.80 (Gamma)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9B433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NHFPC of China</w:t>
            </w:r>
          </w:p>
        </w:tc>
      </w:tr>
      <w:tr w:rsidR="00711BE5" w:rsidRPr="00221447" w14:paraId="2A248A40" w14:textId="77777777" w:rsidTr="009616EB">
        <w:trPr>
          <w:trHeight w:val="29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4B746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Nursing time (5 min)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7C4B5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5.98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22A26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5.56–6.42 (Gamma)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7B7D8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NHFPC of China</w:t>
            </w:r>
          </w:p>
        </w:tc>
      </w:tr>
      <w:tr w:rsidR="00711BE5" w:rsidRPr="00221447" w14:paraId="48CEC069" w14:textId="77777777" w:rsidTr="009616EB">
        <w:trPr>
          <w:trHeight w:val="290"/>
        </w:trPr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56D8763E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Laboratory test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493CFCD1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100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43BBC507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67-179 (Gamma)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58274FD" w14:textId="77777777" w:rsidR="002444B9" w:rsidRPr="00221447" w:rsidRDefault="002444B9" w:rsidP="009616EB">
            <w:pPr>
              <w:spacing w:line="288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NHFPC of China</w:t>
            </w:r>
          </w:p>
        </w:tc>
      </w:tr>
    </w:tbl>
    <w:p w14:paraId="3EB86651" w14:textId="77777777" w:rsidR="002444B9" w:rsidRPr="0068063D" w:rsidRDefault="002444B9" w:rsidP="002444B9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</w:p>
    <w:p w14:paraId="433A1A07" w14:textId="77777777" w:rsidR="002444B9" w:rsidRPr="0068063D" w:rsidRDefault="002444B9" w:rsidP="002444B9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  <w:r w:rsidRPr="0068063D">
        <w:rPr>
          <w:rFonts w:cs="Times New Roman"/>
          <w:color w:val="000000" w:themeColor="text1"/>
          <w:sz w:val="24"/>
          <w:szCs w:val="28"/>
        </w:rPr>
        <w:t>TDM, therapeutic drug monitoring; CNY, China yuan</w:t>
      </w:r>
    </w:p>
    <w:p w14:paraId="270547E6" w14:textId="77777777" w:rsidR="002444B9" w:rsidRPr="0068063D" w:rsidRDefault="002444B9" w:rsidP="002444B9">
      <w:pPr>
        <w:adjustRightInd w:val="0"/>
        <w:snapToGrid w:val="0"/>
        <w:spacing w:line="360" w:lineRule="auto"/>
        <w:rPr>
          <w:rFonts w:cs="Times New Roman"/>
          <w:b/>
          <w:color w:val="000000" w:themeColor="text1"/>
          <w:sz w:val="24"/>
          <w:szCs w:val="28"/>
        </w:rPr>
      </w:pPr>
    </w:p>
    <w:p w14:paraId="10A415BA" w14:textId="77777777" w:rsidR="002444B9" w:rsidRPr="0068063D" w:rsidRDefault="002444B9">
      <w:pPr>
        <w:widowControl/>
        <w:jc w:val="left"/>
        <w:rPr>
          <w:rFonts w:cs="Times New Roman"/>
          <w:b/>
          <w:color w:val="000000" w:themeColor="text1"/>
          <w:sz w:val="24"/>
          <w:szCs w:val="28"/>
        </w:rPr>
      </w:pPr>
      <w:r w:rsidRPr="0068063D">
        <w:rPr>
          <w:rFonts w:cs="Times New Roman"/>
          <w:b/>
          <w:color w:val="000000" w:themeColor="text1"/>
          <w:sz w:val="24"/>
          <w:szCs w:val="28"/>
        </w:rPr>
        <w:br w:type="page"/>
      </w:r>
    </w:p>
    <w:p w14:paraId="01E24BE1" w14:textId="77777777" w:rsidR="002444B9" w:rsidRPr="0068063D" w:rsidRDefault="002444B9" w:rsidP="002444B9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  <w:r w:rsidRPr="0068063D">
        <w:rPr>
          <w:rFonts w:cs="Times New Roman"/>
          <w:b/>
          <w:color w:val="000000" w:themeColor="text1"/>
          <w:sz w:val="24"/>
          <w:szCs w:val="28"/>
        </w:rPr>
        <w:lastRenderedPageBreak/>
        <w:t>Table S5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Cost-effectiveness analysis</w:t>
      </w:r>
    </w:p>
    <w:tbl>
      <w:tblPr>
        <w:tblStyle w:val="a5"/>
        <w:tblW w:w="10774" w:type="dxa"/>
        <w:tblInd w:w="-127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418"/>
        <w:gridCol w:w="1559"/>
        <w:gridCol w:w="1418"/>
        <w:gridCol w:w="3685"/>
      </w:tblGrid>
      <w:tr w:rsidR="00711BE5" w:rsidRPr="00221447" w14:paraId="1B6B4FF6" w14:textId="77777777" w:rsidTr="009616EB">
        <w:trPr>
          <w:trHeight w:val="280"/>
        </w:trPr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18598E7" w14:textId="77777777" w:rsidR="002444B9" w:rsidRPr="00221447" w:rsidRDefault="002444B9" w:rsidP="002444B9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221447">
              <w:rPr>
                <w:rFonts w:cs="Times New Roman"/>
                <w:b/>
                <w:color w:val="000000" w:themeColor="text1"/>
              </w:rPr>
              <w:t>Monitoring strategy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D47CF87" w14:textId="77777777" w:rsidR="002444B9" w:rsidRPr="00221447" w:rsidRDefault="002444B9" w:rsidP="002444B9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221447">
              <w:rPr>
                <w:rFonts w:cs="Times New Roman"/>
                <w:b/>
                <w:color w:val="000000" w:themeColor="text1"/>
              </w:rPr>
              <w:t>Total cost</w:t>
            </w:r>
          </w:p>
          <w:p w14:paraId="26F15752" w14:textId="77777777" w:rsidR="002444B9" w:rsidRPr="00221447" w:rsidRDefault="002444B9" w:rsidP="002444B9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221447">
              <w:rPr>
                <w:rFonts w:cs="Times New Roman"/>
                <w:b/>
                <w:color w:val="000000" w:themeColor="text1"/>
              </w:rPr>
              <w:t>(CNY)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3AFA023" w14:textId="77777777" w:rsidR="002444B9" w:rsidRPr="00221447" w:rsidRDefault="002444B9" w:rsidP="002444B9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221447">
              <w:rPr>
                <w:rFonts w:cs="Times New Roman"/>
                <w:b/>
                <w:color w:val="000000" w:themeColor="text1"/>
              </w:rPr>
              <w:t>Incremental cost (CNY)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9F0CCB" w14:textId="77777777" w:rsidR="002444B9" w:rsidRPr="00221447" w:rsidRDefault="002444B9" w:rsidP="002444B9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221447">
              <w:rPr>
                <w:rFonts w:cs="Times New Roman"/>
                <w:b/>
                <w:color w:val="000000" w:themeColor="text1"/>
              </w:rPr>
              <w:t>Effectiveness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BABCC9" w14:textId="77777777" w:rsidR="002444B9" w:rsidRPr="00221447" w:rsidRDefault="002444B9" w:rsidP="002444B9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221447">
              <w:rPr>
                <w:rFonts w:cs="Times New Roman"/>
                <w:b/>
                <w:color w:val="000000" w:themeColor="text1"/>
              </w:rPr>
              <w:t>Incremental effectiveness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1E93A37" w14:textId="77777777" w:rsidR="002444B9" w:rsidRPr="00221447" w:rsidRDefault="002444B9" w:rsidP="002444B9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221447">
              <w:rPr>
                <w:rFonts w:cs="Times New Roman"/>
                <w:b/>
                <w:color w:val="000000" w:themeColor="text1"/>
              </w:rPr>
              <w:t>ICER/nephrotoxic episode prevented (CNY / rate of nephrotoxic episode prevented)</w:t>
            </w:r>
          </w:p>
        </w:tc>
      </w:tr>
      <w:tr w:rsidR="00711BE5" w:rsidRPr="00221447" w14:paraId="5E9BBE03" w14:textId="77777777" w:rsidTr="009616EB">
        <w:trPr>
          <w:trHeight w:val="280"/>
        </w:trPr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7EE74D21" w14:textId="77777777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non-TDM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A86F71C" w14:textId="1B7946DC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5</w:t>
            </w:r>
            <w:r w:rsidR="000C597C" w:rsidRPr="00221447">
              <w:rPr>
                <w:rFonts w:cs="Times New Roman"/>
                <w:color w:val="000000" w:themeColor="text1"/>
              </w:rPr>
              <w:t>,</w:t>
            </w:r>
            <w:r w:rsidRPr="00221447">
              <w:rPr>
                <w:rFonts w:cs="Times New Roman"/>
                <w:color w:val="000000" w:themeColor="text1"/>
              </w:rPr>
              <w:t>448.51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76C2940F" w14:textId="77777777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1B6E7B5" w14:textId="77777777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0.348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0E3BFBB" w14:textId="77777777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hideMark/>
          </w:tcPr>
          <w:p w14:paraId="3C3F2C85" w14:textId="77777777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</w:p>
        </w:tc>
      </w:tr>
      <w:tr w:rsidR="00711BE5" w:rsidRPr="00221447" w14:paraId="31ED60D4" w14:textId="77777777" w:rsidTr="009616EB">
        <w:trPr>
          <w:trHeight w:val="280"/>
        </w:trPr>
        <w:tc>
          <w:tcPr>
            <w:tcW w:w="1418" w:type="dxa"/>
            <w:hideMark/>
          </w:tcPr>
          <w:p w14:paraId="17D55A46" w14:textId="77777777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TDM</w:t>
            </w:r>
          </w:p>
        </w:tc>
        <w:tc>
          <w:tcPr>
            <w:tcW w:w="1276" w:type="dxa"/>
            <w:noWrap/>
            <w:hideMark/>
          </w:tcPr>
          <w:p w14:paraId="6EF4F975" w14:textId="16A030B4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11</w:t>
            </w:r>
            <w:r w:rsidR="000C597C" w:rsidRPr="00221447">
              <w:rPr>
                <w:rFonts w:cs="Times New Roman"/>
                <w:color w:val="000000" w:themeColor="text1"/>
              </w:rPr>
              <w:t>,</w:t>
            </w:r>
            <w:r w:rsidRPr="00221447">
              <w:rPr>
                <w:rFonts w:cs="Times New Roman"/>
                <w:color w:val="000000" w:themeColor="text1"/>
              </w:rPr>
              <w:t>450.86</w:t>
            </w:r>
          </w:p>
        </w:tc>
        <w:tc>
          <w:tcPr>
            <w:tcW w:w="1418" w:type="dxa"/>
            <w:hideMark/>
          </w:tcPr>
          <w:p w14:paraId="4712E907" w14:textId="1A792782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6</w:t>
            </w:r>
            <w:r w:rsidR="000C597C" w:rsidRPr="00221447">
              <w:rPr>
                <w:rFonts w:cs="Times New Roman"/>
                <w:color w:val="000000" w:themeColor="text1"/>
              </w:rPr>
              <w:t>,</w:t>
            </w:r>
            <w:r w:rsidRPr="00221447">
              <w:rPr>
                <w:rFonts w:cs="Times New Roman"/>
                <w:color w:val="000000" w:themeColor="text1"/>
              </w:rPr>
              <w:t>002.34</w:t>
            </w:r>
          </w:p>
        </w:tc>
        <w:tc>
          <w:tcPr>
            <w:tcW w:w="1559" w:type="dxa"/>
            <w:noWrap/>
            <w:hideMark/>
          </w:tcPr>
          <w:p w14:paraId="3B827E32" w14:textId="77777777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0.613</w:t>
            </w:r>
          </w:p>
        </w:tc>
        <w:tc>
          <w:tcPr>
            <w:tcW w:w="1418" w:type="dxa"/>
            <w:hideMark/>
          </w:tcPr>
          <w:p w14:paraId="1830170A" w14:textId="77777777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0.265</w:t>
            </w:r>
          </w:p>
        </w:tc>
        <w:tc>
          <w:tcPr>
            <w:tcW w:w="3685" w:type="dxa"/>
            <w:hideMark/>
          </w:tcPr>
          <w:p w14:paraId="07F08A11" w14:textId="77777777" w:rsidR="002444B9" w:rsidRPr="00221447" w:rsidRDefault="002444B9" w:rsidP="009616EB">
            <w:pPr>
              <w:spacing w:line="480" w:lineRule="auto"/>
              <w:rPr>
                <w:rFonts w:cs="Times New Roman"/>
                <w:color w:val="000000" w:themeColor="text1"/>
              </w:rPr>
            </w:pPr>
            <w:r w:rsidRPr="00221447">
              <w:rPr>
                <w:rFonts w:cs="Times New Roman"/>
                <w:color w:val="000000" w:themeColor="text1"/>
              </w:rPr>
              <w:t>22638.07</w:t>
            </w:r>
          </w:p>
        </w:tc>
      </w:tr>
    </w:tbl>
    <w:p w14:paraId="7AA876C2" w14:textId="77777777" w:rsidR="002444B9" w:rsidRPr="0068063D" w:rsidRDefault="002444B9" w:rsidP="002444B9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</w:p>
    <w:p w14:paraId="2BE0F733" w14:textId="1C533343" w:rsidR="002444B9" w:rsidRPr="0068063D" w:rsidRDefault="002444B9" w:rsidP="002444B9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1"/>
        </w:rPr>
      </w:pPr>
      <w:r w:rsidRPr="0068063D">
        <w:rPr>
          <w:rFonts w:cs="Times New Roman"/>
          <w:color w:val="000000" w:themeColor="text1"/>
          <w:sz w:val="24"/>
          <w:szCs w:val="21"/>
        </w:rPr>
        <w:t>TDM, therapeutic drug monitoring; ICER, the incremental cost</w:t>
      </w:r>
      <w:r w:rsidR="00C809B0" w:rsidRPr="00221447">
        <w:rPr>
          <w:rFonts w:cs="Times New Roman"/>
          <w:color w:val="000000" w:themeColor="text1"/>
          <w:sz w:val="24"/>
          <w:szCs w:val="21"/>
        </w:rPr>
        <w:t xml:space="preserve"> </w:t>
      </w:r>
      <w:r w:rsidRPr="0068063D">
        <w:rPr>
          <w:rFonts w:cs="Times New Roman"/>
          <w:color w:val="000000" w:themeColor="text1"/>
          <w:sz w:val="24"/>
          <w:szCs w:val="21"/>
        </w:rPr>
        <w:t>effectiveness ratio; CNY, China yuan.</w:t>
      </w:r>
    </w:p>
    <w:p w14:paraId="707829C7" w14:textId="77777777" w:rsidR="006805E7" w:rsidRPr="0068063D" w:rsidRDefault="006805E7" w:rsidP="006805E7">
      <w:pPr>
        <w:adjustRightInd w:val="0"/>
        <w:snapToGrid w:val="0"/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4CE7B7B8" w14:textId="77777777" w:rsidR="006805E7" w:rsidRPr="0068063D" w:rsidRDefault="006805E7">
      <w:pPr>
        <w:widowControl/>
        <w:jc w:val="left"/>
        <w:rPr>
          <w:rFonts w:cs="Times New Roman"/>
          <w:color w:val="000000" w:themeColor="text1"/>
          <w:szCs w:val="21"/>
        </w:rPr>
      </w:pPr>
      <w:r w:rsidRPr="0068063D">
        <w:rPr>
          <w:rFonts w:cs="Times New Roman"/>
          <w:color w:val="000000" w:themeColor="text1"/>
          <w:szCs w:val="21"/>
        </w:rPr>
        <w:br w:type="page"/>
      </w:r>
    </w:p>
    <w:p w14:paraId="707FF491" w14:textId="2C7966C3" w:rsidR="001D32BD" w:rsidRPr="00C123F7" w:rsidRDefault="001D32BD" w:rsidP="001D32BD">
      <w:pPr>
        <w:widowControl/>
        <w:spacing w:line="480" w:lineRule="auto"/>
        <w:rPr>
          <w:color w:val="000000" w:themeColor="text1"/>
          <w:sz w:val="24"/>
          <w:szCs w:val="24"/>
        </w:rPr>
      </w:pPr>
      <w:r w:rsidRPr="00C123F7">
        <w:rPr>
          <w:b/>
          <w:color w:val="000000" w:themeColor="text1"/>
          <w:sz w:val="24"/>
          <w:szCs w:val="24"/>
        </w:rPr>
        <w:lastRenderedPageBreak/>
        <w:t xml:space="preserve">Figure S1 </w:t>
      </w:r>
      <w:r w:rsidRPr="00C123F7">
        <w:rPr>
          <w:color w:val="000000" w:themeColor="text1"/>
          <w:sz w:val="24"/>
          <w:szCs w:val="24"/>
        </w:rPr>
        <w:t xml:space="preserve">Diagnostic plots </w:t>
      </w:r>
      <w:r w:rsidR="000C597C" w:rsidRPr="00C123F7">
        <w:rPr>
          <w:color w:val="000000" w:themeColor="text1"/>
          <w:sz w:val="24"/>
          <w:szCs w:val="24"/>
        </w:rPr>
        <w:t xml:space="preserve">of </w:t>
      </w:r>
      <w:r w:rsidRPr="00C123F7">
        <w:rPr>
          <w:color w:val="000000" w:themeColor="text1"/>
          <w:sz w:val="24"/>
          <w:szCs w:val="24"/>
        </w:rPr>
        <w:t xml:space="preserve">the </w:t>
      </w:r>
      <w:r w:rsidR="0066417D" w:rsidRPr="00C123F7">
        <w:rPr>
          <w:color w:val="000000" w:themeColor="text1"/>
          <w:sz w:val="24"/>
          <w:szCs w:val="24"/>
        </w:rPr>
        <w:t>current data</w:t>
      </w:r>
      <w:r w:rsidRPr="00C123F7">
        <w:rPr>
          <w:color w:val="000000" w:themeColor="text1"/>
          <w:sz w:val="24"/>
          <w:szCs w:val="24"/>
        </w:rPr>
        <w:t>.</w:t>
      </w:r>
    </w:p>
    <w:p w14:paraId="77D66000" w14:textId="77777777" w:rsidR="001D32BD" w:rsidRPr="00221447" w:rsidRDefault="00711BE5" w:rsidP="001D32BD">
      <w:pPr>
        <w:widowControl/>
        <w:spacing w:line="480" w:lineRule="auto"/>
        <w:rPr>
          <w:b/>
          <w:color w:val="000000" w:themeColor="text1"/>
          <w:sz w:val="24"/>
          <w:szCs w:val="24"/>
        </w:rPr>
      </w:pPr>
      <w:r w:rsidRPr="00221447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0AA708F6" wp14:editId="450F7D90">
            <wp:extent cx="5274310" cy="2694406"/>
            <wp:effectExtent l="0" t="0" r="2540" b="0"/>
            <wp:docPr id="3" name="图片 3" descr="C:\Users\pc\Desktop\图片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图片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CD9E" w14:textId="77777777" w:rsidR="00960183" w:rsidRPr="00221447" w:rsidRDefault="001D32BD" w:rsidP="00960183">
      <w:pPr>
        <w:pStyle w:val="a6"/>
        <w:widowControl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21447">
        <w:rPr>
          <w:sz w:val="24"/>
          <w:szCs w:val="24"/>
        </w:rPr>
        <w:t>Population predicted concentration</w:t>
      </w:r>
      <w:r w:rsidR="00960183" w:rsidRPr="00221447">
        <w:rPr>
          <w:sz w:val="24"/>
          <w:szCs w:val="24"/>
        </w:rPr>
        <w:t>s</w:t>
      </w:r>
      <w:r w:rsidRPr="00221447">
        <w:rPr>
          <w:sz w:val="24"/>
          <w:szCs w:val="24"/>
        </w:rPr>
        <w:t xml:space="preserve"> (PRED) versus </w:t>
      </w:r>
      <w:r w:rsidR="00960183" w:rsidRPr="00221447">
        <w:rPr>
          <w:sz w:val="24"/>
          <w:szCs w:val="24"/>
        </w:rPr>
        <w:t>observed concentrations</w:t>
      </w:r>
      <w:r w:rsidRPr="00221447">
        <w:rPr>
          <w:sz w:val="24"/>
          <w:szCs w:val="24"/>
        </w:rPr>
        <w:t xml:space="preserve"> (</w:t>
      </w:r>
      <w:r w:rsidR="00960183" w:rsidRPr="00221447">
        <w:rPr>
          <w:sz w:val="24"/>
          <w:szCs w:val="24"/>
        </w:rPr>
        <w:t>DV</w:t>
      </w:r>
      <w:r w:rsidRPr="00221447">
        <w:rPr>
          <w:sz w:val="24"/>
          <w:szCs w:val="24"/>
        </w:rPr>
        <w:t>)</w:t>
      </w:r>
      <w:r w:rsidR="00960183" w:rsidRPr="00221447">
        <w:rPr>
          <w:sz w:val="24"/>
          <w:szCs w:val="24"/>
        </w:rPr>
        <w:t>;</w:t>
      </w:r>
    </w:p>
    <w:p w14:paraId="56361CB6" w14:textId="77777777" w:rsidR="001D32BD" w:rsidRPr="00221447" w:rsidRDefault="001D32BD" w:rsidP="00960183">
      <w:pPr>
        <w:pStyle w:val="a6"/>
        <w:widowControl/>
        <w:numPr>
          <w:ilvl w:val="0"/>
          <w:numId w:val="2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221447">
        <w:rPr>
          <w:sz w:val="24"/>
          <w:szCs w:val="24"/>
        </w:rPr>
        <w:t>Individual predicted concentration (IPRED) versus observed concentration</w:t>
      </w:r>
      <w:r w:rsidR="00960183" w:rsidRPr="00221447">
        <w:rPr>
          <w:sz w:val="24"/>
          <w:szCs w:val="24"/>
        </w:rPr>
        <w:t>s</w:t>
      </w:r>
      <w:r w:rsidRPr="00221447">
        <w:rPr>
          <w:sz w:val="24"/>
          <w:szCs w:val="24"/>
        </w:rPr>
        <w:t xml:space="preserve"> (</w:t>
      </w:r>
      <w:r w:rsidR="00960183" w:rsidRPr="00221447">
        <w:rPr>
          <w:sz w:val="24"/>
          <w:szCs w:val="24"/>
        </w:rPr>
        <w:t>DV).</w:t>
      </w:r>
    </w:p>
    <w:p w14:paraId="74F844C3" w14:textId="77777777" w:rsidR="001D32BD" w:rsidRPr="00221447" w:rsidRDefault="001D32BD">
      <w:pPr>
        <w:widowControl/>
        <w:jc w:val="left"/>
        <w:rPr>
          <w:b/>
          <w:color w:val="000000" w:themeColor="text1"/>
          <w:sz w:val="24"/>
          <w:szCs w:val="24"/>
        </w:rPr>
      </w:pPr>
      <w:r w:rsidRPr="00221447">
        <w:rPr>
          <w:b/>
          <w:color w:val="000000" w:themeColor="text1"/>
          <w:sz w:val="24"/>
          <w:szCs w:val="24"/>
        </w:rPr>
        <w:br w:type="page"/>
      </w:r>
    </w:p>
    <w:p w14:paraId="7372D417" w14:textId="77777777" w:rsidR="001D32BD" w:rsidRPr="00221447" w:rsidRDefault="001D32BD" w:rsidP="001D32BD">
      <w:pPr>
        <w:widowControl/>
        <w:spacing w:line="480" w:lineRule="auto"/>
        <w:rPr>
          <w:color w:val="000000" w:themeColor="text1"/>
          <w:sz w:val="24"/>
          <w:szCs w:val="24"/>
        </w:rPr>
      </w:pPr>
      <w:r w:rsidRPr="00221447">
        <w:rPr>
          <w:b/>
          <w:color w:val="000000" w:themeColor="text1"/>
          <w:sz w:val="24"/>
          <w:szCs w:val="24"/>
        </w:rPr>
        <w:lastRenderedPageBreak/>
        <w:t xml:space="preserve">Figure </w:t>
      </w:r>
      <w:r w:rsidR="00C279A0" w:rsidRPr="00221447">
        <w:rPr>
          <w:b/>
          <w:color w:val="000000" w:themeColor="text1"/>
          <w:sz w:val="24"/>
          <w:szCs w:val="24"/>
        </w:rPr>
        <w:t>S2</w:t>
      </w:r>
      <w:r w:rsidRPr="00221447">
        <w:rPr>
          <w:b/>
          <w:color w:val="000000" w:themeColor="text1"/>
          <w:sz w:val="24"/>
          <w:szCs w:val="24"/>
        </w:rPr>
        <w:t xml:space="preserve"> </w:t>
      </w:r>
      <w:r w:rsidRPr="00221447">
        <w:rPr>
          <w:color w:val="000000" w:themeColor="text1"/>
          <w:sz w:val="24"/>
          <w:szCs w:val="24"/>
        </w:rPr>
        <w:t xml:space="preserve">Decision tree model. </w:t>
      </w:r>
    </w:p>
    <w:p w14:paraId="173F5BE3" w14:textId="77777777" w:rsidR="001D32BD" w:rsidRPr="00221447" w:rsidRDefault="001D32BD" w:rsidP="001D32BD">
      <w:pPr>
        <w:widowControl/>
        <w:spacing w:line="480" w:lineRule="auto"/>
        <w:rPr>
          <w:color w:val="000000" w:themeColor="text1"/>
          <w:sz w:val="24"/>
          <w:szCs w:val="24"/>
        </w:rPr>
      </w:pPr>
      <w:r w:rsidRPr="00221447">
        <w:rPr>
          <w:noProof/>
          <w:color w:val="000000" w:themeColor="text1"/>
          <w:sz w:val="24"/>
          <w:szCs w:val="24"/>
        </w:rPr>
        <w:drawing>
          <wp:inline distT="0" distB="0" distL="0" distR="0" wp14:anchorId="7E50DFFD" wp14:editId="7FADF593">
            <wp:extent cx="5274310" cy="2851912"/>
            <wp:effectExtent l="0" t="0" r="2540" b="5715"/>
            <wp:docPr id="1" name="图片 1" descr="F:\万古霉素\万古霉素TDM队列研究\万古霉素TDM\数据分析\决策树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万古霉素\万古霉素TDM队列研究\万古霉素TDM\数据分析\决策树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4CBBC" w14:textId="77777777" w:rsidR="001D32BD" w:rsidRPr="00221447" w:rsidRDefault="001D32BD" w:rsidP="001D32BD">
      <w:pPr>
        <w:widowControl/>
        <w:spacing w:line="480" w:lineRule="auto"/>
        <w:rPr>
          <w:color w:val="000000" w:themeColor="text1"/>
          <w:sz w:val="24"/>
          <w:szCs w:val="24"/>
        </w:rPr>
      </w:pPr>
      <w:r w:rsidRPr="00221447">
        <w:rPr>
          <w:color w:val="000000" w:themeColor="text1"/>
          <w:sz w:val="24"/>
          <w:szCs w:val="24"/>
        </w:rPr>
        <w:t>TDM, therapeutic drug monitoring</w:t>
      </w:r>
    </w:p>
    <w:p w14:paraId="56F8D4F2" w14:textId="77777777" w:rsidR="001D32BD" w:rsidRPr="0068063D" w:rsidRDefault="001D32BD" w:rsidP="003B161C">
      <w:pPr>
        <w:adjustRightInd w:val="0"/>
        <w:snapToGrid w:val="0"/>
        <w:spacing w:line="360" w:lineRule="auto"/>
        <w:rPr>
          <w:rFonts w:cs="Times New Roman"/>
          <w:b/>
          <w:color w:val="000000" w:themeColor="text1"/>
          <w:sz w:val="24"/>
          <w:szCs w:val="28"/>
        </w:rPr>
      </w:pPr>
    </w:p>
    <w:p w14:paraId="230E2640" w14:textId="77777777" w:rsidR="001D32BD" w:rsidRPr="0068063D" w:rsidRDefault="001D32BD">
      <w:pPr>
        <w:widowControl/>
        <w:jc w:val="left"/>
        <w:rPr>
          <w:rFonts w:cs="Times New Roman"/>
          <w:b/>
          <w:color w:val="000000" w:themeColor="text1"/>
          <w:sz w:val="24"/>
          <w:szCs w:val="28"/>
        </w:rPr>
      </w:pPr>
      <w:r w:rsidRPr="0068063D">
        <w:rPr>
          <w:rFonts w:cs="Times New Roman"/>
          <w:b/>
          <w:color w:val="000000" w:themeColor="text1"/>
          <w:sz w:val="24"/>
          <w:szCs w:val="28"/>
        </w:rPr>
        <w:br w:type="page"/>
      </w:r>
    </w:p>
    <w:p w14:paraId="70DE3306" w14:textId="04BC863F" w:rsidR="003B161C" w:rsidRDefault="003B161C" w:rsidP="003B161C">
      <w:pPr>
        <w:adjustRightInd w:val="0"/>
        <w:snapToGrid w:val="0"/>
        <w:spacing w:line="360" w:lineRule="auto"/>
        <w:rPr>
          <w:rFonts w:cs="Times New Roman"/>
          <w:color w:val="000000" w:themeColor="text1"/>
          <w:sz w:val="24"/>
          <w:szCs w:val="28"/>
        </w:rPr>
      </w:pPr>
      <w:r w:rsidRPr="0068063D">
        <w:rPr>
          <w:rFonts w:cs="Times New Roman"/>
          <w:b/>
          <w:color w:val="000000" w:themeColor="text1"/>
          <w:sz w:val="24"/>
          <w:szCs w:val="28"/>
        </w:rPr>
        <w:lastRenderedPageBreak/>
        <w:t>Figure S</w:t>
      </w:r>
      <w:r w:rsidR="00EB52E9" w:rsidRPr="0068063D">
        <w:rPr>
          <w:rFonts w:cs="Times New Roman"/>
          <w:b/>
          <w:color w:val="000000" w:themeColor="text1"/>
          <w:sz w:val="24"/>
          <w:szCs w:val="28"/>
        </w:rPr>
        <w:t>3</w:t>
      </w:r>
      <w:r w:rsidRPr="0068063D">
        <w:rPr>
          <w:rFonts w:cs="Times New Roman"/>
          <w:color w:val="000000" w:themeColor="text1"/>
          <w:sz w:val="24"/>
          <w:szCs w:val="28"/>
        </w:rPr>
        <w:t xml:space="preserve"> Kaplan–Meier survival analysis</w:t>
      </w:r>
      <w:r w:rsidR="00CA5164" w:rsidRPr="00221447">
        <w:rPr>
          <w:rFonts w:cs="Times New Roman"/>
          <w:color w:val="000000" w:themeColor="text1"/>
          <w:sz w:val="24"/>
          <w:szCs w:val="28"/>
        </w:rPr>
        <w:t xml:space="preserve"> of </w:t>
      </w:r>
      <w:r w:rsidR="004B20A7" w:rsidRPr="00221447">
        <w:rPr>
          <w:rFonts w:cs="Times New Roman"/>
          <w:iCs/>
          <w:color w:val="000000" w:themeColor="text1"/>
          <w:sz w:val="24"/>
          <w:szCs w:val="28"/>
        </w:rPr>
        <w:t>other outcome variables</w:t>
      </w:r>
      <w:r w:rsidR="004B20A7" w:rsidRPr="006A6666">
        <w:rPr>
          <w:rFonts w:cs="Times New Roman"/>
          <w:color w:val="000000" w:themeColor="text1"/>
          <w:sz w:val="24"/>
          <w:szCs w:val="28"/>
        </w:rPr>
        <w:t xml:space="preserve"> </w:t>
      </w:r>
      <w:r w:rsidRPr="0068063D">
        <w:rPr>
          <w:rFonts w:cs="Times New Roman"/>
          <w:color w:val="000000" w:themeColor="text1"/>
          <w:sz w:val="24"/>
          <w:szCs w:val="28"/>
        </w:rPr>
        <w:t>for vancomycin-associated nephrotoxicity</w:t>
      </w:r>
    </w:p>
    <w:p w14:paraId="33C8789D" w14:textId="1EBD53BD" w:rsidR="003B161C" w:rsidRPr="0068063D" w:rsidRDefault="008B4EA7" w:rsidP="003B161C">
      <w:pPr>
        <w:adjustRightInd w:val="0"/>
        <w:snapToGrid w:val="0"/>
        <w:spacing w:line="360" w:lineRule="auto"/>
        <w:rPr>
          <w:rFonts w:cs="Times New Roman"/>
          <w:i/>
          <w:color w:val="000000" w:themeColor="text1"/>
          <w:sz w:val="24"/>
          <w:szCs w:val="28"/>
        </w:rPr>
      </w:pPr>
      <w:r>
        <w:rPr>
          <w:rFonts w:cs="Times New Roman"/>
          <w:i/>
          <w:noProof/>
          <w:color w:val="000000" w:themeColor="text1"/>
          <w:sz w:val="24"/>
          <w:szCs w:val="28"/>
        </w:rPr>
        <w:drawing>
          <wp:inline distT="0" distB="0" distL="0" distR="0" wp14:anchorId="3477422A" wp14:editId="4A9F51AE">
            <wp:extent cx="5467350" cy="36059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55" cy="362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7DE47" w14:textId="77777777" w:rsidR="00336FD1" w:rsidRPr="0068063D" w:rsidRDefault="003B161C" w:rsidP="00C279A0">
      <w:pPr>
        <w:adjustRightInd w:val="0"/>
        <w:snapToGrid w:val="0"/>
        <w:spacing w:line="360" w:lineRule="auto"/>
        <w:rPr>
          <w:rFonts w:cs="Times New Roman"/>
          <w:iCs/>
          <w:color w:val="000000" w:themeColor="text1"/>
          <w:sz w:val="24"/>
          <w:szCs w:val="28"/>
        </w:rPr>
      </w:pPr>
      <w:r w:rsidRPr="0068063D">
        <w:rPr>
          <w:rFonts w:cs="Times New Roman"/>
          <w:iCs/>
          <w:color w:val="000000" w:themeColor="text1"/>
          <w:sz w:val="24"/>
          <w:szCs w:val="28"/>
        </w:rPr>
        <w:t>TDM, therapeutic drug monitor</w:t>
      </w:r>
      <w:bookmarkStart w:id="0" w:name="_GoBack"/>
      <w:bookmarkEnd w:id="0"/>
      <w:r w:rsidRPr="0068063D">
        <w:rPr>
          <w:rFonts w:cs="Times New Roman"/>
          <w:iCs/>
          <w:color w:val="000000" w:themeColor="text1"/>
          <w:sz w:val="24"/>
          <w:szCs w:val="28"/>
        </w:rPr>
        <w:t>ing</w:t>
      </w:r>
      <w:r w:rsidR="00C279A0" w:rsidRPr="0068063D">
        <w:rPr>
          <w:rFonts w:cs="Times New Roman"/>
          <w:iCs/>
          <w:color w:val="000000" w:themeColor="text1"/>
          <w:sz w:val="24"/>
          <w:szCs w:val="28"/>
        </w:rPr>
        <w:t>.</w:t>
      </w:r>
    </w:p>
    <w:sectPr w:rsidR="00336FD1" w:rsidRPr="00680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B5D5" w16cid:durableId="21EFB1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2970" w14:textId="77777777" w:rsidR="00B90EA0" w:rsidRDefault="00B90EA0" w:rsidP="0046792F">
      <w:r>
        <w:separator/>
      </w:r>
    </w:p>
  </w:endnote>
  <w:endnote w:type="continuationSeparator" w:id="0">
    <w:p w14:paraId="10C1F07A" w14:textId="77777777" w:rsidR="00B90EA0" w:rsidRDefault="00B90EA0" w:rsidP="004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A44E" w14:textId="77777777" w:rsidR="00A91C07" w:rsidRDefault="00A91C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D64B" w14:textId="77777777" w:rsidR="00A91C07" w:rsidRPr="00221447" w:rsidRDefault="00A91C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5443" w14:textId="77777777" w:rsidR="00A91C07" w:rsidRPr="00221447" w:rsidRDefault="00A91C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7C8C2" w14:textId="77777777" w:rsidR="00B90EA0" w:rsidRDefault="00B90EA0" w:rsidP="0046792F">
      <w:r>
        <w:separator/>
      </w:r>
    </w:p>
  </w:footnote>
  <w:footnote w:type="continuationSeparator" w:id="0">
    <w:p w14:paraId="4372630E" w14:textId="77777777" w:rsidR="00B90EA0" w:rsidRDefault="00B90EA0" w:rsidP="0046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6832" w14:textId="77777777" w:rsidR="00A91C07" w:rsidRDefault="00A91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7F09" w14:textId="77777777" w:rsidR="00A91C07" w:rsidRPr="00221447" w:rsidRDefault="00A91C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5358" w14:textId="77777777" w:rsidR="00A91C07" w:rsidRPr="00221447" w:rsidRDefault="00A91C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15AB6"/>
    <w:multiLevelType w:val="hybridMultilevel"/>
    <w:tmpl w:val="11263868"/>
    <w:lvl w:ilvl="0" w:tplc="70B2D8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687EA6"/>
    <w:multiLevelType w:val="hybridMultilevel"/>
    <w:tmpl w:val="A54CCB08"/>
    <w:lvl w:ilvl="0" w:tplc="A36CF9B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D"/>
    <w:rsid w:val="00014ED0"/>
    <w:rsid w:val="0006423F"/>
    <w:rsid w:val="000817D2"/>
    <w:rsid w:val="000C597C"/>
    <w:rsid w:val="001444F3"/>
    <w:rsid w:val="001608F4"/>
    <w:rsid w:val="00170B1E"/>
    <w:rsid w:val="00187200"/>
    <w:rsid w:val="001B40BE"/>
    <w:rsid w:val="001D32BD"/>
    <w:rsid w:val="001F6554"/>
    <w:rsid w:val="001F7C82"/>
    <w:rsid w:val="00221447"/>
    <w:rsid w:val="002444B9"/>
    <w:rsid w:val="002762E1"/>
    <w:rsid w:val="00281F69"/>
    <w:rsid w:val="002A40E6"/>
    <w:rsid w:val="002C4191"/>
    <w:rsid w:val="00304336"/>
    <w:rsid w:val="00336FD1"/>
    <w:rsid w:val="00377DB9"/>
    <w:rsid w:val="00391003"/>
    <w:rsid w:val="003B161C"/>
    <w:rsid w:val="004435C4"/>
    <w:rsid w:val="004654CF"/>
    <w:rsid w:val="0046792F"/>
    <w:rsid w:val="00470D33"/>
    <w:rsid w:val="0049068D"/>
    <w:rsid w:val="004B20A7"/>
    <w:rsid w:val="004E74D8"/>
    <w:rsid w:val="005A6D9F"/>
    <w:rsid w:val="00616901"/>
    <w:rsid w:val="0066417D"/>
    <w:rsid w:val="006805E7"/>
    <w:rsid w:val="0068063D"/>
    <w:rsid w:val="006A6666"/>
    <w:rsid w:val="006B5805"/>
    <w:rsid w:val="00711BE5"/>
    <w:rsid w:val="00792356"/>
    <w:rsid w:val="007A3466"/>
    <w:rsid w:val="007C6E04"/>
    <w:rsid w:val="0081662F"/>
    <w:rsid w:val="008217E6"/>
    <w:rsid w:val="0086361E"/>
    <w:rsid w:val="00870575"/>
    <w:rsid w:val="00886811"/>
    <w:rsid w:val="00896B5F"/>
    <w:rsid w:val="008A75B3"/>
    <w:rsid w:val="008B4EA7"/>
    <w:rsid w:val="009322C6"/>
    <w:rsid w:val="00942644"/>
    <w:rsid w:val="009566D5"/>
    <w:rsid w:val="00960183"/>
    <w:rsid w:val="009B56DD"/>
    <w:rsid w:val="009B6D7A"/>
    <w:rsid w:val="009C2C14"/>
    <w:rsid w:val="009D5865"/>
    <w:rsid w:val="00A1301C"/>
    <w:rsid w:val="00A22159"/>
    <w:rsid w:val="00A2475D"/>
    <w:rsid w:val="00A91C07"/>
    <w:rsid w:val="00AA2142"/>
    <w:rsid w:val="00AA4403"/>
    <w:rsid w:val="00AC0F5F"/>
    <w:rsid w:val="00AD3F4D"/>
    <w:rsid w:val="00AD7EDF"/>
    <w:rsid w:val="00B116E4"/>
    <w:rsid w:val="00B261D4"/>
    <w:rsid w:val="00B90EA0"/>
    <w:rsid w:val="00C123F7"/>
    <w:rsid w:val="00C279A0"/>
    <w:rsid w:val="00C32E31"/>
    <w:rsid w:val="00C809B0"/>
    <w:rsid w:val="00CA13CC"/>
    <w:rsid w:val="00CA5164"/>
    <w:rsid w:val="00CB601C"/>
    <w:rsid w:val="00D2013C"/>
    <w:rsid w:val="00D25FE1"/>
    <w:rsid w:val="00D27630"/>
    <w:rsid w:val="00D54028"/>
    <w:rsid w:val="00D67C32"/>
    <w:rsid w:val="00D856B1"/>
    <w:rsid w:val="00D9195E"/>
    <w:rsid w:val="00E473E5"/>
    <w:rsid w:val="00E66EBC"/>
    <w:rsid w:val="00E8532A"/>
    <w:rsid w:val="00EB52E9"/>
    <w:rsid w:val="00F64F38"/>
    <w:rsid w:val="00FD064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BDD33"/>
  <w15:chartTrackingRefBased/>
  <w15:docId w15:val="{480BC36A-3815-4063-AD49-87E5411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2F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92F"/>
    <w:rPr>
      <w:sz w:val="18"/>
      <w:szCs w:val="18"/>
    </w:rPr>
  </w:style>
  <w:style w:type="table" w:styleId="a5">
    <w:name w:val="Table Grid"/>
    <w:basedOn w:val="a1"/>
    <w:uiPriority w:val="39"/>
    <w:rsid w:val="001F7C82"/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301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A5164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5164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516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A5164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CA5164"/>
    <w:rPr>
      <w:rFonts w:ascii="Times New Roman" w:eastAsia="宋体" w:hAnsi="Times New Roman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516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5164"/>
    <w:rPr>
      <w:rFonts w:ascii="Times New Roman" w:eastAsia="宋体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62</cp:revision>
  <dcterms:created xsi:type="dcterms:W3CDTF">2019-08-05T03:24:00Z</dcterms:created>
  <dcterms:modified xsi:type="dcterms:W3CDTF">2020-02-19T08:37:00Z</dcterms:modified>
</cp:coreProperties>
</file>