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2D" w:rsidRPr="00C57215" w:rsidRDefault="0040062D" w:rsidP="0040062D">
      <w:pPr>
        <w:spacing w:line="480" w:lineRule="auto"/>
      </w:pPr>
    </w:p>
    <w:p w:rsidR="0040062D" w:rsidRPr="0040062D" w:rsidRDefault="0040062D" w:rsidP="0040062D">
      <w:pPr>
        <w:spacing w:line="480" w:lineRule="auto"/>
        <w:rPr>
          <w:b/>
        </w:rPr>
      </w:pPr>
      <w:r w:rsidRPr="0040062D">
        <w:rPr>
          <w:b/>
        </w:rPr>
        <w:t xml:space="preserve">Supplemental Digital Content 1 </w:t>
      </w:r>
    </w:p>
    <w:p w:rsidR="0040062D" w:rsidRPr="00C57215" w:rsidRDefault="0040062D" w:rsidP="0040062D">
      <w:pPr>
        <w:spacing w:line="480" w:lineRule="auto"/>
      </w:pPr>
      <w:r>
        <w:t>Detailed protocol</w:t>
      </w:r>
      <w:r w:rsidRPr="00C57215">
        <w:t xml:space="preserve"> for sample processing and proteomic analysis: Snap frozen samples were thawed, centrifuged (5000 rpm, 4°C, 30 min), and the isolated supernatant precipitated with 3 volumes of acetone overnight at -80°C. The acetone pellet was collected by centrifugation (5000 rpm, 4°C, </w:t>
      </w:r>
      <w:proofErr w:type="gramStart"/>
      <w:r w:rsidRPr="00C57215">
        <w:t>30</w:t>
      </w:r>
      <w:proofErr w:type="gramEnd"/>
      <w:r w:rsidRPr="00C57215">
        <w:t xml:space="preserve"> min). Soluble proteins were prepared as supernatants (14,000 rpm, 4°C, 15 min) from sequential extraction with 0.5 </w:t>
      </w:r>
      <w:proofErr w:type="spellStart"/>
      <w:r w:rsidRPr="00C57215">
        <w:t>mL</w:t>
      </w:r>
      <w:proofErr w:type="spellEnd"/>
      <w:r w:rsidRPr="00C57215">
        <w:t xml:space="preserve"> of </w:t>
      </w:r>
      <w:r w:rsidRPr="00C57215">
        <w:rPr>
          <w:color w:val="000000"/>
        </w:rPr>
        <w:t>phosphate buffer saline</w:t>
      </w:r>
      <w:r w:rsidRPr="00C57215">
        <w:t xml:space="preserve"> (PBS) with 1% Triton-X 100 (protein extraction). The protein extraction was diluted 5-10 fold with 50 </w:t>
      </w:r>
      <w:proofErr w:type="spellStart"/>
      <w:r w:rsidRPr="00C57215">
        <w:t>mM</w:t>
      </w:r>
      <w:proofErr w:type="spellEnd"/>
      <w:r w:rsidRPr="00C57215">
        <w:t xml:space="preserve"> </w:t>
      </w:r>
      <w:proofErr w:type="spellStart"/>
      <w:r w:rsidRPr="00C57215">
        <w:t>Tris</w:t>
      </w:r>
      <w:proofErr w:type="spellEnd"/>
      <w:r w:rsidRPr="00C57215">
        <w:t xml:space="preserve"> pH 9, filtered through a 0.45 </w:t>
      </w:r>
      <w:r w:rsidRPr="00C57215">
        <w:rPr>
          <w:rFonts w:ascii="Symbol" w:hAnsi="Symbol" w:cs="Symbol"/>
        </w:rPr>
        <w:t></w:t>
      </w:r>
      <w:r w:rsidRPr="00C57215">
        <w:t xml:space="preserve">m plate (Pall, Port Washington, NY) and then 300 </w:t>
      </w:r>
      <w:r w:rsidRPr="00C57215">
        <w:rPr>
          <w:rFonts w:ascii="Symbol" w:hAnsi="Symbol" w:cs="Symbol"/>
        </w:rPr>
        <w:t></w:t>
      </w:r>
      <w:r w:rsidRPr="00C57215">
        <w:t xml:space="preserve">L (50-200 </w:t>
      </w:r>
      <w:r w:rsidRPr="00C57215">
        <w:rPr>
          <w:rFonts w:ascii="Symbol" w:hAnsi="Symbol" w:cs="Symbol"/>
        </w:rPr>
        <w:t></w:t>
      </w:r>
      <w:r w:rsidRPr="00C57215">
        <w:t xml:space="preserve">g) were bound to a pre-equilibrated 96-well anion exchange </w:t>
      </w:r>
      <w:proofErr w:type="spellStart"/>
      <w:r w:rsidRPr="00C57215">
        <w:t>Acro</w:t>
      </w:r>
      <w:proofErr w:type="spellEnd"/>
      <w:r w:rsidRPr="00C57215">
        <w:t>-Q filter plate (Pall,</w:t>
      </w:r>
      <w:r w:rsidRPr="00C57215">
        <w:rPr>
          <w:rFonts w:ascii="Arial" w:hAnsi="Arial" w:cs="Arial"/>
          <w:color w:val="000000"/>
          <w:sz w:val="14"/>
          <w:szCs w:val="14"/>
        </w:rPr>
        <w:t xml:space="preserve"> </w:t>
      </w:r>
      <w:r w:rsidRPr="00C57215">
        <w:t xml:space="preserve">Port Washington, NY). Three separate fractions at pH 9, pH 6, and pH 4 were collected and the protein concentrations were measured in each using a </w:t>
      </w:r>
      <w:proofErr w:type="spellStart"/>
      <w:r w:rsidRPr="00C57215">
        <w:t>bicinchoninic</w:t>
      </w:r>
      <w:proofErr w:type="spellEnd"/>
      <w:r w:rsidRPr="00C57215">
        <w:t xml:space="preserve"> acid (BCA) assay (Pierce, </w:t>
      </w:r>
      <w:smartTag w:uri="urn:schemas-microsoft-com:office:smarttags" w:element="place">
        <w:smartTag w:uri="urn:schemas-microsoft-com:office:smarttags" w:element="City">
          <w:r w:rsidRPr="00C57215">
            <w:t>Rockford</w:t>
          </w:r>
        </w:smartTag>
        <w:r w:rsidRPr="00C57215">
          <w:t xml:space="preserve">, </w:t>
        </w:r>
        <w:smartTag w:uri="urn:schemas-microsoft-com:office:smarttags" w:element="State">
          <w:r w:rsidRPr="00C57215">
            <w:t>IL</w:t>
          </w:r>
        </w:smartTag>
      </w:smartTag>
      <w:r w:rsidRPr="00C57215">
        <w:t>). The pH 9 fraction gave the best results with the most peaks in trial experiments, and so was used for the rest of the study.</w:t>
      </w:r>
      <w:r w:rsidRPr="00C57215">
        <w:rPr>
          <w:rFonts w:ascii="Arial" w:hAnsi="Arial" w:cs="Arial"/>
        </w:rPr>
        <w:t xml:space="preserve"> </w:t>
      </w:r>
      <w:r w:rsidRPr="00C57215">
        <w:t xml:space="preserve">20 </w:t>
      </w:r>
      <w:r w:rsidRPr="00C57215">
        <w:rPr>
          <w:rFonts w:ascii="Symbol" w:hAnsi="Symbol" w:cs="Symbol"/>
        </w:rPr>
        <w:t></w:t>
      </w:r>
      <w:r w:rsidRPr="00C57215">
        <w:t xml:space="preserve">g of protein of each pH 9 fraction was bound to 500 </w:t>
      </w:r>
      <w:r w:rsidRPr="00C57215">
        <w:rPr>
          <w:rFonts w:ascii="Symbol" w:hAnsi="Symbol" w:cs="Symbol"/>
        </w:rPr>
        <w:t></w:t>
      </w:r>
      <w:r w:rsidRPr="00C57215">
        <w:t xml:space="preserve">g of weak </w:t>
      </w:r>
      <w:proofErr w:type="spellStart"/>
      <w:r w:rsidRPr="00C57215">
        <w:t>cation</w:t>
      </w:r>
      <w:proofErr w:type="spellEnd"/>
      <w:r w:rsidRPr="00C57215">
        <w:t xml:space="preserve"> exchange (WCX) magnetic beads (</w:t>
      </w:r>
      <w:proofErr w:type="spellStart"/>
      <w:r w:rsidRPr="00C57215">
        <w:t>MoBiTec</w:t>
      </w:r>
      <w:proofErr w:type="spellEnd"/>
      <w:r w:rsidRPr="00C57215">
        <w:t xml:space="preserve">, </w:t>
      </w:r>
      <w:proofErr w:type="spellStart"/>
      <w:r w:rsidRPr="00C57215">
        <w:t>Goettingen</w:t>
      </w:r>
      <w:proofErr w:type="spellEnd"/>
      <w:r w:rsidRPr="00C57215">
        <w:t xml:space="preserve">, Germany) in binding buffer </w:t>
      </w:r>
      <w:proofErr w:type="gramStart"/>
      <w:r w:rsidRPr="00C57215">
        <w:t xml:space="preserve">(100 </w:t>
      </w:r>
      <w:r w:rsidRPr="00C57215">
        <w:rPr>
          <w:rFonts w:ascii="Symbol" w:hAnsi="Symbol" w:cs="Symbol"/>
        </w:rPr>
        <w:t></w:t>
      </w:r>
      <w:r w:rsidRPr="00C57215">
        <w:t>L 0.2 M ammonium acetate pH 4, 0.01% Triton-X100)</w:t>
      </w:r>
      <w:proofErr w:type="gramEnd"/>
      <w:r w:rsidRPr="00C57215">
        <w:t xml:space="preserve">. Beads were washed, desalted with 5 </w:t>
      </w:r>
      <w:proofErr w:type="spellStart"/>
      <w:r w:rsidRPr="00C57215">
        <w:t>mM</w:t>
      </w:r>
      <w:proofErr w:type="spellEnd"/>
      <w:r w:rsidRPr="00C57215">
        <w:t xml:space="preserve"> ammonium acetate (pH 4), </w:t>
      </w:r>
      <w:proofErr w:type="spellStart"/>
      <w:r w:rsidRPr="00C57215">
        <w:t>pelleted</w:t>
      </w:r>
      <w:proofErr w:type="spellEnd"/>
      <w:r w:rsidRPr="00C57215">
        <w:t xml:space="preserve">, and bound proteins extracted with 25 </w:t>
      </w:r>
      <w:r w:rsidRPr="00C57215">
        <w:rPr>
          <w:rFonts w:ascii="Symbol" w:hAnsi="Symbol" w:cs="Symbol"/>
        </w:rPr>
        <w:t></w:t>
      </w:r>
      <w:r w:rsidRPr="00C57215">
        <w:t xml:space="preserve">L 1% </w:t>
      </w:r>
      <w:proofErr w:type="spellStart"/>
      <w:r w:rsidRPr="00C57215">
        <w:rPr>
          <w:color w:val="000000"/>
        </w:rPr>
        <w:t>trifluoroacetic</w:t>
      </w:r>
      <w:proofErr w:type="spellEnd"/>
      <w:r w:rsidRPr="00C57215">
        <w:rPr>
          <w:color w:val="000000"/>
        </w:rPr>
        <w:t xml:space="preserve"> acid</w:t>
      </w:r>
      <w:r w:rsidRPr="00C57215">
        <w:t xml:space="preserve"> (TFA), mixed with equal volume 5 mg/</w:t>
      </w:r>
      <w:proofErr w:type="spellStart"/>
      <w:r w:rsidRPr="00C57215">
        <w:t>mL</w:t>
      </w:r>
      <w:proofErr w:type="spellEnd"/>
      <w:r w:rsidRPr="00C57215">
        <w:t xml:space="preserve"> </w:t>
      </w:r>
      <w:r w:rsidRPr="00C57215">
        <w:rPr>
          <w:rFonts w:ascii="Symbol" w:hAnsi="Symbol" w:cs="Symbol"/>
        </w:rPr>
        <w:t></w:t>
      </w:r>
      <w:r w:rsidRPr="00C57215">
        <w:t>-</w:t>
      </w:r>
      <w:proofErr w:type="spellStart"/>
      <w:r w:rsidRPr="00C57215">
        <w:t>cyano-hydroxycinnamic</w:t>
      </w:r>
      <w:proofErr w:type="spellEnd"/>
      <w:r w:rsidRPr="00C57215">
        <w:t xml:space="preserve"> acid (CHCA) in 90% </w:t>
      </w:r>
      <w:proofErr w:type="spellStart"/>
      <w:r w:rsidRPr="00C57215">
        <w:t>acetonitrile</w:t>
      </w:r>
      <w:proofErr w:type="spellEnd"/>
      <w:r w:rsidRPr="00C57215">
        <w:t xml:space="preserve">, and spotted 2 </w:t>
      </w:r>
      <w:r w:rsidRPr="00C57215">
        <w:rPr>
          <w:rFonts w:ascii="Symbol" w:hAnsi="Symbol" w:cs="Symbol"/>
        </w:rPr>
        <w:t></w:t>
      </w:r>
      <w:r w:rsidRPr="00C57215">
        <w:t xml:space="preserve">L twice on a 96-well MALDI chip (Perkin-Elmer </w:t>
      </w:r>
      <w:proofErr w:type="spellStart"/>
      <w:r w:rsidRPr="00C57215">
        <w:t>Sciex</w:t>
      </w:r>
      <w:proofErr w:type="spellEnd"/>
      <w:r w:rsidRPr="00C57215">
        <w:t xml:space="preserve">, Waltham, MA). Liquid handling, magnetic bead binding, and MALDI target spotting were performed in triplicate with a </w:t>
      </w:r>
      <w:proofErr w:type="spellStart"/>
      <w:r w:rsidRPr="00C57215">
        <w:t>STARlet</w:t>
      </w:r>
      <w:proofErr w:type="spellEnd"/>
      <w:r w:rsidRPr="00C57215">
        <w:t xml:space="preserve"> 8-channel robot (</w:t>
      </w:r>
      <w:smartTag w:uri="urn:schemas-microsoft-com:office:smarttags" w:element="City">
        <w:r w:rsidRPr="00C57215">
          <w:t>Hamilton</w:t>
        </w:r>
      </w:smartTag>
      <w:r w:rsidRPr="00C57215">
        <w:t xml:space="preserve">, </w:t>
      </w:r>
      <w:smartTag w:uri="urn:schemas-microsoft-com:office:smarttags" w:element="place">
        <w:smartTag w:uri="urn:schemas-microsoft-com:office:smarttags" w:element="City">
          <w:r w:rsidRPr="00C57215">
            <w:t>Reno</w:t>
          </w:r>
        </w:smartTag>
        <w:r w:rsidRPr="00C57215">
          <w:t xml:space="preserve">, </w:t>
        </w:r>
        <w:smartTag w:uri="urn:schemas-microsoft-com:office:smarttags" w:element="State">
          <w:r w:rsidRPr="00C57215">
            <w:t>NV</w:t>
          </w:r>
        </w:smartTag>
      </w:smartTag>
      <w:r w:rsidRPr="00C57215">
        <w:t>).</w:t>
      </w:r>
    </w:p>
    <w:p w:rsidR="0040062D" w:rsidRPr="00C57215" w:rsidRDefault="0040062D" w:rsidP="0040062D">
      <w:pPr>
        <w:spacing w:line="480" w:lineRule="auto"/>
        <w:ind w:firstLine="720"/>
      </w:pPr>
      <w:r w:rsidRPr="00C57215">
        <w:t xml:space="preserve">The target plate was read in a high-resolution full-time </w:t>
      </w:r>
      <w:proofErr w:type="spellStart"/>
      <w:r w:rsidRPr="00C57215">
        <w:t>reflectron</w:t>
      </w:r>
      <w:proofErr w:type="spellEnd"/>
      <w:r w:rsidRPr="00C57215">
        <w:t xml:space="preserve"> </w:t>
      </w:r>
      <w:proofErr w:type="spellStart"/>
      <w:r w:rsidRPr="00C57215">
        <w:t>prOTOF</w:t>
      </w:r>
      <w:proofErr w:type="spellEnd"/>
      <w:r w:rsidRPr="00C57215">
        <w:t xml:space="preserve"> 2000 MALDI- MS (Perkin-Elmer </w:t>
      </w:r>
      <w:proofErr w:type="spellStart"/>
      <w:r w:rsidRPr="00C57215">
        <w:t>Sciex</w:t>
      </w:r>
      <w:proofErr w:type="spellEnd"/>
      <w:r w:rsidRPr="00C57215">
        <w:t xml:space="preserve">, Waltham, MA) where the intact masses of the proteins between 1.5 to </w:t>
      </w:r>
      <w:r w:rsidRPr="00C57215">
        <w:lastRenderedPageBreak/>
        <w:t xml:space="preserve">20 </w:t>
      </w:r>
      <w:proofErr w:type="spellStart"/>
      <w:r w:rsidRPr="00C57215">
        <w:t>kDa</w:t>
      </w:r>
      <w:proofErr w:type="spellEnd"/>
      <w:r w:rsidRPr="00C57215">
        <w:t xml:space="preserve"> were determined to better than 50 </w:t>
      </w:r>
      <w:proofErr w:type="spellStart"/>
      <w:r w:rsidRPr="00C57215">
        <w:t>ppm</w:t>
      </w:r>
      <w:proofErr w:type="spellEnd"/>
      <w:r w:rsidRPr="00C57215">
        <w:t xml:space="preserve"> mass accuracy with external calibration. MALDI-MS spectra were converted to text files</w:t>
      </w:r>
      <w:r w:rsidRPr="00C57215">
        <w:rPr>
          <w:color w:val="000000"/>
        </w:rPr>
        <w:t xml:space="preserve">, and </w:t>
      </w:r>
      <w:r w:rsidRPr="00C57215">
        <w:t xml:space="preserve">preprocessed using an established protocol (Li, X et. al., UCLA, manuscript in preparation). Briefly, each file was subjected to initial data cleanup using a Python-based algorithm, and then loaded to </w:t>
      </w:r>
      <w:proofErr w:type="spellStart"/>
      <w:r w:rsidRPr="00C57215">
        <w:t>SpecAlign</w:t>
      </w:r>
      <w:proofErr w:type="spellEnd"/>
      <w:r w:rsidRPr="00C57215">
        <w:t xml:space="preserve"> software for resolution reduction, background subtraction, outlier elimi</w:t>
      </w:r>
      <w:r>
        <w:t xml:space="preserve">nation, total ion current </w:t>
      </w:r>
      <w:r w:rsidRPr="00C57215">
        <w:t xml:space="preserve">normalization, and peak selection. The preprocessed proteomic data were then exported from </w:t>
      </w:r>
      <w:proofErr w:type="spellStart"/>
      <w:r w:rsidRPr="00C57215">
        <w:t>SpecAlign</w:t>
      </w:r>
      <w:proofErr w:type="spellEnd"/>
      <w:r w:rsidRPr="00C57215">
        <w:t xml:space="preserve"> and further analyzed in R. </w:t>
      </w:r>
    </w:p>
    <w:p w:rsidR="0040062D" w:rsidRDefault="0040062D" w:rsidP="0040062D">
      <w:pPr>
        <w:spacing w:line="480" w:lineRule="auto"/>
        <w:ind w:firstLine="720"/>
      </w:pPr>
      <w:r w:rsidRPr="00C57215">
        <w:t xml:space="preserve">To identify specific protein candidates, IP-MALDI was carried out. Antibodies against specific proteins were used to precipitate the specific proteins from the pH 9 fractions using magnetic beads conjugated with either Protein A/G (Pierce, Rockford, IL) respectively. The beads were washed to remove non-specific proteins, desalted with 4-(2-hydroxyethyl)-1-piperazineethanesulfonic acid (HEPES) buffer (20 </w:t>
      </w:r>
      <w:proofErr w:type="spellStart"/>
      <w:r w:rsidRPr="00C57215">
        <w:t>mM</w:t>
      </w:r>
      <w:proofErr w:type="spellEnd"/>
      <w:r w:rsidRPr="00C57215">
        <w:t xml:space="preserve">, pH 7.5), and </w:t>
      </w:r>
      <w:r>
        <w:t xml:space="preserve">extracted with formic acid </w:t>
      </w:r>
      <w:r w:rsidRPr="00C57215">
        <w:t xml:space="preserve">to release the bound peptides/proteins. The released peptides/proteins were mixed with matrix for spotting on a MALDI target. We then measured the accurate mass of the specific targets bound by antibody, as well as the </w:t>
      </w:r>
      <w:proofErr w:type="spellStart"/>
      <w:r w:rsidRPr="00C57215">
        <w:t>immunodepleted</w:t>
      </w:r>
      <w:proofErr w:type="spellEnd"/>
      <w:r w:rsidRPr="00C57215">
        <w:t xml:space="preserve"> protein extractions to confirm if the peaks corresponding to the targeted peptides/proteins were reduced or depleted.</w:t>
      </w:r>
    </w:p>
    <w:p w:rsidR="0058789D" w:rsidRDefault="0058789D"/>
    <w:sectPr w:rsidR="0058789D" w:rsidSect="001A4EED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EE" w:rsidRDefault="0040062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705EE" w:rsidRDefault="0040062D" w:rsidP="003705EE">
    <w:pPr>
      <w:pStyle w:val="Footer"/>
      <w:ind w:right="360"/>
      <w:rPr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EE" w:rsidRPr="00A73FEE" w:rsidRDefault="0040062D" w:rsidP="003705EE">
    <w:pPr>
      <w:pStyle w:val="Header"/>
      <w:tabs>
        <w:tab w:val="clear" w:pos="8640"/>
        <w:tab w:val="right" w:pos="9360"/>
      </w:tabs>
      <w:rPr>
        <w:sz w:val="20"/>
        <w:szCs w:val="20"/>
        <w:lang w:val="de-DE"/>
      </w:rPr>
    </w:pPr>
    <w:r w:rsidRPr="00A73FEE">
      <w:rPr>
        <w:sz w:val="20"/>
        <w:szCs w:val="20"/>
        <w:lang w:val="de-DE"/>
      </w:rPr>
      <w:t>A. Kumar et al.</w:t>
    </w:r>
    <w:r>
      <w:rPr>
        <w:lang w:val="de-DE"/>
      </w:rPr>
      <w:tab/>
    </w:r>
    <w:r>
      <w:rPr>
        <w:lang w:val="de-DE"/>
      </w:rPr>
      <w:tab/>
    </w:r>
    <w:r w:rsidRPr="00A73FEE">
      <w:rPr>
        <w:lang w:val="de-DE"/>
      </w:rPr>
      <w:t xml:space="preserve">            </w:t>
    </w:r>
    <w:r w:rsidRPr="00A73FEE">
      <w:rPr>
        <w:sz w:val="20"/>
        <w:szCs w:val="20"/>
        <w:lang w:val="de-DE"/>
      </w:rPr>
      <w:t>Protein profiling in ITx</w:t>
    </w:r>
  </w:p>
  <w:p w:rsidR="003705EE" w:rsidRPr="00A73FEE" w:rsidRDefault="0040062D" w:rsidP="003705EE">
    <w:pPr>
      <w:pStyle w:val="Header"/>
      <w:tabs>
        <w:tab w:val="clear" w:pos="8640"/>
        <w:tab w:val="right" w:pos="9360"/>
      </w:tabs>
      <w:rPr>
        <w:sz w:val="20"/>
        <w:szCs w:val="20"/>
        <w:lang w:val="de-DE"/>
      </w:rPr>
    </w:pP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62D"/>
    <w:rsid w:val="0040062D"/>
    <w:rsid w:val="0058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06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06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06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6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2822</Characters>
  <Application>Microsoft Office Word</Application>
  <DocSecurity>0</DocSecurity>
  <Lines>23</Lines>
  <Paragraphs>6</Paragraphs>
  <ScaleCrop>false</ScaleCrop>
  <Company>Wolters Kluwer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1</cp:revision>
  <dcterms:created xsi:type="dcterms:W3CDTF">2011-03-31T11:22:00Z</dcterms:created>
  <dcterms:modified xsi:type="dcterms:W3CDTF">2011-03-31T11:22:00Z</dcterms:modified>
</cp:coreProperties>
</file>