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86F" w:rsidRPr="00A66166" w:rsidRDefault="0091086F" w:rsidP="0091086F">
      <w:pPr>
        <w:spacing w:line="360" w:lineRule="auto"/>
        <w:jc w:val="left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 xml:space="preserve">SDC 2 - </w:t>
      </w:r>
      <w:r w:rsidRPr="00A66166">
        <w:rPr>
          <w:rFonts w:asciiTheme="majorHAnsi" w:hAnsiTheme="majorHAnsi" w:cstheme="majorHAnsi"/>
          <w:b/>
          <w:sz w:val="24"/>
          <w:szCs w:val="24"/>
        </w:rPr>
        <w:t xml:space="preserve">Figure 2. </w:t>
      </w:r>
      <w:r w:rsidRPr="00A66166">
        <w:rPr>
          <w:rFonts w:asciiTheme="majorHAnsi" w:hAnsiTheme="majorHAnsi" w:cstheme="majorHAnsi" w:hint="eastAsia"/>
          <w:b/>
          <w:sz w:val="24"/>
          <w:szCs w:val="24"/>
        </w:rPr>
        <w:t>C</w:t>
      </w:r>
      <w:r w:rsidRPr="00A66166">
        <w:rPr>
          <w:rFonts w:asciiTheme="majorHAnsi" w:hAnsiTheme="majorHAnsi" w:cstheme="majorHAnsi"/>
          <w:b/>
          <w:sz w:val="24"/>
          <w:szCs w:val="24"/>
        </w:rPr>
        <w:t>urrent protocol for ABO-incompatible living donor liver transplantation</w:t>
      </w:r>
    </w:p>
    <w:p w:rsidR="0091086F" w:rsidRDefault="0091086F" w:rsidP="0091086F">
      <w:pPr>
        <w:spacing w:line="360" w:lineRule="auto"/>
        <w:jc w:val="left"/>
        <w:rPr>
          <w:rFonts w:ascii="Palatino Linotype" w:hAnsi="Palatino Linotype"/>
          <w:sz w:val="24"/>
          <w:szCs w:val="24"/>
        </w:rPr>
      </w:pPr>
      <w:proofErr w:type="spellStart"/>
      <w:r w:rsidRPr="00A66166">
        <w:rPr>
          <w:rFonts w:ascii="Palatino Linotype" w:hAnsi="Palatino Linotype" w:hint="eastAsia"/>
          <w:sz w:val="24"/>
          <w:szCs w:val="24"/>
        </w:rPr>
        <w:t>Rituximab</w:t>
      </w:r>
      <w:proofErr w:type="spellEnd"/>
      <w:r w:rsidRPr="00A66166">
        <w:rPr>
          <w:rFonts w:ascii="Palatino Linotype" w:hAnsi="Palatino Linotype" w:hint="eastAsia"/>
          <w:sz w:val="24"/>
          <w:szCs w:val="24"/>
        </w:rPr>
        <w:t xml:space="preserve"> is administered 3 weeks before </w:t>
      </w:r>
      <w:r w:rsidRPr="00A66166">
        <w:rPr>
          <w:rFonts w:ascii="Palatino Linotype" w:hAnsi="Palatino Linotype"/>
          <w:sz w:val="24"/>
          <w:szCs w:val="24"/>
        </w:rPr>
        <w:t>scheduled</w:t>
      </w:r>
      <w:r w:rsidRPr="00A66166">
        <w:rPr>
          <w:rFonts w:ascii="Palatino Linotype" w:hAnsi="Palatino Linotype" w:hint="eastAsia"/>
          <w:sz w:val="24"/>
          <w:szCs w:val="24"/>
        </w:rPr>
        <w:t xml:space="preserve"> ABO-incompatible living donor liver transplantation (LDLT). </w:t>
      </w:r>
      <w:proofErr w:type="spellStart"/>
      <w:r w:rsidRPr="00A66166">
        <w:rPr>
          <w:rFonts w:ascii="Palatino Linotype" w:hAnsi="Palatino Linotype" w:hint="eastAsia"/>
          <w:sz w:val="24"/>
          <w:szCs w:val="24"/>
        </w:rPr>
        <w:t>Mycophenolate</w:t>
      </w:r>
      <w:proofErr w:type="spellEnd"/>
      <w:r w:rsidRPr="00A66166">
        <w:rPr>
          <w:rFonts w:ascii="Palatino Linotype" w:hAnsi="Palatino Linotype" w:hint="eastAsia"/>
          <w:sz w:val="24"/>
          <w:szCs w:val="24"/>
        </w:rPr>
        <w:t xml:space="preserve"> </w:t>
      </w:r>
      <w:proofErr w:type="spellStart"/>
      <w:r w:rsidRPr="00A66166">
        <w:rPr>
          <w:rFonts w:ascii="Palatino Linotype" w:hAnsi="Palatino Linotype" w:hint="eastAsia"/>
          <w:sz w:val="24"/>
          <w:szCs w:val="24"/>
        </w:rPr>
        <w:t>mofetil</w:t>
      </w:r>
      <w:proofErr w:type="spellEnd"/>
      <w:r w:rsidRPr="00A66166">
        <w:rPr>
          <w:rFonts w:ascii="Palatino Linotype" w:hAnsi="Palatino Linotype" w:hint="eastAsia"/>
          <w:sz w:val="24"/>
          <w:szCs w:val="24"/>
        </w:rPr>
        <w:t xml:space="preserve"> (MMF) is </w:t>
      </w:r>
      <w:proofErr w:type="gramStart"/>
      <w:r w:rsidRPr="00A66166">
        <w:rPr>
          <w:rFonts w:ascii="Palatino Linotype" w:hAnsi="Palatino Linotype" w:hint="eastAsia"/>
          <w:sz w:val="24"/>
          <w:szCs w:val="24"/>
        </w:rPr>
        <w:t>initiated  7</w:t>
      </w:r>
      <w:proofErr w:type="gramEnd"/>
      <w:r w:rsidRPr="00A66166">
        <w:rPr>
          <w:rFonts w:ascii="Palatino Linotype" w:hAnsi="Palatino Linotype" w:hint="eastAsia"/>
          <w:sz w:val="24"/>
          <w:szCs w:val="24"/>
        </w:rPr>
        <w:t xml:space="preserve"> days before LDLT. Several sessions o</w:t>
      </w:r>
      <w:bookmarkStart w:id="0" w:name="_GoBack"/>
      <w:bookmarkEnd w:id="0"/>
      <w:r w:rsidRPr="00A66166">
        <w:rPr>
          <w:rFonts w:ascii="Palatino Linotype" w:hAnsi="Palatino Linotype" w:hint="eastAsia"/>
          <w:sz w:val="24"/>
          <w:szCs w:val="24"/>
        </w:rPr>
        <w:t xml:space="preserve">f plasma exchange are performed just before LDLT. </w:t>
      </w:r>
      <w:r w:rsidRPr="00BC650C">
        <w:rPr>
          <w:rFonts w:ascii="Palatino Linotype" w:hAnsi="Palatino Linotype" w:hint="eastAsia"/>
          <w:sz w:val="24"/>
          <w:szCs w:val="24"/>
        </w:rPr>
        <w:t xml:space="preserve">Simultaneous </w:t>
      </w:r>
      <w:proofErr w:type="spellStart"/>
      <w:r w:rsidRPr="00BC650C">
        <w:rPr>
          <w:rFonts w:ascii="Palatino Linotype" w:hAnsi="Palatino Linotype" w:hint="eastAsia"/>
          <w:sz w:val="24"/>
          <w:szCs w:val="24"/>
        </w:rPr>
        <w:t>splenectomy</w:t>
      </w:r>
      <w:proofErr w:type="spellEnd"/>
      <w:r w:rsidRPr="00BC650C">
        <w:rPr>
          <w:rFonts w:ascii="Palatino Linotype" w:hAnsi="Palatino Linotype" w:hint="eastAsia"/>
          <w:sz w:val="24"/>
          <w:szCs w:val="24"/>
        </w:rPr>
        <w:t xml:space="preserve"> is performed.</w:t>
      </w:r>
      <w:r w:rsidRPr="00A66166">
        <w:rPr>
          <w:rFonts w:ascii="Palatino Linotype" w:hAnsi="Palatino Linotype" w:hint="eastAsia"/>
          <w:sz w:val="24"/>
          <w:szCs w:val="24"/>
        </w:rPr>
        <w:t xml:space="preserve"> </w:t>
      </w:r>
      <w:proofErr w:type="spellStart"/>
      <w:r w:rsidRPr="00A66166">
        <w:rPr>
          <w:rFonts w:ascii="Palatino Linotype" w:hAnsi="Palatino Linotype" w:hint="eastAsia"/>
          <w:sz w:val="24"/>
          <w:szCs w:val="24"/>
        </w:rPr>
        <w:t>Methylprednisolone</w:t>
      </w:r>
      <w:proofErr w:type="spellEnd"/>
      <w:r w:rsidRPr="00A66166">
        <w:rPr>
          <w:rFonts w:ascii="Palatino Linotype" w:hAnsi="Palatino Linotype" w:hint="eastAsia"/>
          <w:sz w:val="24"/>
          <w:szCs w:val="24"/>
        </w:rPr>
        <w:t xml:space="preserve"> (MPS) is administered just after graft reperfusion and the doses are tapered thereafter. The administration of </w:t>
      </w:r>
      <w:proofErr w:type="spellStart"/>
      <w:r w:rsidRPr="00A66166">
        <w:rPr>
          <w:rFonts w:ascii="Palatino Linotype" w:hAnsi="Palatino Linotype" w:hint="eastAsia"/>
          <w:sz w:val="24"/>
          <w:szCs w:val="24"/>
        </w:rPr>
        <w:t>tacrolimus</w:t>
      </w:r>
      <w:proofErr w:type="spellEnd"/>
      <w:r w:rsidRPr="00A66166">
        <w:rPr>
          <w:rFonts w:ascii="Palatino Linotype" w:hAnsi="Palatino Linotype" w:hint="eastAsia"/>
          <w:sz w:val="24"/>
          <w:szCs w:val="24"/>
        </w:rPr>
        <w:t xml:space="preserve"> or cyclosporine A is initiated 1 day after LDLT.</w:t>
      </w:r>
    </w:p>
    <w:p w:rsidR="0091086F" w:rsidRPr="00323475" w:rsidRDefault="0091086F" w:rsidP="0091086F">
      <w:pPr>
        <w:spacing w:line="360" w:lineRule="auto"/>
        <w:jc w:val="left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eastAsia="en-US"/>
        </w:rPr>
        <w:drawing>
          <wp:inline distT="0" distB="0" distL="0" distR="0">
            <wp:extent cx="5400040" cy="3180715"/>
            <wp:effectExtent l="19050" t="0" r="0" b="0"/>
            <wp:docPr id="1" name="Picture 0" descr="Supplemental_Figure_2_(TPA-2011-0642_final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_Figure_2_(TPA-2011-0642_final)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86F" w:rsidRDefault="0091086F" w:rsidP="0091086F"/>
    <w:p w:rsidR="00A758EE" w:rsidRDefault="00A758EE"/>
    <w:sectPr w:rsidR="00A758EE" w:rsidSect="001379EB">
      <w:headerReference w:type="default" r:id="rId5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7EC" w:rsidRPr="001A34E1" w:rsidRDefault="0091086F" w:rsidP="001A34E1">
    <w:pPr>
      <w:pStyle w:val="Header"/>
      <w:wordWrap w:val="0"/>
      <w:jc w:val="right"/>
      <w:rPr>
        <w:rFonts w:ascii="Palatino Linotype" w:hAnsi="Palatino Linotype"/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1086F"/>
    <w:rsid w:val="0091086F"/>
    <w:rsid w:val="00A75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86F"/>
    <w:pPr>
      <w:widowControl w:val="0"/>
      <w:spacing w:after="0" w:line="240" w:lineRule="auto"/>
      <w:jc w:val="both"/>
    </w:pPr>
    <w:rPr>
      <w:rFonts w:eastAsiaTheme="minorEastAsia"/>
      <w:kern w:val="2"/>
      <w:sz w:val="2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086F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91086F"/>
    <w:rPr>
      <w:rFonts w:eastAsiaTheme="minorEastAsia"/>
      <w:kern w:val="2"/>
      <w:sz w:val="21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08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86F"/>
    <w:rPr>
      <w:rFonts w:ascii="Tahoma" w:eastAsiaTheme="minorEastAsia" w:hAnsi="Tahoma" w:cs="Tahoma"/>
      <w:kern w:val="2"/>
      <w:sz w:val="16"/>
      <w:szCs w:val="16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481</Characters>
  <Application>Microsoft Office Word</Application>
  <DocSecurity>0</DocSecurity>
  <Lines>4</Lines>
  <Paragraphs>1</Paragraphs>
  <ScaleCrop>false</ScaleCrop>
  <Company>Wolters Kluwer</Company>
  <LinksUpToDate>false</LinksUpToDate>
  <CharactersWithSpaces>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KMyers</dc:creator>
  <cp:keywords/>
  <dc:description/>
  <cp:lastModifiedBy>KMyers</cp:lastModifiedBy>
  <cp:revision>1</cp:revision>
  <dcterms:created xsi:type="dcterms:W3CDTF">2011-08-17T12:40:00Z</dcterms:created>
  <dcterms:modified xsi:type="dcterms:W3CDTF">2011-08-17T12:41:00Z</dcterms:modified>
</cp:coreProperties>
</file>