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A" w:rsidRPr="00E825BD" w:rsidRDefault="001F321A" w:rsidP="001F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SDC 2, Table 1.</w:t>
      </w:r>
      <w:r w:rsidRPr="00E825BD">
        <w:rPr>
          <w:rFonts w:asciiTheme="minorHAnsi" w:hAnsiTheme="minorHAnsi" w:cstheme="minorHAnsi"/>
          <w:b/>
          <w:lang w:val="en-US"/>
        </w:rPr>
        <w:t xml:space="preserve"> </w:t>
      </w:r>
      <w:r w:rsidRPr="001563C8">
        <w:rPr>
          <w:rFonts w:asciiTheme="minorHAnsi" w:hAnsiTheme="minorHAnsi" w:cstheme="minorHAnsi"/>
          <w:lang w:val="en-US"/>
        </w:rPr>
        <w:t>General characteristics of patients</w:t>
      </w:r>
    </w:p>
    <w:p w:rsidR="001F321A" w:rsidRPr="00E9459D" w:rsidRDefault="001F321A" w:rsidP="001F321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8"/>
        <w:gridCol w:w="2258"/>
      </w:tblGrid>
      <w:tr w:rsidR="001F321A" w:rsidRPr="00E9459D" w:rsidTr="00D9772A">
        <w:tc>
          <w:tcPr>
            <w:tcW w:w="7479" w:type="dxa"/>
            <w:tcBorders>
              <w:right w:val="nil"/>
            </w:tcBorders>
          </w:tcPr>
          <w:p w:rsidR="001F321A" w:rsidRPr="00E9459D" w:rsidRDefault="001F321A" w:rsidP="00D9772A">
            <w:pPr>
              <w:pStyle w:val="BodyText"/>
            </w:pPr>
            <w:r w:rsidRPr="00E9459D">
              <w:t>Age at conversion (Mean ± SD) (years)</w:t>
            </w:r>
          </w:p>
        </w:tc>
        <w:tc>
          <w:tcPr>
            <w:tcW w:w="2299" w:type="dxa"/>
            <w:tcBorders>
              <w:left w:val="nil"/>
            </w:tcBorders>
          </w:tcPr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55.9 ± 13.2</w:t>
            </w:r>
          </w:p>
        </w:tc>
      </w:tr>
      <w:tr w:rsidR="001F321A" w:rsidRPr="00E9459D" w:rsidTr="00D9772A">
        <w:tc>
          <w:tcPr>
            <w:tcW w:w="7479" w:type="dxa"/>
            <w:tcBorders>
              <w:right w:val="nil"/>
            </w:tcBorders>
          </w:tcPr>
          <w:p w:rsidR="001F321A" w:rsidRPr="00E9459D" w:rsidRDefault="001F321A" w:rsidP="00D9772A">
            <w:pPr>
              <w:pStyle w:val="BodyText"/>
            </w:pPr>
            <w:r w:rsidRPr="00E9459D">
              <w:t>Gender distribution (%) Female/Male</w:t>
            </w:r>
          </w:p>
        </w:tc>
        <w:tc>
          <w:tcPr>
            <w:tcW w:w="2299" w:type="dxa"/>
            <w:tcBorders>
              <w:left w:val="nil"/>
            </w:tcBorders>
          </w:tcPr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32.9% / 67.1%</w:t>
            </w:r>
          </w:p>
        </w:tc>
      </w:tr>
      <w:tr w:rsidR="001F321A" w:rsidRPr="00E9459D" w:rsidTr="00D9772A">
        <w:tc>
          <w:tcPr>
            <w:tcW w:w="7479" w:type="dxa"/>
            <w:tcBorders>
              <w:right w:val="nil"/>
            </w:tcBorders>
          </w:tcPr>
          <w:p w:rsidR="001F321A" w:rsidRPr="00E9459D" w:rsidRDefault="001F321A" w:rsidP="00D9772A">
            <w:pPr>
              <w:pStyle w:val="BodyText"/>
            </w:pPr>
            <w:r w:rsidRPr="00E9459D">
              <w:t>Time from transplantation to conversion (median; P</w:t>
            </w:r>
            <w:r w:rsidRPr="00E9459D">
              <w:rPr>
                <w:vertAlign w:val="subscript"/>
              </w:rPr>
              <w:t>25-75</w:t>
            </w:r>
            <w:r w:rsidRPr="00E9459D">
              <w:t>) (months)</w:t>
            </w:r>
          </w:p>
        </w:tc>
        <w:tc>
          <w:tcPr>
            <w:tcW w:w="2299" w:type="dxa"/>
            <w:tcBorders>
              <w:left w:val="nil"/>
            </w:tcBorders>
          </w:tcPr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69.4 (13.7-129.9)</w:t>
            </w:r>
          </w:p>
        </w:tc>
      </w:tr>
      <w:tr w:rsidR="001F321A" w:rsidRPr="00E9459D" w:rsidTr="00D9772A">
        <w:tc>
          <w:tcPr>
            <w:tcW w:w="7479" w:type="dxa"/>
            <w:tcBorders>
              <w:right w:val="nil"/>
            </w:tcBorders>
          </w:tcPr>
          <w:p w:rsidR="001F321A" w:rsidRPr="00E9459D" w:rsidRDefault="001F321A" w:rsidP="00D9772A">
            <w:pPr>
              <w:pStyle w:val="BodyText"/>
            </w:pPr>
            <w:r w:rsidRPr="00E9459D">
              <w:t xml:space="preserve">Number of </w:t>
            </w:r>
            <w:proofErr w:type="gramStart"/>
            <w:r w:rsidRPr="00E9459D">
              <w:t>transplant  N</w:t>
            </w:r>
            <w:proofErr w:type="gramEnd"/>
            <w:r w:rsidRPr="00E9459D">
              <w:t>(%)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First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Second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Third</w:t>
            </w:r>
          </w:p>
        </w:tc>
        <w:tc>
          <w:tcPr>
            <w:tcW w:w="2299" w:type="dxa"/>
            <w:tcBorders>
              <w:left w:val="nil"/>
            </w:tcBorders>
          </w:tcPr>
          <w:p w:rsidR="001F321A" w:rsidRPr="00E9459D" w:rsidRDefault="001F321A" w:rsidP="00D9772A">
            <w:pPr>
              <w:pStyle w:val="BodyText"/>
              <w:jc w:val="center"/>
            </w:pP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197 (68.7%)</w:t>
            </w: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21 (9.5%)</w:t>
            </w: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4 (1.8%)</w:t>
            </w:r>
          </w:p>
        </w:tc>
      </w:tr>
      <w:tr w:rsidR="001F321A" w:rsidRPr="00E9459D" w:rsidTr="00D9772A">
        <w:tc>
          <w:tcPr>
            <w:tcW w:w="7479" w:type="dxa"/>
            <w:tcBorders>
              <w:right w:val="nil"/>
            </w:tcBorders>
          </w:tcPr>
          <w:p w:rsidR="001F321A" w:rsidRPr="00E9459D" w:rsidRDefault="001F321A" w:rsidP="00D9772A">
            <w:pPr>
              <w:pStyle w:val="BodyText"/>
            </w:pPr>
            <w:proofErr w:type="spellStart"/>
            <w:r w:rsidRPr="00E9459D">
              <w:t>Preconversion</w:t>
            </w:r>
            <w:proofErr w:type="spellEnd"/>
            <w:r w:rsidRPr="00E9459D">
              <w:t xml:space="preserve"> </w:t>
            </w:r>
            <w:proofErr w:type="spellStart"/>
            <w:r w:rsidRPr="00E9459D">
              <w:t>immunosuppression</w:t>
            </w:r>
            <w:proofErr w:type="spellEnd"/>
            <w:r w:rsidRPr="00E9459D">
              <w:t xml:space="preserve"> N (%)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</w:t>
            </w:r>
            <w:proofErr w:type="spellStart"/>
            <w:r w:rsidRPr="00E9459D">
              <w:t>Calcineurin</w:t>
            </w:r>
            <w:proofErr w:type="spellEnd"/>
            <w:r w:rsidRPr="00E9459D">
              <w:t xml:space="preserve"> inhibitor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Cyclosporine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</w:t>
            </w:r>
            <w:proofErr w:type="spellStart"/>
            <w:r w:rsidRPr="00E9459D">
              <w:t>Tacrolimus</w:t>
            </w:r>
            <w:proofErr w:type="spellEnd"/>
          </w:p>
          <w:p w:rsidR="001F321A" w:rsidRPr="00E9459D" w:rsidRDefault="001F321A" w:rsidP="00D9772A">
            <w:pPr>
              <w:pStyle w:val="BodyText"/>
            </w:pPr>
            <w:proofErr w:type="spellStart"/>
            <w:r w:rsidRPr="00E9459D">
              <w:t>Antimetabolite</w:t>
            </w:r>
            <w:proofErr w:type="spellEnd"/>
            <w:r w:rsidRPr="00E9459D">
              <w:t xml:space="preserve"> drugs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</w:t>
            </w:r>
            <w:proofErr w:type="spellStart"/>
            <w:r w:rsidRPr="00E9459D">
              <w:t>Mycophenolate</w:t>
            </w:r>
            <w:proofErr w:type="spellEnd"/>
            <w:r w:rsidRPr="00E9459D">
              <w:t xml:space="preserve"> </w:t>
            </w:r>
            <w:proofErr w:type="spellStart"/>
            <w:r w:rsidRPr="00E9459D">
              <w:t>mofetilo</w:t>
            </w:r>
            <w:proofErr w:type="spellEnd"/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</w:t>
            </w:r>
            <w:proofErr w:type="spellStart"/>
            <w:r w:rsidRPr="00E9459D">
              <w:t>Mycophenolate</w:t>
            </w:r>
            <w:proofErr w:type="spellEnd"/>
            <w:r w:rsidRPr="00E9459D">
              <w:t xml:space="preserve"> sodium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</w:t>
            </w:r>
            <w:proofErr w:type="spellStart"/>
            <w:r w:rsidRPr="00E9459D">
              <w:t>Azathioprine</w:t>
            </w:r>
            <w:proofErr w:type="spellEnd"/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None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Prednisone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Yes</w:t>
            </w:r>
          </w:p>
          <w:p w:rsidR="001F321A" w:rsidRPr="00E9459D" w:rsidRDefault="001F321A" w:rsidP="00D9772A">
            <w:pPr>
              <w:pStyle w:val="BodyText"/>
            </w:pPr>
            <w:r w:rsidRPr="00E9459D">
              <w:t xml:space="preserve">          No</w:t>
            </w:r>
          </w:p>
        </w:tc>
        <w:tc>
          <w:tcPr>
            <w:tcW w:w="2299" w:type="dxa"/>
            <w:tcBorders>
              <w:left w:val="nil"/>
            </w:tcBorders>
          </w:tcPr>
          <w:p w:rsidR="001F321A" w:rsidRPr="00E9459D" w:rsidRDefault="001F321A" w:rsidP="00D9772A">
            <w:pPr>
              <w:pStyle w:val="BodyText"/>
              <w:jc w:val="center"/>
            </w:pPr>
          </w:p>
          <w:p w:rsidR="001F321A" w:rsidRPr="00E9459D" w:rsidRDefault="001F321A" w:rsidP="00D9772A">
            <w:pPr>
              <w:pStyle w:val="BodyText"/>
              <w:jc w:val="center"/>
            </w:pP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102 (45.0)</w:t>
            </w: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122 (55.0)</w:t>
            </w:r>
          </w:p>
          <w:p w:rsidR="001F321A" w:rsidRPr="00E9459D" w:rsidRDefault="001F321A" w:rsidP="00D9772A">
            <w:pPr>
              <w:pStyle w:val="BodyText"/>
              <w:jc w:val="center"/>
            </w:pP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93 (41.9)</w:t>
            </w: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78 (35.1)</w:t>
            </w: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17 (7.7)</w:t>
            </w: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34 (15.3)</w:t>
            </w:r>
          </w:p>
          <w:p w:rsidR="001F321A" w:rsidRPr="00E9459D" w:rsidRDefault="001F321A" w:rsidP="00D9772A">
            <w:pPr>
              <w:pStyle w:val="BodyText"/>
              <w:jc w:val="center"/>
            </w:pP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96 (43.2)</w:t>
            </w:r>
          </w:p>
          <w:p w:rsidR="001F321A" w:rsidRPr="00E9459D" w:rsidRDefault="001F321A" w:rsidP="00D9772A">
            <w:pPr>
              <w:pStyle w:val="BodyText"/>
              <w:jc w:val="center"/>
            </w:pPr>
            <w:r w:rsidRPr="00E9459D">
              <w:t>126 (56.8)</w:t>
            </w:r>
          </w:p>
        </w:tc>
      </w:tr>
    </w:tbl>
    <w:p w:rsidR="001F321A" w:rsidRPr="00E9459D" w:rsidRDefault="001F321A" w:rsidP="001F321A">
      <w:pPr>
        <w:pStyle w:val="BodyText"/>
      </w:pPr>
    </w:p>
    <w:p w:rsidR="001F321A" w:rsidRPr="00E9459D" w:rsidRDefault="001F321A" w:rsidP="001F321A">
      <w:pPr>
        <w:pStyle w:val="BodyText"/>
      </w:pPr>
    </w:p>
    <w:p w:rsidR="00BA3BCA" w:rsidRDefault="00BA3BCA"/>
    <w:sectPr w:rsidR="00BA3BCA" w:rsidSect="00BA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1F321A"/>
    <w:rsid w:val="001F321A"/>
    <w:rsid w:val="009208B8"/>
    <w:rsid w:val="00BA3BCA"/>
    <w:rsid w:val="00E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1A"/>
    <w:pPr>
      <w:spacing w:after="0" w:line="480" w:lineRule="auto"/>
      <w:ind w:firstLine="709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321A"/>
    <w:pPr>
      <w:autoSpaceDE w:val="0"/>
      <w:autoSpaceDN w:val="0"/>
      <w:adjustRightInd w:val="0"/>
      <w:spacing w:after="120" w:line="240" w:lineRule="auto"/>
      <w:ind w:firstLine="0"/>
    </w:pPr>
    <w:rPr>
      <w:rFonts w:eastAsia="Batang" w:cs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F321A"/>
    <w:rPr>
      <w:rFonts w:ascii="Calibri" w:eastAsia="Batang" w:hAnsi="Calibri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Wolters Kluwer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2011-11-08T13:39:00Z</dcterms:created>
  <dcterms:modified xsi:type="dcterms:W3CDTF">2011-11-08T13:39:00Z</dcterms:modified>
</cp:coreProperties>
</file>