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C8" w:rsidRDefault="001563C8" w:rsidP="001563C8">
      <w:pPr>
        <w:ind w:firstLine="0"/>
        <w:rPr>
          <w:rFonts w:cs="Calibri"/>
          <w:b/>
          <w:color w:val="000000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SDC 4, Table 2. </w:t>
      </w:r>
      <w:r w:rsidRPr="00E825BD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1563C8">
        <w:rPr>
          <w:lang w:val="en-US"/>
        </w:rPr>
        <w:t>Comparation</w:t>
      </w:r>
      <w:proofErr w:type="spellEnd"/>
      <w:r w:rsidRPr="001563C8">
        <w:rPr>
          <w:lang w:val="en-US"/>
        </w:rPr>
        <w:t xml:space="preserve"> of </w:t>
      </w:r>
      <w:proofErr w:type="spellStart"/>
      <w:r w:rsidRPr="001563C8">
        <w:rPr>
          <w:lang w:val="en-US"/>
        </w:rPr>
        <w:t>everolimus</w:t>
      </w:r>
      <w:proofErr w:type="spellEnd"/>
      <w:r w:rsidRPr="001563C8">
        <w:rPr>
          <w:lang w:val="en-US"/>
        </w:rPr>
        <w:t xml:space="preserve"> levels (</w:t>
      </w:r>
      <w:proofErr w:type="spellStart"/>
      <w:r w:rsidRPr="001563C8">
        <w:rPr>
          <w:lang w:val="en-US"/>
        </w:rPr>
        <w:t>ng</w:t>
      </w:r>
      <w:proofErr w:type="spellEnd"/>
      <w:r w:rsidRPr="001563C8">
        <w:rPr>
          <w:lang w:val="en-US"/>
        </w:rPr>
        <w:t xml:space="preserve">/ml) between patients with </w:t>
      </w:r>
      <w:proofErr w:type="spellStart"/>
      <w:r w:rsidRPr="001563C8">
        <w:rPr>
          <w:rFonts w:cs="Calibri"/>
          <w:color w:val="000000"/>
          <w:lang w:val="en-US"/>
        </w:rPr>
        <w:t>proteinuria</w:t>
      </w:r>
      <w:proofErr w:type="spellEnd"/>
      <w:r w:rsidRPr="001563C8">
        <w:rPr>
          <w:rFonts w:cs="Calibri"/>
          <w:color w:val="000000"/>
          <w:lang w:val="en-US"/>
        </w:rPr>
        <w:t xml:space="preserve"> &lt;900 mg/d and </w:t>
      </w:r>
      <w:proofErr w:type="spellStart"/>
      <w:r w:rsidRPr="001563C8">
        <w:rPr>
          <w:rFonts w:cs="Calibri"/>
          <w:color w:val="000000"/>
          <w:lang w:val="en-US"/>
        </w:rPr>
        <w:t>proteinuria</w:t>
      </w:r>
      <w:proofErr w:type="spellEnd"/>
      <w:r w:rsidRPr="001563C8">
        <w:rPr>
          <w:rFonts w:cs="Calibri"/>
          <w:color w:val="000000"/>
          <w:lang w:val="en-US"/>
        </w:rPr>
        <w:t xml:space="preserve"> ≥900 mg/d one year after </w:t>
      </w:r>
      <w:proofErr w:type="spellStart"/>
      <w:r w:rsidRPr="001563C8">
        <w:rPr>
          <w:rFonts w:cs="Calibri"/>
          <w:color w:val="000000"/>
          <w:lang w:val="en-US"/>
        </w:rPr>
        <w:t>everolimus</w:t>
      </w:r>
      <w:proofErr w:type="spellEnd"/>
      <w:r w:rsidRPr="001563C8">
        <w:rPr>
          <w:rFonts w:cs="Calibri"/>
          <w:color w:val="000000"/>
          <w:lang w:val="en-US"/>
        </w:rPr>
        <w:t xml:space="preserve"> conversion</w:t>
      </w:r>
    </w:p>
    <w:p w:rsidR="001563C8" w:rsidRPr="00E9459D" w:rsidRDefault="001563C8" w:rsidP="001563C8">
      <w:pPr>
        <w:ind w:firstLine="0"/>
        <w:rPr>
          <w:b/>
          <w:lang w:val="en-US"/>
        </w:rPr>
      </w:pPr>
    </w:p>
    <w:tbl>
      <w:tblPr>
        <w:tblStyle w:val="LightShading-Accent1"/>
        <w:tblW w:w="0" w:type="auto"/>
        <w:tblLook w:val="04A0"/>
      </w:tblPr>
      <w:tblGrid>
        <w:gridCol w:w="1432"/>
        <w:gridCol w:w="856"/>
        <w:gridCol w:w="856"/>
        <w:gridCol w:w="944"/>
        <w:gridCol w:w="944"/>
        <w:gridCol w:w="944"/>
        <w:gridCol w:w="944"/>
        <w:gridCol w:w="944"/>
        <w:gridCol w:w="856"/>
      </w:tblGrid>
      <w:tr w:rsidR="001563C8" w:rsidRPr="00E9459D" w:rsidTr="00D9772A">
        <w:trPr>
          <w:cnfStyle w:val="100000000000"/>
        </w:trPr>
        <w:tc>
          <w:tcPr>
            <w:cnfStyle w:val="001000000000"/>
            <w:tcW w:w="2376" w:type="dxa"/>
          </w:tcPr>
          <w:p w:rsidR="001563C8" w:rsidRPr="00E9459D" w:rsidRDefault="001563C8" w:rsidP="00D9772A">
            <w:pPr>
              <w:ind w:firstLine="0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Time post-conversion</w:t>
            </w:r>
          </w:p>
        </w:tc>
        <w:tc>
          <w:tcPr>
            <w:tcW w:w="1471" w:type="dxa"/>
          </w:tcPr>
          <w:p w:rsidR="001563C8" w:rsidRPr="00E9459D" w:rsidRDefault="001563C8" w:rsidP="00D9772A">
            <w:pPr>
              <w:ind w:firstLine="0"/>
              <w:jc w:val="center"/>
              <w:cnfStyle w:val="1000000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4</w:t>
            </w:r>
            <w:r w:rsidRPr="00E9459D">
              <w:rPr>
                <w:rFonts w:cs="Calibri"/>
                <w:color w:val="000000"/>
                <w:vertAlign w:val="superscript"/>
                <w:lang w:val="en-US"/>
              </w:rPr>
              <w:t>th</w:t>
            </w:r>
            <w:r w:rsidRPr="00E9459D">
              <w:rPr>
                <w:rFonts w:cs="Calibri"/>
                <w:color w:val="000000"/>
                <w:lang w:val="en-US"/>
              </w:rPr>
              <w:t xml:space="preserve"> day</w:t>
            </w:r>
          </w:p>
        </w:tc>
        <w:tc>
          <w:tcPr>
            <w:tcW w:w="1471" w:type="dxa"/>
          </w:tcPr>
          <w:p w:rsidR="001563C8" w:rsidRPr="00E9459D" w:rsidRDefault="001563C8" w:rsidP="00D9772A">
            <w:pPr>
              <w:ind w:firstLine="0"/>
              <w:jc w:val="center"/>
              <w:cnfStyle w:val="1000000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8</w:t>
            </w:r>
            <w:r w:rsidRPr="00E9459D">
              <w:rPr>
                <w:rFonts w:cs="Calibri"/>
                <w:color w:val="000000"/>
                <w:vertAlign w:val="superscript"/>
                <w:lang w:val="en-US"/>
              </w:rPr>
              <w:t xml:space="preserve">th </w:t>
            </w:r>
            <w:r w:rsidRPr="00E9459D">
              <w:rPr>
                <w:rFonts w:cs="Calibri"/>
                <w:color w:val="000000"/>
                <w:lang w:val="en-US"/>
              </w:rPr>
              <w:t>day</w:t>
            </w:r>
          </w:p>
        </w:tc>
        <w:tc>
          <w:tcPr>
            <w:tcW w:w="1471" w:type="dxa"/>
          </w:tcPr>
          <w:p w:rsidR="001563C8" w:rsidRPr="00E9459D" w:rsidRDefault="001563C8" w:rsidP="00D9772A">
            <w:pPr>
              <w:ind w:firstLine="0"/>
              <w:jc w:val="center"/>
              <w:cnfStyle w:val="1000000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1</w:t>
            </w:r>
            <w:r w:rsidRPr="00E9459D">
              <w:rPr>
                <w:rFonts w:cs="Calibri"/>
                <w:color w:val="000000"/>
                <w:vertAlign w:val="superscript"/>
                <w:lang w:val="en-US"/>
              </w:rPr>
              <w:t xml:space="preserve">st </w:t>
            </w:r>
            <w:r w:rsidRPr="00E9459D">
              <w:rPr>
                <w:rFonts w:cs="Calibri"/>
                <w:color w:val="000000"/>
                <w:lang w:val="en-US"/>
              </w:rPr>
              <w:t>month</w:t>
            </w:r>
          </w:p>
        </w:tc>
        <w:tc>
          <w:tcPr>
            <w:tcW w:w="1471" w:type="dxa"/>
          </w:tcPr>
          <w:p w:rsidR="001563C8" w:rsidRPr="00E9459D" w:rsidRDefault="001563C8" w:rsidP="00D9772A">
            <w:pPr>
              <w:ind w:firstLine="0"/>
              <w:jc w:val="center"/>
              <w:cnfStyle w:val="1000000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2</w:t>
            </w:r>
            <w:r w:rsidRPr="00E9459D">
              <w:rPr>
                <w:rFonts w:cs="Calibri"/>
                <w:color w:val="000000"/>
                <w:vertAlign w:val="superscript"/>
                <w:lang w:val="en-US"/>
              </w:rPr>
              <w:t xml:space="preserve">nd </w:t>
            </w:r>
            <w:r w:rsidRPr="00E9459D">
              <w:rPr>
                <w:rFonts w:cs="Calibri"/>
                <w:color w:val="000000"/>
                <w:lang w:val="en-US"/>
              </w:rPr>
              <w:t>month</w:t>
            </w:r>
          </w:p>
        </w:tc>
        <w:tc>
          <w:tcPr>
            <w:tcW w:w="1471" w:type="dxa"/>
          </w:tcPr>
          <w:p w:rsidR="001563C8" w:rsidRPr="00E9459D" w:rsidRDefault="001563C8" w:rsidP="00D9772A">
            <w:pPr>
              <w:ind w:firstLine="0"/>
              <w:jc w:val="center"/>
              <w:cnfStyle w:val="1000000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3</w:t>
            </w:r>
            <w:r w:rsidRPr="00E9459D">
              <w:rPr>
                <w:rFonts w:cs="Calibri"/>
                <w:color w:val="000000"/>
                <w:vertAlign w:val="superscript"/>
                <w:lang w:val="en-US"/>
              </w:rPr>
              <w:t>rd</w:t>
            </w:r>
            <w:r w:rsidRPr="00E9459D">
              <w:rPr>
                <w:rFonts w:cs="Calibri"/>
                <w:color w:val="000000"/>
                <w:lang w:val="en-US"/>
              </w:rPr>
              <w:t xml:space="preserve"> month</w:t>
            </w:r>
          </w:p>
        </w:tc>
        <w:tc>
          <w:tcPr>
            <w:tcW w:w="1471" w:type="dxa"/>
          </w:tcPr>
          <w:p w:rsidR="001563C8" w:rsidRPr="00E9459D" w:rsidRDefault="001563C8" w:rsidP="00D9772A">
            <w:pPr>
              <w:ind w:firstLine="0"/>
              <w:jc w:val="center"/>
              <w:cnfStyle w:val="1000000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6</w:t>
            </w:r>
            <w:r w:rsidRPr="00E9459D">
              <w:rPr>
                <w:rFonts w:cs="Calibri"/>
                <w:color w:val="000000"/>
                <w:vertAlign w:val="superscript"/>
                <w:lang w:val="en-US"/>
              </w:rPr>
              <w:t>th</w:t>
            </w:r>
            <w:r w:rsidRPr="00E9459D">
              <w:rPr>
                <w:rFonts w:cs="Calibri"/>
                <w:color w:val="000000"/>
                <w:lang w:val="en-US"/>
              </w:rPr>
              <w:t xml:space="preserve"> month</w:t>
            </w:r>
          </w:p>
        </w:tc>
        <w:tc>
          <w:tcPr>
            <w:tcW w:w="1471" w:type="dxa"/>
          </w:tcPr>
          <w:p w:rsidR="001563C8" w:rsidRPr="00E9459D" w:rsidRDefault="001563C8" w:rsidP="00D9772A">
            <w:pPr>
              <w:ind w:firstLine="0"/>
              <w:jc w:val="center"/>
              <w:cnfStyle w:val="1000000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9</w:t>
            </w:r>
            <w:r w:rsidRPr="00E9459D">
              <w:rPr>
                <w:rFonts w:cs="Calibri"/>
                <w:color w:val="000000"/>
                <w:vertAlign w:val="superscript"/>
                <w:lang w:val="en-US"/>
              </w:rPr>
              <w:t>th</w:t>
            </w:r>
            <w:r w:rsidRPr="00E9459D">
              <w:rPr>
                <w:rFonts w:cs="Calibri"/>
                <w:color w:val="000000"/>
                <w:lang w:val="en-US"/>
              </w:rPr>
              <w:t xml:space="preserve"> month</w:t>
            </w:r>
          </w:p>
        </w:tc>
        <w:tc>
          <w:tcPr>
            <w:tcW w:w="1471" w:type="dxa"/>
          </w:tcPr>
          <w:p w:rsidR="001563C8" w:rsidRPr="00E9459D" w:rsidRDefault="001563C8" w:rsidP="00D9772A">
            <w:pPr>
              <w:ind w:firstLine="0"/>
              <w:jc w:val="center"/>
              <w:cnfStyle w:val="1000000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1</w:t>
            </w:r>
            <w:r w:rsidRPr="00E9459D">
              <w:rPr>
                <w:rFonts w:cs="Calibri"/>
                <w:color w:val="000000"/>
                <w:vertAlign w:val="superscript"/>
                <w:lang w:val="en-US"/>
              </w:rPr>
              <w:t>st</w:t>
            </w:r>
            <w:r w:rsidRPr="00E9459D">
              <w:rPr>
                <w:rFonts w:cs="Calibri"/>
                <w:color w:val="000000"/>
                <w:lang w:val="en-US"/>
              </w:rPr>
              <w:t xml:space="preserve"> year</w:t>
            </w:r>
          </w:p>
        </w:tc>
      </w:tr>
      <w:tr w:rsidR="001563C8" w:rsidRPr="00E9459D" w:rsidTr="00D9772A">
        <w:trPr>
          <w:cnfStyle w:val="000000100000"/>
        </w:trPr>
        <w:tc>
          <w:tcPr>
            <w:cnfStyle w:val="001000000000"/>
            <w:tcW w:w="2376" w:type="dxa"/>
            <w:tcBorders>
              <w:top w:val="single" w:sz="8" w:space="0" w:color="4F81BD" w:themeColor="accent1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rPr>
                <w:rFonts w:cs="Calibri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459D">
              <w:rPr>
                <w:rFonts w:cs="Calibri"/>
                <w:b w:val="0"/>
                <w:color w:val="000000"/>
                <w:lang w:val="en-US"/>
              </w:rPr>
              <w:t>Proteinuria</w:t>
            </w:r>
            <w:proofErr w:type="spellEnd"/>
            <w:r w:rsidRPr="00E9459D">
              <w:rPr>
                <w:rFonts w:cs="Calibri"/>
                <w:b w:val="0"/>
                <w:color w:val="000000"/>
                <w:lang w:val="en-US"/>
              </w:rPr>
              <w:t xml:space="preserve"> &lt;900 mg/d </w:t>
            </w:r>
          </w:p>
        </w:tc>
        <w:tc>
          <w:tcPr>
            <w:tcW w:w="1471" w:type="dxa"/>
            <w:tcBorders>
              <w:top w:val="single" w:sz="8" w:space="0" w:color="4F81BD" w:themeColor="accent1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1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9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1</w:t>
            </w:r>
            <w:r>
              <w:rPr>
                <w:rFonts w:cs="Calibri"/>
                <w:color w:val="000000"/>
                <w:lang w:val="en-US"/>
              </w:rPr>
              <w:t xml:space="preserve"> ± </w:t>
            </w:r>
            <w:r w:rsidRPr="00E9459D">
              <w:rPr>
                <w:rFonts w:cs="Calibri"/>
                <w:color w:val="000000"/>
                <w:lang w:val="en-US"/>
              </w:rPr>
              <w:t>5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1471" w:type="dxa"/>
            <w:tcBorders>
              <w:top w:val="single" w:sz="8" w:space="0" w:color="4F81BD" w:themeColor="accent1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1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8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4</w:t>
            </w:r>
            <w:r>
              <w:rPr>
                <w:rFonts w:cs="Calibri"/>
                <w:color w:val="000000"/>
                <w:lang w:val="en-US"/>
              </w:rPr>
              <w:t xml:space="preserve"> ± </w:t>
            </w:r>
            <w:r w:rsidRPr="00E9459D">
              <w:rPr>
                <w:rFonts w:cs="Calibri"/>
                <w:color w:val="000000"/>
                <w:lang w:val="en-US"/>
              </w:rPr>
              <w:t>4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71" w:type="dxa"/>
            <w:tcBorders>
              <w:top w:val="single" w:sz="8" w:space="0" w:color="4F81BD" w:themeColor="accent1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1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7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9</w:t>
            </w:r>
            <w:r>
              <w:rPr>
                <w:rFonts w:cs="Calibri"/>
                <w:color w:val="000000"/>
                <w:lang w:val="en-US"/>
              </w:rPr>
              <w:t xml:space="preserve"> ± </w:t>
            </w:r>
            <w:r w:rsidRPr="00E9459D">
              <w:rPr>
                <w:rFonts w:cs="Calibri"/>
                <w:color w:val="000000"/>
                <w:lang w:val="en-US"/>
              </w:rPr>
              <w:t>3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71" w:type="dxa"/>
            <w:tcBorders>
              <w:top w:val="single" w:sz="8" w:space="0" w:color="4F81BD" w:themeColor="accent1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1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7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3</w:t>
            </w:r>
            <w:r>
              <w:rPr>
                <w:rFonts w:cs="Calibri"/>
                <w:color w:val="000000"/>
                <w:lang w:val="en-US"/>
              </w:rPr>
              <w:t xml:space="preserve"> ± </w:t>
            </w:r>
            <w:r w:rsidRPr="00E9459D">
              <w:rPr>
                <w:rFonts w:cs="Calibri"/>
                <w:color w:val="000000"/>
                <w:lang w:val="en-US"/>
              </w:rPr>
              <w:t>2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4</w:t>
            </w:r>
          </w:p>
        </w:tc>
        <w:tc>
          <w:tcPr>
            <w:tcW w:w="1471" w:type="dxa"/>
            <w:tcBorders>
              <w:top w:val="single" w:sz="8" w:space="0" w:color="4F81BD" w:themeColor="accent1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1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7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1</w:t>
            </w:r>
            <w:r>
              <w:rPr>
                <w:rFonts w:cs="Calibri"/>
                <w:color w:val="000000"/>
                <w:lang w:val="en-US"/>
              </w:rPr>
              <w:t xml:space="preserve"> ± </w:t>
            </w:r>
            <w:r w:rsidRPr="00E9459D">
              <w:rPr>
                <w:rFonts w:cs="Calibri"/>
                <w:color w:val="000000"/>
                <w:lang w:val="en-US"/>
              </w:rPr>
              <w:t>2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71" w:type="dxa"/>
            <w:tcBorders>
              <w:top w:val="single" w:sz="8" w:space="0" w:color="4F81BD" w:themeColor="accent1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1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7</w:t>
            </w:r>
            <w:r>
              <w:rPr>
                <w:rFonts w:cs="Calibri"/>
                <w:color w:val="000000"/>
                <w:lang w:val="en-US"/>
              </w:rPr>
              <w:t>..</w:t>
            </w:r>
            <w:r w:rsidRPr="00E9459D">
              <w:rPr>
                <w:rFonts w:cs="Calibri"/>
                <w:color w:val="000000"/>
                <w:lang w:val="en-US"/>
              </w:rPr>
              <w:t>2</w:t>
            </w:r>
            <w:r>
              <w:rPr>
                <w:rFonts w:cs="Calibri"/>
                <w:color w:val="000000"/>
                <w:lang w:val="en-US"/>
              </w:rPr>
              <w:t xml:space="preserve"> ± </w:t>
            </w:r>
            <w:r w:rsidRPr="00E9459D">
              <w:rPr>
                <w:rFonts w:cs="Calibri"/>
                <w:color w:val="000000"/>
                <w:lang w:val="en-US"/>
              </w:rPr>
              <w:t>2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3</w:t>
            </w:r>
          </w:p>
        </w:tc>
        <w:tc>
          <w:tcPr>
            <w:tcW w:w="1471" w:type="dxa"/>
            <w:tcBorders>
              <w:top w:val="single" w:sz="8" w:space="0" w:color="4F81BD" w:themeColor="accent1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1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7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5</w:t>
            </w:r>
            <w:r>
              <w:rPr>
                <w:rFonts w:cs="Calibri"/>
                <w:color w:val="000000"/>
                <w:lang w:val="en-US"/>
              </w:rPr>
              <w:t xml:space="preserve"> ± </w:t>
            </w:r>
            <w:r w:rsidRPr="00E9459D">
              <w:rPr>
                <w:rFonts w:cs="Calibri"/>
                <w:color w:val="000000"/>
                <w:lang w:val="en-US"/>
              </w:rPr>
              <w:t>3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2</w:t>
            </w:r>
          </w:p>
        </w:tc>
        <w:tc>
          <w:tcPr>
            <w:tcW w:w="1471" w:type="dxa"/>
            <w:tcBorders>
              <w:top w:val="single" w:sz="8" w:space="0" w:color="4F81BD" w:themeColor="accent1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1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7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0</w:t>
            </w:r>
            <w:r>
              <w:rPr>
                <w:rFonts w:cs="Calibri"/>
                <w:color w:val="000000"/>
                <w:lang w:val="en-US"/>
              </w:rPr>
              <w:t xml:space="preserve"> ± </w:t>
            </w:r>
            <w:r w:rsidRPr="00E9459D">
              <w:rPr>
                <w:rFonts w:cs="Calibri"/>
                <w:color w:val="000000"/>
                <w:lang w:val="en-US"/>
              </w:rPr>
              <w:t>2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6</w:t>
            </w:r>
          </w:p>
        </w:tc>
      </w:tr>
      <w:tr w:rsidR="001563C8" w:rsidRPr="00E9459D" w:rsidTr="00D9772A">
        <w:tc>
          <w:tcPr>
            <w:cnfStyle w:val="001000000000"/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rPr>
                <w:rFonts w:cs="Calibri"/>
                <w:b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E9459D">
              <w:rPr>
                <w:rFonts w:cs="Calibri"/>
                <w:b w:val="0"/>
                <w:color w:val="000000"/>
                <w:lang w:val="en-US"/>
              </w:rPr>
              <w:t>Proteinuria</w:t>
            </w:r>
            <w:proofErr w:type="spellEnd"/>
            <w:r w:rsidRPr="00E9459D">
              <w:rPr>
                <w:rFonts w:cs="Calibri"/>
                <w:b w:val="0"/>
                <w:color w:val="000000"/>
                <w:lang w:val="en-US"/>
              </w:rPr>
              <w:t xml:space="preserve"> ≥900 mg/d 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0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8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7</w:t>
            </w:r>
            <w:r>
              <w:rPr>
                <w:rFonts w:cs="Calibri"/>
                <w:color w:val="000000"/>
                <w:lang w:val="en-US"/>
              </w:rPr>
              <w:t xml:space="preserve"> ± </w:t>
            </w:r>
            <w:r w:rsidRPr="00E9459D">
              <w:rPr>
                <w:rFonts w:cs="Calibri"/>
                <w:color w:val="000000"/>
                <w:lang w:val="en-US"/>
              </w:rPr>
              <w:t>4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0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8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5</w:t>
            </w:r>
            <w:r>
              <w:rPr>
                <w:rFonts w:cs="Calibri"/>
                <w:color w:val="000000"/>
                <w:lang w:val="en-US"/>
              </w:rPr>
              <w:t xml:space="preserve"> ± </w:t>
            </w:r>
            <w:r w:rsidRPr="00E9459D">
              <w:rPr>
                <w:rFonts w:cs="Calibri"/>
                <w:color w:val="000000"/>
                <w:lang w:val="en-US"/>
              </w:rPr>
              <w:t>4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0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7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9</w:t>
            </w:r>
            <w:r>
              <w:rPr>
                <w:rFonts w:cs="Calibri"/>
                <w:color w:val="000000"/>
                <w:lang w:val="en-US"/>
              </w:rPr>
              <w:t xml:space="preserve"> ± </w:t>
            </w:r>
            <w:r w:rsidRPr="00E9459D">
              <w:rPr>
                <w:rFonts w:cs="Calibri"/>
                <w:color w:val="000000"/>
                <w:lang w:val="en-US"/>
              </w:rPr>
              <w:t>3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0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7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6</w:t>
            </w:r>
            <w:r>
              <w:rPr>
                <w:rFonts w:cs="Calibri"/>
                <w:color w:val="000000"/>
                <w:lang w:val="en-US"/>
              </w:rPr>
              <w:t xml:space="preserve"> ± </w:t>
            </w:r>
            <w:r w:rsidRPr="00E9459D">
              <w:rPr>
                <w:rFonts w:cs="Calibri"/>
                <w:color w:val="000000"/>
                <w:lang w:val="en-US"/>
              </w:rPr>
              <w:t>3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0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7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1</w:t>
            </w:r>
            <w:r>
              <w:rPr>
                <w:rFonts w:cs="Calibri"/>
                <w:color w:val="000000"/>
                <w:lang w:val="en-US"/>
              </w:rPr>
              <w:t xml:space="preserve"> ± </w:t>
            </w:r>
            <w:r w:rsidRPr="00E9459D">
              <w:rPr>
                <w:rFonts w:cs="Calibri"/>
                <w:color w:val="000000"/>
                <w:lang w:val="en-US"/>
              </w:rPr>
              <w:t>3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0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6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7</w:t>
            </w:r>
            <w:r>
              <w:rPr>
                <w:rFonts w:cs="Calibri"/>
                <w:color w:val="000000"/>
                <w:lang w:val="en-US"/>
              </w:rPr>
              <w:t xml:space="preserve"> ± </w:t>
            </w:r>
            <w:r w:rsidRPr="00E9459D">
              <w:rPr>
                <w:rFonts w:cs="Calibri"/>
                <w:color w:val="000000"/>
                <w:lang w:val="en-US"/>
              </w:rPr>
              <w:t>2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0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6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9</w:t>
            </w:r>
            <w:r>
              <w:rPr>
                <w:rFonts w:cs="Calibri"/>
                <w:color w:val="000000"/>
                <w:lang w:val="en-US"/>
              </w:rPr>
              <w:t xml:space="preserve"> ± </w:t>
            </w:r>
            <w:r w:rsidRPr="00E9459D">
              <w:rPr>
                <w:rFonts w:cs="Calibri"/>
                <w:color w:val="000000"/>
                <w:lang w:val="en-US"/>
              </w:rPr>
              <w:t>2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0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6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8</w:t>
            </w:r>
            <w:r>
              <w:rPr>
                <w:rFonts w:cs="Calibri"/>
                <w:color w:val="000000"/>
                <w:lang w:val="en-US"/>
              </w:rPr>
              <w:t xml:space="preserve"> ± </w:t>
            </w:r>
            <w:r w:rsidRPr="00E9459D">
              <w:rPr>
                <w:rFonts w:cs="Calibri"/>
                <w:color w:val="000000"/>
                <w:lang w:val="en-US"/>
              </w:rPr>
              <w:t>2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6</w:t>
            </w:r>
          </w:p>
        </w:tc>
      </w:tr>
      <w:tr w:rsidR="001563C8" w:rsidRPr="00E9459D" w:rsidTr="00D9772A">
        <w:trPr>
          <w:cnfStyle w:val="000000100000"/>
        </w:trPr>
        <w:tc>
          <w:tcPr>
            <w:cnfStyle w:val="001000000000"/>
            <w:tcW w:w="23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rPr>
                <w:rFonts w:cs="Calibri"/>
                <w:b w:val="0"/>
                <w:color w:val="000000"/>
                <w:lang w:val="en-US"/>
              </w:rPr>
            </w:pPr>
            <w:r w:rsidRPr="00E9459D">
              <w:rPr>
                <w:rFonts w:cs="Calibri"/>
                <w:b w:val="0"/>
                <w:color w:val="000000"/>
                <w:lang w:val="en-US"/>
              </w:rPr>
              <w:t>p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1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0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704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1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0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911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1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0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961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1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0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633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1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0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87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1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0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322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1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0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377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63C8" w:rsidRPr="00E9459D" w:rsidRDefault="001563C8" w:rsidP="00D9772A">
            <w:pPr>
              <w:ind w:firstLine="0"/>
              <w:jc w:val="center"/>
              <w:cnfStyle w:val="000000100000"/>
              <w:rPr>
                <w:rFonts w:cs="Calibri"/>
                <w:color w:val="000000"/>
                <w:lang w:val="en-US"/>
              </w:rPr>
            </w:pPr>
            <w:r w:rsidRPr="00E9459D">
              <w:rPr>
                <w:rFonts w:cs="Calibri"/>
                <w:color w:val="000000"/>
                <w:lang w:val="en-US"/>
              </w:rPr>
              <w:t>0</w:t>
            </w:r>
            <w:r>
              <w:rPr>
                <w:rFonts w:cs="Calibri"/>
                <w:color w:val="000000"/>
                <w:lang w:val="en-US"/>
              </w:rPr>
              <w:t>.</w:t>
            </w:r>
            <w:r w:rsidRPr="00E9459D">
              <w:rPr>
                <w:rFonts w:cs="Calibri"/>
                <w:color w:val="000000"/>
                <w:lang w:val="en-US"/>
              </w:rPr>
              <w:t>316</w:t>
            </w:r>
          </w:p>
        </w:tc>
      </w:tr>
    </w:tbl>
    <w:p w:rsidR="0093106B" w:rsidRPr="00E9459D" w:rsidRDefault="0093106B" w:rsidP="001563C8">
      <w:pPr>
        <w:ind w:firstLine="0"/>
        <w:rPr>
          <w:lang w:val="en-US"/>
        </w:rPr>
        <w:sectPr w:rsidR="0093106B" w:rsidRPr="00E9459D" w:rsidSect="001E127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9459D" w:rsidRPr="00E9459D" w:rsidRDefault="00E9459D" w:rsidP="001563C8">
      <w:pPr>
        <w:ind w:firstLine="0"/>
        <w:rPr>
          <w:lang w:val="en-US"/>
        </w:rPr>
      </w:pPr>
    </w:p>
    <w:sectPr w:rsidR="00E9459D" w:rsidRPr="00E9459D" w:rsidSect="009310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D397B"/>
    <w:rsid w:val="000568C4"/>
    <w:rsid w:val="001563C8"/>
    <w:rsid w:val="001E1273"/>
    <w:rsid w:val="003D397B"/>
    <w:rsid w:val="00732067"/>
    <w:rsid w:val="0082622E"/>
    <w:rsid w:val="0093106B"/>
    <w:rsid w:val="00B80027"/>
    <w:rsid w:val="00C06C6A"/>
    <w:rsid w:val="00E825BD"/>
    <w:rsid w:val="00E9459D"/>
    <w:rsid w:val="00E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7B"/>
    <w:pPr>
      <w:spacing w:after="0" w:line="480" w:lineRule="auto"/>
      <w:ind w:firstLine="709"/>
    </w:pPr>
    <w:rPr>
      <w:rFonts w:ascii="Calibri" w:eastAsia="Times New Roman" w:hAnsi="Calibri" w:cs="Times New Roman"/>
      <w:sz w:val="24"/>
      <w:szCs w:val="24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3D397B"/>
    <w:pPr>
      <w:keepNext/>
      <w:spacing w:before="240" w:after="60" w:line="240" w:lineRule="auto"/>
      <w:ind w:firstLine="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D397B"/>
    <w:rPr>
      <w:rFonts w:ascii="Calibri" w:eastAsia="Times New Roman" w:hAnsi="Calibri" w:cs="Times New Roman"/>
      <w:b/>
      <w:bCs/>
      <w:iCs/>
      <w:sz w:val="24"/>
      <w:szCs w:val="28"/>
      <w:lang w:eastAsia="es-ES"/>
    </w:rPr>
  </w:style>
  <w:style w:type="paragraph" w:styleId="BodyText">
    <w:name w:val="Body Text"/>
    <w:basedOn w:val="Normal"/>
    <w:link w:val="BodyTextChar"/>
    <w:uiPriority w:val="99"/>
    <w:rsid w:val="003D397B"/>
    <w:pPr>
      <w:autoSpaceDE w:val="0"/>
      <w:autoSpaceDN w:val="0"/>
      <w:adjustRightInd w:val="0"/>
      <w:spacing w:after="120" w:line="240" w:lineRule="auto"/>
      <w:ind w:firstLine="0"/>
    </w:pPr>
    <w:rPr>
      <w:rFonts w:eastAsia="Batang" w:cs="Arial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3D397B"/>
    <w:rPr>
      <w:rFonts w:ascii="Calibri" w:eastAsia="Batang" w:hAnsi="Calibri" w:cs="Arial"/>
      <w:color w:val="000000"/>
      <w:lang w:val="en-US" w:eastAsia="es-ES"/>
    </w:rPr>
  </w:style>
  <w:style w:type="table" w:styleId="TableGrid">
    <w:name w:val="Table Grid"/>
    <w:basedOn w:val="TableNormal"/>
    <w:uiPriority w:val="59"/>
    <w:rsid w:val="0093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945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2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25BD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KMyers</cp:lastModifiedBy>
  <cp:revision>2</cp:revision>
  <dcterms:created xsi:type="dcterms:W3CDTF">2011-11-08T13:40:00Z</dcterms:created>
  <dcterms:modified xsi:type="dcterms:W3CDTF">2011-11-08T13:40:00Z</dcterms:modified>
</cp:coreProperties>
</file>