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E9" w:rsidRDefault="000514E9" w:rsidP="003B0B4F">
      <w:pPr>
        <w:spacing w:line="480" w:lineRule="auto"/>
        <w:jc w:val="both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Supplementary appendix</w:t>
      </w:r>
    </w:p>
    <w:p w:rsidR="000514E9" w:rsidRPr="000514E9" w:rsidRDefault="000514E9" w:rsidP="003B0B4F">
      <w:pPr>
        <w:spacing w:line="480" w:lineRule="auto"/>
        <w:jc w:val="both"/>
        <w:rPr>
          <w:rFonts w:ascii="Arial" w:hAnsi="Arial" w:cs="Arial"/>
          <w:b/>
          <w:szCs w:val="22"/>
          <w:lang w:val="en-GB"/>
        </w:rPr>
      </w:pPr>
      <w:r w:rsidRPr="000514E9">
        <w:rPr>
          <w:rFonts w:ascii="Arial" w:hAnsi="Arial" w:cs="Arial"/>
          <w:b/>
          <w:szCs w:val="22"/>
          <w:lang w:val="en-GB"/>
        </w:rPr>
        <w:t>THE ASSOCIATION BETWEEN CYTOMEGALOVIRUS INFECTION AND CARDIAC ALLOGRAFT VASCULOPATHY IN THE ERA OF ANTIVIRAL VALGANCICLOVIR PROPHYLAXIS</w:t>
      </w:r>
    </w:p>
    <w:p w:rsidR="000514E9" w:rsidRPr="00380B07" w:rsidRDefault="000514E9" w:rsidP="003B0B4F">
      <w:pPr>
        <w:spacing w:line="480" w:lineRule="auto"/>
        <w:jc w:val="both"/>
        <w:rPr>
          <w:rFonts w:ascii="Arial" w:hAnsi="Arial" w:cs="Arial"/>
          <w:b/>
          <w:szCs w:val="22"/>
        </w:rPr>
      </w:pPr>
      <w:r w:rsidRPr="00380B07">
        <w:rPr>
          <w:rFonts w:ascii="Arial" w:hAnsi="Arial" w:cs="Arial"/>
        </w:rPr>
        <w:t>Dominika Klimczak-Tomaniak MD PhD</w:t>
      </w:r>
      <w:r w:rsidRPr="00380B07">
        <w:rPr>
          <w:rFonts w:ascii="Arial" w:hAnsi="Arial" w:cs="Arial"/>
          <w:vertAlign w:val="superscript"/>
        </w:rPr>
        <w:t>a,b</w:t>
      </w:r>
      <w:r w:rsidRPr="00380B07">
        <w:rPr>
          <w:rFonts w:ascii="Arial" w:hAnsi="Arial" w:cs="Arial"/>
        </w:rPr>
        <w:t>, Stefan Roest MD</w:t>
      </w:r>
      <w:r w:rsidRPr="00380B07">
        <w:rPr>
          <w:rFonts w:ascii="Arial" w:hAnsi="Arial" w:cs="Arial"/>
          <w:vertAlign w:val="superscript"/>
        </w:rPr>
        <w:t>a</w:t>
      </w:r>
      <w:r w:rsidRPr="00380B07">
        <w:rPr>
          <w:rFonts w:ascii="Arial" w:hAnsi="Arial" w:cs="Arial"/>
        </w:rPr>
        <w:t>, Jasper J. Brugts MD PhD</w:t>
      </w:r>
      <w:r w:rsidRPr="00380B07">
        <w:rPr>
          <w:rFonts w:ascii="Arial" w:hAnsi="Arial" w:cs="Arial"/>
          <w:vertAlign w:val="superscript"/>
        </w:rPr>
        <w:t>a</w:t>
      </w:r>
      <w:r w:rsidRPr="00380B07">
        <w:rPr>
          <w:rFonts w:ascii="Arial" w:hAnsi="Arial" w:cs="Arial"/>
        </w:rPr>
        <w:t xml:space="preserve"> et al.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nl-NL" w:eastAsia="nl-NL"/>
        </w:rPr>
        <w:id w:val="1574980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514E9" w:rsidRPr="007B1010" w:rsidRDefault="000514E9" w:rsidP="007B1010">
          <w:pPr>
            <w:pStyle w:val="TOCHeading"/>
            <w:spacing w:line="480" w:lineRule="auto"/>
            <w:rPr>
              <w:rFonts w:ascii="Arial" w:hAnsi="Arial" w:cs="Arial"/>
              <w:color w:val="auto"/>
              <w:sz w:val="22"/>
              <w:szCs w:val="22"/>
            </w:rPr>
          </w:pPr>
          <w:r w:rsidRPr="007B1010">
            <w:rPr>
              <w:rFonts w:ascii="Arial" w:hAnsi="Arial" w:cs="Arial"/>
              <w:color w:val="auto"/>
              <w:sz w:val="22"/>
              <w:szCs w:val="22"/>
            </w:rPr>
            <w:t>Contents</w:t>
          </w:r>
        </w:p>
        <w:p w:rsidR="006D2C28" w:rsidRDefault="000514E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B1010">
            <w:rPr>
              <w:sz w:val="22"/>
              <w:szCs w:val="22"/>
            </w:rPr>
            <w:fldChar w:fldCharType="begin"/>
          </w:r>
          <w:r w:rsidRPr="007B1010">
            <w:rPr>
              <w:sz w:val="22"/>
              <w:szCs w:val="22"/>
              <w:lang w:val="en-US"/>
            </w:rPr>
            <w:instrText xml:space="preserve"> TOC \o "1-3" \h \z \u </w:instrText>
          </w:r>
          <w:r w:rsidRPr="007B1010">
            <w:rPr>
              <w:sz w:val="22"/>
              <w:szCs w:val="22"/>
            </w:rPr>
            <w:fldChar w:fldCharType="separate"/>
          </w:r>
          <w:hyperlink w:anchor="_Toc23673743" w:history="1">
            <w:r w:rsidR="006D2C28" w:rsidRPr="00A668AE">
              <w:rPr>
                <w:rStyle w:val="Hyperlink"/>
                <w:rFonts w:ascii="Arial" w:hAnsi="Arial" w:cs="Arial"/>
                <w:noProof/>
                <w:lang w:val="en-US"/>
              </w:rPr>
              <w:t>Table S1. Immunosuppresive regimen and CMV prophylaxis over the years 2000-2018.</w:t>
            </w:r>
            <w:r w:rsidR="006D2C28">
              <w:rPr>
                <w:noProof/>
                <w:webHidden/>
              </w:rPr>
              <w:tab/>
            </w:r>
            <w:r w:rsidR="006D2C28">
              <w:rPr>
                <w:noProof/>
                <w:webHidden/>
              </w:rPr>
              <w:fldChar w:fldCharType="begin"/>
            </w:r>
            <w:r w:rsidR="006D2C28">
              <w:rPr>
                <w:noProof/>
                <w:webHidden/>
              </w:rPr>
              <w:instrText xml:space="preserve"> PAGEREF _Toc23673743 \h </w:instrText>
            </w:r>
            <w:r w:rsidR="006D2C28">
              <w:rPr>
                <w:noProof/>
                <w:webHidden/>
              </w:rPr>
            </w:r>
            <w:r w:rsidR="006D2C28">
              <w:rPr>
                <w:noProof/>
                <w:webHidden/>
              </w:rPr>
              <w:fldChar w:fldCharType="separate"/>
            </w:r>
            <w:r w:rsidR="006D2C28">
              <w:rPr>
                <w:noProof/>
                <w:webHidden/>
              </w:rPr>
              <w:t>2</w:t>
            </w:r>
            <w:r w:rsidR="006D2C28">
              <w:rPr>
                <w:noProof/>
                <w:webHidden/>
              </w:rPr>
              <w:fldChar w:fldCharType="end"/>
            </w:r>
          </w:hyperlink>
        </w:p>
        <w:p w:rsidR="006D2C28" w:rsidRDefault="00FC3F0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673744" w:history="1">
            <w:r w:rsidR="006D2C28" w:rsidRPr="00A668AE">
              <w:rPr>
                <w:rStyle w:val="Hyperlink"/>
                <w:rFonts w:ascii="Arial" w:hAnsi="Arial" w:cs="Arial"/>
                <w:noProof/>
                <w:lang w:val="en-US"/>
              </w:rPr>
              <w:t>Text S1. CMV monitoring</w:t>
            </w:r>
            <w:r w:rsidR="006D2C28">
              <w:rPr>
                <w:noProof/>
                <w:webHidden/>
              </w:rPr>
              <w:tab/>
            </w:r>
            <w:r w:rsidR="006D2C28">
              <w:rPr>
                <w:noProof/>
                <w:webHidden/>
              </w:rPr>
              <w:fldChar w:fldCharType="begin"/>
            </w:r>
            <w:r w:rsidR="006D2C28">
              <w:rPr>
                <w:noProof/>
                <w:webHidden/>
              </w:rPr>
              <w:instrText xml:space="preserve"> PAGEREF _Toc23673744 \h </w:instrText>
            </w:r>
            <w:r w:rsidR="006D2C28">
              <w:rPr>
                <w:noProof/>
                <w:webHidden/>
              </w:rPr>
            </w:r>
            <w:r w:rsidR="006D2C28">
              <w:rPr>
                <w:noProof/>
                <w:webHidden/>
              </w:rPr>
              <w:fldChar w:fldCharType="separate"/>
            </w:r>
            <w:r w:rsidR="006D2C28">
              <w:rPr>
                <w:noProof/>
                <w:webHidden/>
              </w:rPr>
              <w:t>3</w:t>
            </w:r>
            <w:r w:rsidR="006D2C28">
              <w:rPr>
                <w:noProof/>
                <w:webHidden/>
              </w:rPr>
              <w:fldChar w:fldCharType="end"/>
            </w:r>
          </w:hyperlink>
        </w:p>
        <w:p w:rsidR="006D2C28" w:rsidRDefault="00FC3F0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673745" w:history="1">
            <w:r w:rsidR="006D2C28" w:rsidRPr="00A668AE">
              <w:rPr>
                <w:rStyle w:val="Hyperlink"/>
                <w:rFonts w:ascii="Arial" w:hAnsi="Arial" w:cs="Arial"/>
                <w:noProof/>
                <w:lang w:val="en-GB"/>
              </w:rPr>
              <w:t>Table S2: Sequences and concentrations of primer and probes used</w:t>
            </w:r>
            <w:r w:rsidR="006D2C28">
              <w:rPr>
                <w:noProof/>
                <w:webHidden/>
              </w:rPr>
              <w:tab/>
            </w:r>
            <w:r w:rsidR="006D2C28">
              <w:rPr>
                <w:noProof/>
                <w:webHidden/>
              </w:rPr>
              <w:fldChar w:fldCharType="begin"/>
            </w:r>
            <w:r w:rsidR="006D2C28">
              <w:rPr>
                <w:noProof/>
                <w:webHidden/>
              </w:rPr>
              <w:instrText xml:space="preserve"> PAGEREF _Toc23673745 \h </w:instrText>
            </w:r>
            <w:r w:rsidR="006D2C28">
              <w:rPr>
                <w:noProof/>
                <w:webHidden/>
              </w:rPr>
            </w:r>
            <w:r w:rsidR="006D2C28">
              <w:rPr>
                <w:noProof/>
                <w:webHidden/>
              </w:rPr>
              <w:fldChar w:fldCharType="separate"/>
            </w:r>
            <w:r w:rsidR="006D2C28">
              <w:rPr>
                <w:noProof/>
                <w:webHidden/>
              </w:rPr>
              <w:t>4</w:t>
            </w:r>
            <w:r w:rsidR="006D2C28">
              <w:rPr>
                <w:noProof/>
                <w:webHidden/>
              </w:rPr>
              <w:fldChar w:fldCharType="end"/>
            </w:r>
          </w:hyperlink>
        </w:p>
        <w:p w:rsidR="006D2C28" w:rsidRDefault="00FC3F0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673746" w:history="1">
            <w:r w:rsidR="006D2C28" w:rsidRPr="00A668AE">
              <w:rPr>
                <w:rStyle w:val="Hyperlink"/>
                <w:rFonts w:ascii="Arial" w:hAnsi="Arial" w:cs="Arial"/>
                <w:noProof/>
                <w:lang w:val="en-US"/>
              </w:rPr>
              <w:t>Table S3. CMV breakthrough infections by type of prophylaxis</w:t>
            </w:r>
            <w:r w:rsidR="006D2C28">
              <w:rPr>
                <w:noProof/>
                <w:webHidden/>
              </w:rPr>
              <w:tab/>
            </w:r>
            <w:r w:rsidR="006D2C28">
              <w:rPr>
                <w:noProof/>
                <w:webHidden/>
              </w:rPr>
              <w:fldChar w:fldCharType="begin"/>
            </w:r>
            <w:r w:rsidR="006D2C28">
              <w:rPr>
                <w:noProof/>
                <w:webHidden/>
              </w:rPr>
              <w:instrText xml:space="preserve"> PAGEREF _Toc23673746 \h </w:instrText>
            </w:r>
            <w:r w:rsidR="006D2C28">
              <w:rPr>
                <w:noProof/>
                <w:webHidden/>
              </w:rPr>
            </w:r>
            <w:r w:rsidR="006D2C28">
              <w:rPr>
                <w:noProof/>
                <w:webHidden/>
              </w:rPr>
              <w:fldChar w:fldCharType="separate"/>
            </w:r>
            <w:r w:rsidR="006D2C28">
              <w:rPr>
                <w:noProof/>
                <w:webHidden/>
              </w:rPr>
              <w:t>5</w:t>
            </w:r>
            <w:r w:rsidR="006D2C28">
              <w:rPr>
                <w:noProof/>
                <w:webHidden/>
              </w:rPr>
              <w:fldChar w:fldCharType="end"/>
            </w:r>
          </w:hyperlink>
        </w:p>
        <w:p w:rsidR="006D2C28" w:rsidRDefault="00FC3F0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673747" w:history="1">
            <w:r w:rsidR="006D2C28" w:rsidRPr="00A668AE">
              <w:rPr>
                <w:rStyle w:val="Hyperlink"/>
                <w:rFonts w:ascii="Arial" w:hAnsi="Arial" w:cs="Arial"/>
                <w:noProof/>
                <w:lang w:val="en-US"/>
              </w:rPr>
              <w:t xml:space="preserve">Table S4. </w:t>
            </w:r>
            <w:r w:rsidR="006D2C28" w:rsidRPr="00A668AE">
              <w:rPr>
                <w:rStyle w:val="Hyperlink"/>
                <w:rFonts w:ascii="Arial" w:hAnsi="Arial" w:cs="Arial"/>
                <w:noProof/>
                <w:lang w:val="en-GB"/>
              </w:rPr>
              <w:t>Multivariable analysis of CAV any grade. Patients with immunoglobulin prophylaxis excluded, N=246.</w:t>
            </w:r>
            <w:r w:rsidR="006D2C28">
              <w:rPr>
                <w:noProof/>
                <w:webHidden/>
              </w:rPr>
              <w:tab/>
            </w:r>
            <w:r w:rsidR="006D2C28">
              <w:rPr>
                <w:noProof/>
                <w:webHidden/>
              </w:rPr>
              <w:fldChar w:fldCharType="begin"/>
            </w:r>
            <w:r w:rsidR="006D2C28">
              <w:rPr>
                <w:noProof/>
                <w:webHidden/>
              </w:rPr>
              <w:instrText xml:space="preserve"> PAGEREF _Toc23673747 \h </w:instrText>
            </w:r>
            <w:r w:rsidR="006D2C28">
              <w:rPr>
                <w:noProof/>
                <w:webHidden/>
              </w:rPr>
            </w:r>
            <w:r w:rsidR="006D2C28">
              <w:rPr>
                <w:noProof/>
                <w:webHidden/>
              </w:rPr>
              <w:fldChar w:fldCharType="separate"/>
            </w:r>
            <w:r w:rsidR="006D2C28">
              <w:rPr>
                <w:noProof/>
                <w:webHidden/>
              </w:rPr>
              <w:t>6</w:t>
            </w:r>
            <w:r w:rsidR="006D2C28">
              <w:rPr>
                <w:noProof/>
                <w:webHidden/>
              </w:rPr>
              <w:fldChar w:fldCharType="end"/>
            </w:r>
          </w:hyperlink>
        </w:p>
        <w:p w:rsidR="006D2C28" w:rsidRDefault="00FC3F0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673748" w:history="1">
            <w:r w:rsidR="006D2C28" w:rsidRPr="00A668AE">
              <w:rPr>
                <w:rStyle w:val="Hyperlink"/>
                <w:rFonts w:ascii="Arial" w:hAnsi="Arial" w:cs="Arial"/>
                <w:noProof/>
                <w:lang w:val="en-US"/>
              </w:rPr>
              <w:t>Figure S1. Temporal trends of complications stratified according to types of prophylaxis in mismatch patients (n = 71).</w:t>
            </w:r>
            <w:r w:rsidR="006D2C28">
              <w:rPr>
                <w:noProof/>
                <w:webHidden/>
              </w:rPr>
              <w:tab/>
            </w:r>
            <w:r w:rsidR="006D2C28">
              <w:rPr>
                <w:noProof/>
                <w:webHidden/>
              </w:rPr>
              <w:fldChar w:fldCharType="begin"/>
            </w:r>
            <w:r w:rsidR="006D2C28">
              <w:rPr>
                <w:noProof/>
                <w:webHidden/>
              </w:rPr>
              <w:instrText xml:space="preserve"> PAGEREF _Toc23673748 \h </w:instrText>
            </w:r>
            <w:r w:rsidR="006D2C28">
              <w:rPr>
                <w:noProof/>
                <w:webHidden/>
              </w:rPr>
            </w:r>
            <w:r w:rsidR="006D2C28">
              <w:rPr>
                <w:noProof/>
                <w:webHidden/>
              </w:rPr>
              <w:fldChar w:fldCharType="separate"/>
            </w:r>
            <w:r w:rsidR="006D2C28">
              <w:rPr>
                <w:noProof/>
                <w:webHidden/>
              </w:rPr>
              <w:t>7</w:t>
            </w:r>
            <w:r w:rsidR="006D2C28">
              <w:rPr>
                <w:noProof/>
                <w:webHidden/>
              </w:rPr>
              <w:fldChar w:fldCharType="end"/>
            </w:r>
          </w:hyperlink>
        </w:p>
        <w:p w:rsidR="000514E9" w:rsidRPr="000514E9" w:rsidRDefault="000514E9" w:rsidP="007B1010">
          <w:pPr>
            <w:spacing w:line="480" w:lineRule="auto"/>
            <w:rPr>
              <w:lang w:val="en-US"/>
            </w:rPr>
          </w:pPr>
          <w:r w:rsidRPr="007B1010">
            <w:rPr>
              <w:rFonts w:ascii="Arial" w:hAnsi="Arial" w:cs="Arial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:rsidR="000514E9" w:rsidRDefault="000514E9" w:rsidP="003B0B4F">
      <w:pPr>
        <w:spacing w:line="480" w:lineRule="auto"/>
        <w:jc w:val="both"/>
        <w:rPr>
          <w:rFonts w:ascii="Arial" w:hAnsi="Arial" w:cs="Arial"/>
          <w:b/>
          <w:szCs w:val="22"/>
          <w:lang w:val="en-US"/>
        </w:rPr>
      </w:pPr>
    </w:p>
    <w:p w:rsidR="000514E9" w:rsidRDefault="000514E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380B07" w:rsidRPr="007B1010" w:rsidRDefault="00380B07" w:rsidP="007B1010">
      <w:pPr>
        <w:pStyle w:val="Heading1"/>
        <w:rPr>
          <w:rFonts w:ascii="Arial" w:hAnsi="Arial" w:cs="Arial"/>
          <w:sz w:val="22"/>
          <w:szCs w:val="22"/>
          <w:lang w:val="en-US"/>
        </w:rPr>
      </w:pPr>
      <w:bookmarkStart w:id="0" w:name="_Toc23673743"/>
      <w:r w:rsidRPr="007B1010">
        <w:rPr>
          <w:rFonts w:ascii="Arial" w:hAnsi="Arial" w:cs="Arial"/>
          <w:color w:val="auto"/>
          <w:sz w:val="22"/>
          <w:szCs w:val="22"/>
          <w:lang w:val="en-US"/>
        </w:rPr>
        <w:lastRenderedPageBreak/>
        <w:t>Table S1. Immunosuppresive regimen and CMV prophylaxis over the years 2000-2018.</w:t>
      </w:r>
      <w:bookmarkEnd w:id="0"/>
      <w:r w:rsidRPr="007B101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7B1010">
        <w:rPr>
          <w:rFonts w:ascii="Arial" w:hAnsi="Arial" w:cs="Arial"/>
          <w:color w:val="auto"/>
          <w:sz w:val="22"/>
          <w:szCs w:val="22"/>
          <w:lang w:val="en-US"/>
        </w:rPr>
        <w:br/>
      </w:r>
    </w:p>
    <w:tbl>
      <w:tblPr>
        <w:tblStyle w:val="GridTable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816"/>
      </w:tblGrid>
      <w:tr w:rsidR="00380B07" w:rsidTr="00B22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Year</w:t>
            </w:r>
          </w:p>
        </w:tc>
        <w:tc>
          <w:tcPr>
            <w:tcW w:w="2410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Induction therapy</w:t>
            </w:r>
          </w:p>
        </w:tc>
        <w:tc>
          <w:tcPr>
            <w:tcW w:w="2552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Maintenance immunosuppression</w:t>
            </w:r>
          </w:p>
        </w:tc>
        <w:tc>
          <w:tcPr>
            <w:tcW w:w="2816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CMV prophylaxis</w:t>
            </w:r>
          </w:p>
        </w:tc>
      </w:tr>
      <w:tr w:rsidR="00380B07" w:rsidTr="00B2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Horse ATG</w:t>
            </w:r>
          </w:p>
        </w:tc>
        <w:tc>
          <w:tcPr>
            <w:tcW w:w="2552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Tac + MMF + steroids</w:t>
            </w:r>
          </w:p>
        </w:tc>
        <w:tc>
          <w:tcPr>
            <w:tcW w:w="2816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IG</w:t>
            </w:r>
          </w:p>
        </w:tc>
      </w:tr>
      <w:tr w:rsidR="00380B07" w:rsidTr="00B22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Horse ATG</w:t>
            </w:r>
          </w:p>
        </w:tc>
        <w:tc>
          <w:tcPr>
            <w:tcW w:w="2552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Tac + MMF + steroids</w:t>
            </w:r>
          </w:p>
        </w:tc>
        <w:tc>
          <w:tcPr>
            <w:tcW w:w="2816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VGCV 3 months</w:t>
            </w:r>
          </w:p>
        </w:tc>
      </w:tr>
      <w:tr w:rsidR="00380B07" w:rsidTr="00B2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 xml:space="preserve">Rabbit ATG </w:t>
            </w:r>
          </w:p>
        </w:tc>
        <w:tc>
          <w:tcPr>
            <w:tcW w:w="2552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Tac + MMF + steroids</w:t>
            </w:r>
          </w:p>
        </w:tc>
        <w:tc>
          <w:tcPr>
            <w:tcW w:w="2816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 xml:space="preserve">VGCV 3 months </w:t>
            </w:r>
          </w:p>
        </w:tc>
      </w:tr>
      <w:tr w:rsidR="00380B07" w:rsidTr="00B22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 xml:space="preserve">2013 </w:t>
            </w:r>
          </w:p>
        </w:tc>
        <w:tc>
          <w:tcPr>
            <w:tcW w:w="2410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Rabbit ATG</w:t>
            </w:r>
          </w:p>
        </w:tc>
        <w:tc>
          <w:tcPr>
            <w:tcW w:w="2552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Tac + MMF + steroids</w:t>
            </w:r>
          </w:p>
        </w:tc>
        <w:tc>
          <w:tcPr>
            <w:tcW w:w="2816" w:type="dxa"/>
            <w:shd w:val="clear" w:color="auto" w:fill="auto"/>
          </w:tcPr>
          <w:p w:rsidR="00380B07" w:rsidRDefault="00380B07" w:rsidP="00CA5A02">
            <w:pPr>
              <w:pStyle w:val="NormalWeb"/>
              <w:spacing w:before="0" w:beforeAutospacing="0" w:after="0" w:afterAutospacing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val="en-US"/>
              </w:rPr>
              <w:t>VGCV 6 months</w:t>
            </w:r>
          </w:p>
        </w:tc>
      </w:tr>
    </w:tbl>
    <w:p w:rsidR="00380B07" w:rsidRPr="00CA5A02" w:rsidRDefault="00380B07" w:rsidP="00CA5A02">
      <w:pPr>
        <w:tabs>
          <w:tab w:val="left" w:pos="3366"/>
        </w:tabs>
        <w:spacing w:line="480" w:lineRule="auto"/>
        <w:rPr>
          <w:rFonts w:ascii="Arial" w:hAnsi="Arial" w:cs="Arial"/>
          <w:sz w:val="22"/>
          <w:szCs w:val="22"/>
        </w:rPr>
      </w:pPr>
      <w:r w:rsidRPr="00CA5A02">
        <w:rPr>
          <w:rFonts w:ascii="Arial" w:hAnsi="Arial" w:cs="Arial"/>
          <w:color w:val="1D2228"/>
          <w:sz w:val="22"/>
          <w:szCs w:val="22"/>
        </w:rPr>
        <w:t xml:space="preserve">ATG - </w:t>
      </w:r>
      <w:r w:rsidRPr="00CA5A02">
        <w:rPr>
          <w:rFonts w:ascii="Arial" w:hAnsi="Arial" w:cs="Arial"/>
          <w:color w:val="1C1D1E"/>
          <w:sz w:val="22"/>
          <w:szCs w:val="22"/>
        </w:rPr>
        <w:t>antithymocyte globulin</w:t>
      </w:r>
      <w:r w:rsidRPr="00CA5A02">
        <w:rPr>
          <w:rFonts w:ascii="Arial" w:hAnsi="Arial" w:cs="Arial"/>
          <w:color w:val="1D2228"/>
          <w:sz w:val="22"/>
          <w:szCs w:val="22"/>
        </w:rPr>
        <w:t>; IG – anti-CMV immunoglobulin; MMF -</w:t>
      </w:r>
      <w:r w:rsidRPr="00CA5A02">
        <w:rPr>
          <w:rFonts w:ascii="Arial" w:hAnsi="Arial" w:cs="Arial"/>
          <w:sz w:val="22"/>
          <w:szCs w:val="22"/>
        </w:rPr>
        <w:t xml:space="preserve"> mycophenolate mofetil</w:t>
      </w:r>
      <w:r w:rsidRPr="00CA5A02">
        <w:rPr>
          <w:rFonts w:ascii="Arial" w:hAnsi="Arial" w:cs="Arial"/>
          <w:color w:val="1D2228"/>
          <w:sz w:val="22"/>
          <w:szCs w:val="22"/>
        </w:rPr>
        <w:t>; Tac  - tacrolimus; VGCV - valganciclovir</w:t>
      </w:r>
      <w:r w:rsidRPr="00CA5A02">
        <w:rPr>
          <w:rFonts w:ascii="Arial" w:hAnsi="Arial" w:cs="Arial"/>
          <w:color w:val="1D2228"/>
          <w:sz w:val="22"/>
          <w:szCs w:val="22"/>
        </w:rPr>
        <w:br/>
      </w:r>
    </w:p>
    <w:p w:rsidR="00380B07" w:rsidRPr="0067725F" w:rsidRDefault="00380B07">
      <w:pPr>
        <w:spacing w:after="200" w:line="276" w:lineRule="auto"/>
        <w:rPr>
          <w:rFonts w:ascii="Arial" w:eastAsiaTheme="majorEastAsia" w:hAnsi="Arial" w:cs="Arial"/>
          <w:b/>
          <w:bCs/>
          <w:sz w:val="22"/>
          <w:szCs w:val="22"/>
        </w:rPr>
      </w:pPr>
      <w:r w:rsidRPr="0067725F">
        <w:rPr>
          <w:rFonts w:ascii="Arial" w:hAnsi="Arial" w:cs="Arial"/>
          <w:sz w:val="22"/>
          <w:szCs w:val="22"/>
        </w:rPr>
        <w:br w:type="page"/>
      </w:r>
    </w:p>
    <w:p w:rsidR="005A07E7" w:rsidRPr="000514E9" w:rsidRDefault="00C93E66" w:rsidP="000514E9">
      <w:pPr>
        <w:pStyle w:val="Heading1"/>
        <w:spacing w:line="480" w:lineRule="auto"/>
        <w:rPr>
          <w:rFonts w:ascii="Arial" w:hAnsi="Arial" w:cs="Arial"/>
          <w:color w:val="auto"/>
          <w:sz w:val="22"/>
          <w:szCs w:val="22"/>
          <w:lang w:val="en-US"/>
        </w:rPr>
      </w:pPr>
      <w:bookmarkStart w:id="1" w:name="_Toc23673744"/>
      <w:r w:rsidRPr="000514E9">
        <w:rPr>
          <w:rFonts w:ascii="Arial" w:hAnsi="Arial" w:cs="Arial"/>
          <w:color w:val="auto"/>
          <w:sz w:val="22"/>
          <w:szCs w:val="22"/>
          <w:lang w:val="en-US"/>
        </w:rPr>
        <w:lastRenderedPageBreak/>
        <w:t>Text S1</w:t>
      </w:r>
      <w:r w:rsidR="00033F9E" w:rsidRPr="000514E9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="005F7343" w:rsidRPr="000514E9">
        <w:rPr>
          <w:rFonts w:ascii="Arial" w:hAnsi="Arial" w:cs="Arial"/>
          <w:color w:val="auto"/>
          <w:sz w:val="22"/>
          <w:szCs w:val="22"/>
          <w:lang w:val="en-US"/>
        </w:rPr>
        <w:t xml:space="preserve">CMV </w:t>
      </w:r>
      <w:r w:rsidR="008F0E03" w:rsidRPr="000514E9">
        <w:rPr>
          <w:rFonts w:ascii="Arial" w:hAnsi="Arial" w:cs="Arial"/>
          <w:color w:val="auto"/>
          <w:sz w:val="22"/>
          <w:szCs w:val="22"/>
          <w:lang w:val="en-US"/>
        </w:rPr>
        <w:t>monitoring</w:t>
      </w:r>
      <w:bookmarkEnd w:id="1"/>
    </w:p>
    <w:p w:rsidR="00384329" w:rsidRPr="00033F9E" w:rsidRDefault="007B19E4" w:rsidP="006D2C28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33F9E">
        <w:rPr>
          <w:rFonts w:ascii="Arial" w:hAnsi="Arial" w:cs="Arial"/>
          <w:sz w:val="22"/>
          <w:szCs w:val="22"/>
          <w:lang w:val="en-US"/>
        </w:rPr>
        <w:t xml:space="preserve">Plasma CMV DNAemia </w:t>
      </w:r>
      <w:r w:rsidR="007417E0" w:rsidRPr="00033F9E">
        <w:rPr>
          <w:rFonts w:ascii="Arial" w:hAnsi="Arial" w:cs="Arial"/>
          <w:sz w:val="22"/>
          <w:szCs w:val="22"/>
          <w:lang w:val="en-US"/>
        </w:rPr>
        <w:t>was quantified using an internally controlled dual target real-time PCR design, targeting UL54</w:t>
      </w:r>
      <w:r w:rsidR="007417E0" w:rsidRPr="00033F9E">
        <w:rPr>
          <w:rFonts w:ascii="Arial" w:hAnsi="Arial" w:cs="Arial"/>
          <w:sz w:val="22"/>
          <w:szCs w:val="22"/>
          <w:lang w:val="en-US"/>
        </w:rPr>
        <w:fldChar w:fldCharType="begin"/>
      </w:r>
      <w:r w:rsidR="00520B5F">
        <w:rPr>
          <w:rFonts w:ascii="Arial" w:hAnsi="Arial" w:cs="Arial"/>
          <w:sz w:val="22"/>
          <w:szCs w:val="22"/>
          <w:lang w:val="en-US"/>
        </w:rPr>
        <w:instrText xml:space="preserve"> ADDIN EN.CITE &lt;EndNote&gt;&lt;Cite&gt;&lt;Author&gt;van Doornum&lt;/Author&gt;&lt;Year&gt;2003&lt;/Year&gt;&lt;RecNum&gt;5&lt;/RecNum&gt;&lt;DisplayText&gt;(1)&lt;/DisplayText&gt;&lt;record&gt;&lt;rec-number&gt;1&lt;/rec-number&gt;&lt;foreign-keys&gt;&lt;key app="EN" db-id="epareazr8sxrf2ex0pr5x9suxdda9e20ex0s"&gt;1&lt;/key&gt;&lt;/foreign-keys&gt;&lt;ref-type name="Journal Article"&gt;17&lt;/ref-type&gt;&lt;contributors&gt;&lt;authors&gt;&lt;author&gt;van Doornum, G. J.&lt;/author&gt;&lt;author&gt;Guldemeester, J.&lt;/author&gt;&lt;author&gt;Osterhaus, A. D.&lt;/author&gt;&lt;author&gt;Niesters, H. G.&lt;/author&gt;&lt;/authors&gt;&lt;/contributors&gt;&lt;auth-address&gt;Department of Virology, Erasmus MC, Rotterdam, The Netherlands. vandoornum@viro.azr.nl&lt;/auth-address&gt;&lt;titles&gt;&lt;title&gt;Diagnosing herpesvirus infections by real-time amplification and rapid culture&lt;/title&gt;&lt;secondary-title&gt;J Clin Microbiol&lt;/secondary-title&gt;&lt;alt-title&gt;Journal of clinical microbiology&lt;/alt-title&gt;&lt;/titles&gt;&lt;periodical&gt;&lt;full-title&gt;J Clin Microbiol&lt;/full-title&gt;&lt;abbr-1&gt;Journal of clinical microbiology&lt;/abbr-1&gt;&lt;/periodical&gt;&lt;alt-periodical&gt;&lt;full-title&gt;J Clin Microbiol&lt;/full-title&gt;&lt;abbr-1&gt;Journal of clinical microbiology&lt;/abbr-1&gt;&lt;/alt-periodical&gt;&lt;pages&gt;576-80&lt;/pages&gt;&lt;volume&gt;41&lt;/volume&gt;&lt;number&gt;2&lt;/number&gt;&lt;edition&gt;2003/02/08&lt;/edition&gt;&lt;keywords&gt;&lt;keyword&gt;Computer Systems&lt;/keyword&gt;&lt;keyword&gt;Cytomegalovirus/genetics/isolation &amp;amp; purification/physiology&lt;/keyword&gt;&lt;keyword&gt;Gene Amplification&lt;/keyword&gt;&lt;keyword&gt;Herpesviridae Infections/ diagnosis/virology&lt;/keyword&gt;&lt;keyword&gt;Herpesvirus 1, Human/genetics/ isolation &amp;amp; purification/physiology&lt;/keyword&gt;&lt;keyword&gt;Herpesvirus 2, Human/genetics/ isolation &amp;amp; purification/physiology&lt;/keyword&gt;&lt;keyword&gt;Humans&lt;/keyword&gt;&lt;keyword&gt;Nucleic Acid Amplification Techniques&lt;/keyword&gt;&lt;keyword&gt;Reagent Kits, Diagnostic&lt;/keyword&gt;&lt;keyword&gt;Viral Load&lt;/keyword&gt;&lt;/keywords&gt;&lt;dates&gt;&lt;year&gt;2003&lt;/year&gt;&lt;pub-dates&gt;&lt;date&gt;Feb&lt;/date&gt;&lt;/pub-dates&gt;&lt;/dates&gt;&lt;isbn&gt;0095-1137 (Print)&amp;#xD;0095-1137 (Linking)&lt;/isbn&gt;&lt;accession-num&gt;12574249&lt;/accession-num&gt;&lt;urls&gt;&lt;/urls&gt;&lt;custom2&gt;PMC149665&lt;/custom2&gt;&lt;remote-database-provider&gt;NLM&lt;/remote-database-provider&gt;&lt;language&gt;eng&lt;/language&gt;&lt;/record&gt;&lt;/Cite&gt;&lt;/EndNote&gt;</w:instrText>
      </w:r>
      <w:r w:rsidR="007417E0" w:rsidRPr="00033F9E">
        <w:rPr>
          <w:rFonts w:ascii="Arial" w:hAnsi="Arial" w:cs="Arial"/>
          <w:sz w:val="22"/>
          <w:szCs w:val="22"/>
          <w:lang w:val="en-US"/>
        </w:rPr>
        <w:fldChar w:fldCharType="separate"/>
      </w:r>
      <w:r w:rsidR="00520B5F">
        <w:rPr>
          <w:rFonts w:ascii="Arial" w:hAnsi="Arial" w:cs="Arial"/>
          <w:noProof/>
          <w:sz w:val="22"/>
          <w:szCs w:val="22"/>
          <w:lang w:val="en-US"/>
        </w:rPr>
        <w:t>(1)</w:t>
      </w:r>
      <w:r w:rsidR="007417E0" w:rsidRPr="00033F9E">
        <w:rPr>
          <w:rFonts w:ascii="Arial" w:hAnsi="Arial" w:cs="Arial"/>
          <w:sz w:val="22"/>
          <w:szCs w:val="22"/>
          <w:lang w:val="en-US"/>
        </w:rPr>
        <w:fldChar w:fldCharType="end"/>
      </w:r>
      <w:r w:rsidR="007417E0" w:rsidRPr="00033F9E">
        <w:rPr>
          <w:rFonts w:ascii="Arial" w:hAnsi="Arial" w:cs="Arial"/>
          <w:sz w:val="22"/>
          <w:szCs w:val="22"/>
          <w:lang w:val="en-US"/>
        </w:rPr>
        <w:t xml:space="preserve"> and the highly conserved UL75</w:t>
      </w:r>
      <w:r w:rsidR="007417E0" w:rsidRPr="00033F9E">
        <w:rPr>
          <w:rFonts w:ascii="Arial" w:hAnsi="Arial" w:cs="Arial"/>
          <w:sz w:val="22"/>
          <w:szCs w:val="22"/>
          <w:lang w:val="en-US"/>
        </w:rPr>
        <w:fldChar w:fldCharType="begin">
          <w:fldData xml:space="preserve">PEVuZE5vdGU+PENpdGU+PEF1dGhvcj5GdWt1c2hpbWE8L0F1dGhvcj48WWVhcj4yMDA4PC9ZZWFy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</w:fldData>
        </w:fldChar>
      </w:r>
      <w:r w:rsidR="00520B5F">
        <w:rPr>
          <w:rFonts w:ascii="Arial" w:hAnsi="Arial" w:cs="Arial"/>
          <w:sz w:val="22"/>
          <w:szCs w:val="22"/>
          <w:lang w:val="en-US"/>
        </w:rPr>
        <w:instrText xml:space="preserve"> ADDIN EN.CITE </w:instrText>
      </w:r>
      <w:r w:rsidR="00520B5F">
        <w:rPr>
          <w:rFonts w:ascii="Arial" w:hAnsi="Arial" w:cs="Arial"/>
          <w:sz w:val="22"/>
          <w:szCs w:val="22"/>
          <w:lang w:val="en-US"/>
        </w:rPr>
        <w:fldChar w:fldCharType="begin">
          <w:fldData xml:space="preserve">PEVuZE5vdGU+PENpdGU+PEF1dGhvcj5GdWt1c2hpbWE8L0F1dGhvcj48WWVhcj4yMDA4PC9ZZWFy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</w:fldData>
        </w:fldChar>
      </w:r>
      <w:r w:rsidR="00520B5F">
        <w:rPr>
          <w:rFonts w:ascii="Arial" w:hAnsi="Arial" w:cs="Arial"/>
          <w:sz w:val="22"/>
          <w:szCs w:val="22"/>
          <w:lang w:val="en-US"/>
        </w:rPr>
        <w:instrText xml:space="preserve"> ADDIN EN.CITE.DATA </w:instrText>
      </w:r>
      <w:r w:rsidR="00520B5F">
        <w:rPr>
          <w:rFonts w:ascii="Arial" w:hAnsi="Arial" w:cs="Arial"/>
          <w:sz w:val="22"/>
          <w:szCs w:val="22"/>
          <w:lang w:val="en-US"/>
        </w:rPr>
      </w:r>
      <w:r w:rsidR="00520B5F">
        <w:rPr>
          <w:rFonts w:ascii="Arial" w:hAnsi="Arial" w:cs="Arial"/>
          <w:sz w:val="22"/>
          <w:szCs w:val="22"/>
          <w:lang w:val="en-US"/>
        </w:rPr>
        <w:fldChar w:fldCharType="end"/>
      </w:r>
      <w:r w:rsidR="007417E0" w:rsidRPr="00033F9E">
        <w:rPr>
          <w:rFonts w:ascii="Arial" w:hAnsi="Arial" w:cs="Arial"/>
          <w:sz w:val="22"/>
          <w:szCs w:val="22"/>
          <w:lang w:val="en-US"/>
        </w:rPr>
      </w:r>
      <w:r w:rsidR="007417E0" w:rsidRPr="00033F9E">
        <w:rPr>
          <w:rFonts w:ascii="Arial" w:hAnsi="Arial" w:cs="Arial"/>
          <w:sz w:val="22"/>
          <w:szCs w:val="22"/>
          <w:lang w:val="en-US"/>
        </w:rPr>
        <w:fldChar w:fldCharType="separate"/>
      </w:r>
      <w:r w:rsidR="00520B5F">
        <w:rPr>
          <w:rFonts w:ascii="Arial" w:hAnsi="Arial" w:cs="Arial"/>
          <w:noProof/>
          <w:sz w:val="22"/>
          <w:szCs w:val="22"/>
          <w:lang w:val="en-US"/>
        </w:rPr>
        <w:t>(2)</w:t>
      </w:r>
      <w:r w:rsidR="007417E0" w:rsidRPr="00033F9E">
        <w:rPr>
          <w:rFonts w:ascii="Arial" w:hAnsi="Arial" w:cs="Arial"/>
          <w:sz w:val="22"/>
          <w:szCs w:val="22"/>
          <w:lang w:val="en-US"/>
        </w:rPr>
        <w:fldChar w:fldCharType="end"/>
      </w:r>
      <w:r w:rsidR="007417E0" w:rsidRPr="00033F9E">
        <w:rPr>
          <w:rFonts w:ascii="Arial" w:hAnsi="Arial" w:cs="Arial"/>
          <w:sz w:val="22"/>
          <w:szCs w:val="22"/>
          <w:lang w:val="en-US"/>
        </w:rPr>
        <w:t xml:space="preserve"> genes. </w:t>
      </w:r>
      <w:r w:rsidR="005F7343" w:rsidRPr="00033F9E">
        <w:rPr>
          <w:rFonts w:ascii="Arial" w:hAnsi="Arial" w:cs="Arial"/>
          <w:sz w:val="22"/>
          <w:szCs w:val="22"/>
          <w:lang w:val="en-US"/>
        </w:rPr>
        <w:t xml:space="preserve">Total nucleic acids (TNAI) were extracted from 500µl sample spiked with a known concentration of Phocine Herpes Virus </w:t>
      </w:r>
      <w:r w:rsidR="005F7343" w:rsidRPr="00033F9E">
        <w:rPr>
          <w:rFonts w:ascii="Arial" w:hAnsi="Arial" w:cs="Arial"/>
          <w:sz w:val="22"/>
          <w:szCs w:val="22"/>
          <w:lang w:val="en-US"/>
        </w:rPr>
        <w:fldChar w:fldCharType="begin"/>
      </w:r>
      <w:r w:rsidR="00520B5F">
        <w:rPr>
          <w:rFonts w:ascii="Arial" w:hAnsi="Arial" w:cs="Arial"/>
          <w:sz w:val="22"/>
          <w:szCs w:val="22"/>
          <w:lang w:val="en-US"/>
        </w:rPr>
        <w:instrText xml:space="preserve"> ADDIN EN.CITE &lt;EndNote&gt;&lt;Cite&gt;&lt;Author&gt;van Doornum&lt;/Author&gt;&lt;Year&gt;2003&lt;/Year&gt;&lt;RecNum&gt;5&lt;/RecNum&gt;&lt;DisplayText&gt;(1)&lt;/DisplayText&gt;&lt;record&gt;&lt;rec-number&gt;1&lt;/rec-number&gt;&lt;foreign-keys&gt;&lt;key app="EN" db-id="epareazr8sxrf2ex0pr5x9suxdda9e20ex0s"&gt;1&lt;/key&gt;&lt;/foreign-keys&gt;&lt;ref-type name="Journal Article"&gt;17&lt;/ref-type&gt;&lt;contributors&gt;&lt;authors&gt;&lt;author&gt;van Doornum, G. J.&lt;/author&gt;&lt;author&gt;Guldemeester, J.&lt;/author&gt;&lt;author&gt;Osterhaus, A. D.&lt;/author&gt;&lt;author&gt;Niesters, H. G.&lt;/author&gt;&lt;/authors&gt;&lt;/contributors&gt;&lt;auth-address&gt;Department of Virology, Erasmus MC, Rotterdam, The Netherlands. vandoornum@viro.azr.nl&lt;/auth-address&gt;&lt;titles&gt;&lt;title&gt;Diagnosing herpesvirus infections by real-time amplification and rapid culture&lt;/title&gt;&lt;secondary-title&gt;J Clin Microbiol&lt;/secondary-title&gt;&lt;alt-title&gt;Journal of clinical microbiology&lt;/alt-title&gt;&lt;/titles&gt;&lt;periodical&gt;&lt;full-title&gt;J Clin Microbiol&lt;/full-title&gt;&lt;abbr-1&gt;Journal of clinical microbiology&lt;/abbr-1&gt;&lt;/periodical&gt;&lt;alt-periodical&gt;&lt;full-title&gt;J Clin Microbiol&lt;/full-title&gt;&lt;abbr-1&gt;Journal of clinical microbiology&lt;/abbr-1&gt;&lt;/alt-periodical&gt;&lt;pages&gt;576-80&lt;/pages&gt;&lt;volume&gt;41&lt;/volume&gt;&lt;number&gt;2&lt;/number&gt;&lt;edition&gt;2003/02/08&lt;/edition&gt;&lt;keywords&gt;&lt;keyword&gt;Computer Systems&lt;/keyword&gt;&lt;keyword&gt;Cytomegalovirus/genetics/isolation &amp;amp; purification/physiology&lt;/keyword&gt;&lt;keyword&gt;Gene Amplification&lt;/keyword&gt;&lt;keyword&gt;Herpesviridae Infections/ diagnosis/virology&lt;/keyword&gt;&lt;keyword&gt;Herpesvirus 1, Human/genetics/ isolation &amp;amp; purification/physiology&lt;/keyword&gt;&lt;keyword&gt;Herpesvirus 2, Human/genetics/ isolation &amp;amp; purification/physiology&lt;/keyword&gt;&lt;keyword&gt;Humans&lt;/keyword&gt;&lt;keyword&gt;Nucleic Acid Amplification Techniques&lt;/keyword&gt;&lt;keyword&gt;Reagent Kits, Diagnostic&lt;/keyword&gt;&lt;keyword&gt;Viral Load&lt;/keyword&gt;&lt;/keywords&gt;&lt;dates&gt;&lt;year&gt;2003&lt;/year&gt;&lt;pub-dates&gt;&lt;date&gt;Feb&lt;/date&gt;&lt;/pub-dates&gt;&lt;/dates&gt;&lt;isbn&gt;0095-1137 (Print)&amp;#xD;0095-1137 (Linking)&lt;/isbn&gt;&lt;accession-num&gt;12574249&lt;/accession-num&gt;&lt;urls&gt;&lt;/urls&gt;&lt;custom2&gt;PMC149665&lt;/custom2&gt;&lt;remote-database-provider&gt;NLM&lt;/remote-database-provider&gt;&lt;language&gt;eng&lt;/language&gt;&lt;/record&gt;&lt;/Cite&gt;&lt;/EndNote&gt;</w:instrText>
      </w:r>
      <w:r w:rsidR="005F7343" w:rsidRPr="00033F9E">
        <w:rPr>
          <w:rFonts w:ascii="Arial" w:hAnsi="Arial" w:cs="Arial"/>
          <w:sz w:val="22"/>
          <w:szCs w:val="22"/>
          <w:lang w:val="en-US"/>
        </w:rPr>
        <w:fldChar w:fldCharType="separate"/>
      </w:r>
      <w:r w:rsidR="00520B5F">
        <w:rPr>
          <w:rFonts w:ascii="Arial" w:hAnsi="Arial" w:cs="Arial"/>
          <w:noProof/>
          <w:sz w:val="22"/>
          <w:szCs w:val="22"/>
          <w:lang w:val="en-US"/>
        </w:rPr>
        <w:t>(1)</w:t>
      </w:r>
      <w:r w:rsidR="005F7343" w:rsidRPr="00033F9E">
        <w:rPr>
          <w:rFonts w:ascii="Arial" w:hAnsi="Arial" w:cs="Arial"/>
          <w:sz w:val="22"/>
          <w:szCs w:val="22"/>
          <w:lang w:val="en-US"/>
        </w:rPr>
        <w:fldChar w:fldCharType="end"/>
      </w:r>
      <w:r w:rsidR="008F0E03" w:rsidRPr="00033F9E">
        <w:rPr>
          <w:rFonts w:ascii="Arial" w:hAnsi="Arial" w:cs="Arial"/>
          <w:sz w:val="22"/>
          <w:szCs w:val="22"/>
          <w:lang w:val="en-US"/>
        </w:rPr>
        <w:t>)</w:t>
      </w:r>
      <w:r w:rsidR="005F7343" w:rsidRPr="00033F9E">
        <w:rPr>
          <w:rFonts w:ascii="Arial" w:hAnsi="Arial" w:cs="Arial"/>
          <w:sz w:val="22"/>
          <w:szCs w:val="22"/>
          <w:lang w:val="en-US"/>
        </w:rPr>
        <w:t xml:space="preserve"> as internal control u</w:t>
      </w:r>
      <w:r w:rsidR="00C93E66" w:rsidRPr="00033F9E">
        <w:rPr>
          <w:rFonts w:ascii="Arial" w:hAnsi="Arial" w:cs="Arial"/>
          <w:sz w:val="22"/>
          <w:szCs w:val="22"/>
          <w:lang w:val="en-US"/>
        </w:rPr>
        <w:t xml:space="preserve">sing the MagNa Pure 96 DNA and </w:t>
      </w:r>
      <w:r w:rsidR="005F7343" w:rsidRPr="00033F9E">
        <w:rPr>
          <w:rFonts w:ascii="Arial" w:hAnsi="Arial" w:cs="Arial"/>
          <w:sz w:val="22"/>
          <w:szCs w:val="22"/>
          <w:lang w:val="en-US"/>
        </w:rPr>
        <w:t xml:space="preserve">Viral NA LV kit (Roche, Almere, the Netherlands) and the Viral NA Universal LV 2.0 protocol. Nucleic acids were resuspended in a final volume of 100µl. Subsequently, 8µl eluate was amplified in </w:t>
      </w:r>
      <w:r w:rsidR="007417E0" w:rsidRPr="00033F9E">
        <w:rPr>
          <w:rFonts w:ascii="Arial" w:hAnsi="Arial" w:cs="Arial"/>
          <w:sz w:val="22"/>
          <w:szCs w:val="22"/>
          <w:lang w:val="en-US"/>
        </w:rPr>
        <w:t>a 20µl reaction containing</w:t>
      </w:r>
      <w:r w:rsidR="008F4DAB" w:rsidRPr="00033F9E">
        <w:rPr>
          <w:rFonts w:ascii="Arial" w:hAnsi="Arial" w:cs="Arial"/>
          <w:sz w:val="22"/>
          <w:szCs w:val="22"/>
          <w:lang w:val="en-US"/>
        </w:rPr>
        <w:t xml:space="preserve"> 5µl 4x TaqMan</w:t>
      </w:r>
      <w:r w:rsidR="008F4DAB" w:rsidRPr="00033F9E">
        <w:rPr>
          <w:rFonts w:ascii="Arial" w:hAnsi="Arial" w:cs="Arial"/>
          <w:sz w:val="22"/>
          <w:szCs w:val="22"/>
          <w:vertAlign w:val="superscript"/>
          <w:lang w:val="en-US"/>
        </w:rPr>
        <w:t>TM</w:t>
      </w:r>
      <w:r w:rsidR="008F4DAB" w:rsidRPr="00033F9E">
        <w:rPr>
          <w:rFonts w:ascii="Arial" w:hAnsi="Arial" w:cs="Arial"/>
          <w:sz w:val="22"/>
          <w:szCs w:val="22"/>
          <w:lang w:val="en-US"/>
        </w:rPr>
        <w:t xml:space="preserve"> Fast Advanced Master Mix with UDG (TFA, Life Technologies, Nieuwkerk a/d I</w:t>
      </w:r>
      <w:r w:rsidR="007417E0" w:rsidRPr="00033F9E">
        <w:rPr>
          <w:rFonts w:ascii="Arial" w:hAnsi="Arial" w:cs="Arial"/>
          <w:sz w:val="22"/>
          <w:szCs w:val="22"/>
          <w:lang w:val="en-US"/>
        </w:rPr>
        <w:t>J</w:t>
      </w:r>
      <w:r w:rsidR="008F4DAB" w:rsidRPr="00033F9E">
        <w:rPr>
          <w:rFonts w:ascii="Arial" w:hAnsi="Arial" w:cs="Arial"/>
          <w:sz w:val="22"/>
          <w:szCs w:val="22"/>
          <w:lang w:val="en-US"/>
        </w:rPr>
        <w:t>ssel, the Netherlands)</w:t>
      </w:r>
      <w:r w:rsidR="0022297C" w:rsidRPr="00033F9E">
        <w:rPr>
          <w:rFonts w:ascii="Arial" w:hAnsi="Arial" w:cs="Arial"/>
          <w:sz w:val="22"/>
          <w:szCs w:val="22"/>
          <w:lang w:val="en-US"/>
        </w:rPr>
        <w:t>,</w:t>
      </w:r>
      <w:r w:rsidR="007417E0" w:rsidRPr="00033F9E">
        <w:rPr>
          <w:rFonts w:ascii="Arial" w:hAnsi="Arial" w:cs="Arial"/>
          <w:sz w:val="22"/>
          <w:szCs w:val="22"/>
          <w:lang w:val="en-US"/>
        </w:rPr>
        <w:t xml:space="preserve"> 0.4</w:t>
      </w:r>
      <w:r w:rsidR="008F4DAB" w:rsidRPr="00033F9E">
        <w:rPr>
          <w:rFonts w:ascii="Arial" w:hAnsi="Arial" w:cs="Arial"/>
          <w:sz w:val="22"/>
          <w:szCs w:val="22"/>
          <w:lang w:val="en-US"/>
        </w:rPr>
        <w:t>µl of UL54, UL75 and PhHV primers and probe mixture</w:t>
      </w:r>
      <w:r w:rsidR="007417E0" w:rsidRPr="00033F9E">
        <w:rPr>
          <w:rFonts w:ascii="Arial" w:hAnsi="Arial" w:cs="Arial"/>
          <w:sz w:val="22"/>
          <w:szCs w:val="22"/>
          <w:lang w:val="en-US"/>
        </w:rPr>
        <w:t>s</w:t>
      </w:r>
      <w:r w:rsidR="00C93E66" w:rsidRPr="00033F9E">
        <w:rPr>
          <w:rFonts w:ascii="Arial" w:hAnsi="Arial" w:cs="Arial"/>
          <w:sz w:val="22"/>
          <w:szCs w:val="22"/>
          <w:lang w:val="en-US"/>
        </w:rPr>
        <w:t xml:space="preserve"> (Table S1</w:t>
      </w:r>
      <w:r w:rsidR="008F4DAB" w:rsidRPr="00033F9E">
        <w:rPr>
          <w:rFonts w:ascii="Arial" w:hAnsi="Arial" w:cs="Arial"/>
          <w:sz w:val="22"/>
          <w:szCs w:val="22"/>
          <w:lang w:val="en-US"/>
        </w:rPr>
        <w:t>)</w:t>
      </w:r>
      <w:r w:rsidR="0022297C" w:rsidRPr="00033F9E">
        <w:rPr>
          <w:rFonts w:ascii="Arial" w:hAnsi="Arial" w:cs="Arial"/>
          <w:sz w:val="22"/>
          <w:szCs w:val="22"/>
          <w:lang w:val="en-US"/>
        </w:rPr>
        <w:t>; and 5 min 50°C, 20s 95°C, 45 cycles of 3s 95°C and 30s 60°C as thermal profile.</w:t>
      </w:r>
      <w:r w:rsidR="007417E0" w:rsidRPr="00033F9E">
        <w:rPr>
          <w:rFonts w:ascii="Arial" w:hAnsi="Arial" w:cs="Arial"/>
          <w:sz w:val="22"/>
          <w:szCs w:val="22"/>
          <w:lang w:val="en-US"/>
        </w:rPr>
        <w:t xml:space="preserve"> </w:t>
      </w:r>
      <w:r w:rsidR="0022297C" w:rsidRPr="00033F9E">
        <w:rPr>
          <w:rFonts w:ascii="Arial" w:hAnsi="Arial" w:cs="Arial"/>
          <w:sz w:val="22"/>
          <w:szCs w:val="22"/>
          <w:lang w:val="en-US"/>
        </w:rPr>
        <w:t>Amplification was performed in a LC480 II (Roche Applied Science, Almere, The Netherlands) using Fit point analysis module</w:t>
      </w:r>
      <w:r w:rsidR="008468F0" w:rsidRPr="00033F9E">
        <w:rPr>
          <w:rFonts w:ascii="Arial" w:hAnsi="Arial" w:cs="Arial"/>
          <w:sz w:val="22"/>
          <w:szCs w:val="22"/>
          <w:lang w:val="en-US"/>
        </w:rPr>
        <w:t>.</w:t>
      </w:r>
      <w:r w:rsidR="0022297C" w:rsidRPr="00033F9E">
        <w:rPr>
          <w:rFonts w:ascii="Arial" w:hAnsi="Arial" w:cs="Arial"/>
          <w:sz w:val="22"/>
          <w:szCs w:val="22"/>
          <w:lang w:val="en-US"/>
        </w:rPr>
        <w:t xml:space="preserve"> </w:t>
      </w:r>
      <w:r w:rsidR="008468F0" w:rsidRPr="00033F9E">
        <w:rPr>
          <w:rFonts w:ascii="Arial" w:hAnsi="Arial" w:cs="Arial"/>
          <w:sz w:val="22"/>
          <w:szCs w:val="22"/>
          <w:lang w:val="en-US"/>
        </w:rPr>
        <w:t xml:space="preserve">Viral load quantification was performed using the 1st WHO International Standard for Human Cytomegalovirus for Nucleic Acid Amplification Techniques (code: 09/162, NBISC, Hertfordshire, Great-Britain) as standard, with a lower limit of detection (95% hit rate) of 50 IU/ml. Validation of the procedure was performed according to </w:t>
      </w:r>
      <w:r w:rsidR="005A07E7" w:rsidRPr="00033F9E">
        <w:rPr>
          <w:rFonts w:ascii="Arial" w:hAnsi="Arial" w:cs="Arial"/>
          <w:sz w:val="22"/>
          <w:szCs w:val="22"/>
          <w:lang w:val="en-US"/>
        </w:rPr>
        <w:t>ISO</w:t>
      </w:r>
      <w:r w:rsidR="008468F0" w:rsidRPr="00033F9E">
        <w:rPr>
          <w:rFonts w:ascii="Arial" w:hAnsi="Arial" w:cs="Arial"/>
          <w:sz w:val="22"/>
          <w:szCs w:val="22"/>
          <w:lang w:val="en-US"/>
        </w:rPr>
        <w:t xml:space="preserve"> 15189</w:t>
      </w:r>
      <w:r w:rsidR="005A07E7" w:rsidRPr="00033F9E">
        <w:rPr>
          <w:rFonts w:ascii="Arial" w:hAnsi="Arial" w:cs="Arial"/>
          <w:sz w:val="22"/>
          <w:szCs w:val="22"/>
          <w:lang w:val="en-US"/>
        </w:rPr>
        <w:t>:2012</w:t>
      </w:r>
      <w:r w:rsidR="008468F0" w:rsidRPr="00033F9E">
        <w:rPr>
          <w:rFonts w:ascii="Arial" w:hAnsi="Arial" w:cs="Arial"/>
          <w:sz w:val="22"/>
          <w:szCs w:val="22"/>
          <w:lang w:val="en-US"/>
        </w:rPr>
        <w:t xml:space="preserve"> guidelines.</w:t>
      </w:r>
    </w:p>
    <w:p w:rsidR="00092E0B" w:rsidRDefault="00092E0B" w:rsidP="005F7343">
      <w:pPr>
        <w:spacing w:line="360" w:lineRule="auto"/>
        <w:rPr>
          <w:lang w:val="en-US"/>
        </w:rPr>
      </w:pPr>
    </w:p>
    <w:p w:rsidR="00092E0B" w:rsidRDefault="00092E0B" w:rsidP="005F7343">
      <w:pPr>
        <w:spacing w:line="360" w:lineRule="auto"/>
        <w:rPr>
          <w:lang w:val="en-US"/>
        </w:rPr>
      </w:pPr>
    </w:p>
    <w:p w:rsidR="00092E0B" w:rsidRDefault="00092E0B" w:rsidP="005F7343">
      <w:pPr>
        <w:spacing w:line="360" w:lineRule="auto"/>
        <w:rPr>
          <w:lang w:val="en-US"/>
        </w:rPr>
      </w:pPr>
    </w:p>
    <w:p w:rsidR="00092E0B" w:rsidRDefault="00092E0B" w:rsidP="005F7343">
      <w:pPr>
        <w:spacing w:line="360" w:lineRule="auto"/>
        <w:rPr>
          <w:lang w:val="en-US"/>
        </w:rPr>
      </w:pPr>
    </w:p>
    <w:p w:rsidR="00092E0B" w:rsidRDefault="00092E0B" w:rsidP="005F7343">
      <w:pPr>
        <w:spacing w:line="360" w:lineRule="auto"/>
        <w:rPr>
          <w:lang w:val="en-US"/>
        </w:rPr>
      </w:pPr>
    </w:p>
    <w:p w:rsidR="00092E0B" w:rsidRDefault="00092E0B" w:rsidP="005F7343">
      <w:pPr>
        <w:spacing w:line="360" w:lineRule="auto"/>
        <w:rPr>
          <w:lang w:val="en-US"/>
        </w:rPr>
      </w:pPr>
    </w:p>
    <w:p w:rsidR="00092E0B" w:rsidRDefault="00092E0B" w:rsidP="005F7343">
      <w:pPr>
        <w:spacing w:line="360" w:lineRule="auto"/>
        <w:rPr>
          <w:lang w:val="en-US"/>
        </w:rPr>
      </w:pPr>
    </w:p>
    <w:p w:rsidR="009E7EE3" w:rsidRDefault="009E7EE3" w:rsidP="005F7343">
      <w:pPr>
        <w:spacing w:line="360" w:lineRule="auto"/>
        <w:rPr>
          <w:lang w:val="en-US"/>
        </w:rPr>
      </w:pPr>
    </w:p>
    <w:p w:rsidR="00AB51F1" w:rsidRDefault="00AB51F1" w:rsidP="005F7343">
      <w:pPr>
        <w:spacing w:line="360" w:lineRule="auto"/>
        <w:rPr>
          <w:lang w:val="en-GB"/>
        </w:rPr>
      </w:pPr>
    </w:p>
    <w:p w:rsidR="003B0B4F" w:rsidRDefault="003B0B4F" w:rsidP="005F734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092E0B" w:rsidRPr="000514E9" w:rsidRDefault="00C93E66" w:rsidP="000514E9">
      <w:pPr>
        <w:pStyle w:val="Heading1"/>
        <w:spacing w:line="480" w:lineRule="auto"/>
        <w:rPr>
          <w:rFonts w:ascii="Arial" w:hAnsi="Arial" w:cs="Arial"/>
          <w:color w:val="auto"/>
          <w:sz w:val="22"/>
          <w:lang w:val="en-US"/>
        </w:rPr>
      </w:pPr>
      <w:bookmarkStart w:id="2" w:name="_Toc23673745"/>
      <w:r w:rsidRPr="000514E9">
        <w:rPr>
          <w:rFonts w:ascii="Arial" w:hAnsi="Arial" w:cs="Arial"/>
          <w:color w:val="auto"/>
          <w:sz w:val="22"/>
          <w:lang w:val="en-GB"/>
        </w:rPr>
        <w:lastRenderedPageBreak/>
        <w:t>Table S</w:t>
      </w:r>
      <w:r w:rsidR="00380B07">
        <w:rPr>
          <w:rFonts w:ascii="Arial" w:hAnsi="Arial" w:cs="Arial"/>
          <w:color w:val="auto"/>
          <w:sz w:val="22"/>
          <w:lang w:val="en-GB"/>
        </w:rPr>
        <w:t>2</w:t>
      </w:r>
      <w:r w:rsidR="00AB51F1" w:rsidRPr="000514E9">
        <w:rPr>
          <w:rFonts w:ascii="Arial" w:hAnsi="Arial" w:cs="Arial"/>
          <w:color w:val="auto"/>
          <w:sz w:val="22"/>
          <w:lang w:val="en-GB"/>
        </w:rPr>
        <w:t>: Sequences and concentrations of primer and probes used</w:t>
      </w:r>
      <w:bookmarkEnd w:id="2"/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5386"/>
        <w:gridCol w:w="993"/>
        <w:gridCol w:w="1275"/>
      </w:tblGrid>
      <w:tr w:rsidR="00505223" w:rsidRPr="003B0B4F" w:rsidTr="00520B5F">
        <w:trPr>
          <w:trHeight w:val="850"/>
        </w:trPr>
        <w:tc>
          <w:tcPr>
            <w:tcW w:w="1277" w:type="dxa"/>
            <w:vAlign w:val="center"/>
          </w:tcPr>
          <w:p w:rsidR="00A6689E" w:rsidRPr="003B0B4F" w:rsidRDefault="00A6689E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Viral pathogen</w:t>
            </w:r>
          </w:p>
        </w:tc>
        <w:tc>
          <w:tcPr>
            <w:tcW w:w="1701" w:type="dxa"/>
            <w:vAlign w:val="center"/>
          </w:tcPr>
          <w:p w:rsidR="00A6689E" w:rsidRPr="003B0B4F" w:rsidRDefault="00A6689E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Oligo name</w:t>
            </w:r>
          </w:p>
        </w:tc>
        <w:tc>
          <w:tcPr>
            <w:tcW w:w="5386" w:type="dxa"/>
            <w:vAlign w:val="center"/>
          </w:tcPr>
          <w:p w:rsidR="00A6689E" w:rsidRPr="003B0B4F" w:rsidRDefault="00A6689E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Sequence 5’-3’</w:t>
            </w:r>
          </w:p>
        </w:tc>
        <w:tc>
          <w:tcPr>
            <w:tcW w:w="993" w:type="dxa"/>
            <w:vAlign w:val="center"/>
          </w:tcPr>
          <w:p w:rsidR="00A6689E" w:rsidRPr="003B0B4F" w:rsidRDefault="00A6689E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Conc</w:t>
            </w:r>
            <w:r w:rsidR="001144BB" w:rsidRPr="003B0B4F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75" w:type="dxa"/>
            <w:vAlign w:val="center"/>
          </w:tcPr>
          <w:p w:rsidR="00A6689E" w:rsidRPr="003B0B4F" w:rsidRDefault="00A6689E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Reference</w:t>
            </w:r>
          </w:p>
        </w:tc>
      </w:tr>
      <w:tr w:rsidR="00F8760D" w:rsidRPr="003B0B4F" w:rsidTr="00520B5F">
        <w:trPr>
          <w:trHeight w:val="850"/>
        </w:trPr>
        <w:tc>
          <w:tcPr>
            <w:tcW w:w="1277" w:type="dxa"/>
            <w:vMerge w:val="restart"/>
            <w:vAlign w:val="center"/>
          </w:tcPr>
          <w:p w:rsidR="00F8760D" w:rsidRPr="003B0B4F" w:rsidRDefault="00F8760D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CMV UL54 gene</w:t>
            </w:r>
          </w:p>
        </w:tc>
        <w:tc>
          <w:tcPr>
            <w:tcW w:w="1701" w:type="dxa"/>
            <w:vAlign w:val="center"/>
          </w:tcPr>
          <w:p w:rsidR="00F8760D" w:rsidRPr="003B0B4F" w:rsidRDefault="00F8760D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CMV-</w:t>
            </w:r>
            <w:r w:rsidR="00B2151A" w:rsidRPr="003B0B4F">
              <w:rPr>
                <w:rFonts w:ascii="Arial" w:hAnsi="Arial" w:cs="Arial"/>
                <w:sz w:val="22"/>
                <w:szCs w:val="22"/>
                <w:lang w:val="en-GB"/>
              </w:rPr>
              <w:t>fwd</w:t>
            </w:r>
          </w:p>
        </w:tc>
        <w:tc>
          <w:tcPr>
            <w:tcW w:w="5386" w:type="dxa"/>
            <w:vAlign w:val="center"/>
          </w:tcPr>
          <w:p w:rsidR="00F8760D" w:rsidRPr="003B0B4F" w:rsidRDefault="00F8760D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GCCGATCGTAAAGAGATGAAGAC</w:t>
            </w:r>
          </w:p>
        </w:tc>
        <w:tc>
          <w:tcPr>
            <w:tcW w:w="993" w:type="dxa"/>
            <w:vAlign w:val="center"/>
          </w:tcPr>
          <w:p w:rsidR="00F8760D" w:rsidRPr="003B0B4F" w:rsidRDefault="00F8760D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</w:p>
        </w:tc>
        <w:tc>
          <w:tcPr>
            <w:tcW w:w="1275" w:type="dxa"/>
            <w:vMerge w:val="restart"/>
            <w:vAlign w:val="center"/>
          </w:tcPr>
          <w:p w:rsidR="00F8760D" w:rsidRPr="003B0B4F" w:rsidRDefault="00F8760D" w:rsidP="000514E9">
            <w:pPr>
              <w:spacing w:line="480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3B0B4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Adapted</w:t>
            </w:r>
            <w:r w:rsidR="00505223" w:rsidRPr="003B0B4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 w:rsidRPr="003B0B4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from</w:t>
            </w:r>
          </w:p>
          <w:p w:rsidR="00F8760D" w:rsidRPr="003B0B4F" w:rsidRDefault="00520B5F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ADDIN EN.CITE &lt;EndNote&gt;&lt;Cite&gt;&lt;Author&gt;van Doornum&lt;/Author&gt;&lt;Year&gt;2003&lt;/Year&gt;&lt;RecNum&gt;95&lt;/RecNum&gt;&lt;DisplayText&gt;(1)&lt;/DisplayText&gt;&lt;record&gt;&lt;rec-number&gt;95&lt;/rec-number&gt;&lt;foreign-keys&gt;&lt;key app="EN" db-id="tve9vsaacsep2dew95h5rp0gfzwt5rz9wsrs" timestamp="1556985551"&gt;95&lt;/key&gt;&lt;/foreign-keys&gt;&lt;ref-type name="Journal Article"&gt;17&lt;/ref-type&gt;&lt;contributors&gt;&lt;authors&gt;&lt;author&gt;van Doornum, G. J.&lt;/author&gt;&lt;author&gt;Guldemeester, J.&lt;/author&gt;&lt;author&gt;Osterhaus, A. D.&lt;/author&gt;&lt;author&gt;Niesters, H. G.&lt;/author&gt;&lt;/authors&gt;&lt;/contributors&gt;&lt;auth-address&gt;Department of Virology, Erasmus MC, Rotterdam, The Netherlands. vandoornum@viro.azr.nl&lt;/auth-address&gt;&lt;titles&gt;&lt;title&gt;Diagnosing herpesvirus infections by real-time amplification and rapid culture&lt;/title&gt;&lt;secondary-title&gt;J Clin Microbiol&lt;/secondary-title&gt;&lt;/titles&gt;&lt;periodical&gt;&lt;full-title&gt;J Clin Microbiol&lt;/full-title&gt;&lt;/periodical&gt;&lt;pages&gt;576-80&lt;/pages&gt;&lt;volume&gt;41&lt;/volume&gt;&lt;number&gt;2&lt;/number&gt;&lt;keywords&gt;&lt;keyword&gt;0 (Reagent Kits, Diagnostic)&lt;/keyword&gt;&lt;keyword&gt;Computer Systems&lt;/keyword&gt;&lt;keyword&gt;Cytomegalovirus/genetics/isolation &amp;amp; purification/physiology&lt;/keyword&gt;&lt;keyword&gt;Gene Amplification&lt;/keyword&gt;&lt;keyword&gt;Herpesviridae Infections/ diagnosis/virology&lt;/keyword&gt;&lt;keyword&gt;Herpesvirus 1, Human/genetics/ isolation &amp;amp; purification/physiology&lt;/keyword&gt;&lt;keyword&gt;Herpesvirus 2, Human/genetics/ isolation &amp;amp; purification/physiology&lt;/keyword&gt;&lt;keyword&gt;Humans&lt;/keyword&gt;&lt;keyword&gt;Nucleic Acid Amplification Techniques&lt;/keyword&gt;&lt;keyword&gt;Reagent Kits, Diagnostic&lt;/keyword&gt;&lt;keyword&gt;Viral Load&lt;/keyword&gt;&lt;/keywords&gt;&lt;dates&gt;&lt;year&gt;2003&lt;/year&gt;&lt;pub-dates&gt;&lt;date&gt;Feb&lt;/date&gt;&lt;/pub-dates&gt;&lt;/dates&gt;&lt;isbn&gt;0095-1137 (Print)&amp;#xD;0095-1137 (Linking)&lt;/isbn&gt;&lt;accession-num&gt;12574249&lt;/accession-num&gt;&lt;urls&gt;&lt;/urls&gt;&lt;/record&gt;&lt;/Cite&gt;&lt;/EndNote&gt;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(1)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8760D" w:rsidRPr="003B0B4F" w:rsidTr="00520B5F">
        <w:trPr>
          <w:trHeight w:val="850"/>
        </w:trPr>
        <w:tc>
          <w:tcPr>
            <w:tcW w:w="1277" w:type="dxa"/>
            <w:vMerge/>
            <w:vAlign w:val="center"/>
          </w:tcPr>
          <w:p w:rsidR="00F8760D" w:rsidRPr="003B0B4F" w:rsidRDefault="00F8760D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F8760D" w:rsidRPr="003B0B4F" w:rsidRDefault="00F8760D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CMV-</w:t>
            </w:r>
            <w:r w:rsidR="00B2151A" w:rsidRPr="003B0B4F">
              <w:rPr>
                <w:rFonts w:ascii="Arial" w:hAnsi="Arial" w:cs="Arial"/>
                <w:sz w:val="22"/>
                <w:szCs w:val="22"/>
                <w:lang w:val="en-GB"/>
              </w:rPr>
              <w:t>rev</w:t>
            </w:r>
          </w:p>
        </w:tc>
        <w:tc>
          <w:tcPr>
            <w:tcW w:w="5386" w:type="dxa"/>
            <w:vAlign w:val="center"/>
          </w:tcPr>
          <w:p w:rsidR="00F8760D" w:rsidRPr="003B0B4F" w:rsidRDefault="00F8760D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CTCGTGCGTGTGCTACGAGA</w:t>
            </w:r>
          </w:p>
        </w:tc>
        <w:tc>
          <w:tcPr>
            <w:tcW w:w="993" w:type="dxa"/>
            <w:vAlign w:val="center"/>
          </w:tcPr>
          <w:p w:rsidR="00F8760D" w:rsidRPr="003B0B4F" w:rsidRDefault="00F8760D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90</w:t>
            </w:r>
          </w:p>
        </w:tc>
        <w:tc>
          <w:tcPr>
            <w:tcW w:w="1275" w:type="dxa"/>
            <w:vMerge/>
            <w:vAlign w:val="center"/>
          </w:tcPr>
          <w:p w:rsidR="00F8760D" w:rsidRPr="003B0B4F" w:rsidRDefault="00F8760D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760D" w:rsidRPr="003B0B4F" w:rsidTr="00520B5F">
        <w:trPr>
          <w:trHeight w:val="850"/>
        </w:trPr>
        <w:tc>
          <w:tcPr>
            <w:tcW w:w="1277" w:type="dxa"/>
            <w:vMerge/>
            <w:vAlign w:val="center"/>
          </w:tcPr>
          <w:p w:rsidR="00F8760D" w:rsidRPr="003B0B4F" w:rsidRDefault="00F8760D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F8760D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CMV-probe</w:t>
            </w:r>
          </w:p>
        </w:tc>
        <w:tc>
          <w:tcPr>
            <w:tcW w:w="5386" w:type="dxa"/>
            <w:vAlign w:val="center"/>
          </w:tcPr>
          <w:p w:rsidR="00F8760D" w:rsidRPr="003B0B4F" w:rsidRDefault="00F8760D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FAM-AGTGCAGCCCCGGCCATCGTTC-BHQ1</w:t>
            </w:r>
            <w:r w:rsidR="00AB51F1" w:rsidRPr="003B0B4F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93" w:type="dxa"/>
            <w:vAlign w:val="center"/>
          </w:tcPr>
          <w:p w:rsidR="00F8760D" w:rsidRPr="003B0B4F" w:rsidRDefault="00F8760D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F8760D" w:rsidRPr="003B0B4F" w:rsidRDefault="00F8760D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151A" w:rsidRPr="003B0B4F" w:rsidTr="00520B5F">
        <w:trPr>
          <w:trHeight w:val="850"/>
        </w:trPr>
        <w:tc>
          <w:tcPr>
            <w:tcW w:w="1277" w:type="dxa"/>
            <w:vMerge w:val="restart"/>
            <w:vAlign w:val="center"/>
          </w:tcPr>
          <w:p w:rsidR="00B2151A" w:rsidRPr="003B0B4F" w:rsidRDefault="00B2151A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CMV UL75 gene</w:t>
            </w:r>
          </w:p>
        </w:tc>
        <w:tc>
          <w:tcPr>
            <w:tcW w:w="1701" w:type="dxa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UL75-fwda</w:t>
            </w:r>
          </w:p>
        </w:tc>
        <w:tc>
          <w:tcPr>
            <w:tcW w:w="5386" w:type="dxa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ACGAATACCTCAGCGACCTGTACA</w:t>
            </w:r>
          </w:p>
        </w:tc>
        <w:tc>
          <w:tcPr>
            <w:tcW w:w="993" w:type="dxa"/>
            <w:vAlign w:val="center"/>
          </w:tcPr>
          <w:p w:rsidR="00B2151A" w:rsidRPr="003B0B4F" w:rsidRDefault="00B2151A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1275" w:type="dxa"/>
            <w:vMerge w:val="restart"/>
            <w:vAlign w:val="center"/>
          </w:tcPr>
          <w:p w:rsidR="00B2151A" w:rsidRPr="003B0B4F" w:rsidRDefault="00B2151A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Adapted from</w:t>
            </w:r>
            <w:r w:rsidR="00520B5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20B5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ldData xml:space="preserve">PEVuZE5vdGU+PENpdGU+PEF1dGhvcj5GdWt1c2hpbWE8L0F1dGhvcj48WWVhcj4yMDA4PC9ZZWFy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</w:fldData>
              </w:fldChar>
            </w:r>
            <w:r w:rsidR="00520B5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ADDIN EN.CITE </w:instrText>
            </w:r>
            <w:r w:rsidR="00520B5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ldData xml:space="preserve">PEVuZE5vdGU+PENpdGU+PEF1dGhvcj5GdWt1c2hpbWE8L0F1dGhvcj48WWVhcj4yMDA4PC9ZZWFy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</w:fldData>
              </w:fldChar>
            </w:r>
            <w:r w:rsidR="00520B5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ADDIN EN.CITE.DATA </w:instrText>
            </w:r>
            <w:r w:rsidR="00520B5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0B5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520B5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20B5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520B5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(2)</w:t>
            </w:r>
            <w:r w:rsidR="00520B5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B2151A" w:rsidRPr="003B0B4F" w:rsidTr="00520B5F">
        <w:trPr>
          <w:trHeight w:val="850"/>
        </w:trPr>
        <w:tc>
          <w:tcPr>
            <w:tcW w:w="1277" w:type="dxa"/>
            <w:vMerge/>
            <w:vAlign w:val="center"/>
          </w:tcPr>
          <w:p w:rsidR="00B2151A" w:rsidRPr="003B0B4F" w:rsidRDefault="00B2151A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UL75-fwdb</w:t>
            </w:r>
          </w:p>
        </w:tc>
        <w:tc>
          <w:tcPr>
            <w:tcW w:w="5386" w:type="dxa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ACGAATACCTCAGCGACCTGTATA</w:t>
            </w:r>
          </w:p>
        </w:tc>
        <w:tc>
          <w:tcPr>
            <w:tcW w:w="993" w:type="dxa"/>
            <w:vAlign w:val="center"/>
          </w:tcPr>
          <w:p w:rsidR="00B2151A" w:rsidRPr="003B0B4F" w:rsidRDefault="00B2151A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1275" w:type="dxa"/>
            <w:vMerge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151A" w:rsidRPr="003B0B4F" w:rsidTr="00520B5F">
        <w:trPr>
          <w:trHeight w:val="850"/>
        </w:trPr>
        <w:tc>
          <w:tcPr>
            <w:tcW w:w="1277" w:type="dxa"/>
            <w:vMerge/>
            <w:vAlign w:val="center"/>
          </w:tcPr>
          <w:p w:rsidR="00B2151A" w:rsidRPr="003B0B4F" w:rsidRDefault="00B2151A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UL75-rev</w:t>
            </w:r>
          </w:p>
        </w:tc>
        <w:tc>
          <w:tcPr>
            <w:tcW w:w="5386" w:type="dxa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CGTTCGAGCGAGTGATCG</w:t>
            </w:r>
          </w:p>
        </w:tc>
        <w:tc>
          <w:tcPr>
            <w:tcW w:w="993" w:type="dxa"/>
            <w:vAlign w:val="center"/>
          </w:tcPr>
          <w:p w:rsidR="00B2151A" w:rsidRPr="003B0B4F" w:rsidRDefault="00B2151A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1275" w:type="dxa"/>
            <w:vMerge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151A" w:rsidRPr="003B0B4F" w:rsidTr="00520B5F">
        <w:trPr>
          <w:trHeight w:val="850"/>
        </w:trPr>
        <w:tc>
          <w:tcPr>
            <w:tcW w:w="1277" w:type="dxa"/>
            <w:vMerge/>
            <w:vAlign w:val="center"/>
          </w:tcPr>
          <w:p w:rsidR="00B2151A" w:rsidRPr="003B0B4F" w:rsidRDefault="00B2151A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UL75-probe</w:t>
            </w:r>
          </w:p>
        </w:tc>
        <w:tc>
          <w:tcPr>
            <w:tcW w:w="5386" w:type="dxa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FAM-CTGTTCCAGTAGCGGGCGACG-BHQ1</w:t>
            </w:r>
            <w:r w:rsidR="00AB51F1" w:rsidRPr="003B0B4F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93" w:type="dxa"/>
            <w:vAlign w:val="center"/>
          </w:tcPr>
          <w:p w:rsidR="00B2151A" w:rsidRPr="003B0B4F" w:rsidRDefault="00B2151A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151A" w:rsidRPr="003B0B4F" w:rsidTr="00520B5F">
        <w:trPr>
          <w:trHeight w:val="850"/>
        </w:trPr>
        <w:tc>
          <w:tcPr>
            <w:tcW w:w="1277" w:type="dxa"/>
            <w:vMerge w:val="restart"/>
            <w:vAlign w:val="center"/>
          </w:tcPr>
          <w:p w:rsidR="00B2151A" w:rsidRPr="003B0B4F" w:rsidRDefault="00B2151A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PhHV</w:t>
            </w:r>
          </w:p>
          <w:p w:rsidR="00B2151A" w:rsidRPr="003B0B4F" w:rsidRDefault="00B2151A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gB-gene</w:t>
            </w:r>
          </w:p>
        </w:tc>
        <w:tc>
          <w:tcPr>
            <w:tcW w:w="1701" w:type="dxa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PHHV-1-fwd</w:t>
            </w:r>
          </w:p>
        </w:tc>
        <w:tc>
          <w:tcPr>
            <w:tcW w:w="5386" w:type="dxa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GGGCGAATCACAGATTGAATC</w:t>
            </w:r>
          </w:p>
        </w:tc>
        <w:tc>
          <w:tcPr>
            <w:tcW w:w="993" w:type="dxa"/>
            <w:vAlign w:val="center"/>
          </w:tcPr>
          <w:p w:rsidR="00B2151A" w:rsidRPr="003B0B4F" w:rsidRDefault="00B2151A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2.5</w:t>
            </w:r>
          </w:p>
        </w:tc>
        <w:tc>
          <w:tcPr>
            <w:tcW w:w="1275" w:type="dxa"/>
            <w:vMerge w:val="restart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3B0B4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Adapted from</w:t>
            </w:r>
          </w:p>
          <w:p w:rsidR="00B2151A" w:rsidRPr="003B0B4F" w:rsidRDefault="00520B5F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ADDIN EN.CITE &lt;EndNote&gt;&lt;Cite&gt;&lt;Author&gt;van Doornum&lt;/Author&gt;&lt;Year&gt;2003&lt;/Year&gt;&lt;RecNum&gt;95&lt;/RecNum&gt;&lt;DisplayText&gt;(1)&lt;/DisplayText&gt;&lt;record&gt;&lt;rec-number&gt;95&lt;/rec-number&gt;&lt;foreign-keys&gt;&lt;key app="EN" db-id="tve9vsaacsep2dew95h5rp0gfzwt5rz9wsrs" timestamp="1556985551"&gt;95&lt;/key&gt;&lt;/foreign-keys&gt;&lt;ref-type name="Journal Article"&gt;17&lt;/ref-type&gt;&lt;contributors&gt;&lt;authors&gt;&lt;author&gt;van Doornum, G. J.&lt;/author&gt;&lt;author&gt;Guldemeester, J.&lt;/author&gt;&lt;author&gt;Osterhaus, A. D.&lt;/author&gt;&lt;author&gt;Niesters, H. G.&lt;/author&gt;&lt;/authors&gt;&lt;/contributors&gt;&lt;auth-address&gt;Department of Virology, Erasmus MC, Rotterdam, The Netherlands. vandoornum@viro.azr.nl&lt;/auth-address&gt;&lt;titles&gt;&lt;title&gt;Diagnosing herpesvirus infections by real-time amplification and rapid culture&lt;/title&gt;&lt;secondary-title&gt;J Clin Microbiol&lt;/secondary-title&gt;&lt;/titles&gt;&lt;periodical&gt;&lt;full-title&gt;J Clin Microbiol&lt;/full-title&gt;&lt;/periodical&gt;&lt;pages&gt;576-80&lt;/pages&gt;&lt;volume&gt;41&lt;/volume&gt;&lt;number&gt;2&lt;/number&gt;&lt;keywords&gt;&lt;keyword&gt;0 (Reagent Kits, Diagnostic)&lt;/keyword&gt;&lt;keyword&gt;Computer Systems&lt;/keyword&gt;&lt;keyword&gt;Cytomegalovirus/genetics/isolation &amp;amp; purification/physiology&lt;/keyword&gt;&lt;keyword&gt;Gene Amplification&lt;/keyword&gt;&lt;keyword&gt;Herpesviridae Infections/ diagnosis/virology&lt;/keyword&gt;&lt;keyword&gt;Herpesvirus 1, Human/genetics/ isolation &amp;amp; purification/physiology&lt;/keyword&gt;&lt;keyword&gt;Herpesvirus 2, Human/genetics/ isolation &amp;amp; purification/physiology&lt;/keyword&gt;&lt;keyword&gt;Humans&lt;/keyword&gt;&lt;keyword&gt;Nucleic Acid Amplification Techniques&lt;/keyword&gt;&lt;keyword&gt;Reagent Kits, Diagnostic&lt;/keyword&gt;&lt;keyword&gt;Viral Load&lt;/keyword&gt;&lt;/keywords&gt;&lt;dates&gt;&lt;year&gt;2003&lt;/year&gt;&lt;pub-dates&gt;&lt;date&gt;Feb&lt;/date&gt;&lt;/pub-dates&gt;&lt;/dates&gt;&lt;isbn&gt;0095-1137 (Print)&amp;#xD;0095-1137 (Linking)&lt;/isbn&gt;&lt;accession-num&gt;12574249&lt;/accession-num&gt;&lt;urls&gt;&lt;/urls&gt;&lt;/record&gt;&lt;/Cite&gt;&lt;/EndNote&gt;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(1)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2151A" w:rsidRPr="003B0B4F" w:rsidTr="00520B5F">
        <w:trPr>
          <w:trHeight w:val="850"/>
        </w:trPr>
        <w:tc>
          <w:tcPr>
            <w:tcW w:w="1277" w:type="dxa"/>
            <w:vMerge/>
            <w:vAlign w:val="center"/>
          </w:tcPr>
          <w:p w:rsidR="00B2151A" w:rsidRPr="003B0B4F" w:rsidRDefault="00B2151A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PHHV-1-rev</w:t>
            </w:r>
          </w:p>
        </w:tc>
        <w:tc>
          <w:tcPr>
            <w:tcW w:w="5386" w:type="dxa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GCGGTTCCAAACGTACCAA</w:t>
            </w:r>
          </w:p>
        </w:tc>
        <w:tc>
          <w:tcPr>
            <w:tcW w:w="993" w:type="dxa"/>
            <w:vAlign w:val="center"/>
          </w:tcPr>
          <w:p w:rsidR="00B2151A" w:rsidRPr="003B0B4F" w:rsidRDefault="00B2151A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:rsidR="00B2151A" w:rsidRPr="003B0B4F" w:rsidRDefault="00B2151A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151A" w:rsidRPr="003B0B4F" w:rsidTr="00520B5F">
        <w:trPr>
          <w:trHeight w:val="850"/>
        </w:trPr>
        <w:tc>
          <w:tcPr>
            <w:tcW w:w="1277" w:type="dxa"/>
            <w:vMerge/>
            <w:vAlign w:val="center"/>
          </w:tcPr>
          <w:p w:rsidR="00B2151A" w:rsidRPr="003B0B4F" w:rsidRDefault="00B2151A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PHHV-1-probe</w:t>
            </w:r>
          </w:p>
        </w:tc>
        <w:tc>
          <w:tcPr>
            <w:tcW w:w="5386" w:type="dxa"/>
            <w:vAlign w:val="center"/>
          </w:tcPr>
          <w:p w:rsidR="00FC3F0E" w:rsidRDefault="00FC3F0E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2151A" w:rsidRPr="003B0B4F" w:rsidRDefault="00B2151A" w:rsidP="000514E9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bookmarkStart w:id="3" w:name="_GoBack"/>
            <w:bookmarkEnd w:id="3"/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CY5</w:t>
            </w:r>
            <w:r w:rsidR="00092E0B" w:rsidRPr="003B0B4F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TTTTTATGTGTCCGCCACCATCTGGATC-BHQ2</w:t>
            </w:r>
            <w:r w:rsidR="00AB51F1" w:rsidRPr="003B0B4F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c</w:t>
            </w:r>
          </w:p>
        </w:tc>
        <w:tc>
          <w:tcPr>
            <w:tcW w:w="993" w:type="dxa"/>
            <w:vAlign w:val="center"/>
          </w:tcPr>
          <w:p w:rsidR="00B2151A" w:rsidRPr="003B0B4F" w:rsidRDefault="00B2151A" w:rsidP="00520B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B4F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B2151A" w:rsidRPr="003B0B4F" w:rsidRDefault="00B2151A" w:rsidP="000514E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AB51F1" w:rsidRPr="003B0B4F" w:rsidRDefault="001144BB" w:rsidP="00520B5F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3B0B4F">
        <w:rPr>
          <w:rFonts w:ascii="Arial" w:hAnsi="Arial" w:cs="Arial"/>
          <w:sz w:val="22"/>
          <w:szCs w:val="22"/>
          <w:vertAlign w:val="superscript"/>
          <w:lang w:val="en-GB"/>
        </w:rPr>
        <w:t>a</w:t>
      </w:r>
      <w:r w:rsidR="00AB51F1" w:rsidRPr="003B0B4F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Pr="003B0B4F">
        <w:rPr>
          <w:rFonts w:ascii="Arial" w:hAnsi="Arial" w:cs="Arial"/>
          <w:sz w:val="22"/>
          <w:szCs w:val="22"/>
          <w:lang w:val="en-GB"/>
        </w:rPr>
        <w:t>Conc</w:t>
      </w:r>
      <w:r w:rsidRPr="003B0B4F">
        <w:rPr>
          <w:rFonts w:ascii="Arial" w:hAnsi="Arial" w:cs="Arial"/>
          <w:sz w:val="22"/>
          <w:szCs w:val="22"/>
          <w:vertAlign w:val="superscript"/>
          <w:lang w:val="en-GB"/>
        </w:rPr>
        <w:t xml:space="preserve">. </w:t>
      </w:r>
      <w:r w:rsidRPr="003B0B4F">
        <w:rPr>
          <w:rFonts w:ascii="Arial" w:hAnsi="Arial" w:cs="Arial"/>
          <w:sz w:val="22"/>
          <w:szCs w:val="22"/>
          <w:lang w:val="en-GB"/>
        </w:rPr>
        <w:t>= concentration (pmol/50µl reaction)</w:t>
      </w:r>
    </w:p>
    <w:p w:rsidR="00AB51F1" w:rsidRPr="003B0B4F" w:rsidRDefault="00AB51F1" w:rsidP="00520B5F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3B0B4F">
        <w:rPr>
          <w:rFonts w:ascii="Arial" w:hAnsi="Arial" w:cs="Arial"/>
          <w:sz w:val="22"/>
          <w:szCs w:val="22"/>
          <w:vertAlign w:val="superscript"/>
          <w:lang w:val="en-GB"/>
        </w:rPr>
        <w:t xml:space="preserve">b </w:t>
      </w:r>
      <w:r w:rsidRPr="003B0B4F">
        <w:rPr>
          <w:rFonts w:ascii="Arial" w:hAnsi="Arial" w:cs="Arial"/>
          <w:sz w:val="22"/>
          <w:szCs w:val="22"/>
          <w:lang w:val="en-GB"/>
        </w:rPr>
        <w:t>BHQ1 = black hole quencher 1</w:t>
      </w:r>
      <w:r w:rsidR="001144BB" w:rsidRPr="003B0B4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84329" w:rsidRDefault="00AB51F1" w:rsidP="00520B5F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3B0B4F">
        <w:rPr>
          <w:rFonts w:ascii="Arial" w:hAnsi="Arial" w:cs="Arial"/>
          <w:sz w:val="22"/>
          <w:szCs w:val="22"/>
          <w:vertAlign w:val="superscript"/>
          <w:lang w:val="en-GB"/>
        </w:rPr>
        <w:t xml:space="preserve">c </w:t>
      </w:r>
      <w:r w:rsidR="001144BB" w:rsidRPr="003B0B4F">
        <w:rPr>
          <w:rFonts w:ascii="Arial" w:hAnsi="Arial" w:cs="Arial"/>
          <w:sz w:val="22"/>
          <w:szCs w:val="22"/>
          <w:lang w:val="en-GB"/>
        </w:rPr>
        <w:t>BHQ2 = black hole quencher 2</w:t>
      </w:r>
    </w:p>
    <w:p w:rsidR="00033F9E" w:rsidRDefault="00033F9E" w:rsidP="00520B5F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380B07" w:rsidRPr="00380B07" w:rsidRDefault="00380B07" w:rsidP="00380B07">
      <w:pPr>
        <w:spacing w:after="20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2"/>
          <w:lang w:val="en-US"/>
        </w:rPr>
        <w:br w:type="page"/>
      </w:r>
    </w:p>
    <w:p w:rsidR="00033F9E" w:rsidRPr="000514E9" w:rsidRDefault="00380B07" w:rsidP="000514E9">
      <w:pPr>
        <w:pStyle w:val="Heading1"/>
        <w:spacing w:line="480" w:lineRule="auto"/>
        <w:rPr>
          <w:rFonts w:ascii="Arial" w:hAnsi="Arial" w:cs="Arial"/>
          <w:color w:val="auto"/>
          <w:sz w:val="22"/>
          <w:lang w:val="en-US"/>
        </w:rPr>
      </w:pPr>
      <w:bookmarkStart w:id="4" w:name="_Toc23673746"/>
      <w:r>
        <w:rPr>
          <w:rFonts w:ascii="Arial" w:hAnsi="Arial" w:cs="Arial"/>
          <w:color w:val="auto"/>
          <w:sz w:val="22"/>
          <w:lang w:val="en-US"/>
        </w:rPr>
        <w:lastRenderedPageBreak/>
        <w:t>Table S3</w:t>
      </w:r>
      <w:r w:rsidR="00033F9E" w:rsidRPr="000514E9">
        <w:rPr>
          <w:rFonts w:ascii="Arial" w:hAnsi="Arial" w:cs="Arial"/>
          <w:color w:val="auto"/>
          <w:sz w:val="22"/>
          <w:lang w:val="en-US"/>
        </w:rPr>
        <w:t>. CMV breakthrough infections by type of prophylaxis</w:t>
      </w:r>
      <w:bookmarkEnd w:id="4"/>
    </w:p>
    <w:tbl>
      <w:tblPr>
        <w:tblStyle w:val="LightShading-Accent3"/>
        <w:tblW w:w="521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583"/>
        <w:gridCol w:w="1701"/>
      </w:tblGrid>
      <w:tr w:rsidR="00033F9E" w:rsidRPr="00033F9E" w:rsidTr="00520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  <w:vMerge w:val="restart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9E" w:rsidRPr="00033F9E" w:rsidRDefault="00033F9E" w:rsidP="00520B5F">
            <w:pPr>
              <w:spacing w:line="48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033F9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Prophylaxis</w:t>
            </w:r>
          </w:p>
        </w:tc>
        <w:tc>
          <w:tcPr>
            <w:tcW w:w="3284" w:type="dxa"/>
            <w:gridSpan w:val="2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9E" w:rsidRPr="00033F9E" w:rsidRDefault="00033F9E" w:rsidP="00520B5F">
            <w:pPr>
              <w:spacing w:line="48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033F9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CMV breakthrough infection</w:t>
            </w:r>
          </w:p>
        </w:tc>
      </w:tr>
      <w:tr w:rsidR="00033F9E" w:rsidRPr="00033F9E" w:rsidTr="0052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3F9E" w:rsidRPr="00033F9E" w:rsidRDefault="00033F9E" w:rsidP="00520B5F">
            <w:pPr>
              <w:spacing w:line="48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3F9E" w:rsidRPr="00033F9E" w:rsidRDefault="00033F9E" w:rsidP="00520B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033F9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3F9E" w:rsidRPr="00033F9E" w:rsidRDefault="00033F9E" w:rsidP="00520B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033F9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yes</w:t>
            </w:r>
          </w:p>
        </w:tc>
      </w:tr>
      <w:tr w:rsidR="00033F9E" w:rsidRPr="00033F9E" w:rsidTr="00520B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3F9E" w:rsidRPr="00033F9E" w:rsidRDefault="00033F9E" w:rsidP="00520B5F">
            <w:pPr>
              <w:spacing w:line="48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033F9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Immunoglobulin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9E" w:rsidRPr="00033F9E" w:rsidRDefault="00033F9E" w:rsidP="00520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033F9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5 (36%)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9E" w:rsidRPr="00033F9E" w:rsidRDefault="00033F9E" w:rsidP="00520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033F9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9 (64%)</w:t>
            </w:r>
          </w:p>
        </w:tc>
      </w:tr>
      <w:tr w:rsidR="00033F9E" w:rsidRPr="00E65727" w:rsidTr="0052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  <w:shd w:val="clear" w:color="auto" w:fill="auto"/>
            <w:vAlign w:val="center"/>
            <w:hideMark/>
          </w:tcPr>
          <w:p w:rsidR="00033F9E" w:rsidRPr="00E65727" w:rsidRDefault="00033F9E" w:rsidP="00520B5F">
            <w:pPr>
              <w:spacing w:line="48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E6572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VGCV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33F9E" w:rsidRPr="00E65727" w:rsidRDefault="00033F9E" w:rsidP="00520B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E6572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42 (74%)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3F9E" w:rsidRPr="00E65727" w:rsidRDefault="00033F9E" w:rsidP="00520B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E6572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15 (26%)</w:t>
            </w:r>
          </w:p>
        </w:tc>
      </w:tr>
    </w:tbl>
    <w:p w:rsidR="006D2C28" w:rsidRDefault="00033F9E" w:rsidP="00033F9E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E65727">
        <w:rPr>
          <w:rFonts w:ascii="Arial" w:hAnsi="Arial" w:cs="Arial"/>
          <w:sz w:val="22"/>
          <w:szCs w:val="22"/>
          <w:lang w:val="en-US"/>
        </w:rPr>
        <w:t xml:space="preserve">Table presents number of patients with breakthrough infection (percent of prophylactic treatment group).  </w:t>
      </w:r>
      <w:r w:rsidR="00E65727" w:rsidRPr="00E65727">
        <w:rPr>
          <w:rFonts w:ascii="Arial" w:hAnsi="Arial" w:cs="Arial"/>
          <w:sz w:val="22"/>
          <w:szCs w:val="22"/>
          <w:lang w:val="en-US"/>
        </w:rPr>
        <w:t xml:space="preserve">VGCV – valganciclovir. </w:t>
      </w:r>
    </w:p>
    <w:p w:rsidR="006D2C28" w:rsidRDefault="006D2C28">
      <w:pPr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6D2C28" w:rsidRPr="000514E9" w:rsidRDefault="006D2C28" w:rsidP="006D2C28">
      <w:pPr>
        <w:pStyle w:val="Heading1"/>
        <w:spacing w:line="480" w:lineRule="auto"/>
        <w:rPr>
          <w:rFonts w:ascii="Arial" w:hAnsi="Arial" w:cs="Arial"/>
          <w:color w:val="auto"/>
          <w:sz w:val="22"/>
          <w:lang w:val="en-GB"/>
        </w:rPr>
      </w:pPr>
      <w:bookmarkStart w:id="5" w:name="_Toc23673747"/>
      <w:r>
        <w:rPr>
          <w:rFonts w:ascii="Arial" w:hAnsi="Arial" w:cs="Arial"/>
          <w:color w:val="auto"/>
          <w:sz w:val="22"/>
          <w:lang w:val="en-US"/>
        </w:rPr>
        <w:lastRenderedPageBreak/>
        <w:t>Table S4</w:t>
      </w:r>
      <w:r w:rsidRPr="000514E9">
        <w:rPr>
          <w:rFonts w:ascii="Arial" w:hAnsi="Arial" w:cs="Arial"/>
          <w:color w:val="auto"/>
          <w:sz w:val="22"/>
          <w:lang w:val="en-US"/>
        </w:rPr>
        <w:t xml:space="preserve">. </w:t>
      </w:r>
      <w:r w:rsidRPr="000514E9">
        <w:rPr>
          <w:rFonts w:ascii="Arial" w:hAnsi="Arial" w:cs="Arial"/>
          <w:color w:val="auto"/>
          <w:sz w:val="22"/>
          <w:lang w:val="en-GB"/>
        </w:rPr>
        <w:t>Multivariable analysis of CAV any grade. Patients with immunoglobulin prophylaxis excluded, N=246.</w:t>
      </w:r>
      <w:bookmarkEnd w:id="5"/>
    </w:p>
    <w:tbl>
      <w:tblPr>
        <w:tblStyle w:val="LightShading"/>
        <w:tblpPr w:leftFromText="180" w:rightFromText="180" w:vertAnchor="page" w:horzAnchor="margin" w:tblpY="2545"/>
        <w:tblW w:w="0" w:type="auto"/>
        <w:tblLook w:val="04A0" w:firstRow="1" w:lastRow="0" w:firstColumn="1" w:lastColumn="0" w:noHBand="0" w:noVBand="1"/>
      </w:tblPr>
      <w:tblGrid>
        <w:gridCol w:w="4536"/>
        <w:gridCol w:w="2458"/>
        <w:gridCol w:w="2240"/>
      </w:tblGrid>
      <w:tr w:rsidR="006D2C28" w:rsidRPr="00033F9E" w:rsidTr="006D2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Covariate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CSHR (95% CI)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P value</w:t>
            </w:r>
          </w:p>
        </w:tc>
      </w:tr>
      <w:tr w:rsidR="006D2C28" w:rsidRPr="00033F9E" w:rsidTr="006D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033F9E">
              <w:rPr>
                <w:rFonts w:ascii="Arial" w:hAnsi="Arial" w:cs="Arial"/>
                <w:b w:val="0"/>
                <w:sz w:val="22"/>
                <w:lang w:val="en-GB"/>
              </w:rPr>
              <w:t>Donor BMI (kg/m</w:t>
            </w:r>
            <w:r w:rsidRPr="00033F9E">
              <w:rPr>
                <w:rFonts w:ascii="Arial" w:hAnsi="Arial" w:cs="Arial"/>
                <w:b w:val="0"/>
                <w:sz w:val="22"/>
                <w:vertAlign w:val="superscript"/>
                <w:lang w:val="en-GB"/>
              </w:rPr>
              <w:t>2</w:t>
            </w:r>
            <w:r w:rsidRPr="00033F9E">
              <w:rPr>
                <w:rFonts w:ascii="Arial" w:hAnsi="Arial" w:cs="Arial"/>
                <w:b w:val="0"/>
                <w:sz w:val="22"/>
                <w:lang w:val="en-GB"/>
              </w:rPr>
              <w:t>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1.03 (0.98 – 1.08)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0.22</w:t>
            </w:r>
          </w:p>
        </w:tc>
      </w:tr>
      <w:tr w:rsidR="006D2C28" w:rsidRPr="00033F9E" w:rsidTr="006D2C2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033F9E">
              <w:rPr>
                <w:rFonts w:ascii="Arial" w:hAnsi="Arial" w:cs="Arial"/>
                <w:b w:val="0"/>
                <w:sz w:val="22"/>
                <w:lang w:val="en-GB"/>
              </w:rPr>
              <w:t>Donor age (years)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1.01 (0.99 – 1.02)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0.10</w:t>
            </w:r>
          </w:p>
        </w:tc>
      </w:tr>
      <w:tr w:rsidR="006D2C28" w:rsidRPr="00033F9E" w:rsidTr="006D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033F9E">
              <w:rPr>
                <w:rFonts w:ascii="Arial" w:hAnsi="Arial" w:cs="Arial"/>
                <w:b w:val="0"/>
                <w:sz w:val="22"/>
                <w:lang w:val="en-GB"/>
              </w:rPr>
              <w:t>Recipient BMI (kg/m</w:t>
            </w:r>
            <w:r w:rsidRPr="00033F9E">
              <w:rPr>
                <w:rFonts w:ascii="Arial" w:hAnsi="Arial" w:cs="Arial"/>
                <w:b w:val="0"/>
                <w:sz w:val="22"/>
                <w:vertAlign w:val="superscript"/>
                <w:lang w:val="en-GB"/>
              </w:rPr>
              <w:t>2</w:t>
            </w:r>
            <w:r w:rsidRPr="00033F9E">
              <w:rPr>
                <w:rFonts w:ascii="Arial" w:hAnsi="Arial" w:cs="Arial"/>
                <w:b w:val="0"/>
                <w:sz w:val="22"/>
                <w:lang w:val="en-GB"/>
              </w:rPr>
              <w:t xml:space="preserve">) 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1.04 (0.99 – 1.09)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0.11</w:t>
            </w:r>
          </w:p>
        </w:tc>
      </w:tr>
      <w:tr w:rsidR="006D2C28" w:rsidRPr="00033F9E" w:rsidTr="006D2C2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033F9E">
              <w:rPr>
                <w:rFonts w:ascii="Arial" w:hAnsi="Arial" w:cs="Arial"/>
                <w:b w:val="0"/>
                <w:sz w:val="22"/>
                <w:lang w:val="en-GB"/>
              </w:rPr>
              <w:t>CMV breakthrough infection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1.72 (0.78- 3.77)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0.17</w:t>
            </w:r>
          </w:p>
        </w:tc>
      </w:tr>
      <w:tr w:rsidR="006D2C28" w:rsidRPr="00033F9E" w:rsidTr="006D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033F9E">
              <w:rPr>
                <w:rFonts w:ascii="Arial" w:hAnsi="Arial" w:cs="Arial"/>
                <w:b w:val="0"/>
                <w:sz w:val="22"/>
                <w:lang w:val="en-GB"/>
              </w:rPr>
              <w:t xml:space="preserve">Number of ACR≥2R/AMR episodes 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1.17 (1.03-1.33)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D2C28" w:rsidRPr="006D2C28" w:rsidRDefault="006D2C28" w:rsidP="006D2C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6D2C28">
              <w:rPr>
                <w:rFonts w:ascii="Arial" w:hAnsi="Arial" w:cs="Arial"/>
                <w:sz w:val="22"/>
                <w:lang w:val="en-GB"/>
              </w:rPr>
              <w:t>0.01</w:t>
            </w:r>
          </w:p>
        </w:tc>
      </w:tr>
      <w:tr w:rsidR="006D2C28" w:rsidRPr="00033F9E" w:rsidTr="006D2C2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033F9E">
              <w:rPr>
                <w:rFonts w:ascii="Arial" w:hAnsi="Arial" w:cs="Arial"/>
                <w:b w:val="0"/>
                <w:sz w:val="22"/>
                <w:lang w:val="en-GB"/>
              </w:rPr>
              <w:t>Hypertension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1.51 (1.03-2.22)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D2C28" w:rsidRPr="006D2C28" w:rsidRDefault="006D2C28" w:rsidP="006D2C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6D2C28">
              <w:rPr>
                <w:rFonts w:ascii="Arial" w:hAnsi="Arial" w:cs="Arial"/>
                <w:sz w:val="22"/>
                <w:lang w:val="en-GB"/>
              </w:rPr>
              <w:t>0.03</w:t>
            </w:r>
          </w:p>
        </w:tc>
      </w:tr>
      <w:tr w:rsidR="006D2C28" w:rsidRPr="00033F9E" w:rsidTr="006D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033F9E">
              <w:rPr>
                <w:rFonts w:ascii="Arial" w:hAnsi="Arial" w:cs="Arial"/>
                <w:b w:val="0"/>
                <w:sz w:val="22"/>
                <w:lang w:val="en-GB"/>
              </w:rPr>
              <w:t>MMF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0.68 (0.47-0.98)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D2C28" w:rsidRPr="006D2C28" w:rsidRDefault="006D2C28" w:rsidP="006D2C2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6D2C28">
              <w:rPr>
                <w:rFonts w:ascii="Arial" w:hAnsi="Arial" w:cs="Arial"/>
                <w:sz w:val="22"/>
                <w:lang w:val="en-GB"/>
              </w:rPr>
              <w:t>0.04</w:t>
            </w:r>
          </w:p>
        </w:tc>
      </w:tr>
      <w:tr w:rsidR="006D2C28" w:rsidRPr="00033F9E" w:rsidTr="006D2C2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033F9E">
              <w:rPr>
                <w:rFonts w:ascii="Arial" w:hAnsi="Arial" w:cs="Arial"/>
                <w:b w:val="0"/>
                <w:sz w:val="22"/>
                <w:lang w:val="en-GB"/>
              </w:rPr>
              <w:t>Total cholesterol at 1 year (mmol/l)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1.11 (0.97-1.26)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D2C28" w:rsidRPr="00033F9E" w:rsidRDefault="006D2C28" w:rsidP="006D2C2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033F9E">
              <w:rPr>
                <w:rFonts w:ascii="Arial" w:hAnsi="Arial" w:cs="Arial"/>
                <w:sz w:val="22"/>
                <w:lang w:val="en-GB"/>
              </w:rPr>
              <w:t>0.12</w:t>
            </w:r>
          </w:p>
        </w:tc>
      </w:tr>
    </w:tbl>
    <w:p w:rsidR="00052467" w:rsidRPr="006D2C28" w:rsidRDefault="00052467" w:rsidP="00033F9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6D2C28" w:rsidRDefault="006D2C28" w:rsidP="006D2C28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033F9E">
        <w:rPr>
          <w:rFonts w:ascii="Arial" w:hAnsi="Arial" w:cs="Arial"/>
          <w:sz w:val="22"/>
          <w:lang w:val="en-GB"/>
        </w:rPr>
        <w:t>ACR – acute cellular rejection, AMR – antibody-mediated rejection, BMI – body mass index, CSHR – cause specific hazard ratio, MMF – mycophenolate mofetil</w:t>
      </w:r>
    </w:p>
    <w:p w:rsidR="006D2C28" w:rsidRPr="006D2C28" w:rsidRDefault="006D2C28" w:rsidP="006D2C28">
      <w:pPr>
        <w:spacing w:line="480" w:lineRule="auto"/>
        <w:rPr>
          <w:rFonts w:ascii="Arial" w:hAnsi="Arial" w:cs="Arial"/>
          <w:lang w:val="en-US"/>
        </w:rPr>
      </w:pPr>
    </w:p>
    <w:p w:rsidR="006D2C28" w:rsidRDefault="006D2C28" w:rsidP="006D2C28">
      <w:pPr>
        <w:spacing w:line="480" w:lineRule="auto"/>
        <w:rPr>
          <w:rFonts w:ascii="Arial" w:hAnsi="Arial" w:cs="Arial"/>
          <w:sz w:val="22"/>
          <w:lang w:val="en-GB"/>
        </w:rPr>
      </w:pPr>
    </w:p>
    <w:p w:rsidR="006D2C28" w:rsidRDefault="006D2C28" w:rsidP="006D2C28">
      <w:pPr>
        <w:spacing w:line="480" w:lineRule="auto"/>
        <w:rPr>
          <w:rFonts w:ascii="Arial" w:hAnsi="Arial" w:cs="Arial"/>
          <w:sz w:val="22"/>
          <w:lang w:val="en-GB"/>
        </w:rPr>
      </w:pPr>
    </w:p>
    <w:p w:rsidR="006D2C28" w:rsidRDefault="006D2C28" w:rsidP="006D2C28">
      <w:pPr>
        <w:spacing w:line="480" w:lineRule="auto"/>
        <w:rPr>
          <w:rFonts w:ascii="Arial" w:hAnsi="Arial" w:cs="Arial"/>
          <w:sz w:val="22"/>
          <w:lang w:val="en-GB"/>
        </w:rPr>
      </w:pPr>
    </w:p>
    <w:p w:rsidR="006D2C28" w:rsidRDefault="006D2C28" w:rsidP="006D2C28">
      <w:pPr>
        <w:spacing w:line="480" w:lineRule="auto"/>
        <w:rPr>
          <w:rFonts w:ascii="Arial" w:hAnsi="Arial" w:cs="Arial"/>
          <w:sz w:val="22"/>
          <w:lang w:val="en-GB"/>
        </w:rPr>
      </w:pPr>
    </w:p>
    <w:p w:rsidR="006D2C28" w:rsidRDefault="006D2C28" w:rsidP="006D2C28">
      <w:pPr>
        <w:spacing w:line="480" w:lineRule="auto"/>
        <w:rPr>
          <w:rFonts w:ascii="Arial" w:hAnsi="Arial" w:cs="Arial"/>
          <w:sz w:val="22"/>
          <w:lang w:val="en-GB"/>
        </w:rPr>
      </w:pPr>
    </w:p>
    <w:p w:rsidR="006D2C28" w:rsidRDefault="006D2C28" w:rsidP="006D2C28">
      <w:pPr>
        <w:spacing w:line="480" w:lineRule="auto"/>
        <w:rPr>
          <w:rFonts w:ascii="Arial" w:hAnsi="Arial" w:cs="Arial"/>
          <w:sz w:val="22"/>
          <w:lang w:val="en-GB"/>
        </w:rPr>
      </w:pPr>
    </w:p>
    <w:p w:rsidR="006D2C28" w:rsidRDefault="006D2C28" w:rsidP="006D2C28">
      <w:pPr>
        <w:spacing w:line="480" w:lineRule="auto"/>
        <w:rPr>
          <w:rFonts w:ascii="Arial" w:hAnsi="Arial" w:cs="Arial"/>
          <w:sz w:val="22"/>
          <w:lang w:val="en-GB"/>
        </w:rPr>
      </w:pPr>
    </w:p>
    <w:p w:rsidR="006D2C28" w:rsidRDefault="006D2C28">
      <w:pPr>
        <w:spacing w:after="200" w:line="276" w:lineRule="auto"/>
        <w:rPr>
          <w:rFonts w:ascii="Arial" w:hAnsi="Arial" w:cs="Arial"/>
          <w:sz w:val="22"/>
          <w:szCs w:val="22"/>
          <w:lang w:val="en-US"/>
        </w:rPr>
        <w:sectPr w:rsidR="006D2C28" w:rsidSect="006D2C28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33F9E" w:rsidRPr="00052467" w:rsidRDefault="00052467" w:rsidP="00DB0EE1">
      <w:pPr>
        <w:pStyle w:val="Heading1"/>
        <w:spacing w:line="480" w:lineRule="auto"/>
        <w:rPr>
          <w:rFonts w:ascii="Arial" w:hAnsi="Arial" w:cs="Arial"/>
          <w:color w:val="auto"/>
          <w:sz w:val="22"/>
          <w:szCs w:val="22"/>
          <w:lang w:val="en-US"/>
        </w:rPr>
      </w:pPr>
      <w:bookmarkStart w:id="6" w:name="_Toc23673748"/>
      <w:r w:rsidRPr="00052467">
        <w:rPr>
          <w:rFonts w:ascii="Arial" w:hAnsi="Arial" w:cs="Arial"/>
          <w:color w:val="auto"/>
          <w:sz w:val="22"/>
          <w:szCs w:val="22"/>
          <w:lang w:val="en-US"/>
        </w:rPr>
        <w:lastRenderedPageBreak/>
        <w:t>Figure S1. Temporal trends of complications stratified according to types of prophy</w:t>
      </w:r>
      <w:r w:rsidR="00DB0EE1">
        <w:rPr>
          <w:rFonts w:ascii="Arial" w:hAnsi="Arial" w:cs="Arial"/>
          <w:color w:val="auto"/>
          <w:sz w:val="22"/>
          <w:szCs w:val="22"/>
          <w:lang w:val="en-US"/>
        </w:rPr>
        <w:t>l</w:t>
      </w:r>
      <w:r w:rsidRPr="00052467">
        <w:rPr>
          <w:rFonts w:ascii="Arial" w:hAnsi="Arial" w:cs="Arial"/>
          <w:color w:val="auto"/>
          <w:sz w:val="22"/>
          <w:szCs w:val="22"/>
          <w:lang w:val="en-US"/>
        </w:rPr>
        <w:t>axis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in mismatch patients (n = 71)</w:t>
      </w:r>
      <w:r w:rsidRPr="00052467">
        <w:rPr>
          <w:rFonts w:ascii="Arial" w:hAnsi="Arial" w:cs="Arial"/>
          <w:color w:val="auto"/>
          <w:sz w:val="22"/>
          <w:szCs w:val="22"/>
          <w:lang w:val="en-US"/>
        </w:rPr>
        <w:t>.</w:t>
      </w:r>
      <w:bookmarkEnd w:id="6"/>
      <w:r w:rsidRPr="00052467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052467" w:rsidRDefault="00052467" w:rsidP="00DB0EE1">
      <w:pPr>
        <w:spacing w:after="200"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8200800" cy="358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Y cuminc by prophylaxis type wide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800" cy="35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467" w:rsidRPr="00052467" w:rsidRDefault="00052467" w:rsidP="00DB0EE1">
      <w:pPr>
        <w:spacing w:after="200" w:line="480" w:lineRule="auto"/>
        <w:rPr>
          <w:rFonts w:ascii="Arial" w:hAnsi="Arial" w:cs="Arial"/>
          <w:sz w:val="22"/>
          <w:szCs w:val="22"/>
          <w:lang w:val="en-US"/>
        </w:rPr>
        <w:sectPr w:rsidR="00052467" w:rsidRPr="00052467" w:rsidSect="00052467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052467">
        <w:rPr>
          <w:rFonts w:ascii="Arial" w:hAnsi="Arial" w:cs="Arial"/>
          <w:sz w:val="22"/>
          <w:szCs w:val="22"/>
          <w:lang w:val="en-US"/>
        </w:rPr>
        <w:t>CAV – CAV grade 1 or more according to ISHLT, including CAV-related death. Other curves present mortality from the other major causes. CMVIG – anti-CMV immun</w:t>
      </w:r>
      <w:r w:rsidR="006D2C28">
        <w:rPr>
          <w:rFonts w:ascii="Arial" w:hAnsi="Arial" w:cs="Arial"/>
          <w:sz w:val="22"/>
          <w:szCs w:val="22"/>
          <w:lang w:val="en-US"/>
        </w:rPr>
        <w:t>oglobulin, VGCV - valganciclovir</w:t>
      </w:r>
    </w:p>
    <w:p w:rsidR="00520B5F" w:rsidRPr="006D2C28" w:rsidRDefault="00520B5F" w:rsidP="006D2C28">
      <w:pPr>
        <w:spacing w:after="200" w:line="276" w:lineRule="auto"/>
        <w:rPr>
          <w:rFonts w:ascii="Arial" w:eastAsiaTheme="majorEastAsia" w:hAnsi="Arial" w:cs="Arial"/>
          <w:b/>
          <w:bCs/>
          <w:sz w:val="22"/>
          <w:szCs w:val="28"/>
          <w:lang w:val="en-GB"/>
        </w:rPr>
      </w:pPr>
      <w:r w:rsidRPr="006D2C28">
        <w:rPr>
          <w:rFonts w:ascii="Arial" w:hAnsi="Arial" w:cs="Arial"/>
          <w:b/>
          <w:sz w:val="22"/>
          <w:lang w:val="en-GB"/>
        </w:rPr>
        <w:lastRenderedPageBreak/>
        <w:t>References</w:t>
      </w:r>
    </w:p>
    <w:p w:rsidR="00520B5F" w:rsidRPr="00520B5F" w:rsidRDefault="00520B5F" w:rsidP="00520B5F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520B5F" w:rsidRPr="00380B07" w:rsidRDefault="00520B5F" w:rsidP="00520B5F">
      <w:pPr>
        <w:pStyle w:val="EndNoteBibliography"/>
        <w:spacing w:line="480" w:lineRule="auto"/>
        <w:rPr>
          <w:rFonts w:ascii="Arial" w:hAnsi="Arial" w:cs="Arial"/>
          <w:lang w:val="en-US"/>
        </w:rPr>
      </w:pPr>
      <w:r w:rsidRPr="00520B5F">
        <w:rPr>
          <w:rFonts w:ascii="Arial" w:hAnsi="Arial" w:cs="Arial"/>
          <w:sz w:val="22"/>
          <w:szCs w:val="22"/>
          <w:lang w:val="en-GB"/>
        </w:rPr>
        <w:fldChar w:fldCharType="begin"/>
      </w:r>
      <w:r w:rsidRPr="00520B5F">
        <w:rPr>
          <w:rFonts w:ascii="Arial" w:hAnsi="Arial" w:cs="Arial"/>
          <w:sz w:val="22"/>
          <w:szCs w:val="22"/>
          <w:lang w:val="en-GB"/>
        </w:rPr>
        <w:instrText xml:space="preserve"> ADDIN EN.REFLIST </w:instrText>
      </w:r>
      <w:r w:rsidRPr="00520B5F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80B07">
        <w:rPr>
          <w:rFonts w:ascii="Arial" w:hAnsi="Arial" w:cs="Arial"/>
          <w:lang w:val="en-US"/>
        </w:rPr>
        <w:t>1.</w:t>
      </w:r>
      <w:r w:rsidRPr="00380B07">
        <w:rPr>
          <w:rFonts w:ascii="Arial" w:hAnsi="Arial" w:cs="Arial"/>
          <w:lang w:val="en-US"/>
        </w:rPr>
        <w:tab/>
        <w:t>van Doornum GJ, Guldemeester J, Osterhaus AD, Niesters HG: Diagnosing herpesvirus infections by real-time amplification and rapid culture. Journal of clinical microbiology 2003;41:576-80.</w:t>
      </w:r>
    </w:p>
    <w:p w:rsidR="00520B5F" w:rsidRPr="00520B5F" w:rsidRDefault="00520B5F" w:rsidP="00520B5F">
      <w:pPr>
        <w:pStyle w:val="EndNoteBibliography"/>
        <w:spacing w:line="480" w:lineRule="auto"/>
        <w:rPr>
          <w:rFonts w:ascii="Arial" w:hAnsi="Arial" w:cs="Arial"/>
        </w:rPr>
      </w:pPr>
      <w:r w:rsidRPr="00380B07">
        <w:rPr>
          <w:rFonts w:ascii="Arial" w:hAnsi="Arial" w:cs="Arial"/>
          <w:lang w:val="en-US"/>
        </w:rPr>
        <w:t>2.</w:t>
      </w:r>
      <w:r w:rsidRPr="00380B07">
        <w:rPr>
          <w:rFonts w:ascii="Arial" w:hAnsi="Arial" w:cs="Arial"/>
          <w:lang w:val="en-US"/>
        </w:rPr>
        <w:tab/>
        <w:t xml:space="preserve">Fukushima E, Ishibashi K, Kaneko H, et al.: Identification of a highly conserved region in the human cytomegalovirus glycoprotein H gene and design of molecular diagnostic methods targeting the region. </w:t>
      </w:r>
      <w:r w:rsidRPr="00520B5F">
        <w:rPr>
          <w:rFonts w:ascii="Arial" w:hAnsi="Arial" w:cs="Arial"/>
        </w:rPr>
        <w:t>J Virol Methods 2008;151:55-60.</w:t>
      </w:r>
    </w:p>
    <w:p w:rsidR="00033F9E" w:rsidRPr="003B0B4F" w:rsidRDefault="00520B5F" w:rsidP="00520B5F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520B5F">
        <w:rPr>
          <w:rFonts w:ascii="Arial" w:hAnsi="Arial" w:cs="Arial"/>
          <w:sz w:val="22"/>
          <w:szCs w:val="22"/>
          <w:lang w:val="en-GB"/>
        </w:rPr>
        <w:fldChar w:fldCharType="end"/>
      </w:r>
    </w:p>
    <w:sectPr w:rsidR="00033F9E" w:rsidRPr="003B0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66" w:rsidRDefault="00C93E66" w:rsidP="00C93E66">
      <w:r>
        <w:separator/>
      </w:r>
    </w:p>
  </w:endnote>
  <w:endnote w:type="continuationSeparator" w:id="0">
    <w:p w:rsidR="00C93E66" w:rsidRDefault="00C93E66" w:rsidP="00C9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061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E66" w:rsidRDefault="00C93E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F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3E66" w:rsidRDefault="00C93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66" w:rsidRDefault="00C93E66" w:rsidP="00C93E66">
      <w:r>
        <w:separator/>
      </w:r>
    </w:p>
  </w:footnote>
  <w:footnote w:type="continuationSeparator" w:id="0">
    <w:p w:rsidR="00C93E66" w:rsidRDefault="00C93E66" w:rsidP="00C9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Heart Lung Transplant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e9vsaacsep2dew95h5rp0gfzwt5rz9wsrs&quot;&gt;My EndNote Library&lt;record-ids&gt;&lt;item&gt;79&lt;/item&gt;&lt;item&gt;95&lt;/item&gt;&lt;/record-ids&gt;&lt;/item&gt;&lt;/Libraries&gt;"/>
  </w:docVars>
  <w:rsids>
    <w:rsidRoot w:val="005F7343"/>
    <w:rsid w:val="00033F9E"/>
    <w:rsid w:val="000514E9"/>
    <w:rsid w:val="00052467"/>
    <w:rsid w:val="00092E0B"/>
    <w:rsid w:val="000E2A1A"/>
    <w:rsid w:val="001144BB"/>
    <w:rsid w:val="001C4F03"/>
    <w:rsid w:val="0022297C"/>
    <w:rsid w:val="002B2822"/>
    <w:rsid w:val="002D7DEA"/>
    <w:rsid w:val="002F1734"/>
    <w:rsid w:val="00380B07"/>
    <w:rsid w:val="00384329"/>
    <w:rsid w:val="003B0B4F"/>
    <w:rsid w:val="00441CFE"/>
    <w:rsid w:val="004C0ABD"/>
    <w:rsid w:val="004D3C87"/>
    <w:rsid w:val="004E26D9"/>
    <w:rsid w:val="00505223"/>
    <w:rsid w:val="00520B5F"/>
    <w:rsid w:val="005A07E7"/>
    <w:rsid w:val="005C233D"/>
    <w:rsid w:val="005F7343"/>
    <w:rsid w:val="0067725F"/>
    <w:rsid w:val="006D2C28"/>
    <w:rsid w:val="007417E0"/>
    <w:rsid w:val="00754931"/>
    <w:rsid w:val="007B1010"/>
    <w:rsid w:val="007B19E4"/>
    <w:rsid w:val="00821205"/>
    <w:rsid w:val="008468F0"/>
    <w:rsid w:val="008A6D19"/>
    <w:rsid w:val="008E1B73"/>
    <w:rsid w:val="008E33CB"/>
    <w:rsid w:val="008F0E03"/>
    <w:rsid w:val="008F4DAB"/>
    <w:rsid w:val="009B7FF8"/>
    <w:rsid w:val="009E7EE3"/>
    <w:rsid w:val="00A6689E"/>
    <w:rsid w:val="00A85C8B"/>
    <w:rsid w:val="00AB51F1"/>
    <w:rsid w:val="00B2151A"/>
    <w:rsid w:val="00C54220"/>
    <w:rsid w:val="00C93E66"/>
    <w:rsid w:val="00CA5A02"/>
    <w:rsid w:val="00D44ACF"/>
    <w:rsid w:val="00DB0EE1"/>
    <w:rsid w:val="00E65727"/>
    <w:rsid w:val="00EB1709"/>
    <w:rsid w:val="00EC0A10"/>
    <w:rsid w:val="00F8760D"/>
    <w:rsid w:val="00F97B90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414D"/>
  <w15:docId w15:val="{DFF6E45E-A468-444D-AB11-10C0A328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6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6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LightShading-Accent3">
    <w:name w:val="Light Shading Accent 3"/>
    <w:basedOn w:val="TableNormal"/>
    <w:uiPriority w:val="60"/>
    <w:rsid w:val="00033F9E"/>
    <w:pPr>
      <w:spacing w:after="0" w:line="240" w:lineRule="auto"/>
      <w:ind w:firstLine="360"/>
    </w:pPr>
    <w:rPr>
      <w:rFonts w:eastAsiaTheme="minorEastAsia"/>
      <w:color w:val="76923C" w:themeColor="accent3" w:themeShade="BF"/>
      <w:lang w:val="pl-P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033F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51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4E9"/>
    <w:pPr>
      <w:spacing w:line="276" w:lineRule="auto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E9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6D2C28"/>
    <w:pPr>
      <w:tabs>
        <w:tab w:val="right" w:leader="dot" w:pos="12950"/>
      </w:tabs>
      <w:spacing w:after="100" w:line="480" w:lineRule="auto"/>
    </w:pPr>
  </w:style>
  <w:style w:type="character" w:styleId="Hyperlink">
    <w:name w:val="Hyperlink"/>
    <w:basedOn w:val="DefaultParagraphFont"/>
    <w:uiPriority w:val="99"/>
    <w:unhideWhenUsed/>
    <w:rsid w:val="000514E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20B5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0B5F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520B5F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20B5F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380B0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80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0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0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table" w:styleId="GridTable2">
    <w:name w:val="Grid Table 2"/>
    <w:basedOn w:val="TableNormal"/>
    <w:uiPriority w:val="47"/>
    <w:rsid w:val="00380B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B67F-106B-4785-82CC-BB837D45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1940</Words>
  <Characters>11062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J.J.C. Kreeft - Voermans</dc:creator>
  <cp:lastModifiedBy>O.C. Manintveld</cp:lastModifiedBy>
  <cp:revision>2</cp:revision>
  <dcterms:created xsi:type="dcterms:W3CDTF">2019-11-05T17:02:00Z</dcterms:created>
  <dcterms:modified xsi:type="dcterms:W3CDTF">2019-11-05T17:02:00Z</dcterms:modified>
</cp:coreProperties>
</file>