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5E0D8" w14:textId="2A4DF287" w:rsidR="00945055" w:rsidRDefault="00945055" w:rsidP="00945055"/>
    <w:tbl>
      <w:tblPr>
        <w:tblW w:w="9180" w:type="dxa"/>
        <w:tblLook w:val="04A0" w:firstRow="1" w:lastRow="0" w:firstColumn="1" w:lastColumn="0" w:noHBand="0" w:noVBand="1"/>
      </w:tblPr>
      <w:tblGrid>
        <w:gridCol w:w="280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280"/>
        <w:gridCol w:w="1780"/>
        <w:gridCol w:w="266"/>
        <w:gridCol w:w="1780"/>
        <w:gridCol w:w="266"/>
        <w:gridCol w:w="1780"/>
        <w:gridCol w:w="280"/>
      </w:tblGrid>
      <w:tr w:rsidR="00945055" w:rsidRPr="000B3B57" w14:paraId="4D6AC820" w14:textId="77777777" w:rsidTr="00083BD5">
        <w:trPr>
          <w:trHeight w:val="79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F7971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295A7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40AF2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4D99B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CD42C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44CB1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ED853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DC091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16168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28762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081B6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CE50F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C1DEF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5171D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4A3B3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90715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1909C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65A4A9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45055" w:rsidRPr="000B3B57" w14:paraId="6477808F" w14:textId="77777777" w:rsidTr="00083BD5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C6093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619EEC" w14:textId="77777777" w:rsidR="00945055" w:rsidRPr="000B3B57" w:rsidRDefault="00945055" w:rsidP="0008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Day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AB46E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89AA2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0F4F3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E1B550" w14:textId="77777777" w:rsidR="00945055" w:rsidRPr="000B3B57" w:rsidRDefault="00945055" w:rsidP="0008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Sensitivity Analyses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F5B041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45055" w:rsidRPr="000B3B57" w14:paraId="6E58F8CA" w14:textId="77777777" w:rsidTr="00083BD5">
        <w:trPr>
          <w:trHeight w:val="315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BCAB6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C7D03" w14:textId="77777777" w:rsidR="00945055" w:rsidRPr="000B3B57" w:rsidRDefault="00945055" w:rsidP="00083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4AE37" w14:textId="77777777" w:rsidR="00945055" w:rsidRPr="000B3B57" w:rsidRDefault="00945055" w:rsidP="00083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C2A74" w14:textId="77777777" w:rsidR="00945055" w:rsidRPr="000B3B57" w:rsidRDefault="00945055" w:rsidP="00083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58001" w14:textId="77777777" w:rsidR="00945055" w:rsidRPr="000B3B57" w:rsidRDefault="00945055" w:rsidP="00083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C745D" w14:textId="77777777" w:rsidR="00945055" w:rsidRPr="000B3B57" w:rsidRDefault="00945055" w:rsidP="00083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8F0FF" w14:textId="77777777" w:rsidR="00945055" w:rsidRPr="000B3B57" w:rsidRDefault="00945055" w:rsidP="00083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23EFA" w14:textId="77777777" w:rsidR="00945055" w:rsidRPr="000B3B57" w:rsidRDefault="00945055" w:rsidP="00083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6DC95" w14:textId="77777777" w:rsidR="00945055" w:rsidRPr="000B3B57" w:rsidRDefault="00945055" w:rsidP="00083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8F8D9" w14:textId="77777777" w:rsidR="00945055" w:rsidRPr="000B3B57" w:rsidRDefault="00945055" w:rsidP="00083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F89ED" w14:textId="77777777" w:rsidR="00945055" w:rsidRPr="000B3B57" w:rsidRDefault="00945055" w:rsidP="00083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B34EB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6A03E6" w14:textId="77777777" w:rsidR="00945055" w:rsidRPr="000B3B57" w:rsidRDefault="00945055" w:rsidP="0008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Primary Definition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450F1" w14:textId="77777777" w:rsidR="00945055" w:rsidRPr="000B3B57" w:rsidRDefault="00945055" w:rsidP="0008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4204D8" w14:textId="77777777" w:rsidR="00945055" w:rsidRPr="000B3B57" w:rsidRDefault="00945055" w:rsidP="0008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Naïve Definition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09D65" w14:textId="77777777" w:rsidR="00945055" w:rsidRPr="000B3B57" w:rsidRDefault="00945055" w:rsidP="0008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631E1C" w14:textId="77777777" w:rsidR="00945055" w:rsidRPr="000B3B57" w:rsidRDefault="00945055" w:rsidP="0008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2-Day Gap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86D9A9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45055" w:rsidRPr="000B3B57" w14:paraId="33BAE942" w14:textId="77777777" w:rsidTr="00083BD5">
        <w:trPr>
          <w:trHeight w:val="315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D59C3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0797BC3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F8DAD3A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93B4530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1DA2858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94A6CA5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C405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B0AC8A2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67BFE05E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572E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0622B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2D905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1C8702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 episode, 7 days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742AAB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95E53F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 episodes, 5 days &amp; 2 days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8876EE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476886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 episode, 7 days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818AE8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45055" w:rsidRPr="000B3B57" w14:paraId="1F29BC32" w14:textId="77777777" w:rsidTr="00083BD5">
        <w:trPr>
          <w:trHeight w:val="315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34FF0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E5E30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03387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57E96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61158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41011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957BC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78F01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5ECAE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5CED1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BE84A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B39D9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700F1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6BDF7D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99242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1CB6BB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9B0C16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2B6E0C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45055" w:rsidRPr="000B3B57" w14:paraId="47562A4A" w14:textId="77777777" w:rsidTr="00083BD5">
        <w:trPr>
          <w:trHeight w:val="315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58AFB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E51773A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657E72E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54C93F8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5D57D24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A513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78F5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7502B8A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9A3337C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4FAFA88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1B6A0F1F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2D853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C1CD9C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 episodes, 4 days &amp; 3 days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F98AE6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52805C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 episodes, 4 days &amp; 3 days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1304FE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B34744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 episode, 7 days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C1AEA7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45055" w:rsidRPr="000B3B57" w14:paraId="665C1D27" w14:textId="77777777" w:rsidTr="00083BD5">
        <w:trPr>
          <w:trHeight w:val="315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128C1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56614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9F1AC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91640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742A9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503B8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C77C5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B96D0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55FA9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3B5C8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175E7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4D3E5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A1BBC8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AD94FD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983A1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7B898A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5822A4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35A733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45055" w:rsidRPr="000B3B57" w14:paraId="6478382E" w14:textId="77777777" w:rsidTr="00083BD5">
        <w:trPr>
          <w:trHeight w:val="315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741E6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B080180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D2E6989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8938509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E638310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AA7B9A8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F8A2864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23C4D4E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A664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2A3D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B2CD2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332C8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BFE8DD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 episode, 7 days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5547B1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AC303D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 episode, 7 days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C34CF5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6C20B5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 episode, 7 days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2F8118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45055" w:rsidRPr="000B3B57" w14:paraId="2B518B25" w14:textId="77777777" w:rsidTr="00083BD5">
        <w:trPr>
          <w:trHeight w:val="315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01AF8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78944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9C235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C3031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17F79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41D3A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1EC7F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AA758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2A153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3DC7F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ECAD5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806ED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E78C2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6B68F8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6B84D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F94361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9ABF2C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A4DA26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45055" w:rsidRPr="000B3B57" w14:paraId="0BABC49E" w14:textId="77777777" w:rsidTr="00083BD5">
        <w:trPr>
          <w:trHeight w:val="315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3CBC7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3BD7A1F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702AF3B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D095E92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B7DF5B6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80588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25" w:color="000000" w:fill="595959"/>
            <w:noWrap/>
            <w:vAlign w:val="bottom"/>
            <w:hideMark/>
          </w:tcPr>
          <w:p w14:paraId="48091802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25" w:color="000000" w:fill="595959"/>
            <w:noWrap/>
            <w:vAlign w:val="bottom"/>
            <w:hideMark/>
          </w:tcPr>
          <w:p w14:paraId="1FEAEA42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2299E2D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1A5E0AA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33A8BC11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397A3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1D42A6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 episode, 7 days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92ACA7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F64E0C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 episodes, 4 days &amp; 3 days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1CF1DC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77540B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 episode, 7 days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E02302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45055" w:rsidRPr="000B3B57" w14:paraId="604F0132" w14:textId="77777777" w:rsidTr="00083BD5">
        <w:trPr>
          <w:trHeight w:val="315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2A069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0D322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083E8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16334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7888D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E47B8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1FDB1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E2A59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B67E8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E0560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10266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5EAAE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E8F725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5E096D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9C8346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64E4C2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88F29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8909EF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45055" w:rsidRPr="000B3B57" w14:paraId="2E13DACA" w14:textId="77777777" w:rsidTr="00083BD5">
        <w:trPr>
          <w:trHeight w:val="315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DC03E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8F4E5A3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61A7342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FC48B09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216ACDD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276E5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81C83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25" w:color="000000" w:fill="595959"/>
            <w:noWrap/>
            <w:vAlign w:val="bottom"/>
            <w:hideMark/>
          </w:tcPr>
          <w:p w14:paraId="11FAA808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80CF799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483875F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44ECF25F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AFC74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53D518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 episodes, 4 days &amp; 3 days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22C33A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A842D0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 episodes, 4 days &amp; 3 days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180EFE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03C931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 episode, 7 days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4A2900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45055" w:rsidRPr="000B3B57" w14:paraId="78EACE03" w14:textId="77777777" w:rsidTr="00083BD5">
        <w:trPr>
          <w:trHeight w:val="315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D3F8A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B67E6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DC96E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569DC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B0226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E54DC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A225B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5043A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018FC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B5563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788A4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1AE9C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443E88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1FD986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E8B5A9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8DCEEA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47BB87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F1FFAF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45055" w:rsidRPr="000B3B57" w14:paraId="71F067F3" w14:textId="77777777" w:rsidTr="00083BD5">
        <w:trPr>
          <w:trHeight w:val="315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E4971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6A8453BB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D2B69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Antipsychotic medication used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74C5C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950F2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3207D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24DAC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ABFC3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3B747B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45055" w:rsidRPr="000B3B57" w14:paraId="232B4B6C" w14:textId="77777777" w:rsidTr="00083BD5">
        <w:trPr>
          <w:trHeight w:val="315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0CA3E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EB74D5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DCDB8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 antipsychotic medication used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9EA7B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533F7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78F48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07D13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5AF30F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45055" w:rsidRPr="000B3B57" w14:paraId="429F7E30" w14:textId="77777777" w:rsidTr="00083BD5">
        <w:trPr>
          <w:trHeight w:val="315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92591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000000" w:fill="595959"/>
            <w:noWrap/>
            <w:vAlign w:val="bottom"/>
            <w:hideMark/>
          </w:tcPr>
          <w:p w14:paraId="47231E21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7B01B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All medications stopped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BC6AA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12CD8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22013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56F4B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B436B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66266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9A6B6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8D9525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45055" w:rsidRPr="000B3B57" w14:paraId="582CCC32" w14:textId="77777777" w:rsidTr="00083BD5">
        <w:trPr>
          <w:trHeight w:val="79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B8D7CB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3B7736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59452E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BFEB93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BD359B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BE2E8F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0D0715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D57017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3A1CCA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6F4394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806892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3880C7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B14707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FED7BE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A78C22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B7D4B5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681438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DC9AD7" w14:textId="77777777" w:rsidR="00945055" w:rsidRPr="000B3B57" w:rsidRDefault="00945055" w:rsidP="00083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B5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14:paraId="49A28CCE" w14:textId="77777777" w:rsidR="00945055" w:rsidRDefault="00945055" w:rsidP="00945055"/>
    <w:p w14:paraId="7C00913A" w14:textId="77777777" w:rsidR="00945055" w:rsidRDefault="00945055" w:rsidP="00945055">
      <w:r>
        <w:t xml:space="preserve">Supplemental Figure 1. Examples of medication duration per each episode definition used. </w:t>
      </w:r>
    </w:p>
    <w:p w14:paraId="3CD04878" w14:textId="77777777" w:rsidR="00945055" w:rsidRDefault="00945055" w:rsidP="00945055">
      <w:r>
        <w:t>The primary definition of antipsychotic medication duration was o</w:t>
      </w:r>
      <w:r w:rsidRPr="008466BF">
        <w:t>ne-day gaps allowed, time away allowed</w:t>
      </w:r>
      <w:r>
        <w:t xml:space="preserve"> within the episode. The naïve definition of antipsychotic medication duration was n</w:t>
      </w:r>
      <w:r w:rsidRPr="008466BF">
        <w:t>o gaps in use allowed</w:t>
      </w:r>
      <w:r>
        <w:t xml:space="preserve"> and </w:t>
      </w:r>
      <w:r w:rsidRPr="008466BF">
        <w:t>time away not allowed</w:t>
      </w:r>
      <w:r>
        <w:t xml:space="preserve"> (i.e. episode ends if resident stops taking medication for one day, or if they the facility to hospital or elsewhere). 2-day gap definition of duration allowed u</w:t>
      </w:r>
      <w:r w:rsidRPr="008466BF">
        <w:t>p to two-day gaps within an episode and time away from facility allowed.</w:t>
      </w:r>
    </w:p>
    <w:p w14:paraId="1D78FABD" w14:textId="77777777" w:rsidR="00945055" w:rsidRDefault="00945055" w:rsidP="00945055">
      <w:r>
        <w:br w:type="page"/>
      </w:r>
    </w:p>
    <w:p w14:paraId="4537E1A7" w14:textId="77777777" w:rsidR="00945055" w:rsidRDefault="00945055" w:rsidP="00945055">
      <w:r>
        <w:rPr>
          <w:noProof/>
        </w:rPr>
        <w:lastRenderedPageBreak/>
        <w:drawing>
          <wp:inline distT="0" distB="0" distL="0" distR="0" wp14:anchorId="3CD49609" wp14:editId="428CB022">
            <wp:extent cx="5731510" cy="462343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ti-psych meds sample chart 29 June 2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2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897F7" w14:textId="44A347F9" w:rsidR="00945055" w:rsidRDefault="00945055" w:rsidP="00945055">
      <w:r>
        <w:t>Supplemental Figure 2. Sample Size and Exclusions</w:t>
      </w:r>
    </w:p>
    <w:p w14:paraId="470CE1F7" w14:textId="544597A5" w:rsidR="00292F02" w:rsidRDefault="00292F02">
      <w:r>
        <w:br w:type="page"/>
      </w:r>
    </w:p>
    <w:p w14:paraId="492334D1" w14:textId="726818A8" w:rsidR="00292F02" w:rsidRDefault="00292F02" w:rsidP="00945055">
      <w:r>
        <w:rPr>
          <w:noProof/>
        </w:rPr>
        <w:lastRenderedPageBreak/>
        <w:drawing>
          <wp:inline distT="0" distB="0" distL="0" distR="0" wp14:anchorId="1E86D9D9" wp14:editId="4BFD08CC">
            <wp:extent cx="5731510" cy="45231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2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789C2" w14:textId="00CA9867" w:rsidR="00292F02" w:rsidRDefault="00292F02" w:rsidP="00945055">
      <w:r>
        <w:t xml:space="preserve">Supplemental Figure 3. </w:t>
      </w:r>
      <w:r w:rsidRPr="00292F02">
        <w:t>Psychiatric comorbidities: identification of conditions by data source</w:t>
      </w:r>
    </w:p>
    <w:p w14:paraId="77454829" w14:textId="2AA9F220" w:rsidR="00292F02" w:rsidRPr="00F56C32" w:rsidRDefault="00A54A3A" w:rsidP="00945055">
      <w:r>
        <w:t xml:space="preserve">A total of 298 cases of </w:t>
      </w:r>
      <w:r>
        <w:t>psychoses (includes paranoid states), schizophrenia or bipolar disorder (</w:t>
      </w:r>
      <w:r w:rsidRPr="008C6F7B">
        <w:t>PSBD</w:t>
      </w:r>
      <w:r>
        <w:t>)</w:t>
      </w:r>
      <w:r>
        <w:t xml:space="preserve"> were identified. </w:t>
      </w:r>
      <w:r w:rsidR="00292F02">
        <w:t xml:space="preserve">Psychiatric comorbidities were identified using </w:t>
      </w:r>
      <w:r w:rsidR="008F6460">
        <w:t xml:space="preserve">data from </w:t>
      </w:r>
      <w:r w:rsidR="00292F02">
        <w:t>both</w:t>
      </w:r>
      <w:r w:rsidR="008F6460">
        <w:t xml:space="preserve"> the</w:t>
      </w:r>
      <w:r w:rsidR="00292F02">
        <w:t xml:space="preserve"> aged care funding instrument (ACFI) and notes in the electronic health record (EHR). </w:t>
      </w:r>
      <w:r w:rsidR="00F56C32">
        <w:t xml:space="preserve">The number of cases identified with ACFI added to the cases identified only with EHR notes is the total number of cases for each </w:t>
      </w:r>
      <w:r w:rsidR="00F56C32" w:rsidRPr="00F56C32">
        <w:t xml:space="preserve">condition (e.g. </w:t>
      </w:r>
      <w:r w:rsidR="00F56C32" w:rsidRPr="00F56C32">
        <w:rPr>
          <w:rFonts w:ascii="Calibri" w:hAnsi="Calibri" w:cs="Calibri"/>
          <w:color w:val="000000"/>
        </w:rPr>
        <w:t xml:space="preserve">“Psychoses e.g. schizophrenia, paranoid states” </w:t>
      </w:r>
      <w:r w:rsidR="00F56C32" w:rsidRPr="00F56C32">
        <w:rPr>
          <w:rFonts w:ascii="Calibri" w:hAnsi="Calibri" w:cs="Calibri"/>
          <w:b/>
          <w:color w:val="000000"/>
        </w:rPr>
        <w:t xml:space="preserve">recorded in ACFI </w:t>
      </w:r>
      <w:r w:rsidR="00F56C32" w:rsidRPr="008D4C8D">
        <w:rPr>
          <w:rFonts w:ascii="Calibri" w:hAnsi="Calibri" w:cs="Calibri"/>
          <w:color w:val="000000"/>
        </w:rPr>
        <w:t xml:space="preserve">assessment </w:t>
      </w:r>
      <w:r w:rsidR="00F56C32" w:rsidRPr="00F56C32">
        <w:rPr>
          <w:rFonts w:ascii="Calibri" w:hAnsi="Calibri" w:cs="Calibri"/>
          <w:b/>
          <w:bCs/>
          <w:color w:val="000000"/>
        </w:rPr>
        <w:t>+</w:t>
      </w:r>
      <w:r w:rsidR="00F56C32" w:rsidRPr="00F56C32">
        <w:rPr>
          <w:rFonts w:ascii="Calibri" w:hAnsi="Calibri" w:cs="Calibri"/>
          <w:color w:val="000000"/>
        </w:rPr>
        <w:t xml:space="preserve"> “Psychoses e.g. schizophrenia, paranoid states” </w:t>
      </w:r>
      <w:r w:rsidR="00F56C32" w:rsidRPr="008D4C8D">
        <w:rPr>
          <w:rFonts w:ascii="Calibri" w:hAnsi="Calibri" w:cs="Calibri"/>
          <w:b/>
          <w:bCs/>
          <w:color w:val="000000"/>
        </w:rPr>
        <w:t>not</w:t>
      </w:r>
      <w:r w:rsidR="00F56C32" w:rsidRPr="008D4C8D">
        <w:rPr>
          <w:rFonts w:ascii="Calibri" w:hAnsi="Calibri" w:cs="Calibri"/>
          <w:b/>
          <w:color w:val="000000"/>
        </w:rPr>
        <w:t xml:space="preserve"> recorded in ACFI </w:t>
      </w:r>
      <w:r w:rsidR="00F56C32" w:rsidRPr="00F56C32">
        <w:rPr>
          <w:rFonts w:ascii="Calibri" w:hAnsi="Calibri" w:cs="Calibri"/>
          <w:color w:val="000000"/>
        </w:rPr>
        <w:t>assessment</w:t>
      </w:r>
      <w:r w:rsidR="00F56C32">
        <w:rPr>
          <w:rFonts w:ascii="Calibri" w:hAnsi="Calibri" w:cs="Calibri"/>
          <w:color w:val="000000"/>
        </w:rPr>
        <w:t xml:space="preserve"> but identified using EHR notes</w:t>
      </w:r>
      <w:r w:rsidR="00F56C32" w:rsidRPr="00F56C32">
        <w:rPr>
          <w:rFonts w:ascii="Calibri" w:hAnsi="Calibri" w:cs="Calibri"/>
          <w:color w:val="000000"/>
        </w:rPr>
        <w:t xml:space="preserve"> </w:t>
      </w:r>
      <w:r w:rsidR="00F56C32" w:rsidRPr="00F56C32">
        <w:rPr>
          <w:rFonts w:ascii="Calibri" w:hAnsi="Calibri" w:cs="Calibri"/>
          <w:b/>
          <w:bCs/>
          <w:color w:val="000000"/>
        </w:rPr>
        <w:t>=</w:t>
      </w:r>
      <w:r w:rsidR="00F56C32" w:rsidRPr="00F56C32">
        <w:rPr>
          <w:rFonts w:ascii="Calibri" w:hAnsi="Calibri" w:cs="Calibri"/>
          <w:color w:val="000000"/>
        </w:rPr>
        <w:t xml:space="preserve"> </w:t>
      </w:r>
      <w:r w:rsidR="00F56C32" w:rsidRPr="00F56C32">
        <w:rPr>
          <w:rFonts w:ascii="Calibri" w:hAnsi="Calibri" w:cs="Calibri"/>
          <w:b/>
          <w:color w:val="000000"/>
        </w:rPr>
        <w:t>total cases</w:t>
      </w:r>
      <w:r w:rsidR="00F56C32" w:rsidRPr="00F56C32">
        <w:rPr>
          <w:rFonts w:ascii="Calibri" w:hAnsi="Calibri" w:cs="Calibri"/>
          <w:color w:val="000000"/>
        </w:rPr>
        <w:t xml:space="preserve"> identified</w:t>
      </w:r>
      <w:r w:rsidR="00F56C32" w:rsidRPr="00F56C32">
        <w:rPr>
          <w:rFonts w:ascii="Calibri" w:hAnsi="Calibri" w:cs="Calibri"/>
          <w:color w:val="000000"/>
        </w:rPr>
        <w:t>)</w:t>
      </w:r>
      <w:r w:rsidR="00F56C32">
        <w:rPr>
          <w:rFonts w:ascii="Calibri" w:hAnsi="Calibri" w:cs="Calibri"/>
          <w:color w:val="000000"/>
        </w:rPr>
        <w:t xml:space="preserve">. </w:t>
      </w:r>
      <w:r w:rsidR="008F6460">
        <w:rPr>
          <w:rFonts w:ascii="Calibri" w:hAnsi="Calibri" w:cs="Calibri"/>
          <w:color w:val="000000"/>
        </w:rPr>
        <w:t xml:space="preserve">Further detail is provided in Table S4. </w:t>
      </w:r>
      <w:bookmarkStart w:id="0" w:name="_GoBack"/>
      <w:bookmarkEnd w:id="0"/>
    </w:p>
    <w:p w14:paraId="656A30CD" w14:textId="77777777" w:rsidR="00292F02" w:rsidRPr="00F56C32" w:rsidRDefault="00292F02" w:rsidP="00945055"/>
    <w:p w14:paraId="0F4A9F79" w14:textId="77777777" w:rsidR="00945055" w:rsidRDefault="00945055" w:rsidP="00945055"/>
    <w:p w14:paraId="0927BC6E" w14:textId="77777777" w:rsidR="00213B59" w:rsidRDefault="008F6460"/>
    <w:sectPr w:rsidR="00213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55"/>
    <w:rsid w:val="00292F02"/>
    <w:rsid w:val="005B7825"/>
    <w:rsid w:val="008D4C8D"/>
    <w:rsid w:val="008F6460"/>
    <w:rsid w:val="00945055"/>
    <w:rsid w:val="00A54A3A"/>
    <w:rsid w:val="00C559B4"/>
    <w:rsid w:val="00C56ECF"/>
    <w:rsid w:val="00F5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6A070"/>
  <w15:chartTrackingRefBased/>
  <w15:docId w15:val="{84E3162B-C619-473F-B312-1C09D97B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56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C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C3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331</Words>
  <Characters>2042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Kim Lind</dc:creator>
  <cp:keywords/>
  <dc:description/>
  <cp:lastModifiedBy>Dr Kim Lind</cp:lastModifiedBy>
  <cp:revision>6</cp:revision>
  <dcterms:created xsi:type="dcterms:W3CDTF">2019-05-20T05:44:00Z</dcterms:created>
  <dcterms:modified xsi:type="dcterms:W3CDTF">2019-05-20T07:47:00Z</dcterms:modified>
</cp:coreProperties>
</file>