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D1B2" w14:textId="77777777" w:rsidR="00671CA6" w:rsidRPr="001806D4" w:rsidRDefault="00884BF4" w:rsidP="00884BF4">
      <w:pPr>
        <w:spacing w:line="360" w:lineRule="auto"/>
        <w:rPr>
          <w:rFonts w:ascii="Arial" w:hAnsi="Arial" w:cs="Arial"/>
          <w:b/>
        </w:rPr>
      </w:pPr>
      <w:r w:rsidRPr="001806D4">
        <w:rPr>
          <w:rFonts w:ascii="Arial" w:hAnsi="Arial" w:cs="Arial"/>
          <w:b/>
        </w:rPr>
        <w:t xml:space="preserve">Supplemental File A: </w:t>
      </w:r>
      <w:r w:rsidR="00671CA6" w:rsidRPr="001806D4">
        <w:rPr>
          <w:rFonts w:ascii="Arial" w:hAnsi="Arial" w:cs="Arial"/>
          <w:b/>
        </w:rPr>
        <w:t xml:space="preserve">Uncertain Interval </w:t>
      </w:r>
      <w:r w:rsidR="00F00EF2" w:rsidRPr="001806D4">
        <w:rPr>
          <w:rFonts w:ascii="Arial" w:hAnsi="Arial" w:cs="Arial"/>
          <w:b/>
        </w:rPr>
        <w:t>T</w:t>
      </w:r>
      <w:r w:rsidR="00671CA6" w:rsidRPr="001806D4">
        <w:rPr>
          <w:rFonts w:ascii="Arial" w:hAnsi="Arial" w:cs="Arial"/>
          <w:b/>
        </w:rPr>
        <w:t xml:space="preserve">richotomization </w:t>
      </w:r>
      <w:r w:rsidR="00F00EF2" w:rsidRPr="001806D4">
        <w:rPr>
          <w:rFonts w:ascii="Arial" w:hAnsi="Arial" w:cs="Arial"/>
          <w:b/>
        </w:rPr>
        <w:t>M</w:t>
      </w:r>
      <w:r w:rsidR="00671CA6" w:rsidRPr="001806D4">
        <w:rPr>
          <w:rFonts w:ascii="Arial" w:hAnsi="Arial" w:cs="Arial"/>
          <w:b/>
        </w:rPr>
        <w:t>ethods</w:t>
      </w:r>
    </w:p>
    <w:p w14:paraId="02247767" w14:textId="7AC92826" w:rsidR="00DC353C" w:rsidRPr="001806D4" w:rsidRDefault="00DC353C" w:rsidP="00DC353C">
      <w:pPr>
        <w:spacing w:line="480" w:lineRule="auto"/>
        <w:rPr>
          <w:rFonts w:ascii="Arial" w:eastAsia="Times New Roman" w:hAnsi="Arial" w:cs="Times New Roman"/>
          <w:sz w:val="24"/>
          <w:szCs w:val="20"/>
          <w:lang w:eastAsia="de-DE"/>
        </w:rPr>
      </w:pPr>
      <w:r w:rsidRPr="001806D4">
        <w:rPr>
          <w:rFonts w:ascii="Arial" w:hAnsi="Arial" w:cs="Arial"/>
        </w:rPr>
        <w:t xml:space="preserve">Supplement </w:t>
      </w:r>
      <w:r w:rsidR="00AC23C5" w:rsidRPr="001806D4">
        <w:rPr>
          <w:rFonts w:ascii="Arial" w:hAnsi="Arial" w:cs="Arial"/>
        </w:rPr>
        <w:t xml:space="preserve">A </w:t>
      </w:r>
      <w:r w:rsidRPr="001806D4">
        <w:rPr>
          <w:rFonts w:ascii="Arial" w:hAnsi="Arial" w:cs="Arial"/>
        </w:rPr>
        <w:t>of: “</w:t>
      </w:r>
      <w:r w:rsidR="006E282C" w:rsidRPr="001806D4">
        <w:rPr>
          <w:rFonts w:ascii="Arial" w:eastAsia="Times New Roman" w:hAnsi="Arial" w:cs="Times New Roman"/>
          <w:sz w:val="24"/>
          <w:szCs w:val="20"/>
          <w:lang w:eastAsia="de-DE"/>
        </w:rPr>
        <w:t>Impact of the Prevalence of cognitive impairment on the accuracy of the Montreal Cognitive Assessment</w:t>
      </w:r>
      <w:r w:rsidRPr="001806D4">
        <w:rPr>
          <w:rFonts w:ascii="Arial" w:eastAsia="Times New Roman" w:hAnsi="Arial" w:cs="Times New Roman"/>
          <w:sz w:val="24"/>
          <w:szCs w:val="20"/>
          <w:lang w:eastAsia="de-DE"/>
        </w:rPr>
        <w:t>” by Johannes A. Landsheer (e-mail: j.a.landsheer@uu.nl).</w:t>
      </w:r>
    </w:p>
    <w:p w14:paraId="4C0566CF" w14:textId="77777777" w:rsidR="00DC353C" w:rsidRPr="001806D4" w:rsidRDefault="00DC353C" w:rsidP="00884BF4">
      <w:pPr>
        <w:spacing w:line="360" w:lineRule="auto"/>
        <w:rPr>
          <w:rFonts w:ascii="Arial" w:hAnsi="Arial" w:cs="Arial"/>
        </w:rPr>
      </w:pPr>
    </w:p>
    <w:p w14:paraId="0645FC7B" w14:textId="27678212" w:rsidR="00800850" w:rsidRPr="001806D4" w:rsidRDefault="00BF30DB" w:rsidP="00DC353C">
      <w:pPr>
        <w:spacing w:line="360" w:lineRule="auto"/>
        <w:ind w:firstLine="720"/>
        <w:rPr>
          <w:rFonts w:ascii="Arial" w:hAnsi="Arial" w:cs="Arial"/>
        </w:rPr>
      </w:pPr>
      <w:r w:rsidRPr="001806D4">
        <w:rPr>
          <w:rFonts w:ascii="Arial" w:hAnsi="Arial" w:cs="Arial"/>
        </w:rPr>
        <w:t xml:space="preserve">The most popular method in medical decision making is using dichotomization, most often by applying the maximum Youden Index so that the sum of </w:t>
      </w:r>
      <w:r w:rsidRPr="001806D4">
        <w:rPr>
          <w:rFonts w:ascii="Arial" w:hAnsi="Arial" w:cs="Arial"/>
          <w:i/>
        </w:rPr>
        <w:t>Se</w:t>
      </w:r>
      <w:r w:rsidRPr="001806D4">
        <w:rPr>
          <w:rFonts w:ascii="Arial" w:hAnsi="Arial" w:cs="Arial"/>
        </w:rPr>
        <w:t xml:space="preserve"> and </w:t>
      </w:r>
      <w:r w:rsidRPr="001806D4">
        <w:rPr>
          <w:rFonts w:ascii="Arial" w:hAnsi="Arial" w:cs="Arial"/>
          <w:i/>
        </w:rPr>
        <w:t>Sp</w:t>
      </w:r>
      <w:r w:rsidRPr="001806D4">
        <w:rPr>
          <w:rFonts w:ascii="Arial" w:hAnsi="Arial" w:cs="Arial"/>
        </w:rPr>
        <w:t xml:space="preserve"> is maximized. The constructors of the MOCA have used a similar dichotomization, using a balance between </w:t>
      </w:r>
      <w:r w:rsidRPr="001806D4">
        <w:rPr>
          <w:rFonts w:ascii="Arial" w:hAnsi="Arial" w:cs="Arial"/>
          <w:i/>
        </w:rPr>
        <w:t>Se</w:t>
      </w:r>
      <w:r w:rsidRPr="001806D4">
        <w:rPr>
          <w:rFonts w:ascii="Arial" w:hAnsi="Arial" w:cs="Arial"/>
        </w:rPr>
        <w:t xml:space="preserve"> and </w:t>
      </w:r>
      <w:r w:rsidRPr="001806D4">
        <w:rPr>
          <w:rFonts w:ascii="Arial" w:hAnsi="Arial" w:cs="Arial"/>
          <w:i/>
        </w:rPr>
        <w:t>Sp</w:t>
      </w:r>
      <w:r w:rsidRPr="001806D4">
        <w:rPr>
          <w:rFonts w:ascii="Arial" w:hAnsi="Arial" w:cs="Arial"/>
        </w:rPr>
        <w:t xml:space="preserve"> </w:t>
      </w:r>
      <w:r w:rsidRPr="001806D4">
        <w:rPr>
          <w:rFonts w:ascii="Arial" w:hAnsi="Arial" w:cs="Arial"/>
        </w:rPr>
        <w:fldChar w:fldCharType="begin"/>
      </w:r>
      <w:r w:rsidR="007D76D6" w:rsidRPr="001806D4">
        <w:rPr>
          <w:rFonts w:ascii="Arial" w:hAnsi="Arial" w:cs="Arial"/>
        </w:rPr>
        <w:instrText xml:space="preserve"> ADDIN ZOTERO_ITEM CSL_CITATION {"citationID":"VKfEIXqa","properties":{"formattedCitation":"\\super 1\\nosupersub{}","plainCitation":"1","noteIndex":0},"citationItems":[{"id":1212,"uris":["http://zotero.org/users/841920/items/W2KD4JEV"],"uri":["http://zotero.org/users/841920/items/W2KD4JEV"],"itemData":{"id":1212,"type":"article-journal","title":"The Montreal Cognitive Assessment, MoCA: a brief screening tool for mild cognitive impairment","container-title":"Journal of the American Geriatrics Society","page":"695–699","volume":"53","issue":"4","source":"Google Scholar","title-short":"The Montreal Cognitive Assessment, MoCA","author":[{"family":"Nasreddine","given":"Ziad S."},{"family":"Phillips","given":"Natalie A."},{"family":"Bédirian","given":"Valérie"},{"family":"Charbonneau","given":"Simon"},{"family":"Whitehead","given":"Victor"},{"family":"Collin","given":"Isabelle"},{"family":"Cummings","given":"Jeffrey L."},{"family":"Chertkow","given":"Howard"}],"issued":{"date-parts":[["2005"]]}}}],"schema":"https://github.com/citation-style-language/schema/raw/master/csl-citation.json"} </w:instrText>
      </w:r>
      <w:r w:rsidRPr="001806D4">
        <w:rPr>
          <w:rFonts w:ascii="Arial" w:hAnsi="Arial" w:cs="Arial"/>
        </w:rPr>
        <w:fldChar w:fldCharType="separate"/>
      </w:r>
      <w:r w:rsidR="007D76D6" w:rsidRPr="001806D4">
        <w:rPr>
          <w:rFonts w:ascii="Arial" w:hAnsi="Arial" w:cs="Arial"/>
          <w:szCs w:val="24"/>
          <w:vertAlign w:val="superscript"/>
        </w:rPr>
        <w:t>1</w:t>
      </w:r>
      <w:r w:rsidRPr="001806D4">
        <w:rPr>
          <w:rFonts w:ascii="Arial" w:hAnsi="Arial" w:cs="Arial"/>
        </w:rPr>
        <w:fldChar w:fldCharType="end"/>
      </w:r>
      <w:r w:rsidRPr="001806D4">
        <w:rPr>
          <w:rFonts w:ascii="Arial" w:hAnsi="Arial" w:cs="Arial"/>
        </w:rPr>
        <w:t xml:space="preserve">. In the past </w:t>
      </w:r>
      <w:r w:rsidRPr="001806D4">
        <w:rPr>
          <w:rFonts w:ascii="Arial" w:hAnsi="Arial" w:cs="Arial"/>
        </w:rPr>
        <w:fldChar w:fldCharType="begin"/>
      </w:r>
      <w:r w:rsidR="007D76D6" w:rsidRPr="001806D4">
        <w:rPr>
          <w:rFonts w:ascii="Arial" w:hAnsi="Arial" w:cs="Arial"/>
        </w:rPr>
        <w:instrText xml:space="preserve"> ADDIN ZOTERO_ITEM CSL_CITATION {"citationID":"gCuyczKc","properties":{"formattedCitation":"\\super 2\\uc0\\u8211{}6\\nosupersub{}","plainCitation":"2–6","noteIndex":0},"citationItems":[{"id":422,"uris":["http://zotero.org/users/841920/items/AS3964JI"],"uri":["http://zotero.org/users/841920/items/AS3964JI"],"itemData":{"id":422,"type":"article-journal","title":"A gray zone assigned to inconclusive results of quantitative diagnostic tests: application to the use of brain natriuretic peptide for diagnosis of heart failure in acute dyspneic patients","container-title":"Clinical chemistry","page":"2229–2235","volume":"52","issue":"12","source":"Google Scholar","title-short":"A gray zone assigned to inconclusive results of quantitative diagnostic tests","author":[{"family":"Coste","given":"Joël"},{"family":"Jourdain","given":"Patrick"},{"family":"Pouchot","given":"Jacques"}],"issued":{"date-parts":[["2006"]]}}},{"id":421,"uris":["http://zotero.org/users/841920/items/WAWFV6AU"],"uri":["http://zotero.org/users/841920/items/WAWFV6AU"],"itemData":{"id":421,"type":"article-journal","title":"A grey zone for quantitative diagnostic and screening tests","container-title":"International journal of epidemiology","page":"304–313","volume":"32","issue":"2","source":"Google Scholar","author":[{"family":"Coste","given":"Joël"},{"family":"Pouchot","given":"Jacques"}],"issued":{"date-parts":[["2003"]]}}},{"id":428,"uris":["http://zotero.org/users/841920/items/HRMQFN6P"],"uri":["http://zotero.org/users/841920/items/HRMQFN6P"],"itemData":{"id":428,"type":"article-journal","title":"The inadequacy of binary models for the clinical reality of three-zone diagnostic decisions.","container-title":"Journal of clinical epidemiology","page":"109","volume":"43","issue":"1","source":"Google Scholar","author":[{"family":"Feinstein","given":"A. R."}],"issued":{"date-parts":[["1990"]]}}},{"id":425,"uris":["http://zotero.org/users/841920/items/JTEF42TA"],"uri":["http://zotero.org/users/841920/items/JTEF42TA"],"itemData":{"id":425,"type":"article-journal","title":"A modified ROC analysis for the selection of cut-off values and the definition of intermediate results of serodiagnostic tests","container-title":"Journal of immunological methods","page":"123–132","volume":"185","issue":"1","source":"Google Scholar","author":[{"family":"Greiner","given":"Matthias"},{"family":"Sohr","given":"Dorit"},{"family":"Göbel","given":"Petra"}],"issued":{"date-parts":[["1995"]]}}},{"id":73,"uris":["http://zotero.org/users/841920/items/NHQSIMZA"],"uri":["http://zotero.org/users/841920/items/NHQSIMZA"],"itemData":{"id":73,"type":"article-journal","title":"Intermediate, indeterminate, and uninterpretable diagnostic test results","container-title":"Medical Decision Making","page":"107–114","volume":"7","issue":"2","source":"Google Scholar","author":[{"family":"Simel","given":"David L."},{"family":"Feussner","given":"John R."},{"family":"Delong","given":"Elizabeth R."},{"family":"Matchar","given":"David B."}],"issued":{"date-parts":[["1987"]]}}}],"schema":"https://github.com/citation-style-language/schema/raw/master/csl-citation.json"} </w:instrText>
      </w:r>
      <w:r w:rsidRPr="001806D4">
        <w:rPr>
          <w:rFonts w:ascii="Arial" w:hAnsi="Arial" w:cs="Arial"/>
        </w:rPr>
        <w:fldChar w:fldCharType="separate"/>
      </w:r>
      <w:r w:rsidR="007D76D6" w:rsidRPr="001806D4">
        <w:rPr>
          <w:rFonts w:ascii="Arial" w:hAnsi="Arial" w:cs="Arial"/>
          <w:szCs w:val="24"/>
          <w:vertAlign w:val="superscript"/>
        </w:rPr>
        <w:t>2–6</w:t>
      </w:r>
      <w:r w:rsidRPr="001806D4">
        <w:rPr>
          <w:rFonts w:ascii="Arial" w:hAnsi="Arial" w:cs="Arial"/>
        </w:rPr>
        <w:fldChar w:fldCharType="end"/>
      </w:r>
      <w:r w:rsidRPr="001806D4">
        <w:rPr>
          <w:rFonts w:ascii="Arial" w:hAnsi="Arial" w:cs="Arial"/>
        </w:rPr>
        <w:t xml:space="preserve"> as well as more recently </w:t>
      </w:r>
      <w:r w:rsidRPr="001806D4">
        <w:rPr>
          <w:rFonts w:ascii="Arial" w:hAnsi="Arial" w:cs="Arial"/>
        </w:rPr>
        <w:fldChar w:fldCharType="begin"/>
      </w:r>
      <w:r w:rsidR="007D76D6" w:rsidRPr="001806D4">
        <w:rPr>
          <w:rFonts w:ascii="Arial" w:hAnsi="Arial" w:cs="Arial"/>
        </w:rPr>
        <w:instrText xml:space="preserve"> ADDIN ZOTERO_ITEM CSL_CITATION {"citationID":"HaL52qLN","properties":{"formattedCitation":"\\super 7\\uc0\\u8211{}10\\nosupersub{}","plainCitation":"7–10","noteIndex":0},"citationItems":[{"id":408,"uris":["http://zotero.org/users/841920/items/35QMMBVS"],"uri":["http://zotero.org/users/841920/items/35QMMBVS"],"itemData":{"id":408,"type":"article-journal","title":"Interval of Uncertainty: An Alternative Approach for the Determination of Decision Thresholds, with an Illustrative Application for the Prediction of Prostate Cancer","container-title":"PloS one","page":"e0166007","volume":"11","issue":"11","source":"Google Scholar","title-short":"Interval of Uncertainty","author":[{"family":"Landsheer","given":"J. A."}],"issued":{"date-parts":[["2016"]]}}},{"id":31,"uris":["http://zotero.org/users/841920/items/NPLD3IA7"],"uri":["http://zotero.org/users/841920/items/NPLD3IA7"],"itemData":{"id":31,"type":"article-journal","title":"The Clinical Relevance of Methods for Handling Inconclusive Medical Test Results: Quantification of Uncertainty in Medical Decision-Making and Screening","container-title":"Diagnostics","page":"32","volume":"8","issue":"2","source":"www.mdpi.com","abstract":"Background: although the existence of inconclusive medical test results or bio-markers is widely recognized, there are indications that this inherent diagnostic uncertainty is sometimes ignored. This paper discusses three methods for defining and determining inconclusive medical test results, which use different definitions and differ in clinical relevance. Methods: the TG-ROC (two graphs receiver operating characteristics) method is the easiest to use, while the grey zone method and the uncertain interval method require more extensive calculations. Results: this paper discusses the technical details of the methods, as well as advantages and disadvantages for their clinical use. TG-ROC and the grey zone method can help in the acquisition of high rates of diagnostic certainty, but can exclude large groups. The uncertain interval method can prevent decisions that are the most uncertain, invalid and unreliable, while excluding smaller groups. Conclusions: the identification of uncertain test scores is relevant, because these scores indicate the need to obtain better information or to await further developments. The methods presented help to determine inconclusive test scores and can help to reduce erroneous decisions. However, further research and development is desirable.","DOI":"10.3390/diagnostics8020032","title-short":"The Clinical Relevance of Methods for Handling Inconclusive Medical Test Results","language":"en","author":[{"family":"Landsheer","given":"J. A."}],"issued":{"date-parts":[["2018",5,9]]}}},{"id":74,"uris":["http://zotero.org/users/841920/items/WB5ZB2ZT"],"uri":["http://zotero.org/users/841920/items/WB5ZB2ZT"],"itemData":{"id":74,"type":"article-journal","title":"Use of 3x2 tables with an intention to diagnose approach to assess clinical performance of diagnostic tests: meta-analytical evaluation of coronary CT angiography studies","container-title":"Bmj","page":"1:10","volume":"345","issue":"e6717","source":"Google Scholar","title-short":"Use of 3x2 tables with an intention to diagnose approach to assess clinical performance of diagnostic tests","author":[{"family":"Schuetz","given":"Georg M."},{"family":"Schlattmann","given":"Peter"},{"family":"Dewey","given":"Marc"}],"issued":{"date-parts":[["2012"]]}}},{"id":419,"uris":["http://zotero.org/users/841920/items/RVSJ3EXK"],"uri":["http://zotero.org/users/841920/items/RVSJ3EXK"],"itemData":{"id":419,"type":"article-journal","title":"Diagnostic uncertainty: dichotomies are not the answer","container-title":"Br J Gen Pract","page":"122–123","volume":"63","issue":"608","source":"Google Scholar","title-short":"Diagnostic uncertainty","author":[{"family":"Shinkins","given":"Bethany"},{"family":"Perera","given":"Rafael"}],"issued":{"date-parts":[["2013"]]}}}],"schema":"https://github.com/citation-style-language/schema/raw/master/csl-citation.json"} </w:instrText>
      </w:r>
      <w:r w:rsidRPr="001806D4">
        <w:rPr>
          <w:rFonts w:ascii="Arial" w:hAnsi="Arial" w:cs="Arial"/>
        </w:rPr>
        <w:fldChar w:fldCharType="separate"/>
      </w:r>
      <w:r w:rsidR="007D76D6" w:rsidRPr="001806D4">
        <w:rPr>
          <w:rFonts w:ascii="Arial" w:hAnsi="Arial" w:cs="Arial"/>
          <w:szCs w:val="24"/>
          <w:vertAlign w:val="superscript"/>
        </w:rPr>
        <w:t>7–10</w:t>
      </w:r>
      <w:r w:rsidRPr="001806D4">
        <w:rPr>
          <w:rFonts w:ascii="Arial" w:hAnsi="Arial" w:cs="Arial"/>
        </w:rPr>
        <w:fldChar w:fldCharType="end"/>
      </w:r>
      <w:r w:rsidRPr="001806D4">
        <w:rPr>
          <w:rFonts w:ascii="Arial" w:hAnsi="Arial" w:cs="Arial"/>
        </w:rPr>
        <w:t xml:space="preserve"> researchers have argued against such dichotomization and have suggested methods for defining a range of uncertain test scores that does not allow for sufficient distinction between the patients. These methods result in three ranges</w:t>
      </w:r>
      <w:r w:rsidR="00F07BCD" w:rsidRPr="001806D4">
        <w:rPr>
          <w:rFonts w:ascii="Arial" w:hAnsi="Arial" w:cs="Arial"/>
        </w:rPr>
        <w:t xml:space="preserve"> (trichotomization):</w:t>
      </w:r>
      <w:r w:rsidRPr="001806D4">
        <w:rPr>
          <w:rFonts w:ascii="Arial" w:hAnsi="Arial" w:cs="Arial"/>
        </w:rPr>
        <w:t xml:space="preserve"> </w:t>
      </w:r>
      <w:r w:rsidR="00F07BCD" w:rsidRPr="001806D4">
        <w:rPr>
          <w:rFonts w:ascii="Arial" w:hAnsi="Arial" w:cs="Arial"/>
        </w:rPr>
        <w:t xml:space="preserve">1. </w:t>
      </w:r>
      <w:r w:rsidRPr="001806D4">
        <w:rPr>
          <w:rFonts w:ascii="Arial" w:hAnsi="Arial" w:cs="Arial"/>
        </w:rPr>
        <w:t>a range that indicates the presence of the targeted disease relatively the best</w:t>
      </w:r>
      <w:r w:rsidR="00F07BCD" w:rsidRPr="001806D4">
        <w:rPr>
          <w:rFonts w:ascii="Arial" w:hAnsi="Arial" w:cs="Arial"/>
        </w:rPr>
        <w:t>;</w:t>
      </w:r>
      <w:r w:rsidRPr="001806D4">
        <w:rPr>
          <w:rFonts w:ascii="Arial" w:hAnsi="Arial" w:cs="Arial"/>
        </w:rPr>
        <w:t xml:space="preserve"> </w:t>
      </w:r>
      <w:r w:rsidR="00F07BCD" w:rsidRPr="001806D4">
        <w:rPr>
          <w:rFonts w:ascii="Arial" w:hAnsi="Arial" w:cs="Arial"/>
        </w:rPr>
        <w:t xml:space="preserve">2. </w:t>
      </w:r>
      <w:r w:rsidRPr="001806D4">
        <w:rPr>
          <w:rFonts w:ascii="Arial" w:hAnsi="Arial" w:cs="Arial"/>
        </w:rPr>
        <w:t>a range of uncertain test scores that offers  very limited distinction between patients</w:t>
      </w:r>
      <w:r w:rsidR="00F07BCD" w:rsidRPr="001806D4">
        <w:rPr>
          <w:rFonts w:ascii="Arial" w:hAnsi="Arial" w:cs="Arial"/>
        </w:rPr>
        <w:t>;</w:t>
      </w:r>
      <w:r w:rsidRPr="001806D4">
        <w:rPr>
          <w:rFonts w:ascii="Arial" w:hAnsi="Arial" w:cs="Arial"/>
        </w:rPr>
        <w:t xml:space="preserve"> and </w:t>
      </w:r>
      <w:r w:rsidR="00F07BCD" w:rsidRPr="001806D4">
        <w:rPr>
          <w:rFonts w:ascii="Arial" w:hAnsi="Arial" w:cs="Arial"/>
        </w:rPr>
        <w:t xml:space="preserve">3. </w:t>
      </w:r>
      <w:r w:rsidRPr="001806D4">
        <w:rPr>
          <w:rFonts w:ascii="Arial" w:hAnsi="Arial" w:cs="Arial"/>
        </w:rPr>
        <w:t>a range that indicates the absence of the disease relatively the best.</w:t>
      </w:r>
    </w:p>
    <w:p w14:paraId="45F3A6AB" w14:textId="296EEE17" w:rsidR="007E5C3A" w:rsidRPr="001806D4" w:rsidRDefault="007E5C3A" w:rsidP="00DC353C">
      <w:pPr>
        <w:spacing w:line="360" w:lineRule="auto"/>
        <w:ind w:firstLine="708"/>
        <w:rPr>
          <w:rFonts w:ascii="Arial" w:hAnsi="Arial" w:cs="Arial"/>
        </w:rPr>
      </w:pPr>
      <w:r w:rsidRPr="001806D4">
        <w:rPr>
          <w:rFonts w:ascii="Arial" w:hAnsi="Arial" w:cs="Arial"/>
        </w:rPr>
        <w:t xml:space="preserve">This paper proposes a practical approach: test scores can be defined as uncertain when they offer </w:t>
      </w:r>
      <w:r w:rsidR="00322D08" w:rsidRPr="001806D4">
        <w:rPr>
          <w:rFonts w:ascii="Arial" w:hAnsi="Arial" w:cs="Arial"/>
        </w:rPr>
        <w:t xml:space="preserve">about </w:t>
      </w:r>
      <w:r w:rsidRPr="001806D4">
        <w:rPr>
          <w:rFonts w:ascii="Arial" w:hAnsi="Arial" w:cs="Arial"/>
        </w:rPr>
        <w:t xml:space="preserve">equal likelihood </w:t>
      </w:r>
      <w:r w:rsidR="00DC353C" w:rsidRPr="001806D4">
        <w:rPr>
          <w:rFonts w:ascii="Arial" w:hAnsi="Arial" w:cs="Arial"/>
        </w:rPr>
        <w:t>to come from</w:t>
      </w:r>
      <w:r w:rsidRPr="001806D4">
        <w:rPr>
          <w:rFonts w:ascii="Arial" w:hAnsi="Arial" w:cs="Arial"/>
        </w:rPr>
        <w:t xml:space="preserve"> the two populations of patients with and without the targeted disease. </w:t>
      </w:r>
      <w:r w:rsidR="00F07BCD" w:rsidRPr="001806D4">
        <w:rPr>
          <w:rFonts w:ascii="Arial" w:hAnsi="Arial" w:cs="Arial"/>
        </w:rPr>
        <w:t xml:space="preserve">The goal of the data analysis is to identify the </w:t>
      </w:r>
      <w:r w:rsidR="00DC1DE9" w:rsidRPr="001806D4">
        <w:rPr>
          <w:rFonts w:ascii="Arial" w:hAnsi="Arial" w:cs="Arial"/>
        </w:rPr>
        <w:t xml:space="preserve">range of </w:t>
      </w:r>
      <w:r w:rsidR="00F07BCD" w:rsidRPr="001806D4">
        <w:rPr>
          <w:rFonts w:ascii="Arial" w:hAnsi="Arial" w:cs="Arial"/>
        </w:rPr>
        <w:t>test scores that ha</w:t>
      </w:r>
      <w:r w:rsidR="00322D08" w:rsidRPr="001806D4">
        <w:rPr>
          <w:rFonts w:ascii="Arial" w:hAnsi="Arial" w:cs="Arial"/>
        </w:rPr>
        <w:t>s</w:t>
      </w:r>
      <w:r w:rsidR="00F07BCD" w:rsidRPr="001806D4">
        <w:rPr>
          <w:rFonts w:ascii="Arial" w:hAnsi="Arial" w:cs="Arial"/>
        </w:rPr>
        <w:t xml:space="preserve"> about equal probabilit</w:t>
      </w:r>
      <w:r w:rsidR="00322D08" w:rsidRPr="001806D4">
        <w:rPr>
          <w:rFonts w:ascii="Arial" w:hAnsi="Arial" w:cs="Arial"/>
        </w:rPr>
        <w:t>ies</w:t>
      </w:r>
      <w:r w:rsidR="00F07BCD" w:rsidRPr="001806D4">
        <w:rPr>
          <w:rFonts w:ascii="Arial" w:hAnsi="Arial" w:cs="Arial"/>
        </w:rPr>
        <w:t xml:space="preserve"> to be observed for both the populations of patients with and without the targeted disease. </w:t>
      </w:r>
      <w:r w:rsidRPr="001806D4">
        <w:rPr>
          <w:rFonts w:ascii="Arial" w:hAnsi="Arial" w:cs="Arial"/>
        </w:rPr>
        <w:t xml:space="preserve">These test results are </w:t>
      </w:r>
      <w:r w:rsidR="00DC1DE9" w:rsidRPr="001806D4">
        <w:rPr>
          <w:rFonts w:ascii="Arial" w:hAnsi="Arial" w:cs="Arial"/>
        </w:rPr>
        <w:t xml:space="preserve">most </w:t>
      </w:r>
      <w:r w:rsidRPr="001806D4">
        <w:rPr>
          <w:rFonts w:ascii="Arial" w:hAnsi="Arial" w:cs="Arial"/>
        </w:rPr>
        <w:t>prone to classification errors and form a separate class in between less error-prone scores. The</w:t>
      </w:r>
      <w:r w:rsidR="00DC353C" w:rsidRPr="001806D4">
        <w:rPr>
          <w:rFonts w:ascii="Arial" w:hAnsi="Arial" w:cs="Arial"/>
        </w:rPr>
        <w:t>se</w:t>
      </w:r>
      <w:r w:rsidRPr="001806D4">
        <w:rPr>
          <w:rFonts w:ascii="Arial" w:hAnsi="Arial" w:cs="Arial"/>
        </w:rPr>
        <w:t xml:space="preserve"> outer classes offer more </w:t>
      </w:r>
      <w:r w:rsidR="00322D08" w:rsidRPr="001806D4">
        <w:rPr>
          <w:rFonts w:ascii="Arial" w:hAnsi="Arial" w:cs="Arial"/>
        </w:rPr>
        <w:t>superior</w:t>
      </w:r>
      <w:r w:rsidRPr="001806D4">
        <w:rPr>
          <w:rFonts w:ascii="Arial" w:hAnsi="Arial" w:cs="Arial"/>
        </w:rPr>
        <w:t xml:space="preserve"> positive or negative classification</w:t>
      </w:r>
      <w:r w:rsidR="00322D08" w:rsidRPr="001806D4">
        <w:rPr>
          <w:rFonts w:ascii="Arial" w:hAnsi="Arial" w:cs="Arial"/>
        </w:rPr>
        <w:t>s</w:t>
      </w:r>
      <w:r w:rsidRPr="001806D4">
        <w:rPr>
          <w:rFonts w:ascii="Arial" w:hAnsi="Arial" w:cs="Arial"/>
        </w:rPr>
        <w:t xml:space="preserve">. </w:t>
      </w:r>
      <w:r w:rsidR="00EE75BF" w:rsidRPr="001806D4">
        <w:rPr>
          <w:rFonts w:ascii="Arial" w:hAnsi="Arial" w:cs="Arial"/>
        </w:rPr>
        <w:t>C</w:t>
      </w:r>
      <w:r w:rsidRPr="001806D4">
        <w:rPr>
          <w:rFonts w:ascii="Arial" w:hAnsi="Arial" w:cs="Arial"/>
        </w:rPr>
        <w:t xml:space="preserve">lassification errors </w:t>
      </w:r>
      <w:r w:rsidR="00EE75BF" w:rsidRPr="001806D4">
        <w:rPr>
          <w:rFonts w:ascii="Arial" w:hAnsi="Arial" w:cs="Arial"/>
        </w:rPr>
        <w:t xml:space="preserve">typically </w:t>
      </w:r>
      <w:r w:rsidRPr="001806D4">
        <w:rPr>
          <w:rFonts w:ascii="Arial" w:hAnsi="Arial" w:cs="Arial"/>
        </w:rPr>
        <w:t xml:space="preserve">concentrate around the point of intersection </w:t>
      </w:r>
      <w:r w:rsidR="00EE75BF" w:rsidRPr="001806D4">
        <w:rPr>
          <w:rFonts w:ascii="Arial" w:hAnsi="Arial" w:cs="Arial"/>
        </w:rPr>
        <w:t xml:space="preserve">of the two distributions </w:t>
      </w:r>
      <w:r w:rsidRPr="001806D4">
        <w:rPr>
          <w:rFonts w:ascii="Arial" w:hAnsi="Arial" w:cs="Arial"/>
        </w:rPr>
        <w:t>or its equivalence, the optimal threshold where the Youden index (</w:t>
      </w:r>
      <w:r w:rsidRPr="001806D4">
        <w:rPr>
          <w:rFonts w:ascii="Arial" w:hAnsi="Arial" w:cs="Arial"/>
          <w:i/>
        </w:rPr>
        <w:t>J</w:t>
      </w:r>
      <w:r w:rsidRPr="001806D4">
        <w:rPr>
          <w:rFonts w:ascii="Arial" w:hAnsi="Arial" w:cs="Arial"/>
        </w:rPr>
        <w:t xml:space="preserve"> = </w:t>
      </w:r>
      <w:r w:rsidRPr="001806D4">
        <w:rPr>
          <w:rFonts w:ascii="Arial" w:hAnsi="Arial" w:cs="Arial"/>
          <w:i/>
        </w:rPr>
        <w:t>Se</w:t>
      </w:r>
      <w:r w:rsidRPr="001806D4">
        <w:rPr>
          <w:rFonts w:ascii="Arial" w:hAnsi="Arial" w:cs="Arial"/>
        </w:rPr>
        <w:t xml:space="preserve"> + </w:t>
      </w:r>
      <w:r w:rsidRPr="001806D4">
        <w:rPr>
          <w:rFonts w:ascii="Arial" w:hAnsi="Arial" w:cs="Arial"/>
          <w:i/>
        </w:rPr>
        <w:t>Sp</w:t>
      </w:r>
      <w:r w:rsidRPr="001806D4">
        <w:rPr>
          <w:rFonts w:ascii="Arial" w:hAnsi="Arial" w:cs="Arial"/>
        </w:rPr>
        <w:t xml:space="preserve"> -1) reaches its maximal value </w:t>
      </w:r>
      <w:r w:rsidRPr="001806D4">
        <w:rPr>
          <w:rFonts w:ascii="Arial" w:hAnsi="Arial" w:cs="Arial"/>
        </w:rPr>
        <w:fldChar w:fldCharType="begin"/>
      </w:r>
      <w:r w:rsidR="007D76D6" w:rsidRPr="001806D4">
        <w:rPr>
          <w:rFonts w:ascii="Arial" w:hAnsi="Arial" w:cs="Arial"/>
        </w:rPr>
        <w:instrText xml:space="preserve"> ADDIN ZOTERO_ITEM CSL_CITATION {"citationID":"bb63R3NA","properties":{"formattedCitation":"\\super 11\\nosupersub{}","plainCitation":"11","noteIndex":0},"citationItems":[{"id":407,"uris":["http://zotero.org/users/841920/items/Q2I78BZA"],"uri":["http://zotero.org/users/841920/items/Q2I78BZA"],"itemData":{"id":407,"type":"article-journal","title":"Optimal cut-point and its corresponding Youden Index to discriminate individuals using pooled blood samples","container-title":"Epidemiology","page":"73–81","source":"Google Scholar","author":[{"family":"Schisterman","given":"Enrique F."},{"family":"Perkins","given":"Neil J."},{"family":"Liu","given":"Aiyi"},{"family":"Bondell","given":"Howard"}],"issued":{"date-parts":[["2005"]]}}}],"schema":"https://github.com/citation-style-language/schema/raw/master/csl-citation.json"} </w:instrText>
      </w:r>
      <w:r w:rsidRPr="001806D4">
        <w:rPr>
          <w:rFonts w:ascii="Arial" w:hAnsi="Arial" w:cs="Arial"/>
        </w:rPr>
        <w:fldChar w:fldCharType="separate"/>
      </w:r>
      <w:r w:rsidR="007D76D6" w:rsidRPr="001806D4">
        <w:rPr>
          <w:rFonts w:ascii="Arial" w:hAnsi="Arial" w:cs="Arial"/>
          <w:szCs w:val="24"/>
          <w:vertAlign w:val="superscript"/>
        </w:rPr>
        <w:t>11</w:t>
      </w:r>
      <w:r w:rsidRPr="001806D4">
        <w:rPr>
          <w:rFonts w:ascii="Arial" w:hAnsi="Arial" w:cs="Arial"/>
        </w:rPr>
        <w:fldChar w:fldCharType="end"/>
      </w:r>
      <w:r w:rsidRPr="001806D4">
        <w:rPr>
          <w:rFonts w:ascii="Arial" w:hAnsi="Arial" w:cs="Arial"/>
        </w:rPr>
        <w:t xml:space="preserve">. </w:t>
      </w:r>
    </w:p>
    <w:p w14:paraId="2F4DB980" w14:textId="77777777" w:rsidR="00EE75BF" w:rsidRPr="001806D4" w:rsidRDefault="00EE75BF" w:rsidP="00884BF4">
      <w:pPr>
        <w:spacing w:line="360" w:lineRule="auto"/>
        <w:ind w:firstLine="708"/>
        <w:rPr>
          <w:rFonts w:ascii="Arial" w:hAnsi="Arial" w:cs="Arial"/>
        </w:rPr>
      </w:pPr>
      <w:r w:rsidRPr="001806D4">
        <w:rPr>
          <w:rFonts w:ascii="Arial" w:hAnsi="Arial" w:cs="Arial"/>
        </w:rPr>
        <w:t>Without losing generality, the descriptions of the statistics below assume that lower scores indicate a positive status of the patient and higher scores a negative status. To be able to explain th</w:t>
      </w:r>
      <w:r w:rsidR="008800A8" w:rsidRPr="001806D4">
        <w:rPr>
          <w:rFonts w:ascii="Arial" w:hAnsi="Arial" w:cs="Arial"/>
        </w:rPr>
        <w:t>e applied</w:t>
      </w:r>
      <w:r w:rsidRPr="001806D4">
        <w:rPr>
          <w:rFonts w:ascii="Arial" w:hAnsi="Arial" w:cs="Arial"/>
        </w:rPr>
        <w:t xml:space="preserve"> method of </w:t>
      </w:r>
      <w:r w:rsidR="008800A8" w:rsidRPr="001806D4">
        <w:rPr>
          <w:rFonts w:ascii="Arial" w:hAnsi="Arial" w:cs="Arial"/>
        </w:rPr>
        <w:t>threshold estimation more clearly, it is useful to explain the equivalence and difference between predictive values, standardized predictive values and post-test probabilities.</w:t>
      </w:r>
    </w:p>
    <w:p w14:paraId="53D232FF" w14:textId="045CFB36" w:rsidR="00B104EE" w:rsidRPr="001806D4" w:rsidRDefault="00EE75BF" w:rsidP="00884BF4">
      <w:pPr>
        <w:spacing w:line="360" w:lineRule="auto"/>
        <w:ind w:firstLine="708"/>
        <w:rPr>
          <w:rFonts w:ascii="Arial" w:hAnsi="Arial" w:cs="Arial"/>
        </w:rPr>
      </w:pPr>
      <w:r w:rsidRPr="001806D4">
        <w:rPr>
          <w:rFonts w:ascii="Arial" w:hAnsi="Arial" w:cs="Arial"/>
          <w:b/>
          <w:i/>
        </w:rPr>
        <w:lastRenderedPageBreak/>
        <w:t>Predictive values</w:t>
      </w:r>
      <w:r w:rsidRPr="001806D4">
        <w:rPr>
          <w:rFonts w:ascii="Arial" w:hAnsi="Arial" w:cs="Arial"/>
        </w:rPr>
        <w:t xml:space="preserve">. </w:t>
      </w:r>
      <w:r w:rsidR="008800A8" w:rsidRPr="001806D4">
        <w:rPr>
          <w:rFonts w:ascii="Arial" w:hAnsi="Arial" w:cs="Arial"/>
        </w:rPr>
        <w:t xml:space="preserve">Predictive values provide the probabilities for the presence of the disease, </w:t>
      </w:r>
      <w:r w:rsidR="008800A8" w:rsidRPr="001806D4">
        <w:rPr>
          <w:rFonts w:ascii="Arial" w:hAnsi="Arial" w:cs="Arial"/>
          <w:i/>
        </w:rPr>
        <w:t>given</w:t>
      </w:r>
      <w:r w:rsidR="008800A8" w:rsidRPr="001806D4">
        <w:rPr>
          <w:rFonts w:ascii="Arial" w:hAnsi="Arial" w:cs="Arial"/>
        </w:rPr>
        <w:t xml:space="preserve"> the obtained test result </w:t>
      </w:r>
      <w:r w:rsidR="008800A8" w:rsidRPr="001806D4">
        <w:rPr>
          <w:rFonts w:ascii="Arial" w:hAnsi="Arial" w:cs="Arial"/>
        </w:rPr>
        <w:fldChar w:fldCharType="begin"/>
      </w:r>
      <w:r w:rsidR="007D76D6" w:rsidRPr="001806D4">
        <w:rPr>
          <w:rFonts w:ascii="Arial" w:hAnsi="Arial" w:cs="Arial"/>
        </w:rPr>
        <w:instrText xml:space="preserve"> ADDIN ZOTERO_ITEM CSL_CITATION {"citationID":"LbEi9hHw","properties":{"formattedCitation":"\\super 12\\nosupersub{}","plainCitation":"12","noteIndex":0},"citationItems":[{"id":1239,"uris":["http://zotero.org/users/841920/items/NW22Q3VM"],"uri":["http://zotero.org/users/841920/items/NW22Q3VM"],"itemData":{"id":1239,"type":"article-journal","title":"The problem with sensitivity and specificity…","container-title":"Annals of Emergency Medicine","page":"298–303","volume":"42","issue":"2","source":"Google Scholar","author":[{"family":"Gallagher","given":"E. John"}],"issued":{"date-parts":[["2003"]]}}}],"schema":"https://github.com/citation-style-language/schema/raw/master/csl-citation.json"} </w:instrText>
      </w:r>
      <w:r w:rsidR="008800A8" w:rsidRPr="001806D4">
        <w:rPr>
          <w:rFonts w:ascii="Arial" w:hAnsi="Arial" w:cs="Arial"/>
        </w:rPr>
        <w:fldChar w:fldCharType="separate"/>
      </w:r>
      <w:r w:rsidR="007D76D6" w:rsidRPr="001806D4">
        <w:rPr>
          <w:rFonts w:ascii="Arial" w:hAnsi="Arial" w:cs="Arial"/>
          <w:szCs w:val="24"/>
          <w:vertAlign w:val="superscript"/>
        </w:rPr>
        <w:t>12</w:t>
      </w:r>
      <w:r w:rsidR="008800A8" w:rsidRPr="001806D4">
        <w:rPr>
          <w:rFonts w:ascii="Arial" w:hAnsi="Arial" w:cs="Arial"/>
        </w:rPr>
        <w:fldChar w:fldCharType="end"/>
      </w:r>
      <w:r w:rsidR="008800A8" w:rsidRPr="001806D4">
        <w:rPr>
          <w:rFonts w:ascii="Arial" w:hAnsi="Arial" w:cs="Arial"/>
        </w:rPr>
        <w:t xml:space="preserve">. Predictive values consequently provide information about the accuracy of the classification. </w:t>
      </w:r>
      <w:r w:rsidRPr="001806D4">
        <w:rPr>
          <w:rFonts w:ascii="Arial" w:hAnsi="Arial" w:cs="Arial"/>
        </w:rPr>
        <w:t xml:space="preserve">Commonly, the </w:t>
      </w:r>
      <w:r w:rsidR="008800A8" w:rsidRPr="001806D4">
        <w:rPr>
          <w:rFonts w:ascii="Arial" w:hAnsi="Arial" w:cs="Arial"/>
        </w:rPr>
        <w:t>negative predictive values (</w:t>
      </w:r>
      <w:r w:rsidRPr="001806D4">
        <w:rPr>
          <w:rFonts w:ascii="Arial" w:hAnsi="Arial" w:cs="Arial"/>
        </w:rPr>
        <w:t>NPV</w:t>
      </w:r>
      <w:r w:rsidR="008800A8" w:rsidRPr="001806D4">
        <w:rPr>
          <w:rFonts w:ascii="Arial" w:hAnsi="Arial" w:cs="Arial"/>
        </w:rPr>
        <w:t>)</w:t>
      </w:r>
      <w:r w:rsidRPr="001806D4">
        <w:rPr>
          <w:rFonts w:ascii="Arial" w:hAnsi="Arial" w:cs="Arial"/>
        </w:rPr>
        <w:t xml:space="preserve"> is calculated for the range of test scores used for a negative classification (test scores &gt; dichotomous cut-point c), leading to the formulation NPV = TN / (TN + FN) and the PPV for positive classifications (the range of test scores &lt;= c; PPV = TP / (TP + FP))</w:t>
      </w:r>
      <w:r w:rsidR="00B104EE" w:rsidRPr="001806D4">
        <w:rPr>
          <w:rFonts w:ascii="Arial" w:hAnsi="Arial" w:cs="Arial"/>
        </w:rPr>
        <w:t>, where TN concern the number of true negative, FN false negative, TP true positive and FP false positive classifications</w:t>
      </w:r>
      <w:r w:rsidRPr="001806D4">
        <w:rPr>
          <w:rFonts w:ascii="Arial" w:hAnsi="Arial" w:cs="Arial"/>
        </w:rPr>
        <w:t>. Within the context of three-way classification, a more general definition is needed. Predictive values provide the probabilities of the patient’s negative and positive true status, given the range of test scores x. More generally, predictive values are calculated directly based on the observed frequencies in the two samples of patients with and without the targeted disease. For a range of test scores x, if f</w:t>
      </w:r>
      <w:r w:rsidRPr="001806D4">
        <w:rPr>
          <w:rFonts w:ascii="Arial" w:hAnsi="Arial" w:cs="Arial"/>
          <w:vertAlign w:val="subscript"/>
        </w:rPr>
        <w:t>0</w:t>
      </w:r>
      <w:r w:rsidRPr="001806D4">
        <w:rPr>
          <w:rFonts w:ascii="Arial" w:hAnsi="Arial" w:cs="Arial"/>
        </w:rPr>
        <w:t>(x) and f</w:t>
      </w:r>
      <w:r w:rsidRPr="001806D4">
        <w:rPr>
          <w:rFonts w:ascii="Arial" w:hAnsi="Arial" w:cs="Arial"/>
          <w:vertAlign w:val="subscript"/>
        </w:rPr>
        <w:t>1</w:t>
      </w:r>
      <w:r w:rsidRPr="001806D4">
        <w:rPr>
          <w:rFonts w:ascii="Arial" w:hAnsi="Arial" w:cs="Arial"/>
        </w:rPr>
        <w:t>(x) are the frequencies of patients without and with the targeted disease</w:t>
      </w:r>
      <w:r w:rsidR="00B104EE" w:rsidRPr="001806D4">
        <w:rPr>
          <w:rFonts w:ascii="Arial" w:hAnsi="Arial" w:cs="Arial"/>
        </w:rPr>
        <w:t xml:space="preserve"> given x</w:t>
      </w:r>
      <w:r w:rsidRPr="001806D4">
        <w:rPr>
          <w:rFonts w:ascii="Arial" w:hAnsi="Arial" w:cs="Arial"/>
        </w:rPr>
        <w:t>, the negative predictive value (NPV) can be defined as: NPV(x) = f</w:t>
      </w:r>
      <w:r w:rsidRPr="001806D4">
        <w:rPr>
          <w:rFonts w:ascii="Arial" w:hAnsi="Arial" w:cs="Arial"/>
          <w:vertAlign w:val="subscript"/>
        </w:rPr>
        <w:t>0</w:t>
      </w:r>
      <w:r w:rsidRPr="001806D4">
        <w:rPr>
          <w:rFonts w:ascii="Arial" w:hAnsi="Arial" w:cs="Arial"/>
        </w:rPr>
        <w:t>(x) / (f</w:t>
      </w:r>
      <w:r w:rsidRPr="001806D4">
        <w:rPr>
          <w:rFonts w:ascii="Arial" w:hAnsi="Arial" w:cs="Arial"/>
          <w:vertAlign w:val="subscript"/>
        </w:rPr>
        <w:t>0</w:t>
      </w:r>
      <w:r w:rsidRPr="001806D4">
        <w:rPr>
          <w:rFonts w:ascii="Arial" w:hAnsi="Arial" w:cs="Arial"/>
        </w:rPr>
        <w:t>(x) + f</w:t>
      </w:r>
      <w:r w:rsidRPr="001806D4">
        <w:rPr>
          <w:rFonts w:ascii="Arial" w:hAnsi="Arial" w:cs="Arial"/>
          <w:vertAlign w:val="subscript"/>
        </w:rPr>
        <w:t>1</w:t>
      </w:r>
      <w:r w:rsidRPr="001806D4">
        <w:rPr>
          <w:rFonts w:ascii="Arial" w:hAnsi="Arial" w:cs="Arial"/>
        </w:rPr>
        <w:t>(x)) and the positive predictive value (PPV) as: PPV(x) = f</w:t>
      </w:r>
      <w:r w:rsidRPr="001806D4">
        <w:rPr>
          <w:rFonts w:ascii="Arial" w:hAnsi="Arial" w:cs="Arial"/>
          <w:vertAlign w:val="subscript"/>
        </w:rPr>
        <w:t>1</w:t>
      </w:r>
      <w:r w:rsidRPr="001806D4">
        <w:rPr>
          <w:rFonts w:ascii="Arial" w:hAnsi="Arial" w:cs="Arial"/>
        </w:rPr>
        <w:t>(x) / (f</w:t>
      </w:r>
      <w:r w:rsidRPr="001806D4">
        <w:rPr>
          <w:rFonts w:ascii="Arial" w:hAnsi="Arial" w:cs="Arial"/>
          <w:vertAlign w:val="subscript"/>
        </w:rPr>
        <w:t>0</w:t>
      </w:r>
      <w:r w:rsidRPr="001806D4">
        <w:rPr>
          <w:rFonts w:ascii="Arial" w:hAnsi="Arial" w:cs="Arial"/>
        </w:rPr>
        <w:t>(x) + f</w:t>
      </w:r>
      <w:r w:rsidRPr="001806D4">
        <w:rPr>
          <w:rFonts w:ascii="Arial" w:hAnsi="Arial" w:cs="Arial"/>
          <w:vertAlign w:val="subscript"/>
        </w:rPr>
        <w:t>1</w:t>
      </w:r>
      <w:r w:rsidRPr="001806D4">
        <w:rPr>
          <w:rFonts w:ascii="Arial" w:hAnsi="Arial" w:cs="Arial"/>
        </w:rPr>
        <w:t xml:space="preserve">(x)). This definition also shows that NPV(x) = 1 – PPV(x) when calculated for the same range of test scores x. </w:t>
      </w:r>
    </w:p>
    <w:p w14:paraId="41FB5620" w14:textId="77777777" w:rsidR="00EE75BF" w:rsidRPr="001806D4" w:rsidRDefault="00EE75BF" w:rsidP="00884BF4">
      <w:pPr>
        <w:spacing w:line="360" w:lineRule="auto"/>
        <w:ind w:firstLine="708"/>
        <w:rPr>
          <w:rFonts w:ascii="Arial" w:hAnsi="Arial" w:cs="Arial"/>
        </w:rPr>
      </w:pPr>
      <w:r w:rsidRPr="001806D4">
        <w:rPr>
          <w:rFonts w:ascii="Arial" w:hAnsi="Arial" w:cs="Arial"/>
        </w:rPr>
        <w:t xml:space="preserve">These predictive values are exact for the observed patients with and without the targeted disease and are valid </w:t>
      </w:r>
      <w:r w:rsidR="0056222F" w:rsidRPr="001806D4">
        <w:rPr>
          <w:rFonts w:ascii="Arial" w:hAnsi="Arial" w:cs="Arial"/>
        </w:rPr>
        <w:t>for the</w:t>
      </w:r>
      <w:r w:rsidRPr="001806D4">
        <w:rPr>
          <w:rFonts w:ascii="Arial" w:hAnsi="Arial" w:cs="Arial"/>
        </w:rPr>
        <w:t xml:space="preserve"> </w:t>
      </w:r>
      <w:r w:rsidR="0056222F" w:rsidRPr="001806D4">
        <w:rPr>
          <w:rFonts w:ascii="Arial" w:hAnsi="Arial" w:cs="Arial"/>
        </w:rPr>
        <w:t xml:space="preserve">observed </w:t>
      </w:r>
      <w:r w:rsidRPr="001806D4">
        <w:rPr>
          <w:rFonts w:ascii="Arial" w:hAnsi="Arial" w:cs="Arial"/>
        </w:rPr>
        <w:t>sample prevalence.</w:t>
      </w:r>
      <w:r w:rsidR="0056222F" w:rsidRPr="001806D4">
        <w:rPr>
          <w:rFonts w:ascii="Arial" w:hAnsi="Arial" w:cs="Arial"/>
        </w:rPr>
        <w:t xml:space="preserve"> </w:t>
      </w:r>
      <w:r w:rsidRPr="001806D4">
        <w:rPr>
          <w:rFonts w:ascii="Arial" w:hAnsi="Arial" w:cs="Arial"/>
        </w:rPr>
        <w:t xml:space="preserve">Interpreting the predictive values of individual test scores is straightforward. For instance, when 240 true patients from a sample have score 25, and 257 patients without the targeted disease have score 25 a patient who receives MoCA test score 25, will consequently have a 240 / (240 + 257) = 0.48 chance of CI. This number is exact for the sample involved. These predictive values </w:t>
      </w:r>
      <w:r w:rsidR="0056222F" w:rsidRPr="001806D4">
        <w:rPr>
          <w:rFonts w:ascii="Arial" w:hAnsi="Arial" w:cs="Arial"/>
        </w:rPr>
        <w:t xml:space="preserve">therefore </w:t>
      </w:r>
      <w:r w:rsidRPr="001806D4">
        <w:rPr>
          <w:rFonts w:ascii="Arial" w:hAnsi="Arial" w:cs="Arial"/>
        </w:rPr>
        <w:t xml:space="preserve">indicate the accuracies of the classifications in the sample, given the range of applied test score(s). As such, it is an important outcome for evaluating the accuracy of classification in a sample, given the observed test score(s). For comparisons of methods, </w:t>
      </w:r>
      <w:r w:rsidR="0056222F" w:rsidRPr="001806D4">
        <w:rPr>
          <w:rFonts w:ascii="Arial" w:hAnsi="Arial" w:cs="Arial"/>
        </w:rPr>
        <w:t xml:space="preserve">in this paper </w:t>
      </w:r>
      <w:r w:rsidRPr="001806D4">
        <w:rPr>
          <w:rFonts w:ascii="Arial" w:hAnsi="Arial" w:cs="Arial"/>
        </w:rPr>
        <w:t>the lower limit of .8 is considered a sufficient predictive value, both for NPV and PPV.</w:t>
      </w:r>
    </w:p>
    <w:p w14:paraId="6223DC45" w14:textId="6C15FC2C" w:rsidR="00182AEA" w:rsidRPr="001806D4" w:rsidRDefault="00EE75BF" w:rsidP="00182AEA">
      <w:pPr>
        <w:spacing w:line="360" w:lineRule="auto"/>
        <w:ind w:firstLine="708"/>
        <w:rPr>
          <w:rFonts w:ascii="Arial" w:hAnsi="Arial" w:cs="Arial"/>
        </w:rPr>
      </w:pPr>
      <w:r w:rsidRPr="001806D4">
        <w:rPr>
          <w:rFonts w:ascii="Arial" w:hAnsi="Arial" w:cs="Arial"/>
          <w:b/>
          <w:i/>
        </w:rPr>
        <w:t>Standardized predictive values</w:t>
      </w:r>
      <w:r w:rsidRPr="001806D4">
        <w:rPr>
          <w:rFonts w:ascii="Arial" w:hAnsi="Arial" w:cs="Arial"/>
        </w:rPr>
        <w:t xml:space="preserve">. Heston’s proposal </w:t>
      </w:r>
      <w:r w:rsidRPr="001806D4">
        <w:rPr>
          <w:rFonts w:ascii="Arial" w:hAnsi="Arial" w:cs="Arial"/>
        </w:rPr>
        <w:fldChar w:fldCharType="begin"/>
      </w:r>
      <w:r w:rsidR="007D76D6" w:rsidRPr="001806D4">
        <w:rPr>
          <w:rFonts w:ascii="Arial" w:hAnsi="Arial" w:cs="Arial"/>
        </w:rPr>
        <w:instrText xml:space="preserve"> ADDIN ZOTERO_ITEM CSL_CITATION {"citationID":"kCCuisxy","properties":{"formattedCitation":"\\super 13,14\\nosupersub{}","plainCitation":"13,14","noteIndex":0},"citationItems":[{"id":1269,"uris":["http://zotero.org/users/841920/items/IN2UJRA6"],"uri":["http://zotero.org/users/841920/items/IN2UJRA6"],"itemData":{"id":1269,"type":"article-journal","title":"Standardizing predictive values in diagnostic imaging research","container-title":"Journal of Magnetic Resonance Imaging","page":"505-505","volume":"33","issue":"2","source":"Wiley Online Library","DOI":"10.1002/jmri.22466","ISSN":"1522-2586","language":"en","author":[{"family":"Heston","given":"Thomas F."}],"issued":{"date-parts":[["2011"]]}},"label":"page","suppress-author":true},{"id":1272,"uris":["http://zotero.org/users/841920/items/J3JF62LY"],"uri":["http://zotero.org/users/841920/items/J3JF62LY"],"itemData":{"id":1272,"type":"article-journal","title":"Standardized predictive values","container-title":"J Magn Reson Imaging","page":"1338","volume":"39","issue":"5","source":"Google Scholar","author":[{"family":"Heston","given":"Thomas F."}],"issued":{"date-parts":[["2014"]]}},"label":"page","suppress-author":true}],"schema":"https://github.com/citation-style-language/schema/raw/master/csl-citation.json"} </w:instrText>
      </w:r>
      <w:r w:rsidRPr="001806D4">
        <w:rPr>
          <w:rFonts w:ascii="Arial" w:hAnsi="Arial" w:cs="Arial"/>
        </w:rPr>
        <w:fldChar w:fldCharType="separate"/>
      </w:r>
      <w:r w:rsidR="007D76D6" w:rsidRPr="001806D4">
        <w:rPr>
          <w:rFonts w:ascii="Arial" w:hAnsi="Arial" w:cs="Arial"/>
          <w:szCs w:val="24"/>
          <w:vertAlign w:val="superscript"/>
        </w:rPr>
        <w:t>13,14</w:t>
      </w:r>
      <w:r w:rsidRPr="001806D4">
        <w:rPr>
          <w:rFonts w:ascii="Arial" w:hAnsi="Arial" w:cs="Arial"/>
        </w:rPr>
        <w:fldChar w:fldCharType="end"/>
      </w:r>
      <w:r w:rsidRPr="001806D4">
        <w:rPr>
          <w:rFonts w:ascii="Arial" w:hAnsi="Arial" w:cs="Arial"/>
        </w:rPr>
        <w:t xml:space="preserve"> to standardize predictive values was made in the context of a single cut-point. However, it makes sense to also use a more general definition here, and to relate standardized predictive values to the </w:t>
      </w:r>
      <w:r w:rsidRPr="001806D4">
        <w:rPr>
          <w:rFonts w:ascii="Arial" w:hAnsi="Arial" w:cs="Arial"/>
          <w:i/>
        </w:rPr>
        <w:t>relative</w:t>
      </w:r>
      <w:r w:rsidRPr="001806D4">
        <w:rPr>
          <w:rFonts w:ascii="Arial" w:hAnsi="Arial" w:cs="Arial"/>
        </w:rPr>
        <w:t xml:space="preserve"> frequencies or densities of the (range of) test score(s). The densities for a range of test scores x can be defined d</w:t>
      </w:r>
      <w:r w:rsidRPr="001806D4">
        <w:rPr>
          <w:rFonts w:ascii="Arial" w:hAnsi="Arial" w:cs="Arial"/>
          <w:vertAlign w:val="subscript"/>
        </w:rPr>
        <w:t>0</w:t>
      </w:r>
      <w:r w:rsidRPr="001806D4">
        <w:rPr>
          <w:rFonts w:ascii="Arial" w:hAnsi="Arial" w:cs="Arial"/>
        </w:rPr>
        <w:t>(x) = f</w:t>
      </w:r>
      <w:r w:rsidRPr="001806D4">
        <w:rPr>
          <w:rFonts w:ascii="Arial" w:hAnsi="Arial" w:cs="Arial"/>
          <w:vertAlign w:val="subscript"/>
        </w:rPr>
        <w:t>0</w:t>
      </w:r>
      <w:r w:rsidRPr="001806D4">
        <w:rPr>
          <w:rFonts w:ascii="Arial" w:hAnsi="Arial" w:cs="Arial"/>
        </w:rPr>
        <w:t>(x) / n</w:t>
      </w:r>
      <w:r w:rsidRPr="001806D4">
        <w:rPr>
          <w:rFonts w:ascii="Arial" w:hAnsi="Arial" w:cs="Arial"/>
          <w:vertAlign w:val="subscript"/>
        </w:rPr>
        <w:t>0</w:t>
      </w:r>
      <w:r w:rsidRPr="001806D4">
        <w:rPr>
          <w:rFonts w:ascii="Arial" w:hAnsi="Arial" w:cs="Arial"/>
        </w:rPr>
        <w:t xml:space="preserve"> and d</w:t>
      </w:r>
      <w:r w:rsidRPr="001806D4">
        <w:rPr>
          <w:rFonts w:ascii="Arial" w:hAnsi="Arial" w:cs="Arial"/>
          <w:vertAlign w:val="subscript"/>
        </w:rPr>
        <w:t>1</w:t>
      </w:r>
      <w:r w:rsidRPr="001806D4">
        <w:rPr>
          <w:rFonts w:ascii="Arial" w:hAnsi="Arial" w:cs="Arial"/>
        </w:rPr>
        <w:t>(x) = f</w:t>
      </w:r>
      <w:r w:rsidRPr="001806D4">
        <w:rPr>
          <w:rFonts w:ascii="Arial" w:hAnsi="Arial" w:cs="Arial"/>
          <w:vertAlign w:val="subscript"/>
        </w:rPr>
        <w:t>1</w:t>
      </w:r>
      <w:r w:rsidRPr="001806D4">
        <w:rPr>
          <w:rFonts w:ascii="Arial" w:hAnsi="Arial" w:cs="Arial"/>
        </w:rPr>
        <w:t>(x) / n</w:t>
      </w:r>
      <w:r w:rsidRPr="001806D4">
        <w:rPr>
          <w:rFonts w:ascii="Arial" w:hAnsi="Arial" w:cs="Arial"/>
          <w:vertAlign w:val="subscript"/>
        </w:rPr>
        <w:t>1</w:t>
      </w:r>
      <w:r w:rsidRPr="001806D4">
        <w:rPr>
          <w:rFonts w:ascii="Arial" w:hAnsi="Arial" w:cs="Arial"/>
        </w:rPr>
        <w:t>, where n</w:t>
      </w:r>
      <w:r w:rsidRPr="001806D4">
        <w:rPr>
          <w:rFonts w:ascii="Arial" w:hAnsi="Arial" w:cs="Arial"/>
          <w:vertAlign w:val="subscript"/>
        </w:rPr>
        <w:t>0</w:t>
      </w:r>
      <w:r w:rsidRPr="001806D4">
        <w:rPr>
          <w:rFonts w:ascii="Arial" w:hAnsi="Arial" w:cs="Arial"/>
        </w:rPr>
        <w:t xml:space="preserve"> and n</w:t>
      </w:r>
      <w:r w:rsidRPr="001806D4">
        <w:rPr>
          <w:rFonts w:ascii="Arial" w:hAnsi="Arial" w:cs="Arial"/>
          <w:vertAlign w:val="subscript"/>
        </w:rPr>
        <w:t>1</w:t>
      </w:r>
      <w:r w:rsidRPr="001806D4">
        <w:rPr>
          <w:rFonts w:ascii="Arial" w:hAnsi="Arial" w:cs="Arial"/>
        </w:rPr>
        <w:t xml:space="preserve"> are the number of observed patients in the two samples.  The standardized negative predictive value (SNPV) is defined as SNPV(x) = d</w:t>
      </w:r>
      <w:r w:rsidRPr="001806D4">
        <w:rPr>
          <w:rFonts w:ascii="Arial" w:hAnsi="Arial" w:cs="Arial"/>
          <w:vertAlign w:val="subscript"/>
        </w:rPr>
        <w:t>0</w:t>
      </w:r>
      <w:r w:rsidRPr="001806D4">
        <w:rPr>
          <w:rFonts w:ascii="Arial" w:hAnsi="Arial" w:cs="Arial"/>
        </w:rPr>
        <w:t>(x) / (d</w:t>
      </w:r>
      <w:r w:rsidRPr="001806D4">
        <w:rPr>
          <w:rFonts w:ascii="Arial" w:hAnsi="Arial" w:cs="Arial"/>
          <w:vertAlign w:val="subscript"/>
        </w:rPr>
        <w:t>0</w:t>
      </w:r>
      <w:r w:rsidRPr="001806D4">
        <w:rPr>
          <w:rFonts w:ascii="Arial" w:hAnsi="Arial" w:cs="Arial"/>
        </w:rPr>
        <w:t>(x) + d</w:t>
      </w:r>
      <w:r w:rsidRPr="001806D4">
        <w:rPr>
          <w:rFonts w:ascii="Arial" w:hAnsi="Arial" w:cs="Arial"/>
          <w:vertAlign w:val="subscript"/>
        </w:rPr>
        <w:t>1</w:t>
      </w:r>
      <w:r w:rsidRPr="001806D4">
        <w:rPr>
          <w:rFonts w:ascii="Arial" w:hAnsi="Arial" w:cs="Arial"/>
        </w:rPr>
        <w:t xml:space="preserve">(x)) and the standardized positive predictive value </w:t>
      </w:r>
      <w:r w:rsidRPr="001806D4">
        <w:rPr>
          <w:rFonts w:ascii="Arial" w:hAnsi="Arial" w:cs="Arial"/>
        </w:rPr>
        <w:lastRenderedPageBreak/>
        <w:t>(SPPV) as SPPV(x) = d</w:t>
      </w:r>
      <w:r w:rsidRPr="001806D4">
        <w:rPr>
          <w:rFonts w:ascii="Arial" w:hAnsi="Arial" w:cs="Arial"/>
          <w:vertAlign w:val="subscript"/>
        </w:rPr>
        <w:t>1</w:t>
      </w:r>
      <w:r w:rsidRPr="001806D4">
        <w:rPr>
          <w:rFonts w:ascii="Arial" w:hAnsi="Arial" w:cs="Arial"/>
        </w:rPr>
        <w:t>(x) / (d</w:t>
      </w:r>
      <w:r w:rsidRPr="001806D4">
        <w:rPr>
          <w:rFonts w:ascii="Arial" w:hAnsi="Arial" w:cs="Arial"/>
          <w:vertAlign w:val="subscript"/>
        </w:rPr>
        <w:t>0</w:t>
      </w:r>
      <w:r w:rsidRPr="001806D4">
        <w:rPr>
          <w:rFonts w:ascii="Arial" w:hAnsi="Arial" w:cs="Arial"/>
        </w:rPr>
        <w:t>(x) + d</w:t>
      </w:r>
      <w:r w:rsidRPr="001806D4">
        <w:rPr>
          <w:rFonts w:ascii="Arial" w:hAnsi="Arial" w:cs="Arial"/>
          <w:vertAlign w:val="subscript"/>
        </w:rPr>
        <w:t>1</w:t>
      </w:r>
      <w:r w:rsidRPr="001806D4">
        <w:rPr>
          <w:rFonts w:ascii="Arial" w:hAnsi="Arial" w:cs="Arial"/>
        </w:rPr>
        <w:t>(x)). The two distributions are weigh</w:t>
      </w:r>
      <w:r w:rsidR="00302E03" w:rsidRPr="001806D4">
        <w:rPr>
          <w:rFonts w:ascii="Arial" w:hAnsi="Arial" w:cs="Arial"/>
        </w:rPr>
        <w:t>t</w:t>
      </w:r>
      <w:r w:rsidRPr="001806D4">
        <w:rPr>
          <w:rFonts w:ascii="Arial" w:hAnsi="Arial" w:cs="Arial"/>
        </w:rPr>
        <w:t>ed equally, or in other words, the prevalence is standardized to .5. Like Se and Sp, standardized predictive values are independent of prevalence when the samples are drawn from the same two populations. The interpretation of the standard</w:t>
      </w:r>
      <w:r w:rsidR="0056222F" w:rsidRPr="001806D4">
        <w:rPr>
          <w:rFonts w:ascii="Arial" w:hAnsi="Arial" w:cs="Arial"/>
        </w:rPr>
        <w:t>ized</w:t>
      </w:r>
      <w:r w:rsidRPr="001806D4">
        <w:rPr>
          <w:rFonts w:ascii="Arial" w:hAnsi="Arial" w:cs="Arial"/>
        </w:rPr>
        <w:t xml:space="preserve"> predictive values is </w:t>
      </w:r>
      <w:r w:rsidR="0056222F" w:rsidRPr="001806D4">
        <w:rPr>
          <w:rFonts w:ascii="Arial" w:hAnsi="Arial" w:cs="Arial"/>
        </w:rPr>
        <w:t>not as</w:t>
      </w:r>
      <w:r w:rsidRPr="001806D4">
        <w:rPr>
          <w:rFonts w:ascii="Arial" w:hAnsi="Arial" w:cs="Arial"/>
        </w:rPr>
        <w:t xml:space="preserve"> straightforward</w:t>
      </w:r>
      <w:r w:rsidR="0056222F" w:rsidRPr="001806D4">
        <w:rPr>
          <w:rFonts w:ascii="Arial" w:hAnsi="Arial" w:cs="Arial"/>
        </w:rPr>
        <w:t xml:space="preserve"> as the </w:t>
      </w:r>
      <w:r w:rsidR="00CC5B02" w:rsidRPr="001806D4">
        <w:rPr>
          <w:rFonts w:ascii="Arial" w:hAnsi="Arial" w:cs="Arial"/>
        </w:rPr>
        <w:t xml:space="preserve">interpretation of the </w:t>
      </w:r>
      <w:r w:rsidR="0056222F" w:rsidRPr="001806D4">
        <w:rPr>
          <w:rFonts w:ascii="Arial" w:hAnsi="Arial" w:cs="Arial"/>
        </w:rPr>
        <w:t>common predictive values: they provide</w:t>
      </w:r>
      <w:r w:rsidRPr="001806D4">
        <w:rPr>
          <w:rFonts w:ascii="Arial" w:hAnsi="Arial" w:cs="Arial"/>
        </w:rPr>
        <w:t xml:space="preserve"> the estimated relative probability </w:t>
      </w:r>
      <w:r w:rsidR="00B00BD5" w:rsidRPr="001806D4">
        <w:rPr>
          <w:rFonts w:ascii="Arial" w:hAnsi="Arial" w:cs="Arial"/>
        </w:rPr>
        <w:t xml:space="preserve">which of the two </w:t>
      </w:r>
      <w:r w:rsidR="00F54B73" w:rsidRPr="001806D4">
        <w:rPr>
          <w:rFonts w:ascii="Arial" w:hAnsi="Arial" w:cs="Arial"/>
        </w:rPr>
        <w:t>distributions makes the observed test score most likely,</w:t>
      </w:r>
      <w:r w:rsidRPr="001806D4">
        <w:rPr>
          <w:rFonts w:ascii="Arial" w:hAnsi="Arial" w:cs="Arial"/>
        </w:rPr>
        <w:t xml:space="preserve"> the </w:t>
      </w:r>
      <w:r w:rsidR="00F54B73" w:rsidRPr="001806D4">
        <w:rPr>
          <w:rFonts w:ascii="Arial" w:hAnsi="Arial" w:cs="Arial"/>
        </w:rPr>
        <w:t xml:space="preserve">distribution of the </w:t>
      </w:r>
      <w:r w:rsidRPr="001806D4">
        <w:rPr>
          <w:rFonts w:ascii="Arial" w:hAnsi="Arial" w:cs="Arial"/>
        </w:rPr>
        <w:t>population</w:t>
      </w:r>
      <w:r w:rsidR="00F54B73" w:rsidRPr="001806D4">
        <w:rPr>
          <w:rFonts w:ascii="Arial" w:hAnsi="Arial" w:cs="Arial"/>
        </w:rPr>
        <w:t xml:space="preserve"> of patients</w:t>
      </w:r>
      <w:r w:rsidRPr="001806D4">
        <w:rPr>
          <w:rFonts w:ascii="Arial" w:hAnsi="Arial" w:cs="Arial"/>
        </w:rPr>
        <w:t xml:space="preserve"> with </w:t>
      </w:r>
      <w:r w:rsidR="00F54B73" w:rsidRPr="001806D4">
        <w:rPr>
          <w:rFonts w:ascii="Arial" w:hAnsi="Arial" w:cs="Arial"/>
        </w:rPr>
        <w:t xml:space="preserve">or the population </w:t>
      </w:r>
      <w:r w:rsidRPr="001806D4">
        <w:rPr>
          <w:rFonts w:ascii="Arial" w:hAnsi="Arial" w:cs="Arial"/>
        </w:rPr>
        <w:t xml:space="preserve"> without the disease. If, for instance, 8% of true patients have score 25, and 11% of patients without CI have score 25,</w:t>
      </w:r>
      <w:r w:rsidR="0056222F" w:rsidRPr="001806D4">
        <w:rPr>
          <w:rFonts w:ascii="Arial" w:hAnsi="Arial" w:cs="Arial"/>
        </w:rPr>
        <w:t xml:space="preserve"> </w:t>
      </w:r>
      <w:r w:rsidRPr="001806D4">
        <w:rPr>
          <w:rFonts w:ascii="Arial" w:hAnsi="Arial" w:cs="Arial"/>
        </w:rPr>
        <w:t>a patient with test score 25 has an estimated relative probability of  8 / (8 + 11) = 0.42 to belong to the population with cognitive impairment</w:t>
      </w:r>
      <w:r w:rsidR="00F54B73" w:rsidRPr="001806D4">
        <w:rPr>
          <w:rFonts w:ascii="Arial" w:hAnsi="Arial" w:cs="Arial"/>
        </w:rPr>
        <w:t xml:space="preserve"> and a probability of 0.58 to belong to the population without cognitive impairment</w:t>
      </w:r>
      <w:r w:rsidRPr="001806D4">
        <w:rPr>
          <w:rFonts w:ascii="Arial" w:hAnsi="Arial" w:cs="Arial"/>
        </w:rPr>
        <w:t xml:space="preserve">. The estimates improve with larger samples. </w:t>
      </w:r>
    </w:p>
    <w:p w14:paraId="14C62A52" w14:textId="77777777" w:rsidR="00EE75BF" w:rsidRPr="001806D4" w:rsidRDefault="00F54B73" w:rsidP="00182AEA">
      <w:pPr>
        <w:spacing w:line="360" w:lineRule="auto"/>
        <w:ind w:firstLine="708"/>
        <w:rPr>
          <w:rFonts w:ascii="Arial" w:hAnsi="Arial" w:cs="Arial"/>
        </w:rPr>
      </w:pPr>
      <w:r w:rsidRPr="001806D4">
        <w:rPr>
          <w:rFonts w:ascii="Arial" w:hAnsi="Arial" w:cs="Arial"/>
        </w:rPr>
        <w:t xml:space="preserve">Standardized predictive values </w:t>
      </w:r>
      <w:r w:rsidR="00CC5B02" w:rsidRPr="001806D4">
        <w:rPr>
          <w:rFonts w:ascii="Arial" w:hAnsi="Arial" w:cs="Arial"/>
        </w:rPr>
        <w:t>are most useful to identify the range of uncertain test scores that offer a limited distinction between the populations of patients with and without the targeted disease</w:t>
      </w:r>
      <w:r w:rsidR="00EE75BF" w:rsidRPr="001806D4">
        <w:rPr>
          <w:rFonts w:ascii="Arial" w:hAnsi="Arial" w:cs="Arial"/>
        </w:rPr>
        <w:t xml:space="preserve">. </w:t>
      </w:r>
      <w:r w:rsidR="00CC5B02" w:rsidRPr="001806D4">
        <w:rPr>
          <w:rFonts w:ascii="Arial" w:hAnsi="Arial" w:cs="Arial"/>
        </w:rPr>
        <w:t xml:space="preserve">It should also be noted that the predictive values of two samples of patients with and without the targeted impairment (PPV and NPV) can be different from the estimates of the </w:t>
      </w:r>
      <w:r w:rsidR="00015D49" w:rsidRPr="001806D4">
        <w:rPr>
          <w:rFonts w:ascii="Arial" w:hAnsi="Arial" w:cs="Arial"/>
        </w:rPr>
        <w:t xml:space="preserve">standardized </w:t>
      </w:r>
      <w:r w:rsidR="00CC5B02" w:rsidRPr="001806D4">
        <w:rPr>
          <w:rFonts w:ascii="Arial" w:hAnsi="Arial" w:cs="Arial"/>
        </w:rPr>
        <w:t>predictive values for the two populations (SPPV and SNPV). These differences are larger when prevalence deviates more strong</w:t>
      </w:r>
      <w:r w:rsidR="00803E32" w:rsidRPr="001806D4">
        <w:rPr>
          <w:rFonts w:ascii="Arial" w:hAnsi="Arial" w:cs="Arial"/>
        </w:rPr>
        <w:t>ly</w:t>
      </w:r>
      <w:r w:rsidR="00CC5B02" w:rsidRPr="001806D4">
        <w:rPr>
          <w:rFonts w:ascii="Arial" w:hAnsi="Arial" w:cs="Arial"/>
        </w:rPr>
        <w:t xml:space="preserve"> from .5 (see Supplemental </w:t>
      </w:r>
      <w:r w:rsidR="00182AEA" w:rsidRPr="001806D4">
        <w:rPr>
          <w:rFonts w:ascii="Arial" w:hAnsi="Arial" w:cs="Arial"/>
        </w:rPr>
        <w:t>F</w:t>
      </w:r>
      <w:r w:rsidR="00CC5B02" w:rsidRPr="001806D4">
        <w:rPr>
          <w:rFonts w:ascii="Arial" w:hAnsi="Arial" w:cs="Arial"/>
        </w:rPr>
        <w:t>ile B</w:t>
      </w:r>
      <w:r w:rsidR="00182AEA" w:rsidRPr="001806D4">
        <w:rPr>
          <w:rFonts w:ascii="Arial" w:hAnsi="Arial" w:cs="Arial"/>
        </w:rPr>
        <w:t xml:space="preserve"> where the distributions of 30 different US ADCs are shown</w:t>
      </w:r>
      <w:r w:rsidR="00CC5B02" w:rsidRPr="001806D4">
        <w:rPr>
          <w:rFonts w:ascii="Arial" w:hAnsi="Arial" w:cs="Arial"/>
        </w:rPr>
        <w:t>).</w:t>
      </w:r>
    </w:p>
    <w:p w14:paraId="11524ACF" w14:textId="379E6058" w:rsidR="00EE75BF" w:rsidRPr="001806D4" w:rsidRDefault="00EE75BF" w:rsidP="00884BF4">
      <w:pPr>
        <w:spacing w:line="360" w:lineRule="auto"/>
        <w:ind w:firstLine="708"/>
        <w:rPr>
          <w:rFonts w:ascii="Arial" w:hAnsi="Arial" w:cs="Arial"/>
        </w:rPr>
      </w:pPr>
      <w:r w:rsidRPr="001806D4">
        <w:rPr>
          <w:rFonts w:ascii="Arial" w:hAnsi="Arial" w:cs="Arial"/>
          <w:b/>
          <w:i/>
        </w:rPr>
        <w:t>Post-test probabilities</w:t>
      </w:r>
      <w:r w:rsidRPr="001806D4">
        <w:rPr>
          <w:rFonts w:ascii="Arial" w:hAnsi="Arial" w:cs="Arial"/>
        </w:rPr>
        <w:t xml:space="preserve">. Posttest probabilities </w:t>
      </w:r>
      <w:r w:rsidRPr="001806D4">
        <w:rPr>
          <w:rFonts w:ascii="Arial" w:hAnsi="Arial" w:cs="Arial"/>
        </w:rPr>
        <w:fldChar w:fldCharType="begin"/>
      </w:r>
      <w:r w:rsidR="007D76D6" w:rsidRPr="001806D4">
        <w:rPr>
          <w:rFonts w:ascii="Arial" w:hAnsi="Arial" w:cs="Arial"/>
        </w:rPr>
        <w:instrText xml:space="preserve"> ADDIN ZOTERO_ITEM CSL_CITATION {"citationID":"tMiGWNBQ","properties":{"formattedCitation":"\\super 15\\nosupersub{}","plainCitation":"15","noteIndex":0},"citationItems":[{"id":1243,"uris":["http://zotero.org/users/841920/items/JKM6CU6B"],"uri":["http://zotero.org/users/841920/items/JKM6CU6B"],"itemData":{"id":1243,"type":"article-journal","title":"How to use and interpret interval likelihood ratios","container-title":"Family Medicine","page":"432–437","volume":"31","source":"Google Scholar","author":[{"family":"Sonis","given":"Jeffrey"}],"issued":{"date-parts":[["1999"]]}}}],"schema":"https://github.com/citation-style-language/schema/raw/master/csl-citation.json"} </w:instrText>
      </w:r>
      <w:r w:rsidRPr="001806D4">
        <w:rPr>
          <w:rFonts w:ascii="Arial" w:hAnsi="Arial" w:cs="Arial"/>
        </w:rPr>
        <w:fldChar w:fldCharType="separate"/>
      </w:r>
      <w:r w:rsidR="007D76D6" w:rsidRPr="001806D4">
        <w:rPr>
          <w:rFonts w:ascii="Arial" w:hAnsi="Arial" w:cs="Arial"/>
          <w:szCs w:val="24"/>
          <w:vertAlign w:val="superscript"/>
        </w:rPr>
        <w:t>15</w:t>
      </w:r>
      <w:r w:rsidRPr="001806D4">
        <w:rPr>
          <w:rFonts w:ascii="Arial" w:hAnsi="Arial" w:cs="Arial"/>
        </w:rPr>
        <w:fldChar w:fldCharType="end"/>
      </w:r>
      <w:r w:rsidRPr="001806D4">
        <w:rPr>
          <w:rFonts w:ascii="Arial" w:hAnsi="Arial" w:cs="Arial"/>
        </w:rPr>
        <w:t xml:space="preserve"> may seem quite different from predictive values, but they are not. The posttest probability is equal to the positive predictive value when the pretest probability is set to the sample prevalence, while the standardized positive predictive value is equal to the posttest probability when the pretest probability is set to .5. </w:t>
      </w:r>
      <w:r w:rsidR="00803E32" w:rsidRPr="001806D4">
        <w:rPr>
          <w:rFonts w:ascii="Arial" w:hAnsi="Arial" w:cs="Arial"/>
        </w:rPr>
        <w:t>Post-test probabilities are most versatile, as they can be calculated for every possible value of prevalence.</w:t>
      </w:r>
    </w:p>
    <w:p w14:paraId="1D0C9176" w14:textId="77777777" w:rsidR="00EE75BF" w:rsidRPr="001806D4" w:rsidRDefault="00EE75BF" w:rsidP="00884BF4">
      <w:pPr>
        <w:spacing w:line="360" w:lineRule="auto"/>
        <w:ind w:firstLine="708"/>
        <w:rPr>
          <w:rFonts w:ascii="Arial" w:hAnsi="Arial" w:cs="Arial"/>
        </w:rPr>
      </w:pPr>
      <w:r w:rsidRPr="001806D4">
        <w:rPr>
          <w:rFonts w:ascii="Arial" w:hAnsi="Arial" w:cs="Arial"/>
          <w:b/>
          <w:i/>
        </w:rPr>
        <w:t>Uncertain test scores</w:t>
      </w:r>
      <w:r w:rsidRPr="001806D4">
        <w:rPr>
          <w:rFonts w:ascii="Arial" w:hAnsi="Arial" w:cs="Arial"/>
        </w:rPr>
        <w:t xml:space="preserve">. This is defined as a range of test scores with </w:t>
      </w:r>
      <w:r w:rsidR="00803E32" w:rsidRPr="001806D4">
        <w:rPr>
          <w:rFonts w:ascii="Arial" w:hAnsi="Arial" w:cs="Arial"/>
        </w:rPr>
        <w:t>about</w:t>
      </w:r>
      <w:r w:rsidRPr="001806D4">
        <w:rPr>
          <w:rFonts w:ascii="Arial" w:hAnsi="Arial" w:cs="Arial"/>
        </w:rPr>
        <w:t xml:space="preserve"> equal densities in the two distributions of patients with and without the targeted disease. Standardized predictive values are therefore most suited to the determination of </w:t>
      </w:r>
      <w:r w:rsidR="00803E32" w:rsidRPr="001806D4">
        <w:rPr>
          <w:rFonts w:ascii="Arial" w:hAnsi="Arial" w:cs="Arial"/>
        </w:rPr>
        <w:t xml:space="preserve">this range of </w:t>
      </w:r>
      <w:r w:rsidRPr="001806D4">
        <w:rPr>
          <w:rFonts w:ascii="Arial" w:hAnsi="Arial" w:cs="Arial"/>
        </w:rPr>
        <w:t xml:space="preserve">uncertain test scores. How much uncertainty can be allowed is open for discussion. This paper uses an SNPV and an SPPV &lt; .667 (odds two to one) to define test scores that are too uncertain for classification concerning the presence of CI. </w:t>
      </w:r>
    </w:p>
    <w:p w14:paraId="0635206E" w14:textId="361FB74F" w:rsidR="00EE75BF" w:rsidRPr="001806D4" w:rsidRDefault="00EE75BF" w:rsidP="00884BF4">
      <w:pPr>
        <w:spacing w:line="360" w:lineRule="auto"/>
        <w:ind w:firstLine="708"/>
        <w:rPr>
          <w:rFonts w:ascii="Arial" w:hAnsi="Arial" w:cs="Arial"/>
        </w:rPr>
      </w:pPr>
      <w:r w:rsidRPr="001806D4">
        <w:rPr>
          <w:rFonts w:ascii="Arial" w:hAnsi="Arial" w:cs="Arial"/>
          <w:b/>
          <w:i/>
        </w:rPr>
        <w:t>More reliable estimates and smoothing</w:t>
      </w:r>
      <w:r w:rsidRPr="001806D4">
        <w:rPr>
          <w:rFonts w:ascii="Arial" w:hAnsi="Arial" w:cs="Arial"/>
        </w:rPr>
        <w:t xml:space="preserve">. Even when all conditions stay the same, we cannot expect to find the same test score for a patient on second application. Due to random </w:t>
      </w:r>
      <w:r w:rsidRPr="001806D4">
        <w:rPr>
          <w:rFonts w:ascii="Arial" w:hAnsi="Arial" w:cs="Arial"/>
        </w:rPr>
        <w:lastRenderedPageBreak/>
        <w:t>influences, a second test score will be slightly lower o</w:t>
      </w:r>
      <w:r w:rsidR="00302E03" w:rsidRPr="001806D4">
        <w:rPr>
          <w:rFonts w:ascii="Arial" w:hAnsi="Arial" w:cs="Arial"/>
        </w:rPr>
        <w:t>r</w:t>
      </w:r>
      <w:r w:rsidRPr="001806D4">
        <w:rPr>
          <w:rFonts w:ascii="Arial" w:hAnsi="Arial" w:cs="Arial"/>
        </w:rPr>
        <w:t xml:space="preserve"> higher. Reliable estimates of these predictive probabilities are consequently needed, and these should be corrected for this randomness to a certain degree. In test theory, this random effect is estimated with the Standard Error of Measurement (SEM), which depends directly on the reliability of the test:</w:t>
      </w:r>
      <w:r w:rsidRPr="001806D4">
        <w:rPr>
          <w:rFonts w:ascii="Arial" w:hAnsi="Arial" w:cs="Arial"/>
          <w:position w:val="-6"/>
        </w:rPr>
        <w:object w:dxaOrig="1500" w:dyaOrig="340" w14:anchorId="66DD3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5pt" o:ole="">
            <v:imagedata r:id="rId6" o:title=""/>
          </v:shape>
          <o:OLEObject Type="Embed" ProgID="Equation.DSMT4" ShapeID="_x0000_i1025" DrawAspect="Content" ObjectID="_1628405550" r:id="rId7"/>
        </w:object>
      </w:r>
      <w:r w:rsidRPr="001806D4">
        <w:rPr>
          <w:rFonts w:ascii="Arial" w:hAnsi="Arial" w:cs="Arial"/>
        </w:rPr>
        <w:t>, where s is the standard deviation of the test scores and r the estimated reliability of the</w:t>
      </w:r>
      <w:r w:rsidR="00302E03" w:rsidRPr="001806D4">
        <w:rPr>
          <w:rFonts w:ascii="Arial" w:hAnsi="Arial" w:cs="Arial"/>
        </w:rPr>
        <w:t xml:space="preserve"> test</w:t>
      </w:r>
      <w:r w:rsidR="006F1B0F" w:rsidRPr="001806D4">
        <w:rPr>
          <w:rFonts w:ascii="Arial" w:hAnsi="Arial" w:cs="Arial"/>
        </w:rPr>
        <w:t xml:space="preserve"> </w:t>
      </w:r>
      <w:r w:rsidR="006F1B0F" w:rsidRPr="001806D4">
        <w:rPr>
          <w:rFonts w:ascii="Arial" w:hAnsi="Arial" w:cs="Arial"/>
        </w:rPr>
        <w:fldChar w:fldCharType="begin"/>
      </w:r>
      <w:r w:rsidR="008459A7" w:rsidRPr="001806D4">
        <w:rPr>
          <w:rFonts w:ascii="Arial" w:hAnsi="Arial" w:cs="Arial"/>
        </w:rPr>
        <w:instrText xml:space="preserve"> ADDIN ZOTERO_ITEM CSL_CITATION {"citationID":"AFw8ZrQz","properties":{"formattedCitation":"\\super 16,17\\nosupersub{}","plainCitation":"16,17","noteIndex":0},"citationItems":[{"id":197,"uris":["http://zotero.org/users/841920/items/NHTG54HE"],"uri":["http://zotero.org/users/841920/items/NHTG54HE"],"itemData":{"id":197,"type":"book","title":"Introduction to classical and modern test theory.","publisher":"Holt, Rinehart and Winston, 6277 Sea Harbor Drive, Orlando, FL 32887","source":"Google Scholar","ISBN":"0-03-061634-4","author":[{"family":"Crocker","given":"L."},{"family":"Algina","given":"J."}],"issued":{"date-parts":[["1986"]]}}},{"id":1205,"uris":["http://zotero.org/users/841920/items/KUT67C9S"],"uri":["http://zotero.org/users/841920/items/KUT67C9S"],"itemData":{"id":1205,"type":"article-journal","title":"Standard error of measurement","container-title":"Educational measurement: Issues and practice","page":"33–41","volume":"10","issue":"2","source":"Google Scholar","author":[{"family":"Harvill","given":"Leo M."}],"issued":{"date-parts":[["1991"]]}}}],"schema":"https://github.com/citation-style-language/schema/raw/master/csl-citation.json"} </w:instrText>
      </w:r>
      <w:r w:rsidR="006F1B0F" w:rsidRPr="001806D4">
        <w:rPr>
          <w:rFonts w:ascii="Arial" w:hAnsi="Arial" w:cs="Arial"/>
        </w:rPr>
        <w:fldChar w:fldCharType="separate"/>
      </w:r>
      <w:r w:rsidR="007D76D6" w:rsidRPr="001806D4">
        <w:rPr>
          <w:rFonts w:ascii="Arial" w:hAnsi="Arial" w:cs="Arial"/>
          <w:szCs w:val="24"/>
          <w:vertAlign w:val="superscript"/>
        </w:rPr>
        <w:t>16,17</w:t>
      </w:r>
      <w:r w:rsidR="006F1B0F" w:rsidRPr="001806D4">
        <w:rPr>
          <w:rFonts w:ascii="Arial" w:hAnsi="Arial" w:cs="Arial"/>
        </w:rPr>
        <w:fldChar w:fldCharType="end"/>
      </w:r>
      <w:r w:rsidRPr="001806D4">
        <w:rPr>
          <w:rFonts w:ascii="Arial" w:hAnsi="Arial" w:cs="Arial"/>
        </w:rPr>
        <w:t xml:space="preserve">. </w:t>
      </w:r>
      <w:r w:rsidR="00803E32" w:rsidRPr="001806D4">
        <w:rPr>
          <w:rFonts w:ascii="Arial" w:hAnsi="Arial" w:cs="Arial"/>
        </w:rPr>
        <w:t xml:space="preserve">The true </w:t>
      </w:r>
      <w:r w:rsidRPr="001806D4">
        <w:rPr>
          <w:rFonts w:ascii="Arial" w:hAnsi="Arial" w:cs="Arial"/>
        </w:rPr>
        <w:t>score of a</w:t>
      </w:r>
      <w:r w:rsidR="00803E32" w:rsidRPr="001806D4">
        <w:rPr>
          <w:rFonts w:ascii="Arial" w:hAnsi="Arial" w:cs="Arial"/>
        </w:rPr>
        <w:t xml:space="preserve">n individual </w:t>
      </w:r>
      <w:r w:rsidRPr="001806D4">
        <w:rPr>
          <w:rFonts w:ascii="Arial" w:hAnsi="Arial" w:cs="Arial"/>
        </w:rPr>
        <w:t xml:space="preserve">patient lies with some probability (roughly 68%) within a range of ±1 SEM around the </w:t>
      </w:r>
      <w:r w:rsidR="001053F5" w:rsidRPr="001806D4">
        <w:rPr>
          <w:rFonts w:ascii="Arial" w:hAnsi="Arial" w:cs="Arial"/>
        </w:rPr>
        <w:t>observed</w:t>
      </w:r>
      <w:r w:rsidRPr="001806D4">
        <w:rPr>
          <w:rFonts w:ascii="Arial" w:hAnsi="Arial" w:cs="Arial"/>
        </w:rPr>
        <w:t xml:space="preserve"> test score. This provides information about the range of test scores </w:t>
      </w:r>
      <w:r w:rsidR="001053F5" w:rsidRPr="001806D4">
        <w:rPr>
          <w:rFonts w:ascii="Arial" w:hAnsi="Arial" w:cs="Arial"/>
        </w:rPr>
        <w:t>where the true score of the patient can</w:t>
      </w:r>
      <w:r w:rsidRPr="001806D4">
        <w:rPr>
          <w:rFonts w:ascii="Arial" w:hAnsi="Arial" w:cs="Arial"/>
        </w:rPr>
        <w:t xml:space="preserve"> be expected. </w:t>
      </w:r>
      <w:r w:rsidR="00220D04" w:rsidRPr="001806D4">
        <w:rPr>
          <w:rFonts w:ascii="Arial" w:hAnsi="Arial" w:cs="Arial"/>
        </w:rPr>
        <w:t xml:space="preserve">The average </w:t>
      </w:r>
      <w:r w:rsidR="001053F5" w:rsidRPr="001806D4">
        <w:rPr>
          <w:rFonts w:ascii="Arial" w:hAnsi="Arial" w:cs="Arial"/>
        </w:rPr>
        <w:t xml:space="preserve">standardized predictive values </w:t>
      </w:r>
      <w:r w:rsidR="00220D04" w:rsidRPr="001806D4">
        <w:rPr>
          <w:rFonts w:ascii="Arial" w:hAnsi="Arial" w:cs="Arial"/>
        </w:rPr>
        <w:t xml:space="preserve">of a fixed number of consecutive test scores </w:t>
      </w:r>
      <w:r w:rsidR="001053F5" w:rsidRPr="001806D4">
        <w:rPr>
          <w:rFonts w:ascii="Arial" w:hAnsi="Arial" w:cs="Arial"/>
        </w:rPr>
        <w:t xml:space="preserve">(in this case 5) </w:t>
      </w:r>
      <w:r w:rsidR="00220D04" w:rsidRPr="001806D4">
        <w:rPr>
          <w:rFonts w:ascii="Arial" w:hAnsi="Arial" w:cs="Arial"/>
        </w:rPr>
        <w:t xml:space="preserve">are calculated, where each subset of test scores is modified by a forward shift, excluding the first test score and including the next test score. </w:t>
      </w:r>
      <w:r w:rsidR="001053F5" w:rsidRPr="001806D4">
        <w:rPr>
          <w:rFonts w:ascii="Arial" w:hAnsi="Arial" w:cs="Arial"/>
        </w:rPr>
        <w:t>S</w:t>
      </w:r>
      <w:r w:rsidR="00220D04" w:rsidRPr="001806D4">
        <w:rPr>
          <w:rFonts w:ascii="Arial" w:hAnsi="Arial" w:cs="Arial"/>
        </w:rPr>
        <w:t xml:space="preserve">uch </w:t>
      </w:r>
      <w:r w:rsidRPr="001806D4">
        <w:rPr>
          <w:rFonts w:ascii="Arial" w:hAnsi="Arial" w:cs="Arial"/>
        </w:rPr>
        <w:t xml:space="preserve">a moving average smooths the </w:t>
      </w:r>
      <w:r w:rsidR="001053F5" w:rsidRPr="001806D4">
        <w:rPr>
          <w:rFonts w:ascii="Arial" w:hAnsi="Arial" w:cs="Arial"/>
        </w:rPr>
        <w:t>predictive values</w:t>
      </w:r>
      <w:r w:rsidRPr="001806D4">
        <w:rPr>
          <w:rFonts w:ascii="Arial" w:hAnsi="Arial" w:cs="Arial"/>
        </w:rPr>
        <w:t>, stabilizes the estimates across different samples, and mitigates peculiarities in the sample.</w:t>
      </w:r>
      <w:r w:rsidR="001053F5" w:rsidRPr="001806D4">
        <w:rPr>
          <w:rFonts w:ascii="Arial" w:hAnsi="Arial" w:cs="Arial"/>
        </w:rPr>
        <w:t xml:space="preserve"> For the determination of thresholds, standardized predictive values are calculated for the range of ±1 SEM around each test score to obtain more reliable predictive values.</w:t>
      </w:r>
    </w:p>
    <w:p w14:paraId="3F29D728" w14:textId="323D61AD" w:rsidR="00EE75BF" w:rsidRPr="001806D4" w:rsidRDefault="00EE75BF" w:rsidP="00884BF4">
      <w:pPr>
        <w:spacing w:line="360" w:lineRule="auto"/>
        <w:ind w:firstLine="708"/>
        <w:rPr>
          <w:rFonts w:ascii="Arial" w:hAnsi="Arial" w:cs="Arial"/>
        </w:rPr>
      </w:pPr>
      <w:r w:rsidRPr="001806D4">
        <w:rPr>
          <w:rFonts w:ascii="Arial" w:hAnsi="Arial" w:cs="Arial"/>
        </w:rPr>
        <w:t>A</w:t>
      </w:r>
      <w:r w:rsidR="00182AEA" w:rsidRPr="001806D4">
        <w:rPr>
          <w:rFonts w:ascii="Arial" w:hAnsi="Arial" w:cs="Arial"/>
        </w:rPr>
        <w:t xml:space="preserve"> documented </w:t>
      </w:r>
      <w:r w:rsidRPr="001806D4">
        <w:rPr>
          <w:rFonts w:ascii="Arial" w:hAnsi="Arial" w:cs="Arial"/>
        </w:rPr>
        <w:t xml:space="preserve">function </w:t>
      </w:r>
      <w:r w:rsidR="00671CA6" w:rsidRPr="001806D4">
        <w:rPr>
          <w:rFonts w:ascii="Arial" w:hAnsi="Arial" w:cs="Arial"/>
        </w:rPr>
        <w:t xml:space="preserve">(RPV) </w:t>
      </w:r>
      <w:r w:rsidR="00302E03" w:rsidRPr="001806D4">
        <w:rPr>
          <w:rFonts w:ascii="Arial" w:hAnsi="Arial" w:cs="Arial"/>
        </w:rPr>
        <w:t xml:space="preserve">in the language R </w:t>
      </w:r>
      <w:r w:rsidR="00302E03" w:rsidRPr="001806D4">
        <w:rPr>
          <w:rFonts w:ascii="Arial" w:hAnsi="Arial" w:cs="Arial"/>
        </w:rPr>
        <w:fldChar w:fldCharType="begin"/>
      </w:r>
      <w:r w:rsidR="00302E03" w:rsidRPr="001806D4">
        <w:rPr>
          <w:rFonts w:ascii="Arial" w:hAnsi="Arial" w:cs="Arial"/>
        </w:rPr>
        <w:instrText xml:space="preserve"> ADDIN ZOTERO_ITEM CSL_CITATION {"citationID":"LW2aaQdq","properties":{"formattedCitation":"\\super 18\\nosupersub{}","plainCitation":"18","noteIndex":0},"citationItems":[{"id":493,"uris":["http://zotero.org/users/841920/items/8UW3WNND"],"uri":["http://zotero.org/users/841920/items/8UW3WNND"],"itemData":{"id":493,"type":"book","title":"R: A language and environment for statistical computing","publisher-place":"Vienna, Austria","source":"Google Scholar","event-place":"Vienna, Austria","URL":"http://cran.r-project.org/doc/manuals/r-release/fullrefman.pdf","title-short":"R","language":"English","author":[{"literal":"R Development Core Team"}],"issued":{"date-parts":[["2014"]]},"accessed":{"date-parts":[["2014",5,8]]}}}],"schema":"https://github.com/citation-style-language/schema/raw/master/csl-citation.json"} </w:instrText>
      </w:r>
      <w:r w:rsidR="00302E03" w:rsidRPr="001806D4">
        <w:rPr>
          <w:rFonts w:ascii="Arial" w:hAnsi="Arial" w:cs="Arial"/>
        </w:rPr>
        <w:fldChar w:fldCharType="separate"/>
      </w:r>
      <w:r w:rsidR="00302E03" w:rsidRPr="001806D4">
        <w:rPr>
          <w:rFonts w:ascii="Arial" w:hAnsi="Arial" w:cs="Arial"/>
          <w:szCs w:val="24"/>
          <w:vertAlign w:val="superscript"/>
        </w:rPr>
        <w:t>18</w:t>
      </w:r>
      <w:r w:rsidR="00302E03" w:rsidRPr="001806D4">
        <w:rPr>
          <w:rFonts w:ascii="Arial" w:hAnsi="Arial" w:cs="Arial"/>
        </w:rPr>
        <w:fldChar w:fldCharType="end"/>
      </w:r>
      <w:r w:rsidR="00302E03" w:rsidRPr="001806D4">
        <w:rPr>
          <w:rFonts w:ascii="Arial" w:hAnsi="Arial" w:cs="Arial"/>
        </w:rPr>
        <w:t xml:space="preserve"> </w:t>
      </w:r>
      <w:r w:rsidRPr="001806D4">
        <w:rPr>
          <w:rFonts w:ascii="Arial" w:hAnsi="Arial" w:cs="Arial"/>
        </w:rPr>
        <w:t xml:space="preserve">that performs all calculations </w:t>
      </w:r>
      <w:r w:rsidR="00302E03" w:rsidRPr="001806D4">
        <w:rPr>
          <w:rFonts w:ascii="Arial" w:hAnsi="Arial" w:cs="Arial"/>
        </w:rPr>
        <w:t xml:space="preserve">is </w:t>
      </w:r>
      <w:r w:rsidRPr="001806D4">
        <w:rPr>
          <w:rFonts w:ascii="Arial" w:hAnsi="Arial" w:cs="Arial"/>
        </w:rPr>
        <w:t xml:space="preserve"> made available in the R-package </w:t>
      </w:r>
      <w:proofErr w:type="spellStart"/>
      <w:r w:rsidRPr="001806D4">
        <w:rPr>
          <w:rFonts w:ascii="Arial" w:hAnsi="Arial" w:cs="Arial"/>
        </w:rPr>
        <w:t>UncertainInterval</w:t>
      </w:r>
      <w:proofErr w:type="spellEnd"/>
      <w:r w:rsidRPr="001806D4">
        <w:rPr>
          <w:rFonts w:ascii="Arial" w:hAnsi="Arial" w:cs="Arial"/>
        </w:rPr>
        <w:t xml:space="preserve"> </w:t>
      </w:r>
      <w:r w:rsidRPr="001806D4">
        <w:rPr>
          <w:rFonts w:ascii="Arial" w:hAnsi="Arial" w:cs="Arial"/>
        </w:rPr>
        <w:fldChar w:fldCharType="begin"/>
      </w:r>
      <w:r w:rsidR="007D76D6" w:rsidRPr="001806D4">
        <w:rPr>
          <w:rFonts w:ascii="Arial" w:hAnsi="Arial" w:cs="Arial"/>
        </w:rPr>
        <w:instrText xml:space="preserve"> ADDIN ZOTERO_ITEM CSL_CITATION {"citationID":"lSNmtndD","properties":{"formattedCitation":"\\super 19\\nosupersub{}","plainCitation":"19","noteIndex":0},"citationItems":[{"id":379,"uris":["http://zotero.org/users/841920/items/J4MW7R5S"],"uri":["http://zotero.org/users/841920/items/J4MW7R5S"],"itemData":{"id":379,"type":"book","title":"UncertainInterval: Uncertain Area Methods for Cut-Point Determination in Tests","version":"0.3.0","source":"R-Packages","abstract":"Functions for the determination of an Uncertain Interval, i.e., a range\n    of test scores that are inconclusive and do not allow a diagnosis, other than\n    'Uncertain'.","URL":"https://cran.r-project.org/web/packages/UncertainInterval/index.html","title-short":"UncertainInterval","author":[{"family":"Landsheer","given":"J. A."}],"issued":{"date-parts":[["2017",1,19]]},"accessed":{"date-parts":[["2017",2,7]]}}}],"schema":"https://github.com/citation-style-language/schema/raw/master/csl-citation.json"} </w:instrText>
      </w:r>
      <w:r w:rsidRPr="001806D4">
        <w:rPr>
          <w:rFonts w:ascii="Arial" w:hAnsi="Arial" w:cs="Arial"/>
        </w:rPr>
        <w:fldChar w:fldCharType="separate"/>
      </w:r>
      <w:r w:rsidR="007D76D6" w:rsidRPr="001806D4">
        <w:rPr>
          <w:rFonts w:ascii="Arial" w:hAnsi="Arial" w:cs="Arial"/>
          <w:szCs w:val="24"/>
          <w:vertAlign w:val="superscript"/>
        </w:rPr>
        <w:t>19</w:t>
      </w:r>
      <w:r w:rsidRPr="001806D4">
        <w:rPr>
          <w:rFonts w:ascii="Arial" w:hAnsi="Arial" w:cs="Arial"/>
        </w:rPr>
        <w:fldChar w:fldCharType="end"/>
      </w:r>
      <w:r w:rsidRPr="001806D4">
        <w:rPr>
          <w:rFonts w:ascii="Arial" w:hAnsi="Arial" w:cs="Arial"/>
        </w:rPr>
        <w:t xml:space="preserve">. </w:t>
      </w:r>
    </w:p>
    <w:p w14:paraId="432FE00A" w14:textId="77777777" w:rsidR="00EE75BF" w:rsidRPr="001806D4" w:rsidRDefault="00EE75BF" w:rsidP="00884BF4">
      <w:pPr>
        <w:spacing w:line="360" w:lineRule="auto"/>
        <w:ind w:firstLine="708"/>
        <w:rPr>
          <w:rFonts w:ascii="Arial" w:hAnsi="Arial" w:cs="Arial"/>
        </w:rPr>
      </w:pPr>
    </w:p>
    <w:p w14:paraId="1EB2B68D" w14:textId="77777777" w:rsidR="00470174" w:rsidRPr="001806D4" w:rsidRDefault="00470174" w:rsidP="00884BF4">
      <w:pPr>
        <w:spacing w:after="0" w:line="360" w:lineRule="auto"/>
        <w:ind w:firstLine="708"/>
        <w:rPr>
          <w:rFonts w:ascii="Arial" w:eastAsia="Times New Roman" w:hAnsi="Arial" w:cs="Times New Roman"/>
          <w:sz w:val="24"/>
          <w:szCs w:val="20"/>
          <w:lang w:eastAsia="de-DE"/>
        </w:rPr>
      </w:pPr>
      <w:r w:rsidRPr="001806D4">
        <w:rPr>
          <w:rFonts w:ascii="Arial" w:eastAsia="Times New Roman" w:hAnsi="Arial" w:cs="Times New Roman"/>
          <w:sz w:val="24"/>
          <w:szCs w:val="20"/>
          <w:lang w:eastAsia="de-DE"/>
        </w:rPr>
        <w:t xml:space="preserve">The </w:t>
      </w:r>
      <w:r w:rsidR="00182AEA" w:rsidRPr="001806D4">
        <w:rPr>
          <w:rFonts w:ascii="Arial" w:eastAsia="Times New Roman" w:hAnsi="Arial" w:cs="Times New Roman"/>
          <w:sz w:val="24"/>
          <w:szCs w:val="20"/>
          <w:lang w:eastAsia="de-DE"/>
        </w:rPr>
        <w:t>first</w:t>
      </w:r>
      <w:r w:rsidRPr="001806D4">
        <w:rPr>
          <w:rFonts w:ascii="Arial" w:eastAsia="Times New Roman" w:hAnsi="Arial" w:cs="Times New Roman"/>
          <w:sz w:val="24"/>
          <w:szCs w:val="20"/>
          <w:lang w:eastAsia="de-DE"/>
        </w:rPr>
        <w:t xml:space="preserve"> step is to define the cutoff scores for the range of uncertain test scores that disallow positive or negative classification, based on all results. </w:t>
      </w:r>
      <w:r w:rsidR="00A663E0" w:rsidRPr="001806D4">
        <w:rPr>
          <w:rFonts w:ascii="Arial" w:eastAsia="Times New Roman" w:hAnsi="Arial" w:cs="Times New Roman"/>
          <w:sz w:val="24"/>
          <w:szCs w:val="20"/>
          <w:lang w:eastAsia="de-DE"/>
        </w:rPr>
        <w:t xml:space="preserve">For this, we need a sufficient estimate of the test reliability. </w:t>
      </w:r>
    </w:p>
    <w:p w14:paraId="49120DAC" w14:textId="4342A83E" w:rsidR="00A663E0" w:rsidRPr="001806D4" w:rsidRDefault="00A663E0" w:rsidP="00884BF4">
      <w:pPr>
        <w:spacing w:after="0" w:line="360" w:lineRule="auto"/>
        <w:ind w:firstLine="708"/>
        <w:rPr>
          <w:rFonts w:ascii="Arial" w:eastAsia="Times New Roman" w:hAnsi="Arial" w:cs="Times New Roman"/>
          <w:sz w:val="24"/>
          <w:szCs w:val="20"/>
          <w:lang w:eastAsia="de-DE"/>
        </w:rPr>
      </w:pPr>
      <w:r w:rsidRPr="001806D4">
        <w:rPr>
          <w:rFonts w:ascii="Arial" w:eastAsia="Times New Roman" w:hAnsi="Arial" w:cs="Times New Roman"/>
          <w:sz w:val="24"/>
          <w:szCs w:val="20"/>
          <w:lang w:eastAsia="de-DE"/>
        </w:rPr>
        <w:t xml:space="preserve">A meta-study </w:t>
      </w:r>
      <w:r w:rsidRPr="001806D4">
        <w:rPr>
          <w:rFonts w:ascii="Arial" w:eastAsia="Times New Roman" w:hAnsi="Arial" w:cs="Times New Roman"/>
          <w:sz w:val="24"/>
          <w:szCs w:val="20"/>
          <w:lang w:eastAsia="de-DE"/>
        </w:rPr>
        <w:fldChar w:fldCharType="begin"/>
      </w:r>
      <w:r w:rsidR="007D76D6" w:rsidRPr="001806D4">
        <w:rPr>
          <w:rFonts w:ascii="Arial" w:eastAsia="Times New Roman" w:hAnsi="Arial" w:cs="Times New Roman"/>
          <w:sz w:val="24"/>
          <w:szCs w:val="20"/>
          <w:lang w:eastAsia="de-DE"/>
        </w:rPr>
        <w:instrText xml:space="preserve"> ADDIN ZOTERO_ITEM CSL_CITATION {"citationID":"JzmYXgUz","properties":{"formattedCitation":"\\super 20\\nosupersub{}","plainCitation":"20","noteIndex":0},"citationItems":[{"id":1223,"uris":["http://zotero.org/users/841920/items/7HE8VPCV"],"uri":["http://zotero.org/users/841920/items/7HE8VPCV"],"itemData":{"id":1223,"type":"article-journal","title":"A systematic review of the diagnostic test accuracy of brief cognitive tests to detect amnestic mild cognitive impairment","container-title":"International journal of geriatric psychiatry","page":"1139–1150","volume":"31","issue":"11","source":"Google Scholar","author":[{"family":"Ozer","given":"Seline"},{"family":"Young","given":"John"},{"family":"Champ","given":"Claire"},{"family":"Burke","given":"Melanie"}],"issued":{"date-parts":[["2016"]]}}}],"schema":"https://github.com/citation-style-language/schema/raw/master/csl-citation.json"} </w:instrText>
      </w:r>
      <w:r w:rsidRPr="001806D4">
        <w:rPr>
          <w:rFonts w:ascii="Arial" w:eastAsia="Times New Roman" w:hAnsi="Arial" w:cs="Times New Roman"/>
          <w:sz w:val="24"/>
          <w:szCs w:val="20"/>
          <w:lang w:eastAsia="de-DE"/>
        </w:rPr>
        <w:fldChar w:fldCharType="separate"/>
      </w:r>
      <w:r w:rsidR="007D76D6" w:rsidRPr="001806D4">
        <w:rPr>
          <w:rFonts w:ascii="Arial" w:hAnsi="Arial" w:cs="Arial"/>
          <w:sz w:val="24"/>
          <w:szCs w:val="24"/>
          <w:vertAlign w:val="superscript"/>
        </w:rPr>
        <w:t>20</w:t>
      </w:r>
      <w:r w:rsidRPr="001806D4">
        <w:rPr>
          <w:rFonts w:ascii="Arial" w:eastAsia="Times New Roman" w:hAnsi="Arial" w:cs="Times New Roman"/>
          <w:sz w:val="24"/>
          <w:szCs w:val="20"/>
          <w:lang w:eastAsia="de-DE"/>
        </w:rPr>
        <w:fldChar w:fldCharType="end"/>
      </w:r>
      <w:r w:rsidRPr="001806D4">
        <w:rPr>
          <w:rFonts w:ascii="Arial" w:eastAsia="Times New Roman" w:hAnsi="Arial" w:cs="Times New Roman"/>
          <w:sz w:val="24"/>
          <w:szCs w:val="20"/>
          <w:lang w:eastAsia="de-DE"/>
        </w:rPr>
        <w:t xml:space="preserve"> of 39 studies presented 8 studies of the repeated measurement reliability (using the intra-class correlation; ICC) of the MOCA, varying from .75 to .92. Most of these studies use small samples (&lt;= 80), but the results are comparable for samples of normal and MCI patients. Feen</w:t>
      </w:r>
      <w:r w:rsidR="00302E03" w:rsidRPr="001806D4">
        <w:rPr>
          <w:rFonts w:ascii="Arial" w:eastAsia="Times New Roman" w:hAnsi="Arial" w:cs="Times New Roman"/>
          <w:sz w:val="24"/>
          <w:szCs w:val="20"/>
          <w:lang w:eastAsia="de-DE"/>
        </w:rPr>
        <w:t>e</w:t>
      </w:r>
      <w:r w:rsidRPr="001806D4">
        <w:rPr>
          <w:rFonts w:ascii="Arial" w:eastAsia="Times New Roman" w:hAnsi="Arial" w:cs="Times New Roman"/>
          <w:sz w:val="24"/>
          <w:szCs w:val="20"/>
          <w:lang w:eastAsia="de-DE"/>
        </w:rPr>
        <w:t xml:space="preserve">y et al. </w:t>
      </w:r>
      <w:r w:rsidRPr="001806D4">
        <w:rPr>
          <w:rFonts w:ascii="Arial" w:eastAsia="Times New Roman" w:hAnsi="Arial" w:cs="Times New Roman"/>
          <w:sz w:val="24"/>
          <w:szCs w:val="20"/>
          <w:lang w:eastAsia="de-DE"/>
        </w:rPr>
        <w:fldChar w:fldCharType="begin"/>
      </w:r>
      <w:r w:rsidR="007D76D6" w:rsidRPr="001806D4">
        <w:rPr>
          <w:rFonts w:ascii="Arial" w:eastAsia="Times New Roman" w:hAnsi="Arial" w:cs="Times New Roman"/>
          <w:sz w:val="24"/>
          <w:szCs w:val="20"/>
          <w:lang w:eastAsia="de-DE"/>
        </w:rPr>
        <w:instrText xml:space="preserve"> ADDIN ZOTERO_ITEM CSL_CITATION {"citationID":"A5vOQFmQ","properties":{"formattedCitation":"\\super 21\\nosupersub{}","plainCitation":"21","noteIndex":0},"citationItems":[{"id":1221,"uris":["http://zotero.org/users/841920/items/FJNQRXNS"],"uri":["http://zotero.org/users/841920/items/FJNQRXNS"],"itemData":{"id":1221,"type":"article-journal","title":"Measurement error, reliability, and minimum detectable change in the Mini-Mental State Examination, Montreal Cognitive Assessment, and color trails test among community living middle-aged and older adults","container-title":"Journal of Alzheimer's Disease","page":"1107–1114","volume":"53","issue":"3","source":"Google Scholar","author":[{"family":"Feeney","given":"Joanne"},{"family":"Savva","given":"George M."},{"family":"O’Regan","given":"Claire"},{"family":"King-Kallimanis","given":"Bellinda"},{"family":"Cronin","given":"Hilary"},{"family":"Kenny","given":"Rose Anne"}],"issued":{"date-parts":[["2016"]]}},"suppress-author":true}],"schema":"https://github.com/citation-style-language/schema/raw/master/csl-citation.json"} </w:instrText>
      </w:r>
      <w:r w:rsidRPr="001806D4">
        <w:rPr>
          <w:rFonts w:ascii="Arial" w:eastAsia="Times New Roman" w:hAnsi="Arial" w:cs="Times New Roman"/>
          <w:sz w:val="24"/>
          <w:szCs w:val="20"/>
          <w:lang w:eastAsia="de-DE"/>
        </w:rPr>
        <w:fldChar w:fldCharType="separate"/>
      </w:r>
      <w:r w:rsidR="007D76D6" w:rsidRPr="001806D4">
        <w:rPr>
          <w:rFonts w:ascii="Arial" w:hAnsi="Arial" w:cs="Arial"/>
          <w:sz w:val="24"/>
          <w:szCs w:val="24"/>
          <w:vertAlign w:val="superscript"/>
        </w:rPr>
        <w:t>21</w:t>
      </w:r>
      <w:r w:rsidRPr="001806D4">
        <w:rPr>
          <w:rFonts w:ascii="Arial" w:eastAsia="Times New Roman" w:hAnsi="Arial" w:cs="Times New Roman"/>
          <w:sz w:val="24"/>
          <w:szCs w:val="20"/>
          <w:lang w:eastAsia="de-DE"/>
        </w:rPr>
        <w:fldChar w:fldCharType="end"/>
      </w:r>
      <w:r w:rsidRPr="001806D4">
        <w:rPr>
          <w:rFonts w:ascii="Arial" w:eastAsia="Times New Roman" w:hAnsi="Arial" w:cs="Times New Roman"/>
          <w:sz w:val="24"/>
          <w:szCs w:val="20"/>
          <w:lang w:eastAsia="de-DE"/>
        </w:rPr>
        <w:t xml:space="preserve"> studied 253 older participants </w:t>
      </w:r>
      <w:r w:rsidR="00302E03" w:rsidRPr="001806D4">
        <w:rPr>
          <w:rFonts w:ascii="Arial" w:eastAsia="Times New Roman" w:hAnsi="Arial" w:cs="Times New Roman"/>
          <w:sz w:val="24"/>
          <w:szCs w:val="20"/>
          <w:lang w:eastAsia="de-DE"/>
        </w:rPr>
        <w:t>in</w:t>
      </w:r>
      <w:r w:rsidRPr="001806D4">
        <w:rPr>
          <w:rFonts w:ascii="Arial" w:eastAsia="Times New Roman" w:hAnsi="Arial" w:cs="Times New Roman"/>
          <w:sz w:val="24"/>
          <w:szCs w:val="20"/>
          <w:lang w:eastAsia="de-DE"/>
        </w:rPr>
        <w:t xml:space="preserve"> a longitudinal study in Ireland and reported a reliability of .81 (ICC). Cooley et al. </w:t>
      </w:r>
      <w:r w:rsidRPr="001806D4">
        <w:rPr>
          <w:rFonts w:ascii="Arial" w:eastAsia="Times New Roman" w:hAnsi="Arial" w:cs="Times New Roman"/>
          <w:sz w:val="24"/>
          <w:szCs w:val="20"/>
          <w:lang w:eastAsia="de-DE"/>
        </w:rPr>
        <w:fldChar w:fldCharType="begin"/>
      </w:r>
      <w:r w:rsidR="007D76D6" w:rsidRPr="001806D4">
        <w:rPr>
          <w:rFonts w:ascii="Arial" w:eastAsia="Times New Roman" w:hAnsi="Arial" w:cs="Times New Roman"/>
          <w:sz w:val="24"/>
          <w:szCs w:val="20"/>
          <w:lang w:eastAsia="de-DE"/>
        </w:rPr>
        <w:instrText xml:space="preserve"> ADDIN ZOTERO_ITEM CSL_CITATION {"citationID":"EZiPe9So","properties":{"formattedCitation":"\\super 22\\nosupersub{}","plainCitation":"22","noteIndex":0},"citationItems":[{"id":1222,"uris":["http://zotero.org/users/841920/items/WNZEKP2U"],"uri":["http://zotero.org/users/841920/items/WNZEKP2U"],"itemData":{"id":1222,"type":"article-journal","title":"Longitudinal change in performance on the Montreal Cognitive Assessment in older adults","container-title":"The Clinical Neuropsychologist","page":"824–835","volume":"29","issue":"6","source":"Google Scholar","author":[{"family":"Cooley","given":"Sarah A."},{"family":"Heaps","given":"Jodi M."},{"family":"Bolzenius","given":"Jacob D."},{"family":"Salminen","given":"Lauren E."},{"family":"Baker","given":"Laurie M."},{"family":"Scott","given":"Staci E."},{"family":"Paul","given":"Robert H."}],"issued":{"date-parts":[["2015"]]}},"suppress-author":true}],"schema":"https://github.com/citation-style-language/schema/raw/master/csl-citation.json"} </w:instrText>
      </w:r>
      <w:r w:rsidRPr="001806D4">
        <w:rPr>
          <w:rFonts w:ascii="Arial" w:eastAsia="Times New Roman" w:hAnsi="Arial" w:cs="Times New Roman"/>
          <w:sz w:val="24"/>
          <w:szCs w:val="20"/>
          <w:lang w:eastAsia="de-DE"/>
        </w:rPr>
        <w:fldChar w:fldCharType="separate"/>
      </w:r>
      <w:r w:rsidR="007D76D6" w:rsidRPr="001806D4">
        <w:rPr>
          <w:rFonts w:ascii="Arial" w:hAnsi="Arial" w:cs="Arial"/>
          <w:sz w:val="24"/>
          <w:szCs w:val="24"/>
          <w:vertAlign w:val="superscript"/>
        </w:rPr>
        <w:t>22</w:t>
      </w:r>
      <w:r w:rsidRPr="001806D4">
        <w:rPr>
          <w:rFonts w:ascii="Arial" w:eastAsia="Times New Roman" w:hAnsi="Arial" w:cs="Times New Roman"/>
          <w:sz w:val="24"/>
          <w:szCs w:val="20"/>
          <w:lang w:eastAsia="de-DE"/>
        </w:rPr>
        <w:fldChar w:fldCharType="end"/>
      </w:r>
      <w:r w:rsidRPr="001806D4">
        <w:rPr>
          <w:rFonts w:ascii="Arial" w:eastAsia="Times New Roman" w:hAnsi="Arial" w:cs="Times New Roman"/>
          <w:sz w:val="24"/>
          <w:szCs w:val="20"/>
          <w:lang w:eastAsia="de-DE"/>
        </w:rPr>
        <w:t xml:space="preserve"> studied healthy patients and reported low test-retest reliabilities for this group and concluded that the MOCA may be susceptible to practice effects. Another study suggests that estimates of the reliability of the MOCA may vary strongly across clinical (.75) and non-clinical populations (.5 and .63), using Cronbach’s alpha as an estimate </w:t>
      </w:r>
      <w:r w:rsidRPr="001806D4">
        <w:rPr>
          <w:rFonts w:ascii="Arial" w:eastAsia="Times New Roman" w:hAnsi="Arial" w:cs="Times New Roman"/>
          <w:sz w:val="24"/>
          <w:szCs w:val="20"/>
          <w:lang w:eastAsia="de-DE"/>
        </w:rPr>
        <w:fldChar w:fldCharType="begin"/>
      </w:r>
      <w:r w:rsidR="007D76D6" w:rsidRPr="001806D4">
        <w:rPr>
          <w:rFonts w:ascii="Arial" w:eastAsia="Times New Roman" w:hAnsi="Arial" w:cs="Times New Roman"/>
          <w:sz w:val="24"/>
          <w:szCs w:val="20"/>
          <w:lang w:eastAsia="de-DE"/>
        </w:rPr>
        <w:instrText xml:space="preserve"> ADDIN ZOTERO_ITEM CSL_CITATION {"citationID":"n6blGyXK","properties":{"formattedCitation":"\\super 23\\nosupersub{}","plainCitation":"23","noteIndex":0},"citationItems":[{"id":1224,"uris":["http://zotero.org/users/841920/items/9PZ3G3ZQ"],"uri":["http://zotero.org/users/841920/items/9PZ3G3ZQ"],"itemData":{"id":1224,"type":"article-journal","title":"Psychometric evaluation of the Montreal Cognitive Assessment (MoCA) in three diverse samples","container-title":"The Clinical Neuropsychologist","page":"119–126","volume":"25","issue":"1","source":"Google Scholar","author":[{"family":"Bernstein","given":"Ira H."},{"family":"Lacritz","given":"Laura"},{"family":"Barlow","given":"Carolyn E."},{"family":"Weiner","given":"Myron F."},{"family":"DeFina","given":"Laura F."}],"issued":{"date-parts":[["2011"]]}}}],"schema":"https://github.com/citation-style-language/schema/raw/master/csl-citation.json"} </w:instrText>
      </w:r>
      <w:r w:rsidRPr="001806D4">
        <w:rPr>
          <w:rFonts w:ascii="Arial" w:eastAsia="Times New Roman" w:hAnsi="Arial" w:cs="Times New Roman"/>
          <w:sz w:val="24"/>
          <w:szCs w:val="20"/>
          <w:lang w:eastAsia="de-DE"/>
        </w:rPr>
        <w:fldChar w:fldCharType="separate"/>
      </w:r>
      <w:r w:rsidR="007D76D6" w:rsidRPr="001806D4">
        <w:rPr>
          <w:rFonts w:ascii="Arial" w:hAnsi="Arial" w:cs="Arial"/>
          <w:sz w:val="24"/>
          <w:szCs w:val="24"/>
          <w:vertAlign w:val="superscript"/>
        </w:rPr>
        <w:t>23</w:t>
      </w:r>
      <w:r w:rsidRPr="001806D4">
        <w:rPr>
          <w:rFonts w:ascii="Arial" w:eastAsia="Times New Roman" w:hAnsi="Arial" w:cs="Times New Roman"/>
          <w:sz w:val="24"/>
          <w:szCs w:val="20"/>
          <w:lang w:eastAsia="de-DE"/>
        </w:rPr>
        <w:fldChar w:fldCharType="end"/>
      </w:r>
      <w:r w:rsidRPr="001806D4">
        <w:rPr>
          <w:rFonts w:ascii="Arial" w:eastAsia="Times New Roman" w:hAnsi="Arial" w:cs="Times New Roman"/>
          <w:sz w:val="24"/>
          <w:szCs w:val="20"/>
          <w:lang w:eastAsia="de-DE"/>
        </w:rPr>
        <w:t xml:space="preserve">. </w:t>
      </w:r>
      <w:r w:rsidR="007212D6" w:rsidRPr="001806D4">
        <w:rPr>
          <w:rFonts w:ascii="Arial" w:eastAsia="Times New Roman" w:hAnsi="Arial" w:cs="Times New Roman"/>
          <w:sz w:val="24"/>
          <w:szCs w:val="20"/>
          <w:lang w:eastAsia="de-DE"/>
        </w:rPr>
        <w:t xml:space="preserve">Considering the differences in sampling, the size of the samples, the different </w:t>
      </w:r>
      <w:r w:rsidR="007212D6" w:rsidRPr="001806D4">
        <w:rPr>
          <w:rFonts w:ascii="Arial" w:eastAsia="Times New Roman" w:hAnsi="Arial" w:cs="Times New Roman"/>
          <w:sz w:val="24"/>
          <w:szCs w:val="20"/>
          <w:lang w:eastAsia="de-DE"/>
        </w:rPr>
        <w:lastRenderedPageBreak/>
        <w:t>reliability indicators used and the varying results, i</w:t>
      </w:r>
      <w:r w:rsidRPr="001806D4">
        <w:rPr>
          <w:rFonts w:ascii="Arial" w:eastAsia="Times New Roman" w:hAnsi="Arial" w:cs="Times New Roman"/>
          <w:sz w:val="24"/>
          <w:szCs w:val="20"/>
          <w:lang w:eastAsia="de-DE"/>
        </w:rPr>
        <w:t xml:space="preserve">t is difficult to draw </w:t>
      </w:r>
      <w:r w:rsidR="007212D6" w:rsidRPr="001806D4">
        <w:rPr>
          <w:rFonts w:ascii="Arial" w:eastAsia="Times New Roman" w:hAnsi="Arial" w:cs="Times New Roman"/>
          <w:sz w:val="24"/>
          <w:szCs w:val="20"/>
          <w:lang w:eastAsia="de-DE"/>
        </w:rPr>
        <w:t xml:space="preserve">from these results </w:t>
      </w:r>
      <w:r w:rsidRPr="001806D4">
        <w:rPr>
          <w:rFonts w:ascii="Arial" w:eastAsia="Times New Roman" w:hAnsi="Arial" w:cs="Times New Roman"/>
          <w:sz w:val="24"/>
          <w:szCs w:val="20"/>
          <w:lang w:eastAsia="de-DE"/>
        </w:rPr>
        <w:t xml:space="preserve">a conclusion </w:t>
      </w:r>
      <w:r w:rsidR="007212D6" w:rsidRPr="001806D4">
        <w:rPr>
          <w:rFonts w:ascii="Arial" w:eastAsia="Times New Roman" w:hAnsi="Arial" w:cs="Times New Roman"/>
          <w:sz w:val="24"/>
          <w:szCs w:val="20"/>
          <w:lang w:eastAsia="de-DE"/>
        </w:rPr>
        <w:t>concerning the reliability of the MoCA</w:t>
      </w:r>
      <w:r w:rsidRPr="001806D4">
        <w:rPr>
          <w:rFonts w:ascii="Arial" w:eastAsia="Times New Roman" w:hAnsi="Arial" w:cs="Times New Roman"/>
          <w:sz w:val="24"/>
          <w:szCs w:val="20"/>
          <w:lang w:eastAsia="de-DE"/>
        </w:rPr>
        <w:t>.</w:t>
      </w:r>
    </w:p>
    <w:p w14:paraId="54A36024" w14:textId="0045883D" w:rsidR="00470174" w:rsidRPr="001806D4" w:rsidRDefault="00470174" w:rsidP="00884BF4">
      <w:pPr>
        <w:spacing w:after="0" w:line="360" w:lineRule="auto"/>
        <w:ind w:firstLine="708"/>
        <w:rPr>
          <w:rFonts w:ascii="Arial" w:eastAsia="Times New Roman" w:hAnsi="Arial" w:cs="Times New Roman"/>
          <w:sz w:val="24"/>
          <w:szCs w:val="20"/>
          <w:lang w:eastAsia="de-DE"/>
        </w:rPr>
      </w:pPr>
      <w:r w:rsidRPr="001806D4">
        <w:rPr>
          <w:rFonts w:ascii="Arial" w:eastAsia="Times New Roman" w:hAnsi="Arial" w:cs="Times New Roman"/>
          <w:sz w:val="24"/>
          <w:szCs w:val="20"/>
          <w:lang w:eastAsia="de-DE"/>
        </w:rPr>
        <w:t xml:space="preserve">The test-retest reliability estimate used in this study is based on 2038 patients for whom both the first and second MoCA measurements are available. The time lapse between these two measurements is highly variable, with a minimum of 5 days and a maximum of 1064 days. The mode and the median of the time lapse are close to a year (median 387 days, mode 364 days). There is hardly any systematic difference between the </w:t>
      </w:r>
      <w:r w:rsidR="007212D6" w:rsidRPr="001806D4">
        <w:rPr>
          <w:rFonts w:ascii="Arial" w:eastAsia="Times New Roman" w:hAnsi="Arial" w:cs="Times New Roman"/>
          <w:sz w:val="24"/>
          <w:szCs w:val="20"/>
          <w:lang w:eastAsia="de-DE"/>
        </w:rPr>
        <w:t xml:space="preserve">distributions of the </w:t>
      </w:r>
      <w:r w:rsidRPr="001806D4">
        <w:rPr>
          <w:rFonts w:ascii="Arial" w:eastAsia="Times New Roman" w:hAnsi="Arial" w:cs="Times New Roman"/>
          <w:sz w:val="24"/>
          <w:szCs w:val="20"/>
          <w:lang w:eastAsia="de-DE"/>
        </w:rPr>
        <w:t xml:space="preserve">two measurements (Figure A1), although the second measurement is more variable, especially for those patients with lower scores. The ICC based on these two measurements is .87. </w:t>
      </w:r>
      <w:r w:rsidRPr="001806D4">
        <w:rPr>
          <w:rFonts w:ascii="Arial" w:eastAsia="Times New Roman" w:hAnsi="Arial" w:cs="Times New Roman"/>
          <w:noProof/>
          <w:sz w:val="24"/>
          <w:szCs w:val="20"/>
        </w:rPr>
        <w:drawing>
          <wp:inline distT="0" distB="0" distL="0" distR="0" wp14:anchorId="425B16C2" wp14:editId="3B84E0BA">
            <wp:extent cx="3267986" cy="2487740"/>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0870" cy="2505160"/>
                    </a:xfrm>
                    <a:prstGeom prst="rect">
                      <a:avLst/>
                    </a:prstGeom>
                  </pic:spPr>
                </pic:pic>
              </a:graphicData>
            </a:graphic>
          </wp:inline>
        </w:drawing>
      </w:r>
    </w:p>
    <w:p w14:paraId="1AAC2B0F" w14:textId="77777777" w:rsidR="00470174" w:rsidRPr="001806D4" w:rsidRDefault="00470174" w:rsidP="00884BF4">
      <w:pPr>
        <w:spacing w:after="0" w:line="360" w:lineRule="auto"/>
        <w:ind w:firstLine="708"/>
        <w:rPr>
          <w:rFonts w:ascii="Arial" w:eastAsia="Times New Roman" w:hAnsi="Arial" w:cs="Times New Roman"/>
          <w:sz w:val="24"/>
          <w:szCs w:val="20"/>
          <w:lang w:eastAsia="de-DE"/>
        </w:rPr>
      </w:pPr>
      <w:r w:rsidRPr="001806D4">
        <w:rPr>
          <w:rFonts w:ascii="Arial" w:eastAsia="Times New Roman" w:hAnsi="Arial" w:cs="Times New Roman"/>
          <w:sz w:val="24"/>
          <w:szCs w:val="20"/>
          <w:lang w:eastAsia="de-DE"/>
        </w:rPr>
        <w:t>Figure A1: Boxplot to compare the first two measurements (n = 2038).</w:t>
      </w:r>
    </w:p>
    <w:p w14:paraId="59FC9A17" w14:textId="77777777" w:rsidR="00470174" w:rsidRPr="001806D4" w:rsidRDefault="00470174" w:rsidP="00884BF4">
      <w:pPr>
        <w:spacing w:after="0" w:line="360" w:lineRule="auto"/>
        <w:ind w:firstLine="708"/>
        <w:rPr>
          <w:rFonts w:ascii="Arial" w:eastAsia="Times New Roman" w:hAnsi="Arial" w:cs="Times New Roman"/>
          <w:sz w:val="24"/>
          <w:szCs w:val="20"/>
          <w:lang w:eastAsia="de-DE"/>
        </w:rPr>
      </w:pPr>
    </w:p>
    <w:p w14:paraId="4AB054AC" w14:textId="77777777" w:rsidR="007212D6" w:rsidRPr="001806D4" w:rsidRDefault="007212D6" w:rsidP="007212D6">
      <w:pPr>
        <w:spacing w:after="0" w:line="360" w:lineRule="auto"/>
        <w:ind w:firstLine="708"/>
        <w:rPr>
          <w:rFonts w:ascii="Arial" w:eastAsia="Times New Roman" w:hAnsi="Arial" w:cs="Times New Roman"/>
          <w:sz w:val="24"/>
          <w:szCs w:val="20"/>
          <w:lang w:eastAsia="de-DE"/>
        </w:rPr>
      </w:pPr>
      <w:r w:rsidRPr="001806D4">
        <w:rPr>
          <w:rFonts w:ascii="Arial" w:eastAsia="Times New Roman" w:hAnsi="Arial" w:cs="Times New Roman"/>
          <w:sz w:val="24"/>
          <w:szCs w:val="20"/>
          <w:lang w:eastAsia="de-DE"/>
        </w:rPr>
        <w:t>The test-retest reliability for individuals who were re-evaluated between 335 and 395 days after initial testing offers an ICC of .88 (n = 882). For this study, the lower estimate (.87) is used as an estimate of reliability.</w:t>
      </w:r>
    </w:p>
    <w:p w14:paraId="69AD2F09" w14:textId="3951CC8E" w:rsidR="00470174" w:rsidRPr="001806D4" w:rsidRDefault="00470174" w:rsidP="00884BF4">
      <w:pPr>
        <w:spacing w:after="0" w:line="360" w:lineRule="auto"/>
        <w:ind w:firstLine="708"/>
        <w:rPr>
          <w:rFonts w:ascii="Arial" w:eastAsia="Times New Roman" w:hAnsi="Arial" w:cs="Times New Roman"/>
          <w:sz w:val="24"/>
          <w:szCs w:val="20"/>
          <w:lang w:eastAsia="de-DE"/>
        </w:rPr>
      </w:pPr>
      <w:r w:rsidRPr="001806D4">
        <w:rPr>
          <w:rFonts w:ascii="Arial" w:eastAsia="Times New Roman" w:hAnsi="Arial" w:cs="Times New Roman"/>
          <w:sz w:val="24"/>
          <w:szCs w:val="20"/>
          <w:lang w:eastAsia="de-DE"/>
        </w:rPr>
        <w:t xml:space="preserve">To reduce random effects, the standardized predictive values are calculated for a range of scores around the obtained score. The size of this range is set to (approximate) the score ±1 * SEM. This somewhat smooths the estimates and stabilizes them. Table </w:t>
      </w:r>
      <w:r w:rsidR="000111EC" w:rsidRPr="001806D4">
        <w:rPr>
          <w:rFonts w:ascii="Arial" w:eastAsia="Times New Roman" w:hAnsi="Arial" w:cs="Times New Roman"/>
          <w:sz w:val="24"/>
          <w:szCs w:val="20"/>
          <w:lang w:eastAsia="de-DE"/>
        </w:rPr>
        <w:t>A1</w:t>
      </w:r>
      <w:r w:rsidRPr="001806D4">
        <w:rPr>
          <w:rFonts w:ascii="Arial" w:eastAsia="Times New Roman" w:hAnsi="Arial" w:cs="Times New Roman"/>
          <w:sz w:val="24"/>
          <w:szCs w:val="20"/>
          <w:lang w:eastAsia="de-DE"/>
        </w:rPr>
        <w:t xml:space="preserve"> shows the smoothed standardized predictive values for these more reliable score ranges. The estimate of SEM is 2.27 and the ranges are score ± 2. This covers a confidence level of 62.1% for the reliable </w:t>
      </w:r>
      <w:r w:rsidR="007212D6" w:rsidRPr="001806D4">
        <w:rPr>
          <w:rFonts w:ascii="Arial" w:eastAsia="Times New Roman" w:hAnsi="Arial" w:cs="Times New Roman"/>
          <w:sz w:val="24"/>
          <w:szCs w:val="20"/>
          <w:lang w:eastAsia="de-DE"/>
        </w:rPr>
        <w:t xml:space="preserve">test </w:t>
      </w:r>
      <w:r w:rsidRPr="001806D4">
        <w:rPr>
          <w:rFonts w:ascii="Arial" w:eastAsia="Times New Roman" w:hAnsi="Arial" w:cs="Times New Roman"/>
          <w:sz w:val="24"/>
          <w:szCs w:val="20"/>
          <w:lang w:eastAsia="de-DE"/>
        </w:rPr>
        <w:t xml:space="preserve">score. Reliable standardized </w:t>
      </w:r>
      <w:r w:rsidRPr="001806D4">
        <w:rPr>
          <w:rFonts w:ascii="Arial" w:eastAsia="Times New Roman" w:hAnsi="Arial" w:cs="Times New Roman"/>
          <w:sz w:val="24"/>
          <w:szCs w:val="20"/>
          <w:lang w:eastAsia="de-DE"/>
        </w:rPr>
        <w:lastRenderedPageBreak/>
        <w:t>predictive values cannot be calculated for the most extreme values (test scores 0, 1, 29 and 30) and are consequently extended from the nearest calculable value. These test scores represent the highest and lowest standardized predictive values. In practice, this should therefore rarely pose a problem for the determination of the most uncertain test scores, as classification errors are typically found around the Youden threshold (in this case 23) and not in the tails of the distributions. The ranges of test scores are indicated with subscripts in Table A1.</w:t>
      </w:r>
      <w:r w:rsidR="007212D6" w:rsidRPr="001806D4">
        <w:rPr>
          <w:rFonts w:ascii="Arial" w:eastAsia="Times New Roman" w:hAnsi="Arial" w:cs="Times New Roman"/>
          <w:sz w:val="24"/>
          <w:szCs w:val="20"/>
          <w:lang w:eastAsia="de-DE"/>
        </w:rPr>
        <w:t xml:space="preserve"> Applying the odds of a correct classification as 2 against 1 means the minimum level of SNPV or SPPV is .667.</w:t>
      </w:r>
    </w:p>
    <w:p w14:paraId="33F26355" w14:textId="77777777" w:rsidR="00470174" w:rsidRPr="001806D4" w:rsidRDefault="00470174" w:rsidP="00884BF4">
      <w:pPr>
        <w:spacing w:after="0" w:line="360" w:lineRule="auto"/>
        <w:ind w:firstLine="708"/>
        <w:rPr>
          <w:rFonts w:ascii="Arial" w:eastAsia="Times New Roman" w:hAnsi="Arial" w:cs="Times New Roman"/>
          <w:sz w:val="24"/>
          <w:szCs w:val="20"/>
          <w:lang w:eastAsia="de-DE"/>
        </w:rPr>
      </w:pPr>
    </w:p>
    <w:p w14:paraId="74D97F67" w14:textId="77777777" w:rsidR="00470174" w:rsidRPr="001806D4" w:rsidRDefault="00470174" w:rsidP="00884BF4">
      <w:pPr>
        <w:spacing w:after="0" w:line="360" w:lineRule="auto"/>
        <w:ind w:firstLine="720"/>
        <w:contextualSpacing/>
        <w:rPr>
          <w:rFonts w:ascii="Arial" w:eastAsia="Times New Roman" w:hAnsi="Arial" w:cs="Calibri"/>
          <w:sz w:val="24"/>
          <w:szCs w:val="20"/>
          <w:lang w:eastAsia="de-DE"/>
        </w:rPr>
      </w:pPr>
      <w:r w:rsidRPr="001806D4">
        <w:rPr>
          <w:rFonts w:ascii="Arial" w:eastAsia="Times New Roman" w:hAnsi="Arial" w:cs="Calibri"/>
          <w:sz w:val="24"/>
          <w:szCs w:val="20"/>
          <w:lang w:eastAsia="de-DE"/>
        </w:rPr>
        <w:t xml:space="preserve">Table A1: Reliable Standardized Negative and Positive Predictive Values </w:t>
      </w:r>
    </w:p>
    <w:tbl>
      <w:tblPr>
        <w:tblW w:w="4081" w:type="pct"/>
        <w:tblInd w:w="720" w:type="dxa"/>
        <w:tblCellMar>
          <w:left w:w="100" w:type="dxa"/>
          <w:right w:w="100" w:type="dxa"/>
        </w:tblCellMar>
        <w:tblLook w:val="0000" w:firstRow="0" w:lastRow="0" w:firstColumn="0" w:lastColumn="0" w:noHBand="0" w:noVBand="0"/>
      </w:tblPr>
      <w:tblGrid>
        <w:gridCol w:w="822"/>
        <w:gridCol w:w="301"/>
        <w:gridCol w:w="668"/>
        <w:gridCol w:w="668"/>
        <w:gridCol w:w="668"/>
        <w:gridCol w:w="668"/>
        <w:gridCol w:w="668"/>
        <w:gridCol w:w="668"/>
        <w:gridCol w:w="668"/>
        <w:gridCol w:w="668"/>
        <w:gridCol w:w="668"/>
        <w:gridCol w:w="668"/>
      </w:tblGrid>
      <w:tr w:rsidR="00470174" w:rsidRPr="001806D4" w14:paraId="76F18730" w14:textId="77777777" w:rsidTr="007212D6">
        <w:tc>
          <w:tcPr>
            <w:tcW w:w="526" w:type="pct"/>
            <w:tcBorders>
              <w:top w:val="single" w:sz="6" w:space="0" w:color="auto"/>
              <w:left w:val="nil"/>
              <w:bottom w:val="single" w:sz="6" w:space="0" w:color="auto"/>
              <w:right w:val="nil"/>
            </w:tcBorders>
          </w:tcPr>
          <w:p w14:paraId="56F99637" w14:textId="77777777" w:rsidR="00470174" w:rsidRPr="001806D4" w:rsidRDefault="00470174" w:rsidP="00884BF4">
            <w:pPr>
              <w:autoSpaceDE w:val="0"/>
              <w:autoSpaceDN w:val="0"/>
              <w:adjustRightInd w:val="0"/>
              <w:spacing w:after="0" w:line="360" w:lineRule="auto"/>
              <w:rPr>
                <w:rFonts w:ascii="Arial" w:eastAsia="Times New Roman" w:hAnsi="Arial" w:cs="Arial"/>
                <w:sz w:val="18"/>
                <w:szCs w:val="18"/>
                <w:lang w:eastAsia="de-DE"/>
              </w:rPr>
            </w:pPr>
            <w:r w:rsidRPr="001806D4">
              <w:rPr>
                <w:rFonts w:ascii="Arial" w:eastAsia="Times New Roman" w:hAnsi="Arial" w:cs="Arial"/>
                <w:bCs/>
                <w:sz w:val="18"/>
                <w:szCs w:val="18"/>
                <w:lang w:eastAsia="de-DE"/>
              </w:rPr>
              <w:t xml:space="preserve">Score </w:t>
            </w:r>
          </w:p>
        </w:tc>
        <w:tc>
          <w:tcPr>
            <w:tcW w:w="193" w:type="pct"/>
            <w:tcBorders>
              <w:top w:val="single" w:sz="6" w:space="0" w:color="auto"/>
              <w:left w:val="nil"/>
              <w:bottom w:val="single" w:sz="6" w:space="0" w:color="auto"/>
              <w:right w:val="nil"/>
            </w:tcBorders>
            <w:tcMar>
              <w:top w:w="100" w:type="nil"/>
              <w:right w:w="100" w:type="nil"/>
            </w:tcMar>
          </w:tcPr>
          <w:p w14:paraId="4004A94D"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single" w:sz="6" w:space="0" w:color="auto"/>
              <w:left w:val="nil"/>
              <w:bottom w:val="single" w:sz="6" w:space="0" w:color="auto"/>
              <w:right w:val="nil"/>
            </w:tcBorders>
            <w:tcMar>
              <w:top w:w="100" w:type="nil"/>
              <w:right w:w="100" w:type="nil"/>
            </w:tcMar>
          </w:tcPr>
          <w:p w14:paraId="0DDFC957"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single" w:sz="6" w:space="0" w:color="auto"/>
              <w:left w:val="nil"/>
              <w:bottom w:val="single" w:sz="6" w:space="0" w:color="auto"/>
              <w:right w:val="nil"/>
            </w:tcBorders>
            <w:tcMar>
              <w:top w:w="100" w:type="nil"/>
              <w:right w:w="100" w:type="nil"/>
            </w:tcMar>
          </w:tcPr>
          <w:p w14:paraId="5D3BC45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vertAlign w:val="subscript"/>
                <w:lang w:eastAsia="de-DE"/>
              </w:rPr>
              <w:t>0</w:t>
            </w:r>
            <w:r w:rsidRPr="001806D4">
              <w:rPr>
                <w:rFonts w:ascii="Arial" w:eastAsia="Times New Roman" w:hAnsi="Arial" w:cs="Arial"/>
                <w:sz w:val="18"/>
                <w:szCs w:val="18"/>
                <w:lang w:eastAsia="de-DE"/>
              </w:rPr>
              <w:t>2</w:t>
            </w:r>
            <w:r w:rsidRPr="001806D4">
              <w:rPr>
                <w:rFonts w:ascii="Arial" w:eastAsia="Times New Roman" w:hAnsi="Arial" w:cs="Arial"/>
                <w:sz w:val="18"/>
                <w:szCs w:val="18"/>
                <w:vertAlign w:val="subscript"/>
                <w:lang w:eastAsia="de-DE"/>
              </w:rPr>
              <w:t>4</w:t>
            </w:r>
          </w:p>
        </w:tc>
        <w:tc>
          <w:tcPr>
            <w:tcW w:w="428" w:type="pct"/>
            <w:tcBorders>
              <w:top w:val="single" w:sz="6" w:space="0" w:color="auto"/>
              <w:left w:val="nil"/>
              <w:bottom w:val="single" w:sz="6" w:space="0" w:color="auto"/>
              <w:right w:val="nil"/>
            </w:tcBorders>
            <w:tcMar>
              <w:top w:w="100" w:type="nil"/>
              <w:right w:w="100" w:type="nil"/>
            </w:tcMar>
          </w:tcPr>
          <w:p w14:paraId="58E7AD6B"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w:t>
            </w:r>
            <w:r w:rsidRPr="001806D4">
              <w:rPr>
                <w:rFonts w:ascii="Arial" w:eastAsia="Times New Roman" w:hAnsi="Arial" w:cs="Arial"/>
                <w:sz w:val="18"/>
                <w:szCs w:val="18"/>
                <w:lang w:eastAsia="de-DE"/>
              </w:rPr>
              <w:t>3</w:t>
            </w:r>
            <w:r w:rsidRPr="001806D4">
              <w:rPr>
                <w:rFonts w:ascii="Arial" w:eastAsia="Times New Roman" w:hAnsi="Arial" w:cs="Arial"/>
                <w:sz w:val="18"/>
                <w:szCs w:val="18"/>
                <w:vertAlign w:val="subscript"/>
                <w:lang w:eastAsia="de-DE"/>
              </w:rPr>
              <w:t>5</w:t>
            </w:r>
          </w:p>
        </w:tc>
        <w:tc>
          <w:tcPr>
            <w:tcW w:w="428" w:type="pct"/>
            <w:tcBorders>
              <w:top w:val="single" w:sz="6" w:space="0" w:color="auto"/>
              <w:left w:val="nil"/>
              <w:bottom w:val="single" w:sz="6" w:space="0" w:color="auto"/>
              <w:right w:val="nil"/>
            </w:tcBorders>
            <w:tcMar>
              <w:top w:w="100" w:type="nil"/>
              <w:right w:w="100" w:type="nil"/>
            </w:tcMar>
          </w:tcPr>
          <w:p w14:paraId="4AF4D915"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2</w:t>
            </w:r>
            <w:r w:rsidRPr="001806D4">
              <w:rPr>
                <w:rFonts w:ascii="Arial" w:eastAsia="Times New Roman" w:hAnsi="Arial" w:cs="Arial"/>
                <w:sz w:val="18"/>
                <w:szCs w:val="18"/>
                <w:lang w:eastAsia="de-DE"/>
              </w:rPr>
              <w:t>4</w:t>
            </w:r>
            <w:r w:rsidRPr="001806D4">
              <w:rPr>
                <w:rFonts w:ascii="Arial" w:eastAsia="Times New Roman" w:hAnsi="Arial" w:cs="Arial"/>
                <w:sz w:val="18"/>
                <w:szCs w:val="18"/>
                <w:vertAlign w:val="subscript"/>
                <w:lang w:eastAsia="de-DE"/>
              </w:rPr>
              <w:t>6</w:t>
            </w:r>
          </w:p>
        </w:tc>
        <w:tc>
          <w:tcPr>
            <w:tcW w:w="428" w:type="pct"/>
            <w:tcBorders>
              <w:top w:val="single" w:sz="6" w:space="0" w:color="auto"/>
              <w:left w:val="nil"/>
              <w:bottom w:val="single" w:sz="6" w:space="0" w:color="auto"/>
              <w:right w:val="nil"/>
            </w:tcBorders>
            <w:tcMar>
              <w:top w:w="100" w:type="nil"/>
              <w:right w:w="100" w:type="nil"/>
            </w:tcMar>
          </w:tcPr>
          <w:p w14:paraId="2E38D418"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3</w:t>
            </w:r>
            <w:r w:rsidRPr="001806D4">
              <w:rPr>
                <w:rFonts w:ascii="Arial" w:eastAsia="Times New Roman" w:hAnsi="Arial" w:cs="Arial"/>
                <w:sz w:val="18"/>
                <w:szCs w:val="18"/>
                <w:lang w:eastAsia="de-DE"/>
              </w:rPr>
              <w:t>5</w:t>
            </w:r>
            <w:r w:rsidRPr="001806D4">
              <w:rPr>
                <w:rFonts w:ascii="Arial" w:eastAsia="Times New Roman" w:hAnsi="Arial" w:cs="Arial"/>
                <w:sz w:val="18"/>
                <w:szCs w:val="18"/>
                <w:vertAlign w:val="subscript"/>
                <w:lang w:eastAsia="de-DE"/>
              </w:rPr>
              <w:t>7</w:t>
            </w:r>
          </w:p>
        </w:tc>
        <w:tc>
          <w:tcPr>
            <w:tcW w:w="428" w:type="pct"/>
            <w:tcBorders>
              <w:top w:val="single" w:sz="6" w:space="0" w:color="auto"/>
              <w:left w:val="nil"/>
              <w:bottom w:val="single" w:sz="6" w:space="0" w:color="auto"/>
              <w:right w:val="nil"/>
            </w:tcBorders>
            <w:tcMar>
              <w:top w:w="100" w:type="nil"/>
              <w:right w:w="100" w:type="nil"/>
            </w:tcMar>
          </w:tcPr>
          <w:p w14:paraId="552D71E9"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4</w:t>
            </w:r>
            <w:r w:rsidRPr="001806D4">
              <w:rPr>
                <w:rFonts w:ascii="Arial" w:eastAsia="Times New Roman" w:hAnsi="Arial" w:cs="Arial"/>
                <w:sz w:val="18"/>
                <w:szCs w:val="18"/>
                <w:lang w:eastAsia="de-DE"/>
              </w:rPr>
              <w:t>6</w:t>
            </w:r>
            <w:r w:rsidRPr="001806D4">
              <w:rPr>
                <w:rFonts w:ascii="Arial" w:eastAsia="Times New Roman" w:hAnsi="Arial" w:cs="Arial"/>
                <w:sz w:val="18"/>
                <w:szCs w:val="18"/>
                <w:vertAlign w:val="subscript"/>
                <w:lang w:eastAsia="de-DE"/>
              </w:rPr>
              <w:t>8</w:t>
            </w:r>
          </w:p>
        </w:tc>
        <w:tc>
          <w:tcPr>
            <w:tcW w:w="428" w:type="pct"/>
            <w:tcBorders>
              <w:top w:val="single" w:sz="6" w:space="0" w:color="auto"/>
              <w:left w:val="nil"/>
              <w:bottom w:val="single" w:sz="6" w:space="0" w:color="auto"/>
              <w:right w:val="nil"/>
            </w:tcBorders>
            <w:tcMar>
              <w:top w:w="100" w:type="nil"/>
              <w:right w:w="100" w:type="nil"/>
            </w:tcMar>
          </w:tcPr>
          <w:p w14:paraId="4B77E5A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5</w:t>
            </w:r>
            <w:r w:rsidRPr="001806D4">
              <w:rPr>
                <w:rFonts w:ascii="Arial" w:eastAsia="Times New Roman" w:hAnsi="Arial" w:cs="Arial"/>
                <w:sz w:val="18"/>
                <w:szCs w:val="18"/>
                <w:lang w:eastAsia="de-DE"/>
              </w:rPr>
              <w:t>7</w:t>
            </w:r>
            <w:r w:rsidRPr="001806D4">
              <w:rPr>
                <w:rFonts w:ascii="Arial" w:eastAsia="Times New Roman" w:hAnsi="Arial" w:cs="Arial"/>
                <w:sz w:val="18"/>
                <w:szCs w:val="18"/>
                <w:vertAlign w:val="subscript"/>
                <w:lang w:eastAsia="de-DE"/>
              </w:rPr>
              <w:t>9</w:t>
            </w:r>
          </w:p>
        </w:tc>
        <w:tc>
          <w:tcPr>
            <w:tcW w:w="428" w:type="pct"/>
            <w:tcBorders>
              <w:top w:val="single" w:sz="6" w:space="0" w:color="auto"/>
              <w:left w:val="nil"/>
              <w:bottom w:val="single" w:sz="6" w:space="0" w:color="auto"/>
              <w:right w:val="nil"/>
            </w:tcBorders>
            <w:tcMar>
              <w:top w:w="100" w:type="nil"/>
              <w:right w:w="100" w:type="nil"/>
            </w:tcMar>
          </w:tcPr>
          <w:p w14:paraId="51B190EE"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perscript"/>
                <w:lang w:eastAsia="de-DE"/>
              </w:rPr>
            </w:pPr>
            <w:r w:rsidRPr="001806D4">
              <w:rPr>
                <w:rFonts w:ascii="Arial" w:eastAsia="Times New Roman" w:hAnsi="Arial" w:cs="Arial"/>
                <w:sz w:val="18"/>
                <w:szCs w:val="18"/>
                <w:vertAlign w:val="subscript"/>
                <w:lang w:eastAsia="de-DE"/>
              </w:rPr>
              <w:t>6</w:t>
            </w:r>
            <w:r w:rsidRPr="001806D4">
              <w:rPr>
                <w:rFonts w:ascii="Arial" w:eastAsia="Times New Roman" w:hAnsi="Arial" w:cs="Arial"/>
                <w:sz w:val="18"/>
                <w:szCs w:val="18"/>
                <w:lang w:eastAsia="de-DE"/>
              </w:rPr>
              <w:t>8</w:t>
            </w:r>
            <w:r w:rsidRPr="001806D4">
              <w:rPr>
                <w:rFonts w:ascii="Arial" w:eastAsia="Times New Roman" w:hAnsi="Arial" w:cs="Arial"/>
                <w:sz w:val="18"/>
                <w:szCs w:val="18"/>
                <w:vertAlign w:val="subscript"/>
                <w:lang w:eastAsia="de-DE"/>
              </w:rPr>
              <w:t>10</w:t>
            </w:r>
          </w:p>
        </w:tc>
        <w:tc>
          <w:tcPr>
            <w:tcW w:w="428" w:type="pct"/>
            <w:tcBorders>
              <w:top w:val="single" w:sz="6" w:space="0" w:color="auto"/>
              <w:left w:val="nil"/>
              <w:bottom w:val="single" w:sz="6" w:space="0" w:color="auto"/>
              <w:right w:val="nil"/>
            </w:tcBorders>
            <w:tcMar>
              <w:top w:w="100" w:type="nil"/>
              <w:right w:w="100" w:type="nil"/>
            </w:tcMar>
          </w:tcPr>
          <w:p w14:paraId="2411D7D3"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7</w:t>
            </w:r>
            <w:r w:rsidRPr="001806D4">
              <w:rPr>
                <w:rFonts w:ascii="Arial" w:eastAsia="Times New Roman" w:hAnsi="Arial" w:cs="Arial"/>
                <w:sz w:val="18"/>
                <w:szCs w:val="18"/>
                <w:lang w:eastAsia="de-DE"/>
              </w:rPr>
              <w:t>9</w:t>
            </w:r>
            <w:r w:rsidRPr="001806D4">
              <w:rPr>
                <w:rFonts w:ascii="Arial" w:eastAsia="Times New Roman" w:hAnsi="Arial" w:cs="Arial"/>
                <w:sz w:val="18"/>
                <w:szCs w:val="18"/>
                <w:vertAlign w:val="subscript"/>
                <w:lang w:eastAsia="de-DE"/>
              </w:rPr>
              <w:t>11</w:t>
            </w:r>
          </w:p>
        </w:tc>
        <w:tc>
          <w:tcPr>
            <w:tcW w:w="428" w:type="pct"/>
            <w:tcBorders>
              <w:top w:val="single" w:sz="6" w:space="0" w:color="auto"/>
              <w:left w:val="nil"/>
              <w:bottom w:val="single" w:sz="6" w:space="0" w:color="auto"/>
              <w:right w:val="nil"/>
            </w:tcBorders>
            <w:tcMar>
              <w:top w:w="100" w:type="nil"/>
              <w:right w:w="100" w:type="nil"/>
            </w:tcMar>
          </w:tcPr>
          <w:p w14:paraId="5B917991"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8</w:t>
            </w:r>
            <w:r w:rsidRPr="001806D4">
              <w:rPr>
                <w:rFonts w:ascii="Arial" w:eastAsia="Times New Roman" w:hAnsi="Arial" w:cs="Arial"/>
                <w:sz w:val="18"/>
                <w:szCs w:val="18"/>
                <w:lang w:eastAsia="de-DE"/>
              </w:rPr>
              <w:t>10</w:t>
            </w:r>
            <w:r w:rsidRPr="001806D4">
              <w:rPr>
                <w:rFonts w:ascii="Arial" w:eastAsia="Times New Roman" w:hAnsi="Arial" w:cs="Arial"/>
                <w:sz w:val="18"/>
                <w:szCs w:val="18"/>
                <w:vertAlign w:val="subscript"/>
                <w:lang w:eastAsia="de-DE"/>
              </w:rPr>
              <w:t>12</w:t>
            </w:r>
          </w:p>
        </w:tc>
      </w:tr>
      <w:tr w:rsidR="00470174" w:rsidRPr="001806D4" w14:paraId="4397BFC3" w14:textId="77777777" w:rsidTr="007212D6">
        <w:tc>
          <w:tcPr>
            <w:tcW w:w="526" w:type="pct"/>
            <w:tcBorders>
              <w:top w:val="nil"/>
              <w:left w:val="nil"/>
              <w:bottom w:val="nil"/>
              <w:right w:val="nil"/>
            </w:tcBorders>
          </w:tcPr>
          <w:p w14:paraId="2ADC42A3" w14:textId="77777777" w:rsidR="00470174" w:rsidRPr="001806D4" w:rsidRDefault="00470174" w:rsidP="00884BF4">
            <w:pPr>
              <w:autoSpaceDE w:val="0"/>
              <w:autoSpaceDN w:val="0"/>
              <w:adjustRightInd w:val="0"/>
              <w:spacing w:after="0" w:line="360" w:lineRule="auto"/>
              <w:rPr>
                <w:rFonts w:ascii="Arial" w:eastAsia="Times New Roman" w:hAnsi="Arial" w:cs="Arial"/>
                <w:sz w:val="18"/>
                <w:szCs w:val="18"/>
                <w:lang w:eastAsia="de-DE"/>
              </w:rPr>
            </w:pPr>
            <w:r w:rsidRPr="001806D4">
              <w:rPr>
                <w:rFonts w:ascii="Arial" w:eastAsia="Times New Roman" w:hAnsi="Arial" w:cs="Arial"/>
                <w:sz w:val="18"/>
                <w:szCs w:val="18"/>
                <w:lang w:eastAsia="de-DE"/>
              </w:rPr>
              <w:t>RSNPV</w:t>
            </w:r>
          </w:p>
        </w:tc>
        <w:tc>
          <w:tcPr>
            <w:tcW w:w="193" w:type="pct"/>
            <w:tcBorders>
              <w:top w:val="nil"/>
              <w:left w:val="nil"/>
              <w:bottom w:val="nil"/>
              <w:right w:val="nil"/>
            </w:tcBorders>
            <w:tcMar>
              <w:top w:w="100" w:type="nil"/>
              <w:right w:w="100" w:type="nil"/>
            </w:tcMar>
          </w:tcPr>
          <w:p w14:paraId="5EF526FA"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7DE534C2"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5D2604EA"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16976A63"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49D92896"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2AF6ED6B"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5DFEDD10"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15739BB0"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0F285F7F"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1AE4333A"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nil"/>
              <w:left w:val="nil"/>
              <w:bottom w:val="nil"/>
              <w:right w:val="nil"/>
            </w:tcBorders>
            <w:tcMar>
              <w:top w:w="100" w:type="nil"/>
              <w:right w:w="100" w:type="nil"/>
            </w:tcMar>
          </w:tcPr>
          <w:p w14:paraId="3F8DF25D"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r>
      <w:tr w:rsidR="00470174" w:rsidRPr="001806D4" w14:paraId="256BB432" w14:textId="77777777" w:rsidTr="007212D6">
        <w:tc>
          <w:tcPr>
            <w:tcW w:w="526" w:type="pct"/>
            <w:tcBorders>
              <w:top w:val="nil"/>
              <w:left w:val="nil"/>
              <w:bottom w:val="single" w:sz="6" w:space="0" w:color="auto"/>
              <w:right w:val="nil"/>
            </w:tcBorders>
          </w:tcPr>
          <w:p w14:paraId="2FA47DD9" w14:textId="77777777" w:rsidR="00470174" w:rsidRPr="001806D4" w:rsidRDefault="00470174" w:rsidP="00884BF4">
            <w:pPr>
              <w:autoSpaceDE w:val="0"/>
              <w:autoSpaceDN w:val="0"/>
              <w:adjustRightInd w:val="0"/>
              <w:spacing w:after="0" w:line="360" w:lineRule="auto"/>
              <w:rPr>
                <w:rFonts w:ascii="Arial" w:eastAsia="Times New Roman" w:hAnsi="Arial" w:cs="Arial"/>
                <w:sz w:val="18"/>
                <w:szCs w:val="18"/>
                <w:lang w:eastAsia="de-DE"/>
              </w:rPr>
            </w:pPr>
            <w:r w:rsidRPr="001806D4">
              <w:rPr>
                <w:rFonts w:ascii="Arial" w:eastAsia="Times New Roman" w:hAnsi="Arial" w:cs="Arial"/>
                <w:sz w:val="18"/>
                <w:szCs w:val="18"/>
                <w:lang w:eastAsia="de-DE"/>
              </w:rPr>
              <w:t>RSPPV</w:t>
            </w:r>
          </w:p>
        </w:tc>
        <w:tc>
          <w:tcPr>
            <w:tcW w:w="193" w:type="pct"/>
            <w:tcBorders>
              <w:top w:val="nil"/>
              <w:left w:val="nil"/>
              <w:bottom w:val="single" w:sz="6" w:space="0" w:color="auto"/>
              <w:right w:val="nil"/>
            </w:tcBorders>
            <w:tcMar>
              <w:top w:w="100" w:type="nil"/>
              <w:right w:w="100" w:type="nil"/>
            </w:tcMar>
          </w:tcPr>
          <w:p w14:paraId="547CB7C9"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4FA37E93"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4E3B9E19"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602D16F9"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3CD72BE5"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25BBB713"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2D6B274D"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02CF6ED2"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6ADB2A7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74F89EDF"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00F3D62A"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r>
      <w:tr w:rsidR="00470174" w:rsidRPr="001806D4" w14:paraId="4D620CAA" w14:textId="77777777" w:rsidTr="007212D6">
        <w:tc>
          <w:tcPr>
            <w:tcW w:w="526" w:type="pct"/>
            <w:tcBorders>
              <w:top w:val="nil"/>
              <w:left w:val="nil"/>
              <w:bottom w:val="single" w:sz="6" w:space="0" w:color="auto"/>
              <w:right w:val="nil"/>
            </w:tcBorders>
          </w:tcPr>
          <w:p w14:paraId="2FEC98B7" w14:textId="77777777" w:rsidR="00470174" w:rsidRPr="001806D4" w:rsidRDefault="00470174" w:rsidP="00884BF4">
            <w:pPr>
              <w:autoSpaceDE w:val="0"/>
              <w:autoSpaceDN w:val="0"/>
              <w:adjustRightInd w:val="0"/>
              <w:spacing w:after="0" w:line="360" w:lineRule="auto"/>
              <w:rPr>
                <w:rFonts w:ascii="Arial" w:eastAsia="Times New Roman" w:hAnsi="Arial" w:cs="Arial"/>
                <w:sz w:val="18"/>
                <w:szCs w:val="18"/>
                <w:lang w:eastAsia="de-DE"/>
              </w:rPr>
            </w:pPr>
            <w:r w:rsidRPr="001806D4">
              <w:rPr>
                <w:rFonts w:ascii="Arial" w:eastAsia="Times New Roman" w:hAnsi="Arial" w:cs="Arial"/>
                <w:bCs/>
                <w:sz w:val="18"/>
                <w:szCs w:val="18"/>
                <w:lang w:eastAsia="de-DE"/>
              </w:rPr>
              <w:t xml:space="preserve">Score </w:t>
            </w:r>
          </w:p>
        </w:tc>
        <w:tc>
          <w:tcPr>
            <w:tcW w:w="193" w:type="pct"/>
            <w:tcBorders>
              <w:top w:val="nil"/>
              <w:left w:val="nil"/>
              <w:bottom w:val="single" w:sz="6" w:space="0" w:color="auto"/>
              <w:right w:val="nil"/>
            </w:tcBorders>
            <w:tcMar>
              <w:top w:w="100" w:type="nil"/>
              <w:right w:w="100" w:type="nil"/>
            </w:tcMar>
          </w:tcPr>
          <w:p w14:paraId="22AB6C7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p>
        </w:tc>
        <w:tc>
          <w:tcPr>
            <w:tcW w:w="428" w:type="pct"/>
            <w:tcBorders>
              <w:top w:val="nil"/>
              <w:left w:val="nil"/>
              <w:bottom w:val="single" w:sz="6" w:space="0" w:color="auto"/>
              <w:right w:val="nil"/>
            </w:tcBorders>
            <w:tcMar>
              <w:top w:w="100" w:type="nil"/>
              <w:right w:w="100" w:type="nil"/>
            </w:tcMar>
          </w:tcPr>
          <w:p w14:paraId="256C504F"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9</w:t>
            </w:r>
            <w:r w:rsidRPr="001806D4">
              <w:rPr>
                <w:rFonts w:ascii="Arial" w:eastAsia="Times New Roman" w:hAnsi="Arial" w:cs="Arial"/>
                <w:sz w:val="18"/>
                <w:szCs w:val="18"/>
                <w:lang w:eastAsia="de-DE"/>
              </w:rPr>
              <w:t>11</w:t>
            </w:r>
            <w:r w:rsidRPr="001806D4">
              <w:rPr>
                <w:rFonts w:ascii="Arial" w:eastAsia="Times New Roman" w:hAnsi="Arial" w:cs="Arial"/>
                <w:sz w:val="18"/>
                <w:szCs w:val="18"/>
                <w:vertAlign w:val="subscript"/>
                <w:lang w:eastAsia="de-DE"/>
              </w:rPr>
              <w:t>13</w:t>
            </w:r>
          </w:p>
        </w:tc>
        <w:tc>
          <w:tcPr>
            <w:tcW w:w="428" w:type="pct"/>
            <w:tcBorders>
              <w:top w:val="nil"/>
              <w:left w:val="nil"/>
              <w:bottom w:val="single" w:sz="6" w:space="0" w:color="auto"/>
              <w:right w:val="nil"/>
            </w:tcBorders>
            <w:tcMar>
              <w:top w:w="100" w:type="nil"/>
              <w:right w:w="100" w:type="nil"/>
            </w:tcMar>
          </w:tcPr>
          <w:p w14:paraId="47519E55"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10</w:t>
            </w:r>
            <w:r w:rsidRPr="001806D4">
              <w:rPr>
                <w:rFonts w:ascii="Arial" w:eastAsia="Times New Roman" w:hAnsi="Arial" w:cs="Arial"/>
                <w:sz w:val="18"/>
                <w:szCs w:val="18"/>
                <w:lang w:eastAsia="de-DE"/>
              </w:rPr>
              <w:t>12</w:t>
            </w:r>
            <w:r w:rsidRPr="001806D4">
              <w:rPr>
                <w:rFonts w:ascii="Arial" w:eastAsia="Times New Roman" w:hAnsi="Arial" w:cs="Arial"/>
                <w:sz w:val="18"/>
                <w:szCs w:val="18"/>
                <w:vertAlign w:val="subscript"/>
                <w:lang w:eastAsia="de-DE"/>
              </w:rPr>
              <w:t>14</w:t>
            </w:r>
          </w:p>
        </w:tc>
        <w:tc>
          <w:tcPr>
            <w:tcW w:w="428" w:type="pct"/>
            <w:tcBorders>
              <w:top w:val="nil"/>
              <w:left w:val="nil"/>
              <w:bottom w:val="single" w:sz="6" w:space="0" w:color="auto"/>
              <w:right w:val="nil"/>
            </w:tcBorders>
            <w:tcMar>
              <w:top w:w="100" w:type="nil"/>
              <w:right w:w="100" w:type="nil"/>
            </w:tcMar>
          </w:tcPr>
          <w:p w14:paraId="21340AD8"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11</w:t>
            </w:r>
            <w:r w:rsidRPr="001806D4">
              <w:rPr>
                <w:rFonts w:ascii="Arial" w:eastAsia="Times New Roman" w:hAnsi="Arial" w:cs="Arial"/>
                <w:sz w:val="18"/>
                <w:szCs w:val="18"/>
                <w:lang w:eastAsia="de-DE"/>
              </w:rPr>
              <w:t>13</w:t>
            </w:r>
            <w:r w:rsidRPr="001806D4">
              <w:rPr>
                <w:rFonts w:ascii="Arial" w:eastAsia="Times New Roman" w:hAnsi="Arial" w:cs="Arial"/>
                <w:sz w:val="18"/>
                <w:szCs w:val="18"/>
                <w:vertAlign w:val="subscript"/>
                <w:lang w:eastAsia="de-DE"/>
              </w:rPr>
              <w:t>15</w:t>
            </w:r>
          </w:p>
        </w:tc>
        <w:tc>
          <w:tcPr>
            <w:tcW w:w="428" w:type="pct"/>
            <w:tcBorders>
              <w:top w:val="nil"/>
              <w:left w:val="nil"/>
              <w:bottom w:val="single" w:sz="6" w:space="0" w:color="auto"/>
              <w:right w:val="nil"/>
            </w:tcBorders>
            <w:tcMar>
              <w:top w:w="100" w:type="nil"/>
              <w:right w:w="100" w:type="nil"/>
            </w:tcMar>
          </w:tcPr>
          <w:p w14:paraId="6490C819"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12</w:t>
            </w:r>
            <w:r w:rsidRPr="001806D4">
              <w:rPr>
                <w:rFonts w:ascii="Arial" w:eastAsia="Times New Roman" w:hAnsi="Arial" w:cs="Arial"/>
                <w:sz w:val="18"/>
                <w:szCs w:val="18"/>
                <w:lang w:eastAsia="de-DE"/>
              </w:rPr>
              <w:t>14</w:t>
            </w:r>
            <w:r w:rsidRPr="001806D4">
              <w:rPr>
                <w:rFonts w:ascii="Arial" w:eastAsia="Times New Roman" w:hAnsi="Arial" w:cs="Arial"/>
                <w:sz w:val="18"/>
                <w:szCs w:val="18"/>
                <w:vertAlign w:val="subscript"/>
                <w:lang w:eastAsia="de-DE"/>
              </w:rPr>
              <w:t>16</w:t>
            </w:r>
          </w:p>
        </w:tc>
        <w:tc>
          <w:tcPr>
            <w:tcW w:w="428" w:type="pct"/>
            <w:tcBorders>
              <w:top w:val="nil"/>
              <w:left w:val="nil"/>
              <w:bottom w:val="single" w:sz="6" w:space="0" w:color="auto"/>
              <w:right w:val="nil"/>
            </w:tcBorders>
            <w:tcMar>
              <w:top w:w="100" w:type="nil"/>
              <w:right w:w="100" w:type="nil"/>
            </w:tcMar>
          </w:tcPr>
          <w:p w14:paraId="215959CD"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13</w:t>
            </w:r>
            <w:r w:rsidRPr="001806D4">
              <w:rPr>
                <w:rFonts w:ascii="Arial" w:eastAsia="Times New Roman" w:hAnsi="Arial" w:cs="Arial"/>
                <w:sz w:val="18"/>
                <w:szCs w:val="18"/>
                <w:lang w:eastAsia="de-DE"/>
              </w:rPr>
              <w:t>15</w:t>
            </w:r>
            <w:r w:rsidRPr="001806D4">
              <w:rPr>
                <w:rFonts w:ascii="Arial" w:eastAsia="Times New Roman" w:hAnsi="Arial" w:cs="Arial"/>
                <w:sz w:val="18"/>
                <w:szCs w:val="18"/>
                <w:vertAlign w:val="subscript"/>
                <w:lang w:eastAsia="de-DE"/>
              </w:rPr>
              <w:t>17</w:t>
            </w:r>
          </w:p>
        </w:tc>
        <w:tc>
          <w:tcPr>
            <w:tcW w:w="428" w:type="pct"/>
            <w:tcBorders>
              <w:top w:val="nil"/>
              <w:left w:val="nil"/>
              <w:bottom w:val="single" w:sz="6" w:space="0" w:color="auto"/>
              <w:right w:val="nil"/>
            </w:tcBorders>
            <w:tcMar>
              <w:top w:w="100" w:type="nil"/>
              <w:right w:w="100" w:type="nil"/>
            </w:tcMar>
          </w:tcPr>
          <w:p w14:paraId="7BD6C477"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14</w:t>
            </w:r>
            <w:r w:rsidRPr="001806D4">
              <w:rPr>
                <w:rFonts w:ascii="Arial" w:eastAsia="Times New Roman" w:hAnsi="Arial" w:cs="Arial"/>
                <w:sz w:val="18"/>
                <w:szCs w:val="18"/>
                <w:lang w:eastAsia="de-DE"/>
              </w:rPr>
              <w:t>16</w:t>
            </w:r>
            <w:r w:rsidRPr="001806D4">
              <w:rPr>
                <w:rFonts w:ascii="Arial" w:eastAsia="Times New Roman" w:hAnsi="Arial" w:cs="Arial"/>
                <w:sz w:val="18"/>
                <w:szCs w:val="18"/>
                <w:vertAlign w:val="subscript"/>
                <w:lang w:eastAsia="de-DE"/>
              </w:rPr>
              <w:t>18</w:t>
            </w:r>
          </w:p>
        </w:tc>
        <w:tc>
          <w:tcPr>
            <w:tcW w:w="428" w:type="pct"/>
            <w:tcBorders>
              <w:top w:val="nil"/>
              <w:left w:val="nil"/>
              <w:bottom w:val="single" w:sz="6" w:space="0" w:color="auto"/>
              <w:right w:val="nil"/>
            </w:tcBorders>
            <w:tcMar>
              <w:top w:w="100" w:type="nil"/>
              <w:right w:w="100" w:type="nil"/>
            </w:tcMar>
          </w:tcPr>
          <w:p w14:paraId="793C15DE"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15</w:t>
            </w:r>
            <w:r w:rsidRPr="001806D4">
              <w:rPr>
                <w:rFonts w:ascii="Arial" w:eastAsia="Times New Roman" w:hAnsi="Arial" w:cs="Arial"/>
                <w:sz w:val="18"/>
                <w:szCs w:val="18"/>
                <w:lang w:eastAsia="de-DE"/>
              </w:rPr>
              <w:t>17</w:t>
            </w:r>
            <w:r w:rsidRPr="001806D4">
              <w:rPr>
                <w:rFonts w:ascii="Arial" w:eastAsia="Times New Roman" w:hAnsi="Arial" w:cs="Arial"/>
                <w:sz w:val="18"/>
                <w:szCs w:val="18"/>
                <w:vertAlign w:val="subscript"/>
                <w:lang w:eastAsia="de-DE"/>
              </w:rPr>
              <w:t>19</w:t>
            </w:r>
          </w:p>
        </w:tc>
        <w:tc>
          <w:tcPr>
            <w:tcW w:w="428" w:type="pct"/>
            <w:tcBorders>
              <w:top w:val="nil"/>
              <w:left w:val="nil"/>
              <w:bottom w:val="single" w:sz="6" w:space="0" w:color="auto"/>
              <w:right w:val="nil"/>
            </w:tcBorders>
            <w:tcMar>
              <w:top w:w="100" w:type="nil"/>
              <w:right w:w="100" w:type="nil"/>
            </w:tcMar>
          </w:tcPr>
          <w:p w14:paraId="111FE39B"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16</w:t>
            </w:r>
            <w:r w:rsidRPr="001806D4">
              <w:rPr>
                <w:rFonts w:ascii="Arial" w:eastAsia="Times New Roman" w:hAnsi="Arial" w:cs="Arial"/>
                <w:sz w:val="18"/>
                <w:szCs w:val="18"/>
                <w:lang w:eastAsia="de-DE"/>
              </w:rPr>
              <w:t>18</w:t>
            </w:r>
            <w:r w:rsidRPr="001806D4">
              <w:rPr>
                <w:rFonts w:ascii="Arial" w:eastAsia="Times New Roman" w:hAnsi="Arial" w:cs="Arial"/>
                <w:sz w:val="18"/>
                <w:szCs w:val="18"/>
                <w:vertAlign w:val="subscript"/>
                <w:lang w:eastAsia="de-DE"/>
              </w:rPr>
              <w:t>20</w:t>
            </w:r>
          </w:p>
        </w:tc>
        <w:tc>
          <w:tcPr>
            <w:tcW w:w="428" w:type="pct"/>
            <w:tcBorders>
              <w:top w:val="nil"/>
              <w:left w:val="nil"/>
              <w:bottom w:val="single" w:sz="6" w:space="0" w:color="auto"/>
              <w:right w:val="nil"/>
            </w:tcBorders>
            <w:tcMar>
              <w:top w:w="100" w:type="nil"/>
              <w:right w:w="100" w:type="nil"/>
            </w:tcMar>
          </w:tcPr>
          <w:p w14:paraId="0F6B71D3"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17</w:t>
            </w:r>
            <w:r w:rsidRPr="001806D4">
              <w:rPr>
                <w:rFonts w:ascii="Arial" w:eastAsia="Times New Roman" w:hAnsi="Arial" w:cs="Arial"/>
                <w:sz w:val="18"/>
                <w:szCs w:val="18"/>
                <w:lang w:eastAsia="de-DE"/>
              </w:rPr>
              <w:t>19</w:t>
            </w:r>
            <w:r w:rsidRPr="001806D4">
              <w:rPr>
                <w:rFonts w:ascii="Arial" w:eastAsia="Times New Roman" w:hAnsi="Arial" w:cs="Arial"/>
                <w:sz w:val="18"/>
                <w:szCs w:val="18"/>
                <w:vertAlign w:val="subscript"/>
                <w:lang w:eastAsia="de-DE"/>
              </w:rPr>
              <w:t>21</w:t>
            </w:r>
          </w:p>
        </w:tc>
        <w:tc>
          <w:tcPr>
            <w:tcW w:w="428" w:type="pct"/>
            <w:tcBorders>
              <w:top w:val="nil"/>
              <w:left w:val="nil"/>
              <w:bottom w:val="single" w:sz="6" w:space="0" w:color="auto"/>
              <w:right w:val="nil"/>
            </w:tcBorders>
            <w:tcMar>
              <w:top w:w="100" w:type="nil"/>
              <w:right w:w="100" w:type="nil"/>
            </w:tcMar>
          </w:tcPr>
          <w:p w14:paraId="27FA6E31"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18</w:t>
            </w:r>
            <w:r w:rsidRPr="001806D4">
              <w:rPr>
                <w:rFonts w:ascii="Arial" w:eastAsia="Times New Roman" w:hAnsi="Arial" w:cs="Arial"/>
                <w:sz w:val="18"/>
                <w:szCs w:val="18"/>
                <w:lang w:eastAsia="de-DE"/>
              </w:rPr>
              <w:t>20</w:t>
            </w:r>
            <w:r w:rsidRPr="001806D4">
              <w:rPr>
                <w:rFonts w:ascii="Arial" w:eastAsia="Times New Roman" w:hAnsi="Arial" w:cs="Arial"/>
                <w:sz w:val="18"/>
                <w:szCs w:val="18"/>
                <w:vertAlign w:val="subscript"/>
                <w:lang w:eastAsia="de-DE"/>
              </w:rPr>
              <w:t>22</w:t>
            </w:r>
          </w:p>
        </w:tc>
      </w:tr>
      <w:tr w:rsidR="00470174" w:rsidRPr="001806D4" w14:paraId="62264697" w14:textId="77777777" w:rsidTr="007212D6">
        <w:tc>
          <w:tcPr>
            <w:tcW w:w="526" w:type="pct"/>
            <w:tcBorders>
              <w:top w:val="single" w:sz="6" w:space="0" w:color="auto"/>
              <w:left w:val="nil"/>
              <w:right w:val="nil"/>
            </w:tcBorders>
          </w:tcPr>
          <w:p w14:paraId="458CBECF" w14:textId="77777777" w:rsidR="00470174" w:rsidRPr="001806D4" w:rsidRDefault="00470174" w:rsidP="00884BF4">
            <w:pPr>
              <w:autoSpaceDE w:val="0"/>
              <w:autoSpaceDN w:val="0"/>
              <w:adjustRightInd w:val="0"/>
              <w:spacing w:after="0" w:line="360" w:lineRule="auto"/>
              <w:rPr>
                <w:rFonts w:ascii="Arial" w:eastAsia="Times New Roman" w:hAnsi="Arial" w:cs="Arial"/>
                <w:sz w:val="18"/>
                <w:szCs w:val="18"/>
                <w:lang w:eastAsia="de-DE"/>
              </w:rPr>
            </w:pPr>
            <w:r w:rsidRPr="001806D4">
              <w:rPr>
                <w:rFonts w:ascii="Arial" w:eastAsia="Times New Roman" w:hAnsi="Arial" w:cs="Arial"/>
                <w:sz w:val="18"/>
                <w:szCs w:val="18"/>
                <w:lang w:eastAsia="de-DE"/>
              </w:rPr>
              <w:t>RSNPV</w:t>
            </w:r>
          </w:p>
        </w:tc>
        <w:tc>
          <w:tcPr>
            <w:tcW w:w="193" w:type="pct"/>
            <w:tcBorders>
              <w:top w:val="single" w:sz="6" w:space="0" w:color="auto"/>
              <w:left w:val="nil"/>
              <w:right w:val="nil"/>
            </w:tcBorders>
            <w:tcMar>
              <w:top w:w="100" w:type="nil"/>
              <w:right w:w="100" w:type="nil"/>
            </w:tcMar>
          </w:tcPr>
          <w:p w14:paraId="4380D800"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p>
        </w:tc>
        <w:tc>
          <w:tcPr>
            <w:tcW w:w="428" w:type="pct"/>
            <w:tcBorders>
              <w:top w:val="single" w:sz="6" w:space="0" w:color="auto"/>
              <w:left w:val="nil"/>
              <w:right w:val="nil"/>
            </w:tcBorders>
            <w:tcMar>
              <w:top w:w="100" w:type="nil"/>
              <w:right w:w="100" w:type="nil"/>
            </w:tcMar>
          </w:tcPr>
          <w:p w14:paraId="40EB58CF"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single" w:sz="6" w:space="0" w:color="auto"/>
              <w:left w:val="nil"/>
              <w:right w:val="nil"/>
            </w:tcBorders>
            <w:tcMar>
              <w:top w:w="100" w:type="nil"/>
              <w:right w:w="100" w:type="nil"/>
            </w:tcMar>
          </w:tcPr>
          <w:p w14:paraId="1FBACAC1"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w:t>
            </w:r>
          </w:p>
        </w:tc>
        <w:tc>
          <w:tcPr>
            <w:tcW w:w="428" w:type="pct"/>
            <w:tcBorders>
              <w:top w:val="single" w:sz="6" w:space="0" w:color="auto"/>
              <w:left w:val="nil"/>
              <w:right w:val="nil"/>
            </w:tcBorders>
            <w:tcMar>
              <w:top w:w="100" w:type="nil"/>
              <w:right w:w="100" w:type="nil"/>
            </w:tcMar>
          </w:tcPr>
          <w:p w14:paraId="5C010183"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0.01</w:t>
            </w:r>
          </w:p>
        </w:tc>
        <w:tc>
          <w:tcPr>
            <w:tcW w:w="428" w:type="pct"/>
            <w:tcBorders>
              <w:top w:val="single" w:sz="6" w:space="0" w:color="auto"/>
              <w:left w:val="nil"/>
              <w:right w:val="nil"/>
            </w:tcBorders>
            <w:tcMar>
              <w:top w:w="100" w:type="nil"/>
              <w:right w:w="100" w:type="nil"/>
            </w:tcMar>
          </w:tcPr>
          <w:p w14:paraId="2DA3EFA8"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0.02</w:t>
            </w:r>
          </w:p>
        </w:tc>
        <w:tc>
          <w:tcPr>
            <w:tcW w:w="428" w:type="pct"/>
            <w:tcBorders>
              <w:top w:val="single" w:sz="6" w:space="0" w:color="auto"/>
              <w:left w:val="nil"/>
              <w:right w:val="nil"/>
            </w:tcBorders>
            <w:tcMar>
              <w:top w:w="100" w:type="nil"/>
              <w:right w:w="100" w:type="nil"/>
            </w:tcMar>
          </w:tcPr>
          <w:p w14:paraId="052DDD8C"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0.03</w:t>
            </w:r>
          </w:p>
        </w:tc>
        <w:tc>
          <w:tcPr>
            <w:tcW w:w="428" w:type="pct"/>
            <w:tcBorders>
              <w:top w:val="single" w:sz="6" w:space="0" w:color="auto"/>
              <w:left w:val="nil"/>
              <w:right w:val="nil"/>
            </w:tcBorders>
            <w:tcMar>
              <w:top w:w="100" w:type="nil"/>
              <w:right w:w="100" w:type="nil"/>
            </w:tcMar>
          </w:tcPr>
          <w:p w14:paraId="4B98EB59"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0.05</w:t>
            </w:r>
          </w:p>
        </w:tc>
        <w:tc>
          <w:tcPr>
            <w:tcW w:w="428" w:type="pct"/>
            <w:tcBorders>
              <w:top w:val="single" w:sz="6" w:space="0" w:color="auto"/>
              <w:left w:val="nil"/>
              <w:right w:val="nil"/>
            </w:tcBorders>
            <w:tcMar>
              <w:top w:w="100" w:type="nil"/>
              <w:right w:w="100" w:type="nil"/>
            </w:tcMar>
          </w:tcPr>
          <w:p w14:paraId="4489849B"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0.07</w:t>
            </w:r>
          </w:p>
        </w:tc>
        <w:tc>
          <w:tcPr>
            <w:tcW w:w="428" w:type="pct"/>
            <w:tcBorders>
              <w:top w:val="single" w:sz="6" w:space="0" w:color="auto"/>
              <w:left w:val="nil"/>
              <w:right w:val="nil"/>
            </w:tcBorders>
            <w:tcMar>
              <w:top w:w="100" w:type="nil"/>
              <w:right w:w="100" w:type="nil"/>
            </w:tcMar>
          </w:tcPr>
          <w:p w14:paraId="6AB10EE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0.11</w:t>
            </w:r>
          </w:p>
        </w:tc>
        <w:tc>
          <w:tcPr>
            <w:tcW w:w="428" w:type="pct"/>
            <w:tcBorders>
              <w:top w:val="single" w:sz="6" w:space="0" w:color="auto"/>
              <w:left w:val="nil"/>
              <w:right w:val="nil"/>
            </w:tcBorders>
            <w:tcMar>
              <w:top w:w="100" w:type="nil"/>
              <w:right w:w="100" w:type="nil"/>
            </w:tcMar>
          </w:tcPr>
          <w:p w14:paraId="25951FD7"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0.16</w:t>
            </w:r>
          </w:p>
        </w:tc>
        <w:tc>
          <w:tcPr>
            <w:tcW w:w="428" w:type="pct"/>
            <w:tcBorders>
              <w:top w:val="single" w:sz="6" w:space="0" w:color="auto"/>
              <w:left w:val="nil"/>
              <w:right w:val="nil"/>
            </w:tcBorders>
            <w:tcMar>
              <w:top w:w="100" w:type="nil"/>
              <w:right w:w="100" w:type="nil"/>
            </w:tcMar>
          </w:tcPr>
          <w:p w14:paraId="64F33ADE"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0.20</w:t>
            </w:r>
          </w:p>
        </w:tc>
      </w:tr>
      <w:tr w:rsidR="00470174" w:rsidRPr="001806D4" w14:paraId="72FAB37F" w14:textId="77777777" w:rsidTr="007212D6">
        <w:tc>
          <w:tcPr>
            <w:tcW w:w="526" w:type="pct"/>
            <w:tcBorders>
              <w:top w:val="nil"/>
              <w:left w:val="nil"/>
              <w:bottom w:val="single" w:sz="6" w:space="0" w:color="auto"/>
              <w:right w:val="nil"/>
            </w:tcBorders>
          </w:tcPr>
          <w:p w14:paraId="716EF6EE" w14:textId="77777777" w:rsidR="00470174" w:rsidRPr="001806D4" w:rsidRDefault="00470174" w:rsidP="00884BF4">
            <w:pPr>
              <w:autoSpaceDE w:val="0"/>
              <w:autoSpaceDN w:val="0"/>
              <w:adjustRightInd w:val="0"/>
              <w:spacing w:after="0" w:line="360" w:lineRule="auto"/>
              <w:rPr>
                <w:rFonts w:ascii="Arial" w:eastAsia="Times New Roman" w:hAnsi="Arial" w:cs="Arial"/>
                <w:sz w:val="18"/>
                <w:szCs w:val="18"/>
                <w:lang w:eastAsia="de-DE"/>
              </w:rPr>
            </w:pPr>
            <w:r w:rsidRPr="001806D4">
              <w:rPr>
                <w:rFonts w:ascii="Arial" w:eastAsia="Times New Roman" w:hAnsi="Arial" w:cs="Arial"/>
                <w:sz w:val="18"/>
                <w:szCs w:val="18"/>
                <w:lang w:eastAsia="de-DE"/>
              </w:rPr>
              <w:t>RSPPV</w:t>
            </w:r>
          </w:p>
        </w:tc>
        <w:tc>
          <w:tcPr>
            <w:tcW w:w="193" w:type="pct"/>
            <w:tcBorders>
              <w:top w:val="nil"/>
              <w:left w:val="nil"/>
              <w:bottom w:val="single" w:sz="6" w:space="0" w:color="auto"/>
              <w:right w:val="nil"/>
            </w:tcBorders>
            <w:tcMar>
              <w:top w:w="100" w:type="nil"/>
              <w:right w:w="100" w:type="nil"/>
            </w:tcMar>
          </w:tcPr>
          <w:p w14:paraId="4903EDC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p>
        </w:tc>
        <w:tc>
          <w:tcPr>
            <w:tcW w:w="428" w:type="pct"/>
            <w:tcBorders>
              <w:top w:val="nil"/>
              <w:left w:val="nil"/>
              <w:bottom w:val="single" w:sz="6" w:space="0" w:color="auto"/>
              <w:right w:val="nil"/>
            </w:tcBorders>
            <w:tcMar>
              <w:top w:w="100" w:type="nil"/>
              <w:right w:w="100" w:type="nil"/>
            </w:tcMar>
          </w:tcPr>
          <w:p w14:paraId="36C541DC"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487C5D9A"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1</w:t>
            </w:r>
          </w:p>
        </w:tc>
        <w:tc>
          <w:tcPr>
            <w:tcW w:w="428" w:type="pct"/>
            <w:tcBorders>
              <w:top w:val="nil"/>
              <w:left w:val="nil"/>
              <w:bottom w:val="single" w:sz="6" w:space="0" w:color="auto"/>
              <w:right w:val="nil"/>
            </w:tcBorders>
            <w:tcMar>
              <w:top w:w="100" w:type="nil"/>
              <w:right w:w="100" w:type="nil"/>
            </w:tcMar>
          </w:tcPr>
          <w:p w14:paraId="661FBE20"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0.99</w:t>
            </w:r>
          </w:p>
        </w:tc>
        <w:tc>
          <w:tcPr>
            <w:tcW w:w="428" w:type="pct"/>
            <w:tcBorders>
              <w:top w:val="nil"/>
              <w:left w:val="nil"/>
              <w:bottom w:val="single" w:sz="6" w:space="0" w:color="auto"/>
              <w:right w:val="nil"/>
            </w:tcBorders>
            <w:tcMar>
              <w:top w:w="100" w:type="nil"/>
              <w:right w:w="100" w:type="nil"/>
            </w:tcMar>
          </w:tcPr>
          <w:p w14:paraId="6ACDC20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0.98</w:t>
            </w:r>
          </w:p>
        </w:tc>
        <w:tc>
          <w:tcPr>
            <w:tcW w:w="428" w:type="pct"/>
            <w:tcBorders>
              <w:top w:val="nil"/>
              <w:left w:val="nil"/>
              <w:bottom w:val="single" w:sz="6" w:space="0" w:color="auto"/>
              <w:right w:val="nil"/>
            </w:tcBorders>
            <w:tcMar>
              <w:top w:w="100" w:type="nil"/>
              <w:right w:w="100" w:type="nil"/>
            </w:tcMar>
          </w:tcPr>
          <w:p w14:paraId="7298FEF9"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0.97</w:t>
            </w:r>
          </w:p>
        </w:tc>
        <w:tc>
          <w:tcPr>
            <w:tcW w:w="428" w:type="pct"/>
            <w:tcBorders>
              <w:top w:val="nil"/>
              <w:left w:val="nil"/>
              <w:bottom w:val="single" w:sz="6" w:space="0" w:color="auto"/>
              <w:right w:val="nil"/>
            </w:tcBorders>
            <w:tcMar>
              <w:top w:w="100" w:type="nil"/>
              <w:right w:w="100" w:type="nil"/>
            </w:tcMar>
          </w:tcPr>
          <w:p w14:paraId="727A8978"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0.95</w:t>
            </w:r>
          </w:p>
        </w:tc>
        <w:tc>
          <w:tcPr>
            <w:tcW w:w="428" w:type="pct"/>
            <w:tcBorders>
              <w:top w:val="nil"/>
              <w:left w:val="nil"/>
              <w:bottom w:val="single" w:sz="6" w:space="0" w:color="auto"/>
              <w:right w:val="nil"/>
            </w:tcBorders>
            <w:tcMar>
              <w:top w:w="100" w:type="nil"/>
              <w:right w:w="100" w:type="nil"/>
            </w:tcMar>
          </w:tcPr>
          <w:p w14:paraId="61F8B9E7"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0.93</w:t>
            </w:r>
          </w:p>
        </w:tc>
        <w:tc>
          <w:tcPr>
            <w:tcW w:w="428" w:type="pct"/>
            <w:tcBorders>
              <w:top w:val="nil"/>
              <w:left w:val="nil"/>
              <w:bottom w:val="single" w:sz="6" w:space="0" w:color="auto"/>
              <w:right w:val="nil"/>
            </w:tcBorders>
            <w:tcMar>
              <w:top w:w="100" w:type="nil"/>
              <w:right w:w="100" w:type="nil"/>
            </w:tcMar>
          </w:tcPr>
          <w:p w14:paraId="1E00AFC2"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0.89</w:t>
            </w:r>
          </w:p>
        </w:tc>
        <w:tc>
          <w:tcPr>
            <w:tcW w:w="428" w:type="pct"/>
            <w:tcBorders>
              <w:top w:val="nil"/>
              <w:left w:val="nil"/>
              <w:bottom w:val="single" w:sz="6" w:space="0" w:color="auto"/>
              <w:right w:val="nil"/>
            </w:tcBorders>
            <w:tcMar>
              <w:top w:w="100" w:type="nil"/>
              <w:right w:w="100" w:type="nil"/>
            </w:tcMar>
          </w:tcPr>
          <w:p w14:paraId="1B635AFA"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0.84</w:t>
            </w:r>
          </w:p>
        </w:tc>
        <w:tc>
          <w:tcPr>
            <w:tcW w:w="428" w:type="pct"/>
            <w:tcBorders>
              <w:top w:val="nil"/>
              <w:left w:val="nil"/>
              <w:bottom w:val="single" w:sz="6" w:space="0" w:color="auto"/>
              <w:right w:val="nil"/>
            </w:tcBorders>
            <w:tcMar>
              <w:top w:w="100" w:type="nil"/>
              <w:right w:w="100" w:type="nil"/>
            </w:tcMar>
          </w:tcPr>
          <w:p w14:paraId="4DA5F6D2"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0.80</w:t>
            </w:r>
          </w:p>
        </w:tc>
      </w:tr>
      <w:tr w:rsidR="00470174" w:rsidRPr="001806D4" w14:paraId="5F8B3F13" w14:textId="77777777" w:rsidTr="007212D6">
        <w:tc>
          <w:tcPr>
            <w:tcW w:w="526" w:type="pct"/>
            <w:tcBorders>
              <w:top w:val="single" w:sz="6" w:space="0" w:color="auto"/>
              <w:left w:val="nil"/>
              <w:bottom w:val="single" w:sz="6" w:space="0" w:color="auto"/>
              <w:right w:val="nil"/>
            </w:tcBorders>
          </w:tcPr>
          <w:p w14:paraId="16C50DD8" w14:textId="77777777" w:rsidR="00470174" w:rsidRPr="001806D4" w:rsidRDefault="00470174" w:rsidP="00884BF4">
            <w:pPr>
              <w:autoSpaceDE w:val="0"/>
              <w:autoSpaceDN w:val="0"/>
              <w:adjustRightInd w:val="0"/>
              <w:spacing w:after="0" w:line="360" w:lineRule="auto"/>
              <w:rPr>
                <w:rFonts w:ascii="Arial" w:eastAsia="Times New Roman" w:hAnsi="Arial" w:cs="Arial"/>
                <w:sz w:val="18"/>
                <w:szCs w:val="18"/>
                <w:lang w:eastAsia="de-DE"/>
              </w:rPr>
            </w:pPr>
            <w:r w:rsidRPr="001806D4">
              <w:rPr>
                <w:rFonts w:ascii="Arial" w:eastAsia="Times New Roman" w:hAnsi="Arial" w:cs="Arial"/>
                <w:sz w:val="18"/>
                <w:szCs w:val="18"/>
                <w:lang w:eastAsia="de-DE"/>
              </w:rPr>
              <w:t>Score</w:t>
            </w:r>
          </w:p>
        </w:tc>
        <w:tc>
          <w:tcPr>
            <w:tcW w:w="193" w:type="pct"/>
            <w:tcBorders>
              <w:top w:val="single" w:sz="6" w:space="0" w:color="auto"/>
              <w:left w:val="nil"/>
              <w:bottom w:val="single" w:sz="6" w:space="0" w:color="auto"/>
              <w:right w:val="nil"/>
            </w:tcBorders>
            <w:tcMar>
              <w:top w:w="100" w:type="nil"/>
              <w:right w:w="100" w:type="nil"/>
            </w:tcMar>
          </w:tcPr>
          <w:p w14:paraId="20B0D0F1"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p>
        </w:tc>
        <w:tc>
          <w:tcPr>
            <w:tcW w:w="428" w:type="pct"/>
            <w:tcBorders>
              <w:top w:val="single" w:sz="6" w:space="0" w:color="auto"/>
              <w:left w:val="nil"/>
              <w:bottom w:val="single" w:sz="6" w:space="0" w:color="auto"/>
              <w:right w:val="nil"/>
            </w:tcBorders>
            <w:tcMar>
              <w:top w:w="100" w:type="nil"/>
              <w:right w:w="100" w:type="nil"/>
            </w:tcMar>
          </w:tcPr>
          <w:p w14:paraId="3A4C6D3E"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19</w:t>
            </w:r>
            <w:r w:rsidRPr="001806D4">
              <w:rPr>
                <w:rFonts w:ascii="Arial" w:eastAsia="Times New Roman" w:hAnsi="Arial" w:cs="Arial"/>
                <w:sz w:val="18"/>
                <w:szCs w:val="18"/>
                <w:lang w:eastAsia="de-DE"/>
              </w:rPr>
              <w:t>21</w:t>
            </w:r>
            <w:r w:rsidRPr="001806D4">
              <w:rPr>
                <w:rFonts w:ascii="Arial" w:eastAsia="Times New Roman" w:hAnsi="Arial" w:cs="Arial"/>
                <w:sz w:val="18"/>
                <w:szCs w:val="18"/>
                <w:vertAlign w:val="subscript"/>
                <w:lang w:eastAsia="de-DE"/>
              </w:rPr>
              <w:t>23</w:t>
            </w:r>
          </w:p>
        </w:tc>
        <w:tc>
          <w:tcPr>
            <w:tcW w:w="428" w:type="pct"/>
            <w:tcBorders>
              <w:top w:val="single" w:sz="6" w:space="0" w:color="auto"/>
              <w:left w:val="nil"/>
              <w:bottom w:val="single" w:sz="6" w:space="0" w:color="auto"/>
              <w:right w:val="nil"/>
            </w:tcBorders>
            <w:tcMar>
              <w:top w:w="100" w:type="nil"/>
              <w:right w:w="100" w:type="nil"/>
            </w:tcMar>
          </w:tcPr>
          <w:p w14:paraId="2107A623"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20</w:t>
            </w:r>
            <w:r w:rsidRPr="001806D4">
              <w:rPr>
                <w:rFonts w:ascii="Arial" w:eastAsia="Times New Roman" w:hAnsi="Arial" w:cs="Arial"/>
                <w:sz w:val="18"/>
                <w:szCs w:val="18"/>
                <w:lang w:eastAsia="de-DE"/>
              </w:rPr>
              <w:t>22</w:t>
            </w:r>
            <w:r w:rsidRPr="001806D4">
              <w:rPr>
                <w:rFonts w:ascii="Arial" w:eastAsia="Times New Roman" w:hAnsi="Arial" w:cs="Arial"/>
                <w:sz w:val="18"/>
                <w:szCs w:val="18"/>
                <w:vertAlign w:val="subscript"/>
                <w:lang w:eastAsia="de-DE"/>
              </w:rPr>
              <w:t>24</w:t>
            </w:r>
          </w:p>
        </w:tc>
        <w:tc>
          <w:tcPr>
            <w:tcW w:w="428" w:type="pct"/>
            <w:tcBorders>
              <w:top w:val="single" w:sz="6" w:space="0" w:color="auto"/>
              <w:left w:val="nil"/>
              <w:bottom w:val="single" w:sz="6" w:space="0" w:color="auto"/>
              <w:right w:val="nil"/>
            </w:tcBorders>
            <w:tcMar>
              <w:top w:w="100" w:type="nil"/>
              <w:right w:w="100" w:type="nil"/>
            </w:tcMar>
          </w:tcPr>
          <w:p w14:paraId="3D7D528C"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21</w:t>
            </w:r>
            <w:r w:rsidRPr="001806D4">
              <w:rPr>
                <w:rFonts w:ascii="Arial" w:eastAsia="Times New Roman" w:hAnsi="Arial" w:cs="Arial"/>
                <w:sz w:val="18"/>
                <w:szCs w:val="18"/>
                <w:lang w:eastAsia="de-DE"/>
              </w:rPr>
              <w:t>23</w:t>
            </w:r>
            <w:r w:rsidRPr="001806D4">
              <w:rPr>
                <w:rFonts w:ascii="Arial" w:eastAsia="Times New Roman" w:hAnsi="Arial" w:cs="Arial"/>
                <w:sz w:val="18"/>
                <w:szCs w:val="18"/>
                <w:vertAlign w:val="subscript"/>
                <w:lang w:eastAsia="de-DE"/>
              </w:rPr>
              <w:t>25</w:t>
            </w:r>
          </w:p>
        </w:tc>
        <w:tc>
          <w:tcPr>
            <w:tcW w:w="428" w:type="pct"/>
            <w:tcBorders>
              <w:top w:val="single" w:sz="6" w:space="0" w:color="auto"/>
              <w:left w:val="nil"/>
              <w:bottom w:val="single" w:sz="6" w:space="0" w:color="auto"/>
              <w:right w:val="nil"/>
            </w:tcBorders>
            <w:tcMar>
              <w:top w:w="100" w:type="nil"/>
              <w:right w:w="100" w:type="nil"/>
            </w:tcMar>
          </w:tcPr>
          <w:p w14:paraId="0BD4A9CB"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22</w:t>
            </w:r>
            <w:r w:rsidRPr="001806D4">
              <w:rPr>
                <w:rFonts w:ascii="Arial" w:eastAsia="Times New Roman" w:hAnsi="Arial" w:cs="Arial"/>
                <w:sz w:val="18"/>
                <w:szCs w:val="18"/>
                <w:lang w:eastAsia="de-DE"/>
              </w:rPr>
              <w:t>24</w:t>
            </w:r>
            <w:r w:rsidRPr="001806D4">
              <w:rPr>
                <w:rFonts w:ascii="Arial" w:eastAsia="Times New Roman" w:hAnsi="Arial" w:cs="Arial"/>
                <w:sz w:val="18"/>
                <w:szCs w:val="18"/>
                <w:vertAlign w:val="subscript"/>
                <w:lang w:eastAsia="de-DE"/>
              </w:rPr>
              <w:t>26</w:t>
            </w:r>
          </w:p>
        </w:tc>
        <w:tc>
          <w:tcPr>
            <w:tcW w:w="428" w:type="pct"/>
            <w:tcBorders>
              <w:top w:val="single" w:sz="6" w:space="0" w:color="auto"/>
              <w:left w:val="nil"/>
              <w:bottom w:val="single" w:sz="6" w:space="0" w:color="auto"/>
              <w:right w:val="nil"/>
            </w:tcBorders>
            <w:tcMar>
              <w:top w:w="100" w:type="nil"/>
              <w:right w:w="100" w:type="nil"/>
            </w:tcMar>
          </w:tcPr>
          <w:p w14:paraId="7882778E"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23</w:t>
            </w:r>
            <w:r w:rsidRPr="001806D4">
              <w:rPr>
                <w:rFonts w:ascii="Arial" w:eastAsia="Times New Roman" w:hAnsi="Arial" w:cs="Arial"/>
                <w:sz w:val="18"/>
                <w:szCs w:val="18"/>
                <w:lang w:eastAsia="de-DE"/>
              </w:rPr>
              <w:t>25</w:t>
            </w:r>
            <w:r w:rsidRPr="001806D4">
              <w:rPr>
                <w:rFonts w:ascii="Arial" w:eastAsia="Times New Roman" w:hAnsi="Arial" w:cs="Arial"/>
                <w:sz w:val="18"/>
                <w:szCs w:val="18"/>
                <w:vertAlign w:val="subscript"/>
                <w:lang w:eastAsia="de-DE"/>
              </w:rPr>
              <w:t>27</w:t>
            </w:r>
          </w:p>
        </w:tc>
        <w:tc>
          <w:tcPr>
            <w:tcW w:w="428" w:type="pct"/>
            <w:tcBorders>
              <w:top w:val="single" w:sz="6" w:space="0" w:color="auto"/>
              <w:left w:val="nil"/>
              <w:bottom w:val="single" w:sz="6" w:space="0" w:color="auto"/>
              <w:right w:val="nil"/>
            </w:tcBorders>
            <w:tcMar>
              <w:top w:w="100" w:type="nil"/>
              <w:right w:w="100" w:type="nil"/>
            </w:tcMar>
          </w:tcPr>
          <w:p w14:paraId="4031863C"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24</w:t>
            </w:r>
            <w:r w:rsidRPr="001806D4">
              <w:rPr>
                <w:rFonts w:ascii="Arial" w:eastAsia="Times New Roman" w:hAnsi="Arial" w:cs="Arial"/>
                <w:sz w:val="18"/>
                <w:szCs w:val="18"/>
                <w:lang w:eastAsia="de-DE"/>
              </w:rPr>
              <w:t>26</w:t>
            </w:r>
            <w:r w:rsidRPr="001806D4">
              <w:rPr>
                <w:rFonts w:ascii="Arial" w:eastAsia="Times New Roman" w:hAnsi="Arial" w:cs="Arial"/>
                <w:sz w:val="18"/>
                <w:szCs w:val="18"/>
                <w:vertAlign w:val="subscript"/>
                <w:lang w:eastAsia="de-DE"/>
              </w:rPr>
              <w:t>28</w:t>
            </w:r>
          </w:p>
        </w:tc>
        <w:tc>
          <w:tcPr>
            <w:tcW w:w="428" w:type="pct"/>
            <w:tcBorders>
              <w:top w:val="single" w:sz="6" w:space="0" w:color="auto"/>
              <w:left w:val="nil"/>
              <w:bottom w:val="single" w:sz="6" w:space="0" w:color="auto"/>
              <w:right w:val="nil"/>
            </w:tcBorders>
            <w:tcMar>
              <w:top w:w="100" w:type="nil"/>
              <w:right w:w="100" w:type="nil"/>
            </w:tcMar>
          </w:tcPr>
          <w:p w14:paraId="46F78B2E"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vertAlign w:val="subscript"/>
                <w:lang w:eastAsia="de-DE"/>
              </w:rPr>
            </w:pPr>
            <w:r w:rsidRPr="001806D4">
              <w:rPr>
                <w:rFonts w:ascii="Arial" w:eastAsia="Times New Roman" w:hAnsi="Arial" w:cs="Arial"/>
                <w:sz w:val="18"/>
                <w:szCs w:val="18"/>
                <w:vertAlign w:val="subscript"/>
                <w:lang w:eastAsia="de-DE"/>
              </w:rPr>
              <w:t>25</w:t>
            </w:r>
            <w:r w:rsidRPr="001806D4">
              <w:rPr>
                <w:rFonts w:ascii="Arial" w:eastAsia="Times New Roman" w:hAnsi="Arial" w:cs="Arial"/>
                <w:sz w:val="18"/>
                <w:szCs w:val="18"/>
                <w:lang w:eastAsia="de-DE"/>
              </w:rPr>
              <w:t>27</w:t>
            </w:r>
            <w:r w:rsidRPr="001806D4">
              <w:rPr>
                <w:rFonts w:ascii="Arial" w:eastAsia="Times New Roman" w:hAnsi="Arial" w:cs="Arial"/>
                <w:sz w:val="18"/>
                <w:szCs w:val="18"/>
                <w:vertAlign w:val="subscript"/>
                <w:lang w:eastAsia="de-DE"/>
              </w:rPr>
              <w:t>29</w:t>
            </w:r>
          </w:p>
        </w:tc>
        <w:tc>
          <w:tcPr>
            <w:tcW w:w="428" w:type="pct"/>
            <w:tcBorders>
              <w:top w:val="single" w:sz="6" w:space="0" w:color="auto"/>
              <w:left w:val="nil"/>
              <w:bottom w:val="single" w:sz="6" w:space="0" w:color="auto"/>
              <w:right w:val="nil"/>
            </w:tcBorders>
            <w:tcMar>
              <w:top w:w="100" w:type="nil"/>
              <w:right w:w="100" w:type="nil"/>
            </w:tcMar>
          </w:tcPr>
          <w:p w14:paraId="21A34652"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vertAlign w:val="subscript"/>
                <w:lang w:eastAsia="de-DE"/>
              </w:rPr>
              <w:t>26</w:t>
            </w:r>
            <w:r w:rsidRPr="001806D4">
              <w:rPr>
                <w:rFonts w:ascii="Arial" w:eastAsia="Times New Roman" w:hAnsi="Arial" w:cs="Arial"/>
                <w:sz w:val="18"/>
                <w:szCs w:val="18"/>
                <w:lang w:eastAsia="de-DE"/>
              </w:rPr>
              <w:t>28</w:t>
            </w:r>
            <w:r w:rsidRPr="001806D4">
              <w:rPr>
                <w:rFonts w:ascii="Arial" w:eastAsia="Times New Roman" w:hAnsi="Arial" w:cs="Arial"/>
                <w:sz w:val="18"/>
                <w:szCs w:val="18"/>
                <w:vertAlign w:val="subscript"/>
                <w:lang w:eastAsia="de-DE"/>
              </w:rPr>
              <w:t>30</w:t>
            </w:r>
          </w:p>
        </w:tc>
        <w:tc>
          <w:tcPr>
            <w:tcW w:w="428" w:type="pct"/>
            <w:tcBorders>
              <w:top w:val="single" w:sz="6" w:space="0" w:color="auto"/>
              <w:left w:val="nil"/>
              <w:bottom w:val="single" w:sz="6" w:space="0" w:color="auto"/>
              <w:right w:val="nil"/>
            </w:tcBorders>
            <w:tcMar>
              <w:top w:w="100" w:type="nil"/>
              <w:right w:w="100" w:type="nil"/>
            </w:tcMar>
          </w:tcPr>
          <w:p w14:paraId="0FCD6CC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29</w:t>
            </w:r>
          </w:p>
        </w:tc>
        <w:tc>
          <w:tcPr>
            <w:tcW w:w="428" w:type="pct"/>
            <w:tcBorders>
              <w:top w:val="single" w:sz="6" w:space="0" w:color="auto"/>
              <w:left w:val="nil"/>
              <w:bottom w:val="single" w:sz="6" w:space="0" w:color="auto"/>
              <w:right w:val="nil"/>
            </w:tcBorders>
            <w:tcMar>
              <w:top w:w="100" w:type="nil"/>
              <w:right w:w="100" w:type="nil"/>
            </w:tcMar>
          </w:tcPr>
          <w:p w14:paraId="56D25ECA"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30</w:t>
            </w:r>
          </w:p>
        </w:tc>
      </w:tr>
      <w:tr w:rsidR="00470174" w:rsidRPr="001806D4" w14:paraId="32A422E0" w14:textId="77777777" w:rsidTr="007212D6">
        <w:tc>
          <w:tcPr>
            <w:tcW w:w="526" w:type="pct"/>
            <w:tcBorders>
              <w:top w:val="single" w:sz="6" w:space="0" w:color="auto"/>
              <w:left w:val="nil"/>
              <w:bottom w:val="nil"/>
              <w:right w:val="nil"/>
            </w:tcBorders>
          </w:tcPr>
          <w:p w14:paraId="7BFFB7FB" w14:textId="77777777" w:rsidR="00470174" w:rsidRPr="001806D4" w:rsidRDefault="00470174" w:rsidP="00884BF4">
            <w:pPr>
              <w:autoSpaceDE w:val="0"/>
              <w:autoSpaceDN w:val="0"/>
              <w:adjustRightInd w:val="0"/>
              <w:spacing w:after="0" w:line="360" w:lineRule="auto"/>
              <w:rPr>
                <w:rFonts w:ascii="Arial" w:eastAsia="Times New Roman" w:hAnsi="Arial" w:cs="Arial"/>
                <w:sz w:val="18"/>
                <w:szCs w:val="18"/>
                <w:lang w:eastAsia="de-DE"/>
              </w:rPr>
            </w:pPr>
            <w:r w:rsidRPr="001806D4">
              <w:rPr>
                <w:rFonts w:ascii="Arial" w:eastAsia="Times New Roman" w:hAnsi="Arial" w:cs="Arial"/>
                <w:sz w:val="18"/>
                <w:szCs w:val="18"/>
                <w:lang w:eastAsia="de-DE"/>
              </w:rPr>
              <w:t>RSNPV</w:t>
            </w:r>
          </w:p>
        </w:tc>
        <w:tc>
          <w:tcPr>
            <w:tcW w:w="193" w:type="pct"/>
            <w:tcBorders>
              <w:top w:val="single" w:sz="6" w:space="0" w:color="auto"/>
              <w:left w:val="nil"/>
              <w:bottom w:val="nil"/>
              <w:right w:val="nil"/>
            </w:tcBorders>
            <w:tcMar>
              <w:top w:w="100" w:type="nil"/>
              <w:right w:w="100" w:type="nil"/>
            </w:tcMar>
          </w:tcPr>
          <w:p w14:paraId="1C421099"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p>
        </w:tc>
        <w:tc>
          <w:tcPr>
            <w:tcW w:w="428" w:type="pct"/>
            <w:tcBorders>
              <w:top w:val="single" w:sz="6" w:space="0" w:color="auto"/>
              <w:left w:val="nil"/>
              <w:bottom w:val="nil"/>
              <w:right w:val="nil"/>
            </w:tcBorders>
            <w:tcMar>
              <w:top w:w="100" w:type="nil"/>
              <w:right w:w="100" w:type="nil"/>
            </w:tcMar>
          </w:tcPr>
          <w:p w14:paraId="2D836D2A"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0.27</w:t>
            </w:r>
          </w:p>
        </w:tc>
        <w:tc>
          <w:tcPr>
            <w:tcW w:w="428" w:type="pct"/>
            <w:tcBorders>
              <w:top w:val="single" w:sz="6" w:space="0" w:color="auto"/>
              <w:left w:val="nil"/>
              <w:bottom w:val="nil"/>
              <w:right w:val="nil"/>
            </w:tcBorders>
            <w:tcMar>
              <w:top w:w="100" w:type="nil"/>
              <w:right w:w="100" w:type="nil"/>
            </w:tcMar>
          </w:tcPr>
          <w:p w14:paraId="25FFA4D9"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0.37</w:t>
            </w:r>
          </w:p>
        </w:tc>
        <w:tc>
          <w:tcPr>
            <w:tcW w:w="428" w:type="pct"/>
            <w:tcBorders>
              <w:top w:val="single" w:sz="6" w:space="0" w:color="auto"/>
              <w:left w:val="nil"/>
              <w:bottom w:val="nil"/>
              <w:right w:val="nil"/>
            </w:tcBorders>
            <w:tcMar>
              <w:top w:w="100" w:type="nil"/>
              <w:right w:w="100" w:type="nil"/>
            </w:tcMar>
          </w:tcPr>
          <w:p w14:paraId="5B63E256"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0.46</w:t>
            </w:r>
          </w:p>
        </w:tc>
        <w:tc>
          <w:tcPr>
            <w:tcW w:w="428" w:type="pct"/>
            <w:tcBorders>
              <w:top w:val="single" w:sz="6" w:space="0" w:color="auto"/>
              <w:left w:val="nil"/>
              <w:bottom w:val="nil"/>
              <w:right w:val="nil"/>
            </w:tcBorders>
            <w:tcMar>
              <w:top w:w="100" w:type="nil"/>
              <w:right w:w="100" w:type="nil"/>
            </w:tcMar>
          </w:tcPr>
          <w:p w14:paraId="21EEDE5A"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0.55</w:t>
            </w:r>
          </w:p>
        </w:tc>
        <w:tc>
          <w:tcPr>
            <w:tcW w:w="428" w:type="pct"/>
            <w:tcBorders>
              <w:top w:val="single" w:sz="6" w:space="0" w:color="auto"/>
              <w:left w:val="nil"/>
              <w:bottom w:val="nil"/>
              <w:right w:val="nil"/>
            </w:tcBorders>
            <w:tcMar>
              <w:top w:w="100" w:type="nil"/>
              <w:right w:w="100" w:type="nil"/>
            </w:tcMar>
          </w:tcPr>
          <w:p w14:paraId="63D4E5C1"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0.66</w:t>
            </w:r>
          </w:p>
        </w:tc>
        <w:tc>
          <w:tcPr>
            <w:tcW w:w="428" w:type="pct"/>
            <w:tcBorders>
              <w:top w:val="single" w:sz="6" w:space="0" w:color="auto"/>
              <w:left w:val="nil"/>
              <w:bottom w:val="nil"/>
              <w:right w:val="nil"/>
            </w:tcBorders>
            <w:tcMar>
              <w:top w:w="100" w:type="nil"/>
              <w:right w:w="100" w:type="nil"/>
            </w:tcMar>
          </w:tcPr>
          <w:p w14:paraId="797F0CC1"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0.75</w:t>
            </w:r>
          </w:p>
        </w:tc>
        <w:tc>
          <w:tcPr>
            <w:tcW w:w="428" w:type="pct"/>
            <w:tcBorders>
              <w:top w:val="single" w:sz="6" w:space="0" w:color="auto"/>
              <w:left w:val="nil"/>
              <w:bottom w:val="nil"/>
              <w:right w:val="nil"/>
            </w:tcBorders>
            <w:tcMar>
              <w:top w:w="100" w:type="nil"/>
              <w:right w:w="100" w:type="nil"/>
            </w:tcMar>
          </w:tcPr>
          <w:p w14:paraId="1A193AAE"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0.81</w:t>
            </w:r>
          </w:p>
        </w:tc>
        <w:tc>
          <w:tcPr>
            <w:tcW w:w="428" w:type="pct"/>
            <w:tcBorders>
              <w:top w:val="single" w:sz="6" w:space="0" w:color="auto"/>
              <w:left w:val="nil"/>
              <w:bottom w:val="nil"/>
              <w:right w:val="nil"/>
            </w:tcBorders>
            <w:tcMar>
              <w:top w:w="100" w:type="nil"/>
              <w:right w:w="100" w:type="nil"/>
            </w:tcMar>
          </w:tcPr>
          <w:p w14:paraId="54ECF4B5"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0.86</w:t>
            </w:r>
          </w:p>
        </w:tc>
        <w:tc>
          <w:tcPr>
            <w:tcW w:w="428" w:type="pct"/>
            <w:tcBorders>
              <w:top w:val="single" w:sz="6" w:space="0" w:color="auto"/>
              <w:left w:val="nil"/>
              <w:bottom w:val="nil"/>
              <w:right w:val="nil"/>
            </w:tcBorders>
            <w:tcMar>
              <w:top w:w="100" w:type="nil"/>
              <w:right w:w="100" w:type="nil"/>
            </w:tcMar>
          </w:tcPr>
          <w:p w14:paraId="2174B93E"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0.86</w:t>
            </w:r>
          </w:p>
        </w:tc>
        <w:tc>
          <w:tcPr>
            <w:tcW w:w="428" w:type="pct"/>
            <w:tcBorders>
              <w:top w:val="single" w:sz="6" w:space="0" w:color="auto"/>
              <w:left w:val="nil"/>
              <w:bottom w:val="nil"/>
              <w:right w:val="nil"/>
            </w:tcBorders>
            <w:tcMar>
              <w:top w:w="100" w:type="nil"/>
              <w:right w:w="100" w:type="nil"/>
            </w:tcMar>
          </w:tcPr>
          <w:p w14:paraId="15F3522C"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0.86</w:t>
            </w:r>
          </w:p>
        </w:tc>
      </w:tr>
      <w:tr w:rsidR="00470174" w:rsidRPr="001806D4" w14:paraId="4AFE7CFA" w14:textId="77777777" w:rsidTr="007212D6">
        <w:tc>
          <w:tcPr>
            <w:tcW w:w="526" w:type="pct"/>
            <w:tcBorders>
              <w:top w:val="nil"/>
              <w:left w:val="nil"/>
              <w:bottom w:val="single" w:sz="6" w:space="0" w:color="auto"/>
              <w:right w:val="nil"/>
            </w:tcBorders>
          </w:tcPr>
          <w:p w14:paraId="5DDAAA63" w14:textId="77777777" w:rsidR="00470174" w:rsidRPr="001806D4" w:rsidRDefault="00470174" w:rsidP="00884BF4">
            <w:pPr>
              <w:autoSpaceDE w:val="0"/>
              <w:autoSpaceDN w:val="0"/>
              <w:adjustRightInd w:val="0"/>
              <w:spacing w:after="0" w:line="360" w:lineRule="auto"/>
              <w:rPr>
                <w:rFonts w:ascii="Arial" w:eastAsia="Times New Roman" w:hAnsi="Arial" w:cs="Arial"/>
                <w:sz w:val="18"/>
                <w:szCs w:val="18"/>
                <w:lang w:eastAsia="de-DE"/>
              </w:rPr>
            </w:pPr>
            <w:r w:rsidRPr="001806D4">
              <w:rPr>
                <w:rFonts w:ascii="Arial" w:eastAsia="Times New Roman" w:hAnsi="Arial" w:cs="Arial"/>
                <w:sz w:val="18"/>
                <w:szCs w:val="18"/>
                <w:lang w:eastAsia="de-DE"/>
              </w:rPr>
              <w:t>RSPPV</w:t>
            </w:r>
          </w:p>
        </w:tc>
        <w:tc>
          <w:tcPr>
            <w:tcW w:w="193" w:type="pct"/>
            <w:tcBorders>
              <w:top w:val="nil"/>
              <w:left w:val="nil"/>
              <w:bottom w:val="single" w:sz="6" w:space="0" w:color="auto"/>
              <w:right w:val="nil"/>
            </w:tcBorders>
            <w:tcMar>
              <w:top w:w="100" w:type="nil"/>
              <w:right w:w="100" w:type="nil"/>
            </w:tcMar>
          </w:tcPr>
          <w:p w14:paraId="28C78EF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p>
        </w:tc>
        <w:tc>
          <w:tcPr>
            <w:tcW w:w="428" w:type="pct"/>
            <w:tcBorders>
              <w:top w:val="nil"/>
              <w:left w:val="nil"/>
              <w:bottom w:val="single" w:sz="6" w:space="0" w:color="auto"/>
              <w:right w:val="nil"/>
            </w:tcBorders>
            <w:tcMar>
              <w:top w:w="100" w:type="nil"/>
              <w:right w:w="100" w:type="nil"/>
            </w:tcMar>
          </w:tcPr>
          <w:p w14:paraId="0AC3EB3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0.73</w:t>
            </w:r>
          </w:p>
        </w:tc>
        <w:tc>
          <w:tcPr>
            <w:tcW w:w="428" w:type="pct"/>
            <w:tcBorders>
              <w:top w:val="nil"/>
              <w:left w:val="nil"/>
              <w:bottom w:val="single" w:sz="6" w:space="0" w:color="auto"/>
              <w:right w:val="nil"/>
            </w:tcBorders>
            <w:tcMar>
              <w:top w:w="100" w:type="nil"/>
              <w:right w:w="100" w:type="nil"/>
            </w:tcMar>
          </w:tcPr>
          <w:p w14:paraId="1922E516"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0.63</w:t>
            </w:r>
          </w:p>
        </w:tc>
        <w:tc>
          <w:tcPr>
            <w:tcW w:w="428" w:type="pct"/>
            <w:tcBorders>
              <w:top w:val="nil"/>
              <w:left w:val="nil"/>
              <w:bottom w:val="single" w:sz="6" w:space="0" w:color="auto"/>
              <w:right w:val="nil"/>
            </w:tcBorders>
            <w:tcMar>
              <w:top w:w="100" w:type="nil"/>
              <w:right w:w="100" w:type="nil"/>
            </w:tcMar>
          </w:tcPr>
          <w:p w14:paraId="6ABB437F"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0.54</w:t>
            </w:r>
          </w:p>
        </w:tc>
        <w:tc>
          <w:tcPr>
            <w:tcW w:w="428" w:type="pct"/>
            <w:tcBorders>
              <w:top w:val="nil"/>
              <w:left w:val="nil"/>
              <w:bottom w:val="single" w:sz="6" w:space="0" w:color="auto"/>
              <w:right w:val="nil"/>
            </w:tcBorders>
            <w:tcMar>
              <w:top w:w="100" w:type="nil"/>
              <w:right w:w="100" w:type="nil"/>
            </w:tcMar>
          </w:tcPr>
          <w:p w14:paraId="2D195C6B"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0.45</w:t>
            </w:r>
          </w:p>
        </w:tc>
        <w:tc>
          <w:tcPr>
            <w:tcW w:w="428" w:type="pct"/>
            <w:tcBorders>
              <w:top w:val="nil"/>
              <w:left w:val="nil"/>
              <w:bottom w:val="single" w:sz="6" w:space="0" w:color="auto"/>
              <w:right w:val="nil"/>
            </w:tcBorders>
            <w:tcMar>
              <w:top w:w="100" w:type="nil"/>
              <w:right w:w="100" w:type="nil"/>
            </w:tcMar>
          </w:tcPr>
          <w:p w14:paraId="40FB4352"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0.34</w:t>
            </w:r>
          </w:p>
        </w:tc>
        <w:tc>
          <w:tcPr>
            <w:tcW w:w="428" w:type="pct"/>
            <w:tcBorders>
              <w:top w:val="nil"/>
              <w:left w:val="nil"/>
              <w:bottom w:val="single" w:sz="6" w:space="0" w:color="auto"/>
              <w:right w:val="nil"/>
            </w:tcBorders>
            <w:tcMar>
              <w:top w:w="100" w:type="nil"/>
              <w:right w:w="100" w:type="nil"/>
            </w:tcMar>
          </w:tcPr>
          <w:p w14:paraId="02528173"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0.25</w:t>
            </w:r>
          </w:p>
        </w:tc>
        <w:tc>
          <w:tcPr>
            <w:tcW w:w="428" w:type="pct"/>
            <w:tcBorders>
              <w:top w:val="nil"/>
              <w:left w:val="nil"/>
              <w:bottom w:val="single" w:sz="6" w:space="0" w:color="auto"/>
              <w:right w:val="nil"/>
            </w:tcBorders>
            <w:tcMar>
              <w:top w:w="100" w:type="nil"/>
              <w:right w:w="100" w:type="nil"/>
            </w:tcMar>
          </w:tcPr>
          <w:p w14:paraId="323CD865"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0.19</w:t>
            </w:r>
          </w:p>
        </w:tc>
        <w:tc>
          <w:tcPr>
            <w:tcW w:w="428" w:type="pct"/>
            <w:tcBorders>
              <w:top w:val="nil"/>
              <w:left w:val="nil"/>
              <w:bottom w:val="single" w:sz="6" w:space="0" w:color="auto"/>
              <w:right w:val="nil"/>
            </w:tcBorders>
            <w:tcMar>
              <w:top w:w="100" w:type="nil"/>
              <w:right w:w="100" w:type="nil"/>
            </w:tcMar>
          </w:tcPr>
          <w:p w14:paraId="63465656"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0.14</w:t>
            </w:r>
          </w:p>
        </w:tc>
        <w:tc>
          <w:tcPr>
            <w:tcW w:w="428" w:type="pct"/>
            <w:tcBorders>
              <w:top w:val="nil"/>
              <w:left w:val="nil"/>
              <w:bottom w:val="single" w:sz="6" w:space="0" w:color="auto"/>
              <w:right w:val="nil"/>
            </w:tcBorders>
            <w:tcMar>
              <w:top w:w="100" w:type="nil"/>
              <w:right w:w="100" w:type="nil"/>
            </w:tcMar>
          </w:tcPr>
          <w:p w14:paraId="1C6B023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0.14</w:t>
            </w:r>
          </w:p>
        </w:tc>
        <w:tc>
          <w:tcPr>
            <w:tcW w:w="428" w:type="pct"/>
            <w:tcBorders>
              <w:top w:val="nil"/>
              <w:left w:val="nil"/>
              <w:bottom w:val="single" w:sz="6" w:space="0" w:color="auto"/>
              <w:right w:val="nil"/>
            </w:tcBorders>
            <w:tcMar>
              <w:top w:w="100" w:type="nil"/>
              <w:right w:w="100" w:type="nil"/>
            </w:tcMar>
          </w:tcPr>
          <w:p w14:paraId="50403A04" w14:textId="77777777" w:rsidR="00470174" w:rsidRPr="001806D4" w:rsidRDefault="00470174" w:rsidP="00884BF4">
            <w:pPr>
              <w:autoSpaceDE w:val="0"/>
              <w:autoSpaceDN w:val="0"/>
              <w:adjustRightInd w:val="0"/>
              <w:spacing w:after="0" w:line="360" w:lineRule="auto"/>
              <w:jc w:val="right"/>
              <w:rPr>
                <w:rFonts w:ascii="Arial" w:eastAsia="Times New Roman" w:hAnsi="Arial" w:cs="Arial"/>
                <w:sz w:val="18"/>
                <w:szCs w:val="18"/>
                <w:lang w:eastAsia="de-DE"/>
              </w:rPr>
            </w:pPr>
            <w:r w:rsidRPr="001806D4">
              <w:rPr>
                <w:rFonts w:ascii="Arial" w:eastAsia="Times New Roman" w:hAnsi="Arial" w:cs="Arial"/>
                <w:sz w:val="18"/>
                <w:szCs w:val="18"/>
                <w:lang w:eastAsia="de-DE"/>
              </w:rPr>
              <w:t>0.14</w:t>
            </w:r>
          </w:p>
        </w:tc>
      </w:tr>
    </w:tbl>
    <w:p w14:paraId="200D4E46" w14:textId="77777777" w:rsidR="007212D6" w:rsidRPr="001806D4" w:rsidRDefault="007212D6" w:rsidP="007212D6">
      <w:pPr>
        <w:spacing w:after="0" w:line="360" w:lineRule="auto"/>
        <w:ind w:left="720"/>
        <w:rPr>
          <w:rFonts w:ascii="Arial" w:eastAsia="Times New Roman" w:hAnsi="Arial" w:cs="Calibri"/>
          <w:sz w:val="18"/>
          <w:szCs w:val="18"/>
          <w:lang w:eastAsia="de-DE"/>
        </w:rPr>
      </w:pPr>
      <w:r w:rsidRPr="001806D4">
        <w:rPr>
          <w:rFonts w:ascii="Arial" w:eastAsia="Times New Roman" w:hAnsi="Arial" w:cs="Calibri"/>
          <w:sz w:val="18"/>
          <w:szCs w:val="18"/>
          <w:lang w:eastAsia="de-DE"/>
        </w:rPr>
        <w:t xml:space="preserve">RSNPV:  Reliable estimate of the Standardized Negative Predictive Value </w:t>
      </w:r>
    </w:p>
    <w:p w14:paraId="3980A9E6" w14:textId="77777777" w:rsidR="00470174" w:rsidRPr="001806D4" w:rsidRDefault="007212D6" w:rsidP="007212D6">
      <w:pPr>
        <w:spacing w:after="0" w:line="360" w:lineRule="auto"/>
        <w:ind w:left="720"/>
        <w:rPr>
          <w:rFonts w:ascii="Arial" w:eastAsia="Times New Roman" w:hAnsi="Arial" w:cs="Calibri"/>
          <w:sz w:val="18"/>
          <w:szCs w:val="18"/>
          <w:lang w:eastAsia="de-DE"/>
        </w:rPr>
      </w:pPr>
      <w:r w:rsidRPr="001806D4">
        <w:rPr>
          <w:rFonts w:ascii="Arial" w:eastAsia="Times New Roman" w:hAnsi="Arial" w:cs="Calibri"/>
          <w:sz w:val="18"/>
          <w:szCs w:val="18"/>
          <w:lang w:eastAsia="de-DE"/>
        </w:rPr>
        <w:t>RSPPV: Reliable estimate of the Standardized Positive Predictive Value</w:t>
      </w:r>
    </w:p>
    <w:p w14:paraId="1802A790" w14:textId="77777777" w:rsidR="007212D6" w:rsidRPr="001806D4" w:rsidRDefault="007212D6" w:rsidP="007212D6">
      <w:pPr>
        <w:spacing w:after="0" w:line="360" w:lineRule="auto"/>
        <w:ind w:left="720"/>
        <w:rPr>
          <w:rFonts w:ascii="Arial" w:eastAsia="Times New Roman" w:hAnsi="Arial" w:cs="Times New Roman"/>
          <w:sz w:val="24"/>
          <w:szCs w:val="20"/>
          <w:lang w:eastAsia="de-DE"/>
        </w:rPr>
      </w:pPr>
    </w:p>
    <w:p w14:paraId="38E2EBF8" w14:textId="77777777" w:rsidR="00470174" w:rsidRPr="001806D4" w:rsidRDefault="00470174" w:rsidP="00884BF4">
      <w:pPr>
        <w:spacing w:after="0" w:line="360" w:lineRule="auto"/>
        <w:ind w:firstLine="720"/>
        <w:contextualSpacing/>
        <w:rPr>
          <w:rFonts w:ascii="Arial" w:eastAsia="Times New Roman" w:hAnsi="Arial" w:cs="Times New Roman"/>
          <w:sz w:val="24"/>
          <w:szCs w:val="20"/>
          <w:lang w:eastAsia="de-DE"/>
        </w:rPr>
      </w:pPr>
      <w:bookmarkStart w:id="0" w:name="_Hlk13576106"/>
      <w:r w:rsidRPr="001806D4">
        <w:rPr>
          <w:rFonts w:ascii="Arial" w:eastAsia="Times New Roman" w:hAnsi="Arial" w:cs="Times New Roman"/>
          <w:sz w:val="24"/>
          <w:szCs w:val="20"/>
          <w:lang w:eastAsia="de-DE"/>
        </w:rPr>
        <w:t>The obtained results of th</w:t>
      </w:r>
      <w:r w:rsidR="00330A75" w:rsidRPr="001806D4">
        <w:rPr>
          <w:rFonts w:ascii="Arial" w:eastAsia="Times New Roman" w:hAnsi="Arial" w:cs="Times New Roman"/>
          <w:sz w:val="24"/>
          <w:szCs w:val="20"/>
          <w:lang w:eastAsia="de-DE"/>
        </w:rPr>
        <w:t>is</w:t>
      </w:r>
      <w:r w:rsidRPr="001806D4">
        <w:rPr>
          <w:rFonts w:ascii="Arial" w:eastAsia="Times New Roman" w:hAnsi="Arial" w:cs="Times New Roman"/>
          <w:sz w:val="24"/>
          <w:szCs w:val="20"/>
          <w:lang w:eastAsia="de-DE"/>
        </w:rPr>
        <w:t xml:space="preserve"> </w:t>
      </w:r>
      <w:r w:rsidR="00330A75" w:rsidRPr="001806D4">
        <w:rPr>
          <w:rFonts w:ascii="Arial" w:eastAsia="Times New Roman" w:hAnsi="Arial" w:cs="Times New Roman"/>
          <w:sz w:val="24"/>
          <w:szCs w:val="20"/>
          <w:lang w:eastAsia="de-DE"/>
        </w:rPr>
        <w:t>method</w:t>
      </w:r>
      <w:r w:rsidRPr="001806D4">
        <w:rPr>
          <w:rFonts w:ascii="Arial" w:eastAsia="Times New Roman" w:hAnsi="Arial" w:cs="Times New Roman"/>
          <w:sz w:val="24"/>
          <w:szCs w:val="20"/>
          <w:lang w:eastAsia="de-DE"/>
        </w:rPr>
        <w:t xml:space="preserve"> are shown in Table A2. The row “Correct classifications” represents the common NPV and PPV for the negative and positive classifications (NPV = .85; PPV = .922).</w:t>
      </w:r>
    </w:p>
    <w:p w14:paraId="74836CD2" w14:textId="77777777" w:rsidR="00470174" w:rsidRPr="001806D4" w:rsidRDefault="00470174" w:rsidP="00884BF4">
      <w:pPr>
        <w:spacing w:after="0" w:line="360" w:lineRule="auto"/>
        <w:ind w:firstLine="720"/>
        <w:contextualSpacing/>
        <w:rPr>
          <w:rFonts w:ascii="Arial" w:eastAsia="Times New Roman" w:hAnsi="Arial" w:cs="Times New Roman"/>
          <w:sz w:val="24"/>
          <w:szCs w:val="20"/>
          <w:lang w:eastAsia="de-DE"/>
        </w:rPr>
      </w:pPr>
    </w:p>
    <w:p w14:paraId="70F2AB6C" w14:textId="77777777" w:rsidR="00470174" w:rsidRPr="001806D4" w:rsidRDefault="00470174" w:rsidP="00884BF4">
      <w:pPr>
        <w:spacing w:after="0" w:line="360" w:lineRule="auto"/>
        <w:ind w:firstLine="720"/>
        <w:contextualSpacing/>
        <w:rPr>
          <w:rFonts w:ascii="Arial" w:eastAsia="Times New Roman" w:hAnsi="Arial" w:cs="Times New Roman"/>
          <w:sz w:val="24"/>
          <w:szCs w:val="20"/>
          <w:lang w:eastAsia="de-DE"/>
        </w:rPr>
      </w:pPr>
      <w:r w:rsidRPr="001806D4">
        <w:rPr>
          <w:rFonts w:ascii="Arial" w:eastAsia="Times New Roman" w:hAnsi="Arial" w:cs="Times New Roman"/>
          <w:sz w:val="24"/>
          <w:szCs w:val="20"/>
          <w:lang w:eastAsia="de-DE"/>
        </w:rPr>
        <w:t>Table A2: Obtained results, using reliable predictive values and trichotomization with classification odds of 2</w:t>
      </w:r>
    </w:p>
    <w:tbl>
      <w:tblPr>
        <w:tblW w:w="0" w:type="auto"/>
        <w:tblInd w:w="720" w:type="dxa"/>
        <w:tblCellMar>
          <w:left w:w="100" w:type="dxa"/>
          <w:right w:w="100" w:type="dxa"/>
        </w:tblCellMar>
        <w:tblLook w:val="0000" w:firstRow="0" w:lastRow="0" w:firstColumn="0" w:lastColumn="0" w:noHBand="0" w:noVBand="0"/>
      </w:tblPr>
      <w:tblGrid>
        <w:gridCol w:w="2146"/>
        <w:gridCol w:w="2324"/>
        <w:gridCol w:w="1056"/>
        <w:gridCol w:w="2235"/>
      </w:tblGrid>
      <w:tr w:rsidR="00470174" w:rsidRPr="001806D4" w14:paraId="2E75F4EA" w14:textId="77777777" w:rsidTr="00CF2FAA">
        <w:tc>
          <w:tcPr>
            <w:tcW w:w="0" w:type="auto"/>
            <w:tcBorders>
              <w:top w:val="single" w:sz="6" w:space="0" w:color="auto"/>
              <w:left w:val="nil"/>
              <w:bottom w:val="single" w:sz="6" w:space="0" w:color="auto"/>
              <w:right w:val="nil"/>
            </w:tcBorders>
            <w:tcMar>
              <w:top w:w="100" w:type="nil"/>
              <w:right w:w="100" w:type="nil"/>
            </w:tcMar>
          </w:tcPr>
          <w:p w14:paraId="28A7473F"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b/>
                <w:bCs/>
                <w:sz w:val="20"/>
                <w:szCs w:val="20"/>
                <w:lang w:eastAsia="de-DE"/>
              </w:rPr>
              <w:t xml:space="preserve"> </w:t>
            </w:r>
          </w:p>
        </w:tc>
        <w:tc>
          <w:tcPr>
            <w:tcW w:w="0" w:type="auto"/>
            <w:tcBorders>
              <w:top w:val="single" w:sz="6" w:space="0" w:color="auto"/>
              <w:left w:val="nil"/>
              <w:bottom w:val="single" w:sz="6" w:space="0" w:color="auto"/>
              <w:right w:val="nil"/>
            </w:tcBorders>
            <w:tcMar>
              <w:top w:w="100" w:type="nil"/>
              <w:right w:w="100" w:type="nil"/>
            </w:tcMar>
          </w:tcPr>
          <w:p w14:paraId="3464FCDA"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Negative Classifications</w:t>
            </w:r>
          </w:p>
        </w:tc>
        <w:tc>
          <w:tcPr>
            <w:tcW w:w="0" w:type="auto"/>
            <w:tcBorders>
              <w:top w:val="single" w:sz="6" w:space="0" w:color="auto"/>
              <w:left w:val="nil"/>
              <w:bottom w:val="single" w:sz="6" w:space="0" w:color="auto"/>
              <w:right w:val="nil"/>
            </w:tcBorders>
            <w:tcMar>
              <w:top w:w="100" w:type="nil"/>
              <w:right w:w="100" w:type="nil"/>
            </w:tcMar>
          </w:tcPr>
          <w:p w14:paraId="2144FD2E"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 xml:space="preserve">Uncertain </w:t>
            </w:r>
          </w:p>
        </w:tc>
        <w:tc>
          <w:tcPr>
            <w:tcW w:w="0" w:type="auto"/>
            <w:tcBorders>
              <w:top w:val="single" w:sz="6" w:space="0" w:color="auto"/>
              <w:left w:val="nil"/>
              <w:bottom w:val="single" w:sz="6" w:space="0" w:color="auto"/>
              <w:right w:val="nil"/>
            </w:tcBorders>
            <w:tcMar>
              <w:top w:w="100" w:type="nil"/>
              <w:right w:w="100" w:type="nil"/>
            </w:tcMar>
          </w:tcPr>
          <w:p w14:paraId="6EB19A36"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Positive Classifications</w:t>
            </w:r>
          </w:p>
        </w:tc>
      </w:tr>
      <w:tr w:rsidR="00470174" w:rsidRPr="001806D4" w14:paraId="03AF2D4F" w14:textId="77777777" w:rsidTr="00CF2FAA">
        <w:tc>
          <w:tcPr>
            <w:tcW w:w="0" w:type="auto"/>
            <w:tcBorders>
              <w:top w:val="nil"/>
              <w:left w:val="nil"/>
              <w:bottom w:val="nil"/>
              <w:right w:val="nil"/>
            </w:tcBorders>
            <w:tcMar>
              <w:top w:w="100" w:type="nil"/>
              <w:right w:w="100" w:type="nil"/>
            </w:tcMar>
          </w:tcPr>
          <w:p w14:paraId="7E41930A"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Scores</w:t>
            </w:r>
          </w:p>
        </w:tc>
        <w:tc>
          <w:tcPr>
            <w:tcW w:w="0" w:type="auto"/>
            <w:tcBorders>
              <w:top w:val="nil"/>
              <w:left w:val="nil"/>
              <w:bottom w:val="nil"/>
              <w:right w:val="nil"/>
            </w:tcBorders>
            <w:tcMar>
              <w:top w:w="100" w:type="nil"/>
              <w:right w:w="100" w:type="nil"/>
            </w:tcMar>
          </w:tcPr>
          <w:p w14:paraId="34B2E543"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26-30</w:t>
            </w:r>
          </w:p>
        </w:tc>
        <w:tc>
          <w:tcPr>
            <w:tcW w:w="0" w:type="auto"/>
            <w:tcBorders>
              <w:top w:val="nil"/>
              <w:left w:val="nil"/>
              <w:bottom w:val="nil"/>
              <w:right w:val="nil"/>
            </w:tcBorders>
            <w:tcMar>
              <w:top w:w="100" w:type="nil"/>
              <w:right w:w="100" w:type="nil"/>
            </w:tcMar>
          </w:tcPr>
          <w:p w14:paraId="4E121447"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22-25</w:t>
            </w:r>
          </w:p>
        </w:tc>
        <w:tc>
          <w:tcPr>
            <w:tcW w:w="0" w:type="auto"/>
            <w:tcBorders>
              <w:top w:val="nil"/>
              <w:left w:val="nil"/>
              <w:bottom w:val="nil"/>
              <w:right w:val="nil"/>
            </w:tcBorders>
            <w:tcMar>
              <w:top w:w="100" w:type="nil"/>
              <w:right w:w="100" w:type="nil"/>
            </w:tcMar>
          </w:tcPr>
          <w:p w14:paraId="26A0D8F0"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0-21</w:t>
            </w:r>
          </w:p>
        </w:tc>
      </w:tr>
      <w:tr w:rsidR="00470174" w:rsidRPr="001806D4" w14:paraId="347F6AFE" w14:textId="77777777" w:rsidTr="00CF2FAA">
        <w:tc>
          <w:tcPr>
            <w:tcW w:w="0" w:type="auto"/>
            <w:tcBorders>
              <w:top w:val="nil"/>
              <w:left w:val="nil"/>
              <w:bottom w:val="nil"/>
              <w:right w:val="nil"/>
            </w:tcBorders>
            <w:tcMar>
              <w:top w:w="100" w:type="nil"/>
              <w:right w:w="100" w:type="nil"/>
            </w:tcMar>
          </w:tcPr>
          <w:p w14:paraId="7269D310"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n</w:t>
            </w:r>
          </w:p>
        </w:tc>
        <w:tc>
          <w:tcPr>
            <w:tcW w:w="0" w:type="auto"/>
            <w:tcBorders>
              <w:top w:val="nil"/>
              <w:left w:val="nil"/>
              <w:bottom w:val="nil"/>
              <w:right w:val="nil"/>
            </w:tcBorders>
            <w:tcMar>
              <w:top w:w="100" w:type="nil"/>
              <w:right w:w="100" w:type="nil"/>
            </w:tcMar>
          </w:tcPr>
          <w:p w14:paraId="60D302D3"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1877</w:t>
            </w:r>
          </w:p>
        </w:tc>
        <w:tc>
          <w:tcPr>
            <w:tcW w:w="0" w:type="auto"/>
            <w:tcBorders>
              <w:top w:val="nil"/>
              <w:left w:val="nil"/>
              <w:bottom w:val="nil"/>
              <w:right w:val="nil"/>
            </w:tcBorders>
            <w:tcMar>
              <w:top w:w="100" w:type="nil"/>
              <w:right w:w="100" w:type="nil"/>
            </w:tcMar>
          </w:tcPr>
          <w:p w14:paraId="1A2035CA"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1379</w:t>
            </w:r>
          </w:p>
        </w:tc>
        <w:tc>
          <w:tcPr>
            <w:tcW w:w="0" w:type="auto"/>
            <w:tcBorders>
              <w:top w:val="nil"/>
              <w:left w:val="nil"/>
              <w:bottom w:val="nil"/>
              <w:right w:val="nil"/>
            </w:tcBorders>
            <w:tcMar>
              <w:top w:w="100" w:type="nil"/>
              <w:right w:w="100" w:type="nil"/>
            </w:tcMar>
          </w:tcPr>
          <w:p w14:paraId="60BC57C1"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1763</w:t>
            </w:r>
          </w:p>
        </w:tc>
      </w:tr>
      <w:tr w:rsidR="00470174" w:rsidRPr="001806D4" w14:paraId="41E0AC2D" w14:textId="77777777" w:rsidTr="00CF2FAA">
        <w:tc>
          <w:tcPr>
            <w:tcW w:w="0" w:type="auto"/>
            <w:tcBorders>
              <w:top w:val="nil"/>
              <w:left w:val="nil"/>
              <w:bottom w:val="nil"/>
              <w:right w:val="nil"/>
            </w:tcBorders>
            <w:tcMar>
              <w:top w:w="100" w:type="nil"/>
              <w:right w:w="100" w:type="nil"/>
            </w:tcMar>
          </w:tcPr>
          <w:p w14:paraId="173870FC"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Total sample</w:t>
            </w:r>
          </w:p>
        </w:tc>
        <w:tc>
          <w:tcPr>
            <w:tcW w:w="0" w:type="auto"/>
            <w:tcBorders>
              <w:top w:val="nil"/>
              <w:left w:val="nil"/>
              <w:bottom w:val="nil"/>
              <w:right w:val="nil"/>
            </w:tcBorders>
            <w:tcMar>
              <w:top w:w="100" w:type="nil"/>
              <w:right w:w="100" w:type="nil"/>
            </w:tcMar>
          </w:tcPr>
          <w:p w14:paraId="6B533DCC"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37.4%</w:t>
            </w:r>
          </w:p>
        </w:tc>
        <w:tc>
          <w:tcPr>
            <w:tcW w:w="0" w:type="auto"/>
            <w:tcBorders>
              <w:top w:val="nil"/>
              <w:left w:val="nil"/>
              <w:bottom w:val="nil"/>
              <w:right w:val="nil"/>
            </w:tcBorders>
            <w:tcMar>
              <w:top w:w="100" w:type="nil"/>
              <w:right w:w="100" w:type="nil"/>
            </w:tcMar>
          </w:tcPr>
          <w:p w14:paraId="7376BB89"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27.5%</w:t>
            </w:r>
          </w:p>
        </w:tc>
        <w:tc>
          <w:tcPr>
            <w:tcW w:w="0" w:type="auto"/>
            <w:tcBorders>
              <w:top w:val="nil"/>
              <w:left w:val="nil"/>
              <w:bottom w:val="nil"/>
              <w:right w:val="nil"/>
            </w:tcBorders>
            <w:tcMar>
              <w:top w:w="100" w:type="nil"/>
              <w:right w:w="100" w:type="nil"/>
            </w:tcMar>
          </w:tcPr>
          <w:p w14:paraId="2D055D7F"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35.1%</w:t>
            </w:r>
          </w:p>
        </w:tc>
      </w:tr>
      <w:tr w:rsidR="00470174" w:rsidRPr="001806D4" w14:paraId="0E3A0508" w14:textId="77777777" w:rsidTr="00CF2FAA">
        <w:tc>
          <w:tcPr>
            <w:tcW w:w="0" w:type="auto"/>
            <w:tcBorders>
              <w:top w:val="nil"/>
              <w:left w:val="nil"/>
              <w:bottom w:val="nil"/>
              <w:right w:val="nil"/>
            </w:tcBorders>
            <w:tcMar>
              <w:top w:w="100" w:type="nil"/>
              <w:right w:w="100" w:type="nil"/>
            </w:tcMar>
          </w:tcPr>
          <w:p w14:paraId="633A086C"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Correct classifications</w:t>
            </w:r>
          </w:p>
        </w:tc>
        <w:tc>
          <w:tcPr>
            <w:tcW w:w="0" w:type="auto"/>
            <w:tcBorders>
              <w:top w:val="nil"/>
              <w:left w:val="nil"/>
              <w:bottom w:val="nil"/>
              <w:right w:val="nil"/>
            </w:tcBorders>
            <w:tcMar>
              <w:top w:w="100" w:type="nil"/>
              <w:right w:w="100" w:type="nil"/>
            </w:tcMar>
          </w:tcPr>
          <w:p w14:paraId="4461FB6A"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85.0%</w:t>
            </w:r>
          </w:p>
        </w:tc>
        <w:tc>
          <w:tcPr>
            <w:tcW w:w="0" w:type="auto"/>
            <w:tcBorders>
              <w:top w:val="nil"/>
              <w:left w:val="nil"/>
              <w:bottom w:val="nil"/>
              <w:right w:val="nil"/>
            </w:tcBorders>
            <w:tcMar>
              <w:top w:w="100" w:type="nil"/>
              <w:right w:w="100" w:type="nil"/>
            </w:tcMar>
          </w:tcPr>
          <w:p w14:paraId="7DF6E5B9"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w:t>
            </w:r>
          </w:p>
        </w:tc>
        <w:tc>
          <w:tcPr>
            <w:tcW w:w="0" w:type="auto"/>
            <w:tcBorders>
              <w:top w:val="nil"/>
              <w:left w:val="nil"/>
              <w:bottom w:val="nil"/>
              <w:right w:val="nil"/>
            </w:tcBorders>
            <w:tcMar>
              <w:top w:w="100" w:type="nil"/>
              <w:right w:w="100" w:type="nil"/>
            </w:tcMar>
          </w:tcPr>
          <w:p w14:paraId="03D7F0B5"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92.2%</w:t>
            </w:r>
          </w:p>
        </w:tc>
      </w:tr>
      <w:tr w:rsidR="00470174" w:rsidRPr="001806D4" w14:paraId="1A208C62" w14:textId="77777777" w:rsidTr="00CF2FAA">
        <w:tc>
          <w:tcPr>
            <w:tcW w:w="0" w:type="auto"/>
            <w:tcBorders>
              <w:top w:val="nil"/>
              <w:left w:val="nil"/>
              <w:bottom w:val="nil"/>
              <w:right w:val="nil"/>
            </w:tcBorders>
            <w:tcMar>
              <w:top w:w="100" w:type="nil"/>
              <w:right w:w="100" w:type="nil"/>
            </w:tcMar>
          </w:tcPr>
          <w:p w14:paraId="62DFBD00"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True negative status</w:t>
            </w:r>
          </w:p>
        </w:tc>
        <w:tc>
          <w:tcPr>
            <w:tcW w:w="0" w:type="auto"/>
            <w:tcBorders>
              <w:top w:val="nil"/>
              <w:left w:val="nil"/>
              <w:bottom w:val="nil"/>
              <w:right w:val="nil"/>
            </w:tcBorders>
            <w:tcMar>
              <w:top w:w="100" w:type="nil"/>
              <w:right w:w="100" w:type="nil"/>
            </w:tcMar>
          </w:tcPr>
          <w:p w14:paraId="3C629293"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67.1%</w:t>
            </w:r>
          </w:p>
        </w:tc>
        <w:tc>
          <w:tcPr>
            <w:tcW w:w="0" w:type="auto"/>
            <w:tcBorders>
              <w:top w:val="nil"/>
              <w:left w:val="nil"/>
              <w:bottom w:val="nil"/>
              <w:right w:val="nil"/>
            </w:tcBorders>
            <w:tcMar>
              <w:top w:w="100" w:type="nil"/>
              <w:right w:w="100" w:type="nil"/>
            </w:tcMar>
          </w:tcPr>
          <w:p w14:paraId="2C9DE89F"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27.1%</w:t>
            </w:r>
          </w:p>
        </w:tc>
        <w:tc>
          <w:tcPr>
            <w:tcW w:w="0" w:type="auto"/>
            <w:tcBorders>
              <w:top w:val="nil"/>
              <w:left w:val="nil"/>
              <w:bottom w:val="nil"/>
              <w:right w:val="nil"/>
            </w:tcBorders>
            <w:tcMar>
              <w:top w:w="100" w:type="nil"/>
              <w:right w:w="100" w:type="nil"/>
            </w:tcMar>
          </w:tcPr>
          <w:p w14:paraId="40F1DFB9"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5.8%</w:t>
            </w:r>
          </w:p>
        </w:tc>
      </w:tr>
      <w:tr w:rsidR="00470174" w:rsidRPr="001806D4" w14:paraId="0857F730" w14:textId="77777777" w:rsidTr="00CF2FAA">
        <w:tc>
          <w:tcPr>
            <w:tcW w:w="0" w:type="auto"/>
            <w:tcBorders>
              <w:top w:val="nil"/>
              <w:left w:val="nil"/>
              <w:bottom w:val="nil"/>
              <w:right w:val="nil"/>
            </w:tcBorders>
            <w:tcMar>
              <w:top w:w="100" w:type="nil"/>
              <w:right w:w="100" w:type="nil"/>
            </w:tcMar>
          </w:tcPr>
          <w:p w14:paraId="6DB64CB6"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lastRenderedPageBreak/>
              <w:t>True positive status</w:t>
            </w:r>
          </w:p>
        </w:tc>
        <w:tc>
          <w:tcPr>
            <w:tcW w:w="0" w:type="auto"/>
            <w:tcBorders>
              <w:top w:val="nil"/>
              <w:left w:val="nil"/>
              <w:bottom w:val="nil"/>
              <w:right w:val="nil"/>
            </w:tcBorders>
            <w:tcMar>
              <w:top w:w="100" w:type="nil"/>
              <w:right w:w="100" w:type="nil"/>
            </w:tcMar>
          </w:tcPr>
          <w:p w14:paraId="05A9DC67"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10.6%</w:t>
            </w:r>
          </w:p>
        </w:tc>
        <w:tc>
          <w:tcPr>
            <w:tcW w:w="0" w:type="auto"/>
            <w:tcBorders>
              <w:top w:val="nil"/>
              <w:left w:val="nil"/>
              <w:bottom w:val="nil"/>
              <w:right w:val="nil"/>
            </w:tcBorders>
            <w:tcMar>
              <w:top w:w="100" w:type="nil"/>
              <w:right w:w="100" w:type="nil"/>
            </w:tcMar>
          </w:tcPr>
          <w:p w14:paraId="60791FAD"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27.8%</w:t>
            </w:r>
          </w:p>
        </w:tc>
        <w:tc>
          <w:tcPr>
            <w:tcW w:w="0" w:type="auto"/>
            <w:tcBorders>
              <w:top w:val="nil"/>
              <w:left w:val="nil"/>
              <w:bottom w:val="nil"/>
              <w:right w:val="nil"/>
            </w:tcBorders>
            <w:tcMar>
              <w:top w:w="100" w:type="nil"/>
              <w:right w:w="100" w:type="nil"/>
            </w:tcMar>
          </w:tcPr>
          <w:p w14:paraId="21C11BE5"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61.6%</w:t>
            </w:r>
          </w:p>
        </w:tc>
      </w:tr>
      <w:tr w:rsidR="00470174" w:rsidRPr="001806D4" w14:paraId="6CAE5FF7" w14:textId="77777777" w:rsidTr="00CF2FAA">
        <w:tc>
          <w:tcPr>
            <w:tcW w:w="0" w:type="auto"/>
            <w:tcBorders>
              <w:top w:val="nil"/>
              <w:left w:val="nil"/>
              <w:bottom w:val="single" w:sz="6" w:space="0" w:color="auto"/>
              <w:right w:val="nil"/>
            </w:tcBorders>
            <w:tcMar>
              <w:top w:w="100" w:type="nil"/>
              <w:right w:w="100" w:type="nil"/>
            </w:tcMar>
          </w:tcPr>
          <w:p w14:paraId="31B29B7E"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Realized odds</w:t>
            </w:r>
          </w:p>
        </w:tc>
        <w:tc>
          <w:tcPr>
            <w:tcW w:w="0" w:type="auto"/>
            <w:tcBorders>
              <w:top w:val="nil"/>
              <w:left w:val="nil"/>
              <w:bottom w:val="single" w:sz="6" w:space="0" w:color="auto"/>
              <w:right w:val="nil"/>
            </w:tcBorders>
            <w:tcMar>
              <w:top w:w="100" w:type="nil"/>
              <w:right w:w="100" w:type="nil"/>
            </w:tcMar>
          </w:tcPr>
          <w:p w14:paraId="2C040D50"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5.7</w:t>
            </w:r>
          </w:p>
        </w:tc>
        <w:tc>
          <w:tcPr>
            <w:tcW w:w="0" w:type="auto"/>
            <w:tcBorders>
              <w:top w:val="nil"/>
              <w:left w:val="nil"/>
              <w:bottom w:val="single" w:sz="6" w:space="0" w:color="auto"/>
              <w:right w:val="nil"/>
            </w:tcBorders>
            <w:tcMar>
              <w:top w:w="100" w:type="nil"/>
              <w:right w:w="100" w:type="nil"/>
            </w:tcMar>
          </w:tcPr>
          <w:p w14:paraId="327F760D"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1.14</w:t>
            </w:r>
          </w:p>
        </w:tc>
        <w:tc>
          <w:tcPr>
            <w:tcW w:w="0" w:type="auto"/>
            <w:tcBorders>
              <w:top w:val="nil"/>
              <w:left w:val="nil"/>
              <w:bottom w:val="single" w:sz="6" w:space="0" w:color="auto"/>
              <w:right w:val="nil"/>
            </w:tcBorders>
            <w:tcMar>
              <w:top w:w="100" w:type="nil"/>
              <w:right w:w="100" w:type="nil"/>
            </w:tcMar>
          </w:tcPr>
          <w:p w14:paraId="5EE0AF35" w14:textId="77777777" w:rsidR="00470174" w:rsidRPr="001806D4" w:rsidRDefault="00470174" w:rsidP="00884BF4">
            <w:pPr>
              <w:autoSpaceDE w:val="0"/>
              <w:autoSpaceDN w:val="0"/>
              <w:adjustRightInd w:val="0"/>
              <w:spacing w:after="0" w:line="360" w:lineRule="auto"/>
              <w:rPr>
                <w:rFonts w:ascii="Arial" w:eastAsia="Times New Roman" w:hAnsi="Arial" w:cs="Arial"/>
                <w:sz w:val="20"/>
                <w:szCs w:val="20"/>
                <w:lang w:eastAsia="de-DE"/>
              </w:rPr>
            </w:pPr>
            <w:r w:rsidRPr="001806D4">
              <w:rPr>
                <w:rFonts w:ascii="Arial" w:eastAsia="Times New Roman" w:hAnsi="Arial" w:cs="Arial"/>
                <w:sz w:val="20"/>
                <w:szCs w:val="20"/>
                <w:lang w:eastAsia="de-DE"/>
              </w:rPr>
              <w:t>11.8</w:t>
            </w:r>
          </w:p>
        </w:tc>
      </w:tr>
    </w:tbl>
    <w:p w14:paraId="78A46D28" w14:textId="77777777" w:rsidR="00470174" w:rsidRPr="001806D4" w:rsidRDefault="00470174" w:rsidP="00884BF4">
      <w:pPr>
        <w:spacing w:after="0" w:line="360" w:lineRule="auto"/>
        <w:rPr>
          <w:rFonts w:ascii="Arial" w:eastAsia="Times New Roman" w:hAnsi="Arial" w:cs="Times New Roman"/>
          <w:sz w:val="24"/>
          <w:szCs w:val="20"/>
          <w:lang w:eastAsia="de-DE"/>
        </w:rPr>
      </w:pPr>
    </w:p>
    <w:p w14:paraId="56FC7D0F" w14:textId="77777777" w:rsidR="00470174" w:rsidRPr="001806D4" w:rsidRDefault="00470174" w:rsidP="00884BF4">
      <w:pPr>
        <w:spacing w:after="0" w:line="360" w:lineRule="auto"/>
        <w:ind w:firstLine="708"/>
        <w:rPr>
          <w:rFonts w:ascii="Arial" w:eastAsia="Times New Roman" w:hAnsi="Arial" w:cs="Times New Roman"/>
          <w:sz w:val="24"/>
          <w:szCs w:val="20"/>
          <w:lang w:eastAsia="de-DE"/>
        </w:rPr>
      </w:pPr>
      <w:r w:rsidRPr="001806D4">
        <w:rPr>
          <w:rFonts w:ascii="Arial" w:eastAsia="Times New Roman" w:hAnsi="Arial" w:cs="Times New Roman"/>
          <w:sz w:val="24"/>
          <w:szCs w:val="20"/>
          <w:lang w:eastAsia="de-DE"/>
        </w:rPr>
        <w:t>The scores 22 to 25 lead to odds (d</w:t>
      </w:r>
      <w:r w:rsidRPr="001806D4">
        <w:rPr>
          <w:rFonts w:ascii="Arial" w:eastAsia="Times New Roman" w:hAnsi="Arial" w:cs="Times New Roman"/>
          <w:sz w:val="24"/>
          <w:szCs w:val="20"/>
          <w:vertAlign w:val="subscript"/>
          <w:lang w:eastAsia="de-DE"/>
        </w:rPr>
        <w:t>1</w:t>
      </w:r>
      <w:r w:rsidRPr="001806D4">
        <w:rPr>
          <w:rFonts w:ascii="Arial" w:eastAsia="Times New Roman" w:hAnsi="Arial" w:cs="Times New Roman"/>
          <w:sz w:val="24"/>
          <w:szCs w:val="20"/>
          <w:lang w:eastAsia="de-DE"/>
        </w:rPr>
        <w:t>(x) / d</w:t>
      </w:r>
      <w:r w:rsidRPr="001806D4">
        <w:rPr>
          <w:rFonts w:ascii="Arial" w:eastAsia="Times New Roman" w:hAnsi="Arial" w:cs="Times New Roman"/>
          <w:sz w:val="24"/>
          <w:szCs w:val="20"/>
          <w:vertAlign w:val="subscript"/>
          <w:lang w:eastAsia="de-DE"/>
        </w:rPr>
        <w:t>0</w:t>
      </w:r>
      <w:r w:rsidRPr="001806D4">
        <w:rPr>
          <w:rFonts w:ascii="Arial" w:eastAsia="Times New Roman" w:hAnsi="Arial" w:cs="Times New Roman"/>
          <w:sz w:val="24"/>
          <w:szCs w:val="20"/>
          <w:lang w:eastAsia="de-DE"/>
        </w:rPr>
        <w:t>(x)) of 1.14 , indicating the difficulty of basing classifications on that range of scores. Although 27.5% of all test scores are found in that range, no less than 55.3% of all errors are in that range when applying the optimal cutoff score of 23. When using another, non-optimal dichotomous cutoff score, this percentage of errors will be even larger. For instance, when using cutoff score 25 (score 25 and less indicate CI),  60.6% of all errors are found in the range 22 to 25.</w:t>
      </w:r>
    </w:p>
    <w:p w14:paraId="2F568716" w14:textId="31F286BD" w:rsidR="00470174" w:rsidRPr="001806D4" w:rsidRDefault="00470174" w:rsidP="00884BF4">
      <w:pPr>
        <w:spacing w:after="0" w:line="360" w:lineRule="auto"/>
        <w:ind w:firstLine="708"/>
        <w:rPr>
          <w:rFonts w:ascii="Arial" w:eastAsia="Times New Roman" w:hAnsi="Arial" w:cs="Times New Roman"/>
          <w:sz w:val="24"/>
          <w:szCs w:val="20"/>
          <w:lang w:eastAsia="de-DE"/>
        </w:rPr>
      </w:pPr>
      <w:r w:rsidRPr="001806D4">
        <w:rPr>
          <w:rFonts w:ascii="Arial" w:eastAsia="Times New Roman" w:hAnsi="Arial" w:cs="Times New Roman"/>
          <w:sz w:val="24"/>
          <w:szCs w:val="20"/>
          <w:lang w:eastAsia="de-DE"/>
        </w:rPr>
        <w:t>Positive classifications based on scores 0 to 21 are far less error-prone, with realized odds of 11.8 (d</w:t>
      </w:r>
      <w:r w:rsidRPr="001806D4">
        <w:rPr>
          <w:rFonts w:ascii="Arial" w:eastAsia="Times New Roman" w:hAnsi="Arial" w:cs="Times New Roman"/>
          <w:sz w:val="24"/>
          <w:szCs w:val="20"/>
          <w:vertAlign w:val="subscript"/>
          <w:lang w:eastAsia="de-DE"/>
        </w:rPr>
        <w:t>1</w:t>
      </w:r>
      <w:r w:rsidRPr="001806D4">
        <w:rPr>
          <w:rFonts w:ascii="Arial" w:eastAsia="Times New Roman" w:hAnsi="Arial" w:cs="Times New Roman"/>
          <w:sz w:val="24"/>
          <w:szCs w:val="20"/>
          <w:lang w:eastAsia="de-DE"/>
        </w:rPr>
        <w:t>(x) / d</w:t>
      </w:r>
      <w:r w:rsidRPr="001806D4">
        <w:rPr>
          <w:rFonts w:ascii="Arial" w:eastAsia="Times New Roman" w:hAnsi="Arial" w:cs="Times New Roman"/>
          <w:sz w:val="24"/>
          <w:szCs w:val="20"/>
          <w:vertAlign w:val="subscript"/>
          <w:lang w:eastAsia="de-DE"/>
        </w:rPr>
        <w:t>0</w:t>
      </w:r>
      <w:r w:rsidRPr="001806D4">
        <w:rPr>
          <w:rFonts w:ascii="Arial" w:eastAsia="Times New Roman" w:hAnsi="Arial" w:cs="Times New Roman"/>
          <w:sz w:val="24"/>
          <w:szCs w:val="20"/>
          <w:lang w:eastAsia="de-DE"/>
        </w:rPr>
        <w:t>(x)). Making correct negative classifications based on the MoCA scores 26 to 30 is slightly more difficult (odds = d</w:t>
      </w:r>
      <w:r w:rsidRPr="001806D4">
        <w:rPr>
          <w:rFonts w:ascii="Arial" w:eastAsia="Times New Roman" w:hAnsi="Arial" w:cs="Times New Roman"/>
          <w:sz w:val="24"/>
          <w:szCs w:val="20"/>
          <w:vertAlign w:val="subscript"/>
          <w:lang w:eastAsia="de-DE"/>
        </w:rPr>
        <w:t>0</w:t>
      </w:r>
      <w:r w:rsidRPr="001806D4">
        <w:rPr>
          <w:rFonts w:ascii="Arial" w:eastAsia="Times New Roman" w:hAnsi="Arial" w:cs="Times New Roman"/>
          <w:sz w:val="24"/>
          <w:szCs w:val="20"/>
          <w:lang w:eastAsia="de-DE"/>
        </w:rPr>
        <w:t>(x) / d</w:t>
      </w:r>
      <w:r w:rsidRPr="001806D4">
        <w:rPr>
          <w:rFonts w:ascii="Arial" w:eastAsia="Times New Roman" w:hAnsi="Arial" w:cs="Times New Roman"/>
          <w:sz w:val="24"/>
          <w:szCs w:val="20"/>
          <w:vertAlign w:val="subscript"/>
          <w:lang w:eastAsia="de-DE"/>
        </w:rPr>
        <w:t>1</w:t>
      </w:r>
      <w:r w:rsidRPr="001806D4">
        <w:rPr>
          <w:rFonts w:ascii="Arial" w:eastAsia="Times New Roman" w:hAnsi="Arial" w:cs="Times New Roman"/>
          <w:sz w:val="24"/>
          <w:szCs w:val="20"/>
          <w:lang w:eastAsia="de-DE"/>
        </w:rPr>
        <w:t>(x) = 5.7) with an 85% rate of correct classifications</w:t>
      </w:r>
      <w:r w:rsidR="00330A75" w:rsidRPr="001806D4">
        <w:rPr>
          <w:rFonts w:ascii="Arial" w:eastAsia="Times New Roman" w:hAnsi="Arial" w:cs="Times New Roman"/>
          <w:sz w:val="24"/>
          <w:szCs w:val="20"/>
          <w:lang w:eastAsia="de-DE"/>
        </w:rPr>
        <w:t>.</w:t>
      </w:r>
      <w:r w:rsidRPr="001806D4">
        <w:rPr>
          <w:rFonts w:ascii="Arial" w:eastAsia="Times New Roman" w:hAnsi="Arial" w:cs="Times New Roman"/>
          <w:sz w:val="24"/>
          <w:szCs w:val="20"/>
          <w:lang w:eastAsia="de-DE"/>
        </w:rPr>
        <w:t xml:space="preserve"> Since the same range of scores is used for negative classifications, as proposed by </w:t>
      </w:r>
      <w:proofErr w:type="spellStart"/>
      <w:r w:rsidRPr="001806D4">
        <w:rPr>
          <w:rFonts w:ascii="Arial" w:eastAsia="Times New Roman" w:hAnsi="Arial" w:cs="Times New Roman"/>
          <w:sz w:val="24"/>
          <w:szCs w:val="20"/>
          <w:lang w:eastAsia="de-DE"/>
        </w:rPr>
        <w:t>Nasreddin</w:t>
      </w:r>
      <w:r w:rsidR="000111EC" w:rsidRPr="001806D4">
        <w:rPr>
          <w:rFonts w:ascii="Arial" w:eastAsia="Times New Roman" w:hAnsi="Arial" w:cs="Times New Roman"/>
          <w:sz w:val="24"/>
          <w:szCs w:val="20"/>
          <w:lang w:eastAsia="de-DE"/>
        </w:rPr>
        <w:t>e</w:t>
      </w:r>
      <w:proofErr w:type="spellEnd"/>
      <w:r w:rsidRPr="001806D4">
        <w:rPr>
          <w:rFonts w:ascii="Arial" w:eastAsia="Times New Roman" w:hAnsi="Arial" w:cs="Times New Roman"/>
          <w:sz w:val="24"/>
          <w:szCs w:val="20"/>
          <w:lang w:eastAsia="de-DE"/>
        </w:rPr>
        <w:t xml:space="preserve"> et al. </w:t>
      </w:r>
      <w:r w:rsidRPr="001806D4">
        <w:rPr>
          <w:rFonts w:ascii="Arial" w:eastAsia="Times New Roman" w:hAnsi="Arial" w:cs="Times New Roman"/>
          <w:sz w:val="24"/>
          <w:szCs w:val="20"/>
          <w:lang w:eastAsia="de-DE"/>
        </w:rPr>
        <w:fldChar w:fldCharType="begin"/>
      </w:r>
      <w:r w:rsidR="007D76D6" w:rsidRPr="001806D4">
        <w:rPr>
          <w:rFonts w:ascii="Arial" w:eastAsia="Times New Roman" w:hAnsi="Arial" w:cs="Times New Roman"/>
          <w:sz w:val="24"/>
          <w:szCs w:val="20"/>
          <w:lang w:eastAsia="de-DE"/>
        </w:rPr>
        <w:instrText xml:space="preserve"> ADDIN ZOTERO_ITEM CSL_CITATION {"citationID":"U8v18Iyr","properties":{"formattedCitation":"\\super 1\\nosupersub{}","plainCitation":"1","noteIndex":0},"citationItems":[{"id":1212,"uris":["http://zotero.org/users/841920/items/W2KD4JEV"],"uri":["http://zotero.org/users/841920/items/W2KD4JEV"],"itemData":{"id":1212,"type":"article-journal","title":"The Montreal Cognitive Assessment, MoCA: a brief screening tool for mild cognitive impairment","container-title":"Journal of the American Geriatrics Society","page":"695–699","volume":"53","issue":"4","source":"Google Scholar","title-short":"The Montreal Cognitive Assessment, MoCA","author":[{"family":"Nasreddine","given":"Ziad S."},{"family":"Phillips","given":"Natalie A."},{"family":"Bédirian","given":"Valérie"},{"family":"Charbonneau","given":"Simon"},{"family":"Whitehead","given":"Victor"},{"family":"Collin","given":"Isabelle"},{"family":"Cummings","given":"Jeffrey L."},{"family":"Chertkow","given":"Howard"}],"issued":{"date-parts":[["2005"]]}},"suppress-author":true}],"schema":"https://github.com/citation-style-language/schema/raw/master/csl-citation.json"} </w:instrText>
      </w:r>
      <w:r w:rsidRPr="001806D4">
        <w:rPr>
          <w:rFonts w:ascii="Arial" w:eastAsia="Times New Roman" w:hAnsi="Arial" w:cs="Times New Roman"/>
          <w:sz w:val="24"/>
          <w:szCs w:val="20"/>
          <w:lang w:eastAsia="de-DE"/>
        </w:rPr>
        <w:fldChar w:fldCharType="separate"/>
      </w:r>
      <w:r w:rsidR="007D76D6" w:rsidRPr="001806D4">
        <w:rPr>
          <w:rFonts w:ascii="Arial" w:hAnsi="Arial" w:cs="Arial"/>
          <w:sz w:val="24"/>
          <w:szCs w:val="24"/>
          <w:vertAlign w:val="superscript"/>
        </w:rPr>
        <w:t>1</w:t>
      </w:r>
      <w:r w:rsidRPr="001806D4">
        <w:rPr>
          <w:rFonts w:ascii="Arial" w:eastAsia="Times New Roman" w:hAnsi="Arial" w:cs="Times New Roman"/>
          <w:sz w:val="24"/>
          <w:szCs w:val="20"/>
          <w:lang w:eastAsia="de-DE"/>
        </w:rPr>
        <w:fldChar w:fldCharType="end"/>
      </w:r>
      <w:r w:rsidRPr="001806D4">
        <w:rPr>
          <w:rFonts w:ascii="Arial" w:eastAsia="Times New Roman" w:hAnsi="Arial" w:cs="Times New Roman"/>
          <w:sz w:val="24"/>
          <w:szCs w:val="20"/>
          <w:lang w:eastAsia="de-DE"/>
        </w:rPr>
        <w:t xml:space="preserve"> (test result &gt; 25 indicate CI), </w:t>
      </w:r>
      <w:r w:rsidR="00330A75" w:rsidRPr="001806D4">
        <w:rPr>
          <w:rFonts w:ascii="Arial" w:eastAsia="Times New Roman" w:hAnsi="Arial" w:cs="Times New Roman"/>
          <w:sz w:val="24"/>
          <w:szCs w:val="20"/>
          <w:lang w:eastAsia="de-DE"/>
        </w:rPr>
        <w:t xml:space="preserve">the </w:t>
      </w:r>
      <w:r w:rsidRPr="001806D4">
        <w:rPr>
          <w:rFonts w:ascii="Arial" w:eastAsia="Times New Roman" w:hAnsi="Arial" w:cs="Times New Roman"/>
          <w:sz w:val="24"/>
          <w:szCs w:val="20"/>
          <w:lang w:eastAsia="de-DE"/>
        </w:rPr>
        <w:t>accuracy results are equal: Sp (.671) and NPV (.85) are equal. In comparison to the dichotomous cutoff score of 25, the rate of positive classifications when the true status is positive (Se = .616) is lower. The reason for this is that for the calculation uncertain scores are considered as unambiguous errors. However, considering uncertain test scores as errors is hardly realistic.</w:t>
      </w:r>
      <w:bookmarkEnd w:id="0"/>
      <w:r w:rsidRPr="001806D4">
        <w:rPr>
          <w:rFonts w:ascii="Arial" w:eastAsia="Times New Roman" w:hAnsi="Arial" w:cs="Times New Roman"/>
          <w:sz w:val="24"/>
          <w:szCs w:val="20"/>
          <w:lang w:eastAsia="de-DE"/>
        </w:rPr>
        <w:t xml:space="preserve"> </w:t>
      </w:r>
    </w:p>
    <w:p w14:paraId="25891A48" w14:textId="77777777" w:rsidR="00470174" w:rsidRPr="001806D4" w:rsidRDefault="00470174" w:rsidP="00884BF4">
      <w:pPr>
        <w:spacing w:line="360" w:lineRule="auto"/>
        <w:ind w:firstLine="708"/>
        <w:rPr>
          <w:rFonts w:ascii="Arial" w:hAnsi="Arial" w:cs="Arial"/>
        </w:rPr>
      </w:pPr>
    </w:p>
    <w:p w14:paraId="17C1F3FB" w14:textId="77777777" w:rsidR="00EE75BF" w:rsidRPr="001806D4" w:rsidRDefault="00EE75BF" w:rsidP="00884BF4">
      <w:pPr>
        <w:spacing w:line="360" w:lineRule="auto"/>
        <w:rPr>
          <w:rFonts w:ascii="Arial" w:hAnsi="Arial" w:cs="Arial"/>
        </w:rPr>
      </w:pPr>
    </w:p>
    <w:p w14:paraId="06B9A407" w14:textId="77777777" w:rsidR="00BF30DB" w:rsidRPr="001806D4" w:rsidRDefault="00671CA6" w:rsidP="00884BF4">
      <w:pPr>
        <w:spacing w:line="360" w:lineRule="auto"/>
        <w:rPr>
          <w:rFonts w:ascii="Arial" w:hAnsi="Arial" w:cs="Arial"/>
          <w:b/>
        </w:rPr>
      </w:pPr>
      <w:r w:rsidRPr="001806D4">
        <w:rPr>
          <w:rFonts w:ascii="Arial" w:hAnsi="Arial" w:cs="Arial"/>
          <w:b/>
        </w:rPr>
        <w:t>References</w:t>
      </w:r>
    </w:p>
    <w:p w14:paraId="012186C9" w14:textId="77777777" w:rsidR="008459A7" w:rsidRPr="001806D4" w:rsidRDefault="00671CA6" w:rsidP="008459A7">
      <w:pPr>
        <w:pStyle w:val="Bibliography"/>
        <w:rPr>
          <w:rFonts w:ascii="Arial" w:hAnsi="Arial" w:cs="Arial"/>
        </w:rPr>
      </w:pPr>
      <w:r w:rsidRPr="001806D4">
        <w:rPr>
          <w:rFonts w:ascii="Arial" w:hAnsi="Arial" w:cs="Arial"/>
        </w:rPr>
        <w:fldChar w:fldCharType="begin"/>
      </w:r>
      <w:r w:rsidR="008459A7" w:rsidRPr="001806D4">
        <w:rPr>
          <w:rFonts w:ascii="Arial" w:hAnsi="Arial" w:cs="Arial"/>
        </w:rPr>
        <w:instrText xml:space="preserve"> ADDIN ZOTERO_BIBL {"uncited":[],"omitted":[],"custom":[]} CSL_BIBLIOGRAPHY </w:instrText>
      </w:r>
      <w:r w:rsidRPr="001806D4">
        <w:rPr>
          <w:rFonts w:ascii="Arial" w:hAnsi="Arial" w:cs="Arial"/>
        </w:rPr>
        <w:fldChar w:fldCharType="separate"/>
      </w:r>
      <w:r w:rsidR="008459A7" w:rsidRPr="001806D4">
        <w:rPr>
          <w:rFonts w:ascii="Arial" w:hAnsi="Arial" w:cs="Arial"/>
        </w:rPr>
        <w:t xml:space="preserve">1. </w:t>
      </w:r>
      <w:r w:rsidR="008459A7" w:rsidRPr="001806D4">
        <w:rPr>
          <w:rFonts w:ascii="Arial" w:hAnsi="Arial" w:cs="Arial"/>
        </w:rPr>
        <w:tab/>
        <w:t xml:space="preserve">Nasreddine ZS, Phillips NA, Bédirian V, et al. The Montreal Cognitive Assessment, MoCA: a brief screening tool for mild cognitive impairment. </w:t>
      </w:r>
      <w:r w:rsidR="008459A7" w:rsidRPr="001806D4">
        <w:rPr>
          <w:rFonts w:ascii="Arial" w:hAnsi="Arial" w:cs="Arial"/>
          <w:i/>
          <w:iCs/>
        </w:rPr>
        <w:t>J Am Geriatr Soc</w:t>
      </w:r>
      <w:r w:rsidR="008459A7" w:rsidRPr="001806D4">
        <w:rPr>
          <w:rFonts w:ascii="Arial" w:hAnsi="Arial" w:cs="Arial"/>
        </w:rPr>
        <w:t>. 2005;53(4):695–699.</w:t>
      </w:r>
    </w:p>
    <w:p w14:paraId="7E3C8031" w14:textId="77777777" w:rsidR="008459A7" w:rsidRPr="001806D4" w:rsidRDefault="008459A7" w:rsidP="008459A7">
      <w:pPr>
        <w:pStyle w:val="Bibliography"/>
        <w:rPr>
          <w:rFonts w:ascii="Arial" w:hAnsi="Arial" w:cs="Arial"/>
        </w:rPr>
      </w:pPr>
      <w:r w:rsidRPr="001806D4">
        <w:rPr>
          <w:rFonts w:ascii="Arial" w:hAnsi="Arial" w:cs="Arial"/>
        </w:rPr>
        <w:t xml:space="preserve">2. </w:t>
      </w:r>
      <w:r w:rsidRPr="001806D4">
        <w:rPr>
          <w:rFonts w:ascii="Arial" w:hAnsi="Arial" w:cs="Arial"/>
        </w:rPr>
        <w:tab/>
        <w:t xml:space="preserve">Coste J, Jourdain P, Pouchot J. A gray zone assigned to inconclusive results of quantitative diagnostic tests: application to the use of brain natriuretic peptide for diagnosis of heart failure in acute dyspneic patients. </w:t>
      </w:r>
      <w:r w:rsidRPr="001806D4">
        <w:rPr>
          <w:rFonts w:ascii="Arial" w:hAnsi="Arial" w:cs="Arial"/>
          <w:i/>
          <w:iCs/>
        </w:rPr>
        <w:t>Clin Chem</w:t>
      </w:r>
      <w:r w:rsidRPr="001806D4">
        <w:rPr>
          <w:rFonts w:ascii="Arial" w:hAnsi="Arial" w:cs="Arial"/>
        </w:rPr>
        <w:t>. 2006;52(12):2229–2235.</w:t>
      </w:r>
    </w:p>
    <w:p w14:paraId="720EDA53" w14:textId="77777777" w:rsidR="008459A7" w:rsidRPr="001806D4" w:rsidRDefault="008459A7" w:rsidP="008459A7">
      <w:pPr>
        <w:pStyle w:val="Bibliography"/>
        <w:rPr>
          <w:rFonts w:ascii="Arial" w:hAnsi="Arial" w:cs="Arial"/>
        </w:rPr>
      </w:pPr>
      <w:r w:rsidRPr="001806D4">
        <w:rPr>
          <w:rFonts w:ascii="Arial" w:hAnsi="Arial" w:cs="Arial"/>
        </w:rPr>
        <w:t xml:space="preserve">3. </w:t>
      </w:r>
      <w:r w:rsidRPr="001806D4">
        <w:rPr>
          <w:rFonts w:ascii="Arial" w:hAnsi="Arial" w:cs="Arial"/>
        </w:rPr>
        <w:tab/>
        <w:t xml:space="preserve">Coste J, Pouchot J. A grey zone for quantitative diagnostic and screening tests. </w:t>
      </w:r>
      <w:r w:rsidRPr="001806D4">
        <w:rPr>
          <w:rFonts w:ascii="Arial" w:hAnsi="Arial" w:cs="Arial"/>
          <w:i/>
          <w:iCs/>
        </w:rPr>
        <w:t>Int J Epidemiol</w:t>
      </w:r>
      <w:r w:rsidRPr="001806D4">
        <w:rPr>
          <w:rFonts w:ascii="Arial" w:hAnsi="Arial" w:cs="Arial"/>
        </w:rPr>
        <w:t>. 2003;32(2):304–313.</w:t>
      </w:r>
    </w:p>
    <w:p w14:paraId="3EDA9791" w14:textId="77777777" w:rsidR="008459A7" w:rsidRPr="001806D4" w:rsidRDefault="008459A7" w:rsidP="008459A7">
      <w:pPr>
        <w:pStyle w:val="Bibliography"/>
        <w:rPr>
          <w:rFonts w:ascii="Arial" w:hAnsi="Arial" w:cs="Arial"/>
        </w:rPr>
      </w:pPr>
      <w:r w:rsidRPr="001806D4">
        <w:rPr>
          <w:rFonts w:ascii="Arial" w:hAnsi="Arial" w:cs="Arial"/>
        </w:rPr>
        <w:t xml:space="preserve">4. </w:t>
      </w:r>
      <w:r w:rsidRPr="001806D4">
        <w:rPr>
          <w:rFonts w:ascii="Arial" w:hAnsi="Arial" w:cs="Arial"/>
        </w:rPr>
        <w:tab/>
        <w:t xml:space="preserve">Feinstein AR. The inadequacy of binary models for the clinical reality of three-zone diagnostic decisions. </w:t>
      </w:r>
      <w:r w:rsidRPr="001806D4">
        <w:rPr>
          <w:rFonts w:ascii="Arial" w:hAnsi="Arial" w:cs="Arial"/>
          <w:i/>
          <w:iCs/>
        </w:rPr>
        <w:t>J Clin Epidemiol</w:t>
      </w:r>
      <w:r w:rsidRPr="001806D4">
        <w:rPr>
          <w:rFonts w:ascii="Arial" w:hAnsi="Arial" w:cs="Arial"/>
        </w:rPr>
        <w:t>. 1990;43(1):109.</w:t>
      </w:r>
    </w:p>
    <w:p w14:paraId="62F5616D" w14:textId="77777777" w:rsidR="008459A7" w:rsidRPr="001806D4" w:rsidRDefault="008459A7" w:rsidP="008459A7">
      <w:pPr>
        <w:pStyle w:val="Bibliography"/>
        <w:rPr>
          <w:rFonts w:ascii="Arial" w:hAnsi="Arial" w:cs="Arial"/>
        </w:rPr>
      </w:pPr>
      <w:r w:rsidRPr="001806D4">
        <w:rPr>
          <w:rFonts w:ascii="Arial" w:hAnsi="Arial" w:cs="Arial"/>
        </w:rPr>
        <w:lastRenderedPageBreak/>
        <w:t xml:space="preserve">5. </w:t>
      </w:r>
      <w:r w:rsidRPr="001806D4">
        <w:rPr>
          <w:rFonts w:ascii="Arial" w:hAnsi="Arial" w:cs="Arial"/>
        </w:rPr>
        <w:tab/>
        <w:t xml:space="preserve">Greiner M, Sohr D, Göbel P. A modified ROC analysis for the selection of cut-off values and the definition of intermediate results of serodiagnostic tests. </w:t>
      </w:r>
      <w:r w:rsidRPr="001806D4">
        <w:rPr>
          <w:rFonts w:ascii="Arial" w:hAnsi="Arial" w:cs="Arial"/>
          <w:i/>
          <w:iCs/>
        </w:rPr>
        <w:t>J Immunol Methods</w:t>
      </w:r>
      <w:r w:rsidRPr="001806D4">
        <w:rPr>
          <w:rFonts w:ascii="Arial" w:hAnsi="Arial" w:cs="Arial"/>
        </w:rPr>
        <w:t>. 1995;185(1):123–132.</w:t>
      </w:r>
    </w:p>
    <w:p w14:paraId="7AA784EF" w14:textId="77777777" w:rsidR="008459A7" w:rsidRPr="001806D4" w:rsidRDefault="008459A7" w:rsidP="008459A7">
      <w:pPr>
        <w:pStyle w:val="Bibliography"/>
        <w:rPr>
          <w:rFonts w:ascii="Arial" w:hAnsi="Arial" w:cs="Arial"/>
        </w:rPr>
      </w:pPr>
      <w:r w:rsidRPr="001806D4">
        <w:rPr>
          <w:rFonts w:ascii="Arial" w:hAnsi="Arial" w:cs="Arial"/>
        </w:rPr>
        <w:t xml:space="preserve">6. </w:t>
      </w:r>
      <w:r w:rsidRPr="001806D4">
        <w:rPr>
          <w:rFonts w:ascii="Arial" w:hAnsi="Arial" w:cs="Arial"/>
        </w:rPr>
        <w:tab/>
        <w:t xml:space="preserve">Simel DL, Feussner JR, Delong ER, Matchar DB. Intermediate, indeterminate, and uninterpretable diagnostic test results. </w:t>
      </w:r>
      <w:r w:rsidRPr="001806D4">
        <w:rPr>
          <w:rFonts w:ascii="Arial" w:hAnsi="Arial" w:cs="Arial"/>
          <w:i/>
          <w:iCs/>
        </w:rPr>
        <w:t>Med Decis Making</w:t>
      </w:r>
      <w:r w:rsidRPr="001806D4">
        <w:rPr>
          <w:rFonts w:ascii="Arial" w:hAnsi="Arial" w:cs="Arial"/>
        </w:rPr>
        <w:t>. 1987;7(2):107–114.</w:t>
      </w:r>
    </w:p>
    <w:p w14:paraId="07A3CC13" w14:textId="77777777" w:rsidR="008459A7" w:rsidRPr="001806D4" w:rsidRDefault="008459A7" w:rsidP="008459A7">
      <w:pPr>
        <w:pStyle w:val="Bibliography"/>
        <w:rPr>
          <w:rFonts w:ascii="Arial" w:hAnsi="Arial" w:cs="Arial"/>
        </w:rPr>
      </w:pPr>
      <w:r w:rsidRPr="001806D4">
        <w:rPr>
          <w:rFonts w:ascii="Arial" w:hAnsi="Arial" w:cs="Arial"/>
        </w:rPr>
        <w:t xml:space="preserve">7. </w:t>
      </w:r>
      <w:r w:rsidRPr="001806D4">
        <w:rPr>
          <w:rFonts w:ascii="Arial" w:hAnsi="Arial" w:cs="Arial"/>
        </w:rPr>
        <w:tab/>
        <w:t xml:space="preserve">Landsheer JA. Interval of Uncertainty: An Alternative Approach for the Determination of Decision Thresholds, with an Illustrative Application for the Prediction of Prostate Cancer. </w:t>
      </w:r>
      <w:r w:rsidRPr="001806D4">
        <w:rPr>
          <w:rFonts w:ascii="Arial" w:hAnsi="Arial" w:cs="Arial"/>
          <w:i/>
          <w:iCs/>
        </w:rPr>
        <w:t>PloS One</w:t>
      </w:r>
      <w:r w:rsidRPr="001806D4">
        <w:rPr>
          <w:rFonts w:ascii="Arial" w:hAnsi="Arial" w:cs="Arial"/>
        </w:rPr>
        <w:t>. 2016;11(11):e0166007.</w:t>
      </w:r>
    </w:p>
    <w:p w14:paraId="31D8A322" w14:textId="77777777" w:rsidR="008459A7" w:rsidRPr="001806D4" w:rsidRDefault="008459A7" w:rsidP="008459A7">
      <w:pPr>
        <w:pStyle w:val="Bibliography"/>
        <w:rPr>
          <w:rFonts w:ascii="Arial" w:hAnsi="Arial" w:cs="Arial"/>
        </w:rPr>
      </w:pPr>
      <w:r w:rsidRPr="001806D4">
        <w:rPr>
          <w:rFonts w:ascii="Arial" w:hAnsi="Arial" w:cs="Arial"/>
        </w:rPr>
        <w:t xml:space="preserve">8. </w:t>
      </w:r>
      <w:r w:rsidRPr="001806D4">
        <w:rPr>
          <w:rFonts w:ascii="Arial" w:hAnsi="Arial" w:cs="Arial"/>
        </w:rPr>
        <w:tab/>
        <w:t xml:space="preserve">Landsheer JA. The Clinical Relevance of Methods for Handling Inconclusive Medical Test Results: Quantification of Uncertainty in Medical Decision-Making and Screening. </w:t>
      </w:r>
      <w:r w:rsidRPr="001806D4">
        <w:rPr>
          <w:rFonts w:ascii="Arial" w:hAnsi="Arial" w:cs="Arial"/>
          <w:i/>
          <w:iCs/>
        </w:rPr>
        <w:t>Diagnostics</w:t>
      </w:r>
      <w:r w:rsidRPr="001806D4">
        <w:rPr>
          <w:rFonts w:ascii="Arial" w:hAnsi="Arial" w:cs="Arial"/>
        </w:rPr>
        <w:t>. 2018;8(2):32. doi:10.3390/diagnostics8020032</w:t>
      </w:r>
    </w:p>
    <w:p w14:paraId="5EF72BF6" w14:textId="77777777" w:rsidR="008459A7" w:rsidRPr="001806D4" w:rsidRDefault="008459A7" w:rsidP="008459A7">
      <w:pPr>
        <w:pStyle w:val="Bibliography"/>
        <w:rPr>
          <w:rFonts w:ascii="Arial" w:hAnsi="Arial" w:cs="Arial"/>
        </w:rPr>
      </w:pPr>
      <w:r w:rsidRPr="001806D4">
        <w:rPr>
          <w:rFonts w:ascii="Arial" w:hAnsi="Arial" w:cs="Arial"/>
        </w:rPr>
        <w:t xml:space="preserve">9. </w:t>
      </w:r>
      <w:r w:rsidRPr="001806D4">
        <w:rPr>
          <w:rFonts w:ascii="Arial" w:hAnsi="Arial" w:cs="Arial"/>
        </w:rPr>
        <w:tab/>
        <w:t xml:space="preserve">Schuetz GM, Schlattmann P, Dewey M. Use of 3x2 tables with an intention to diagnose approach to assess clinical performance of diagnostic tests: meta-analytical evaluation of coronary CT angiography studies. </w:t>
      </w:r>
      <w:r w:rsidRPr="001806D4">
        <w:rPr>
          <w:rFonts w:ascii="Arial" w:hAnsi="Arial" w:cs="Arial"/>
          <w:i/>
          <w:iCs/>
        </w:rPr>
        <w:t>Bmj</w:t>
      </w:r>
      <w:r w:rsidRPr="001806D4">
        <w:rPr>
          <w:rFonts w:ascii="Arial" w:hAnsi="Arial" w:cs="Arial"/>
        </w:rPr>
        <w:t>. 2012;345(e6717):1:10.</w:t>
      </w:r>
    </w:p>
    <w:p w14:paraId="4B5E69B0" w14:textId="77777777" w:rsidR="008459A7" w:rsidRPr="001806D4" w:rsidRDefault="008459A7" w:rsidP="008459A7">
      <w:pPr>
        <w:pStyle w:val="Bibliography"/>
        <w:rPr>
          <w:rFonts w:ascii="Arial" w:hAnsi="Arial" w:cs="Arial"/>
        </w:rPr>
      </w:pPr>
      <w:r w:rsidRPr="001806D4">
        <w:rPr>
          <w:rFonts w:ascii="Arial" w:hAnsi="Arial" w:cs="Arial"/>
        </w:rPr>
        <w:t xml:space="preserve">10. </w:t>
      </w:r>
      <w:r w:rsidRPr="001806D4">
        <w:rPr>
          <w:rFonts w:ascii="Arial" w:hAnsi="Arial" w:cs="Arial"/>
        </w:rPr>
        <w:tab/>
        <w:t xml:space="preserve">Shinkins B, Perera R. Diagnostic uncertainty: dichotomies are not the answer. </w:t>
      </w:r>
      <w:r w:rsidRPr="001806D4">
        <w:rPr>
          <w:rFonts w:ascii="Arial" w:hAnsi="Arial" w:cs="Arial"/>
          <w:i/>
          <w:iCs/>
        </w:rPr>
        <w:t>Br J Gen Pr</w:t>
      </w:r>
      <w:r w:rsidRPr="001806D4">
        <w:rPr>
          <w:rFonts w:ascii="Arial" w:hAnsi="Arial" w:cs="Arial"/>
        </w:rPr>
        <w:t>. 2013;63(608):122–123.</w:t>
      </w:r>
    </w:p>
    <w:p w14:paraId="00095F4E" w14:textId="77777777" w:rsidR="008459A7" w:rsidRPr="001806D4" w:rsidRDefault="008459A7" w:rsidP="008459A7">
      <w:pPr>
        <w:pStyle w:val="Bibliography"/>
        <w:rPr>
          <w:rFonts w:ascii="Arial" w:hAnsi="Arial" w:cs="Arial"/>
        </w:rPr>
      </w:pPr>
      <w:r w:rsidRPr="001806D4">
        <w:rPr>
          <w:rFonts w:ascii="Arial" w:hAnsi="Arial" w:cs="Arial"/>
        </w:rPr>
        <w:t xml:space="preserve">11. </w:t>
      </w:r>
      <w:r w:rsidRPr="001806D4">
        <w:rPr>
          <w:rFonts w:ascii="Arial" w:hAnsi="Arial" w:cs="Arial"/>
        </w:rPr>
        <w:tab/>
        <w:t xml:space="preserve">Schisterman EF, Perkins NJ, Liu A, Bondell H. Optimal cut-point and its corresponding Youden Index to discriminate individuals using pooled blood samples. </w:t>
      </w:r>
      <w:r w:rsidRPr="001806D4">
        <w:rPr>
          <w:rFonts w:ascii="Arial" w:hAnsi="Arial" w:cs="Arial"/>
          <w:i/>
          <w:iCs/>
        </w:rPr>
        <w:t>Epidemiology</w:t>
      </w:r>
      <w:r w:rsidRPr="001806D4">
        <w:rPr>
          <w:rFonts w:ascii="Arial" w:hAnsi="Arial" w:cs="Arial"/>
        </w:rPr>
        <w:t>. 2005:73–81.</w:t>
      </w:r>
    </w:p>
    <w:p w14:paraId="0299E910" w14:textId="77777777" w:rsidR="008459A7" w:rsidRPr="001806D4" w:rsidRDefault="008459A7" w:rsidP="008459A7">
      <w:pPr>
        <w:pStyle w:val="Bibliography"/>
        <w:rPr>
          <w:rFonts w:ascii="Arial" w:hAnsi="Arial" w:cs="Arial"/>
        </w:rPr>
      </w:pPr>
      <w:r w:rsidRPr="001806D4">
        <w:rPr>
          <w:rFonts w:ascii="Arial" w:hAnsi="Arial" w:cs="Arial"/>
        </w:rPr>
        <w:t xml:space="preserve">12. </w:t>
      </w:r>
      <w:r w:rsidRPr="001806D4">
        <w:rPr>
          <w:rFonts w:ascii="Arial" w:hAnsi="Arial" w:cs="Arial"/>
        </w:rPr>
        <w:tab/>
        <w:t xml:space="preserve">Gallagher EJ. The problem with sensitivity and specificity…. </w:t>
      </w:r>
      <w:r w:rsidRPr="001806D4">
        <w:rPr>
          <w:rFonts w:ascii="Arial" w:hAnsi="Arial" w:cs="Arial"/>
          <w:i/>
          <w:iCs/>
        </w:rPr>
        <w:t>Ann Emerg Med</w:t>
      </w:r>
      <w:r w:rsidRPr="001806D4">
        <w:rPr>
          <w:rFonts w:ascii="Arial" w:hAnsi="Arial" w:cs="Arial"/>
        </w:rPr>
        <w:t>. 2003;42(2):298–303.</w:t>
      </w:r>
    </w:p>
    <w:p w14:paraId="658EC75B" w14:textId="77777777" w:rsidR="008459A7" w:rsidRPr="001806D4" w:rsidRDefault="008459A7" w:rsidP="008459A7">
      <w:pPr>
        <w:pStyle w:val="Bibliography"/>
        <w:rPr>
          <w:rFonts w:ascii="Arial" w:hAnsi="Arial" w:cs="Arial"/>
        </w:rPr>
      </w:pPr>
      <w:r w:rsidRPr="001806D4">
        <w:rPr>
          <w:rFonts w:ascii="Arial" w:hAnsi="Arial" w:cs="Arial"/>
        </w:rPr>
        <w:t xml:space="preserve">13. </w:t>
      </w:r>
      <w:r w:rsidRPr="001806D4">
        <w:rPr>
          <w:rFonts w:ascii="Arial" w:hAnsi="Arial" w:cs="Arial"/>
        </w:rPr>
        <w:tab/>
        <w:t xml:space="preserve">Heston TF. Standardizing predictive values in diagnostic imaging research. </w:t>
      </w:r>
      <w:r w:rsidRPr="001806D4">
        <w:rPr>
          <w:rFonts w:ascii="Arial" w:hAnsi="Arial" w:cs="Arial"/>
          <w:i/>
          <w:iCs/>
        </w:rPr>
        <w:t>J Magn Reson Imaging</w:t>
      </w:r>
      <w:r w:rsidRPr="001806D4">
        <w:rPr>
          <w:rFonts w:ascii="Arial" w:hAnsi="Arial" w:cs="Arial"/>
        </w:rPr>
        <w:t>. 2011;33(2):505-505. doi:10.1002/jmri.22466</w:t>
      </w:r>
    </w:p>
    <w:p w14:paraId="3182CC90" w14:textId="77777777" w:rsidR="008459A7" w:rsidRPr="001806D4" w:rsidRDefault="008459A7" w:rsidP="008459A7">
      <w:pPr>
        <w:pStyle w:val="Bibliography"/>
        <w:rPr>
          <w:rFonts w:ascii="Arial" w:hAnsi="Arial" w:cs="Arial"/>
        </w:rPr>
      </w:pPr>
      <w:r w:rsidRPr="001806D4">
        <w:rPr>
          <w:rFonts w:ascii="Arial" w:hAnsi="Arial" w:cs="Arial"/>
        </w:rPr>
        <w:t xml:space="preserve">14. </w:t>
      </w:r>
      <w:r w:rsidRPr="001806D4">
        <w:rPr>
          <w:rFonts w:ascii="Arial" w:hAnsi="Arial" w:cs="Arial"/>
        </w:rPr>
        <w:tab/>
        <w:t xml:space="preserve">Heston TF. Standardized predictive values. </w:t>
      </w:r>
      <w:r w:rsidRPr="001806D4">
        <w:rPr>
          <w:rFonts w:ascii="Arial" w:hAnsi="Arial" w:cs="Arial"/>
          <w:i/>
          <w:iCs/>
        </w:rPr>
        <w:t>J Magn Reson Imaging</w:t>
      </w:r>
      <w:r w:rsidRPr="001806D4">
        <w:rPr>
          <w:rFonts w:ascii="Arial" w:hAnsi="Arial" w:cs="Arial"/>
        </w:rPr>
        <w:t>. 2014;39(5):1338.</w:t>
      </w:r>
    </w:p>
    <w:p w14:paraId="01EE8429" w14:textId="77777777" w:rsidR="008459A7" w:rsidRPr="001806D4" w:rsidRDefault="008459A7" w:rsidP="008459A7">
      <w:pPr>
        <w:pStyle w:val="Bibliography"/>
        <w:rPr>
          <w:rFonts w:ascii="Arial" w:hAnsi="Arial" w:cs="Arial"/>
        </w:rPr>
      </w:pPr>
      <w:r w:rsidRPr="001806D4">
        <w:rPr>
          <w:rFonts w:ascii="Arial" w:hAnsi="Arial" w:cs="Arial"/>
        </w:rPr>
        <w:t xml:space="preserve">15. </w:t>
      </w:r>
      <w:r w:rsidRPr="001806D4">
        <w:rPr>
          <w:rFonts w:ascii="Arial" w:hAnsi="Arial" w:cs="Arial"/>
        </w:rPr>
        <w:tab/>
        <w:t xml:space="preserve">Sonis J. How to use and interpret interval likelihood ratios. </w:t>
      </w:r>
      <w:r w:rsidRPr="001806D4">
        <w:rPr>
          <w:rFonts w:ascii="Arial" w:hAnsi="Arial" w:cs="Arial"/>
          <w:i/>
          <w:iCs/>
        </w:rPr>
        <w:t>Fam Med</w:t>
      </w:r>
      <w:r w:rsidRPr="001806D4">
        <w:rPr>
          <w:rFonts w:ascii="Arial" w:hAnsi="Arial" w:cs="Arial"/>
        </w:rPr>
        <w:t>. 1999;31:432–437.</w:t>
      </w:r>
    </w:p>
    <w:p w14:paraId="3650D630" w14:textId="77777777" w:rsidR="008459A7" w:rsidRPr="001806D4" w:rsidRDefault="008459A7" w:rsidP="008459A7">
      <w:pPr>
        <w:pStyle w:val="Bibliography"/>
        <w:rPr>
          <w:rFonts w:ascii="Arial" w:hAnsi="Arial" w:cs="Arial"/>
        </w:rPr>
      </w:pPr>
      <w:r w:rsidRPr="001806D4">
        <w:rPr>
          <w:rFonts w:ascii="Arial" w:hAnsi="Arial" w:cs="Arial"/>
        </w:rPr>
        <w:t xml:space="preserve">16. </w:t>
      </w:r>
      <w:r w:rsidRPr="001806D4">
        <w:rPr>
          <w:rFonts w:ascii="Arial" w:hAnsi="Arial" w:cs="Arial"/>
        </w:rPr>
        <w:tab/>
        <w:t xml:space="preserve">Crocker L, Algina J. </w:t>
      </w:r>
      <w:r w:rsidRPr="001806D4">
        <w:rPr>
          <w:rFonts w:ascii="Arial" w:hAnsi="Arial" w:cs="Arial"/>
          <w:i/>
          <w:iCs/>
        </w:rPr>
        <w:t>Introduction to Classical and Modern Test Theory.</w:t>
      </w:r>
      <w:r w:rsidRPr="001806D4">
        <w:rPr>
          <w:rFonts w:ascii="Arial" w:hAnsi="Arial" w:cs="Arial"/>
        </w:rPr>
        <w:t xml:space="preserve"> Holt, Rinehart and Winston, 6277 Sea Harbor Drive, Orlando, FL 32887; 1986.</w:t>
      </w:r>
    </w:p>
    <w:p w14:paraId="5635B93E" w14:textId="77777777" w:rsidR="008459A7" w:rsidRPr="001806D4" w:rsidRDefault="008459A7" w:rsidP="008459A7">
      <w:pPr>
        <w:pStyle w:val="Bibliography"/>
        <w:rPr>
          <w:rFonts w:ascii="Arial" w:hAnsi="Arial" w:cs="Arial"/>
        </w:rPr>
      </w:pPr>
      <w:r w:rsidRPr="001806D4">
        <w:rPr>
          <w:rFonts w:ascii="Arial" w:hAnsi="Arial" w:cs="Arial"/>
        </w:rPr>
        <w:t xml:space="preserve">17. </w:t>
      </w:r>
      <w:r w:rsidRPr="001806D4">
        <w:rPr>
          <w:rFonts w:ascii="Arial" w:hAnsi="Arial" w:cs="Arial"/>
        </w:rPr>
        <w:tab/>
        <w:t xml:space="preserve">Harvill LM. Standard error of measurement. </w:t>
      </w:r>
      <w:r w:rsidRPr="001806D4">
        <w:rPr>
          <w:rFonts w:ascii="Arial" w:hAnsi="Arial" w:cs="Arial"/>
          <w:i/>
          <w:iCs/>
        </w:rPr>
        <w:t>Educ Meas Issues Pract</w:t>
      </w:r>
      <w:r w:rsidRPr="001806D4">
        <w:rPr>
          <w:rFonts w:ascii="Arial" w:hAnsi="Arial" w:cs="Arial"/>
        </w:rPr>
        <w:t>. 1991;10(2):33–41.</w:t>
      </w:r>
    </w:p>
    <w:p w14:paraId="66106D24" w14:textId="77777777" w:rsidR="008459A7" w:rsidRPr="001806D4" w:rsidRDefault="008459A7" w:rsidP="008459A7">
      <w:pPr>
        <w:pStyle w:val="Bibliography"/>
        <w:rPr>
          <w:rFonts w:ascii="Arial" w:hAnsi="Arial" w:cs="Arial"/>
        </w:rPr>
      </w:pPr>
      <w:r w:rsidRPr="001806D4">
        <w:rPr>
          <w:rFonts w:ascii="Arial" w:hAnsi="Arial" w:cs="Arial"/>
        </w:rPr>
        <w:t xml:space="preserve">18. </w:t>
      </w:r>
      <w:r w:rsidRPr="001806D4">
        <w:rPr>
          <w:rFonts w:ascii="Arial" w:hAnsi="Arial" w:cs="Arial"/>
        </w:rPr>
        <w:tab/>
        <w:t xml:space="preserve">R Development Core Team. </w:t>
      </w:r>
      <w:r w:rsidRPr="001806D4">
        <w:rPr>
          <w:rFonts w:ascii="Arial" w:hAnsi="Arial" w:cs="Arial"/>
          <w:i/>
          <w:iCs/>
        </w:rPr>
        <w:t>R: A Language and Environment for Statistical Computing</w:t>
      </w:r>
      <w:r w:rsidRPr="001806D4">
        <w:rPr>
          <w:rFonts w:ascii="Arial" w:hAnsi="Arial" w:cs="Arial"/>
        </w:rPr>
        <w:t>. Vienna, Austria; 2014. http://cran.r-project.org/doc/manuals/r-release/fullrefman.pdf. Accessed May 8, 2014.</w:t>
      </w:r>
    </w:p>
    <w:p w14:paraId="1F37F451" w14:textId="77777777" w:rsidR="008459A7" w:rsidRPr="001806D4" w:rsidRDefault="008459A7" w:rsidP="008459A7">
      <w:pPr>
        <w:pStyle w:val="Bibliography"/>
        <w:rPr>
          <w:rFonts w:ascii="Arial" w:hAnsi="Arial" w:cs="Arial"/>
        </w:rPr>
      </w:pPr>
      <w:r w:rsidRPr="001806D4">
        <w:rPr>
          <w:rFonts w:ascii="Arial" w:hAnsi="Arial" w:cs="Arial"/>
        </w:rPr>
        <w:t xml:space="preserve">19. </w:t>
      </w:r>
      <w:r w:rsidRPr="001806D4">
        <w:rPr>
          <w:rFonts w:ascii="Arial" w:hAnsi="Arial" w:cs="Arial"/>
        </w:rPr>
        <w:tab/>
        <w:t xml:space="preserve">Landsheer JA. </w:t>
      </w:r>
      <w:r w:rsidRPr="001806D4">
        <w:rPr>
          <w:rFonts w:ascii="Arial" w:hAnsi="Arial" w:cs="Arial"/>
          <w:i/>
          <w:iCs/>
        </w:rPr>
        <w:t>UncertainInterval: Uncertain Area Methods for Cut-Point Determination in Tests</w:t>
      </w:r>
      <w:r w:rsidRPr="001806D4">
        <w:rPr>
          <w:rFonts w:ascii="Arial" w:hAnsi="Arial" w:cs="Arial"/>
        </w:rPr>
        <w:t>.; 2017. https://cran.r-project.org/web/packages/UncertainInterval/index.html. Accessed February 7, 2017.</w:t>
      </w:r>
    </w:p>
    <w:p w14:paraId="40A49307" w14:textId="77777777" w:rsidR="008459A7" w:rsidRPr="001806D4" w:rsidRDefault="008459A7" w:rsidP="008459A7">
      <w:pPr>
        <w:pStyle w:val="Bibliography"/>
        <w:rPr>
          <w:rFonts w:ascii="Arial" w:hAnsi="Arial" w:cs="Arial"/>
        </w:rPr>
      </w:pPr>
      <w:r w:rsidRPr="001806D4">
        <w:rPr>
          <w:rFonts w:ascii="Arial" w:hAnsi="Arial" w:cs="Arial"/>
        </w:rPr>
        <w:lastRenderedPageBreak/>
        <w:t xml:space="preserve">20. </w:t>
      </w:r>
      <w:r w:rsidRPr="001806D4">
        <w:rPr>
          <w:rFonts w:ascii="Arial" w:hAnsi="Arial" w:cs="Arial"/>
        </w:rPr>
        <w:tab/>
        <w:t xml:space="preserve">Ozer S, Young J, Champ C, Burke M. A systematic review of the diagnostic test accuracy of brief cognitive tests to detect amnestic mild cognitive impairment. </w:t>
      </w:r>
      <w:r w:rsidRPr="001806D4">
        <w:rPr>
          <w:rFonts w:ascii="Arial" w:hAnsi="Arial" w:cs="Arial"/>
          <w:i/>
          <w:iCs/>
        </w:rPr>
        <w:t>Int J Geriatr Psychiatry</w:t>
      </w:r>
      <w:r w:rsidRPr="001806D4">
        <w:rPr>
          <w:rFonts w:ascii="Arial" w:hAnsi="Arial" w:cs="Arial"/>
        </w:rPr>
        <w:t>. 2016;31(11):1139–1150.</w:t>
      </w:r>
    </w:p>
    <w:p w14:paraId="04A957F3" w14:textId="77777777" w:rsidR="008459A7" w:rsidRPr="001806D4" w:rsidRDefault="008459A7" w:rsidP="008459A7">
      <w:pPr>
        <w:pStyle w:val="Bibliography"/>
        <w:rPr>
          <w:rFonts w:ascii="Arial" w:hAnsi="Arial" w:cs="Arial"/>
        </w:rPr>
      </w:pPr>
      <w:r w:rsidRPr="001806D4">
        <w:rPr>
          <w:rFonts w:ascii="Arial" w:hAnsi="Arial" w:cs="Arial"/>
        </w:rPr>
        <w:t xml:space="preserve">21. </w:t>
      </w:r>
      <w:r w:rsidRPr="001806D4">
        <w:rPr>
          <w:rFonts w:ascii="Arial" w:hAnsi="Arial" w:cs="Arial"/>
        </w:rPr>
        <w:tab/>
        <w:t xml:space="preserve">Feeney J, Savva GM, O’Regan C, King-Kallimanis B, Cronin H, Kenny RA. Measurement error, reliability, and minimum detectable change in the Mini-Mental State Examination, Montreal Cognitive Assessment, and color trails test among community living middle-aged and older adults. </w:t>
      </w:r>
      <w:r w:rsidRPr="001806D4">
        <w:rPr>
          <w:rFonts w:ascii="Arial" w:hAnsi="Arial" w:cs="Arial"/>
          <w:i/>
          <w:iCs/>
        </w:rPr>
        <w:t>J Alzheimers Dis</w:t>
      </w:r>
      <w:r w:rsidRPr="001806D4">
        <w:rPr>
          <w:rFonts w:ascii="Arial" w:hAnsi="Arial" w:cs="Arial"/>
        </w:rPr>
        <w:t>. 2016;53(3):1107–1114.</w:t>
      </w:r>
    </w:p>
    <w:p w14:paraId="6F9FC809" w14:textId="77777777" w:rsidR="008459A7" w:rsidRPr="001806D4" w:rsidRDefault="008459A7" w:rsidP="008459A7">
      <w:pPr>
        <w:pStyle w:val="Bibliography"/>
        <w:rPr>
          <w:rFonts w:ascii="Arial" w:hAnsi="Arial" w:cs="Arial"/>
          <w:lang w:val="de-DE"/>
        </w:rPr>
      </w:pPr>
      <w:r w:rsidRPr="001806D4">
        <w:rPr>
          <w:rFonts w:ascii="Arial" w:hAnsi="Arial" w:cs="Arial"/>
        </w:rPr>
        <w:t xml:space="preserve">22. </w:t>
      </w:r>
      <w:r w:rsidRPr="001806D4">
        <w:rPr>
          <w:rFonts w:ascii="Arial" w:hAnsi="Arial" w:cs="Arial"/>
        </w:rPr>
        <w:tab/>
        <w:t xml:space="preserve">Cooley SA, Heaps JM, Bolzenius JD, et al. Longitudinal change in performance on the Montreal Cognitive Assessment in older adults. </w:t>
      </w:r>
      <w:r w:rsidRPr="001806D4">
        <w:rPr>
          <w:rFonts w:ascii="Arial" w:hAnsi="Arial" w:cs="Arial"/>
          <w:i/>
          <w:iCs/>
          <w:lang w:val="de-DE"/>
        </w:rPr>
        <w:t>Clin Neuropsychol</w:t>
      </w:r>
      <w:r w:rsidRPr="001806D4">
        <w:rPr>
          <w:rFonts w:ascii="Arial" w:hAnsi="Arial" w:cs="Arial"/>
          <w:lang w:val="de-DE"/>
        </w:rPr>
        <w:t>. 2015;29(6):824–835.</w:t>
      </w:r>
    </w:p>
    <w:p w14:paraId="5FC9FB67" w14:textId="77777777" w:rsidR="008459A7" w:rsidRPr="001806D4" w:rsidRDefault="008459A7" w:rsidP="008459A7">
      <w:pPr>
        <w:pStyle w:val="Bibliography"/>
        <w:rPr>
          <w:rFonts w:ascii="Arial" w:hAnsi="Arial" w:cs="Arial"/>
        </w:rPr>
      </w:pPr>
      <w:r w:rsidRPr="001806D4">
        <w:rPr>
          <w:rFonts w:ascii="Arial" w:hAnsi="Arial" w:cs="Arial"/>
          <w:lang w:val="de-DE"/>
        </w:rPr>
        <w:t xml:space="preserve">23. </w:t>
      </w:r>
      <w:r w:rsidRPr="001806D4">
        <w:rPr>
          <w:rFonts w:ascii="Arial" w:hAnsi="Arial" w:cs="Arial"/>
          <w:lang w:val="de-DE"/>
        </w:rPr>
        <w:tab/>
        <w:t xml:space="preserve">Bernstein IH, Lacritz L, Barlow CE, Weiner MF, DeFina LF. </w:t>
      </w:r>
      <w:r w:rsidRPr="001806D4">
        <w:rPr>
          <w:rFonts w:ascii="Arial" w:hAnsi="Arial" w:cs="Arial"/>
        </w:rPr>
        <w:t xml:space="preserve">Psychometric evaluation of the Montreal Cognitive Assessment (MoCA) in three diverse samples. </w:t>
      </w:r>
      <w:r w:rsidRPr="001806D4">
        <w:rPr>
          <w:rFonts w:ascii="Arial" w:hAnsi="Arial" w:cs="Arial"/>
          <w:i/>
          <w:iCs/>
        </w:rPr>
        <w:t>Clin Neuropsychol</w:t>
      </w:r>
      <w:r w:rsidRPr="001806D4">
        <w:rPr>
          <w:rFonts w:ascii="Arial" w:hAnsi="Arial" w:cs="Arial"/>
        </w:rPr>
        <w:t>. 2011;25(1):119–126.</w:t>
      </w:r>
    </w:p>
    <w:p w14:paraId="0BE18CA4" w14:textId="62BE7B41" w:rsidR="00671CA6" w:rsidRPr="006F1B0F" w:rsidRDefault="00671CA6" w:rsidP="00884BF4">
      <w:pPr>
        <w:spacing w:line="360" w:lineRule="auto"/>
        <w:rPr>
          <w:rFonts w:ascii="Arial" w:hAnsi="Arial" w:cs="Arial"/>
        </w:rPr>
      </w:pPr>
      <w:r w:rsidRPr="001806D4">
        <w:rPr>
          <w:rFonts w:ascii="Arial" w:hAnsi="Arial" w:cs="Arial"/>
        </w:rPr>
        <w:fldChar w:fldCharType="end"/>
      </w:r>
      <w:bookmarkStart w:id="1" w:name="_GoBack"/>
      <w:bookmarkEnd w:id="1"/>
    </w:p>
    <w:sectPr w:rsidR="00671CA6" w:rsidRPr="006F1B0F" w:rsidSect="008459A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24E34" w14:textId="77777777" w:rsidR="007064CA" w:rsidRDefault="007064CA" w:rsidP="00884BF4">
      <w:pPr>
        <w:spacing w:after="0" w:line="240" w:lineRule="auto"/>
      </w:pPr>
      <w:r>
        <w:separator/>
      </w:r>
    </w:p>
  </w:endnote>
  <w:endnote w:type="continuationSeparator" w:id="0">
    <w:p w14:paraId="76D7C887" w14:textId="77777777" w:rsidR="007064CA" w:rsidRDefault="007064CA" w:rsidP="0088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053897"/>
      <w:docPartObj>
        <w:docPartGallery w:val="Page Numbers (Bottom of Page)"/>
        <w:docPartUnique/>
      </w:docPartObj>
    </w:sdtPr>
    <w:sdtEndPr>
      <w:rPr>
        <w:noProof/>
      </w:rPr>
    </w:sdtEndPr>
    <w:sdtContent>
      <w:p w14:paraId="55F49C6F" w14:textId="77777777" w:rsidR="00884BF4" w:rsidRDefault="00884B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2355A" w14:textId="77777777" w:rsidR="00884BF4" w:rsidRDefault="0088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AA21" w14:textId="77777777" w:rsidR="007064CA" w:rsidRDefault="007064CA" w:rsidP="00884BF4">
      <w:pPr>
        <w:spacing w:after="0" w:line="240" w:lineRule="auto"/>
      </w:pPr>
      <w:r>
        <w:separator/>
      </w:r>
    </w:p>
  </w:footnote>
  <w:footnote w:type="continuationSeparator" w:id="0">
    <w:p w14:paraId="39E8DE49" w14:textId="77777777" w:rsidR="007064CA" w:rsidRDefault="007064CA" w:rsidP="00884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30DB"/>
    <w:rsid w:val="000111EC"/>
    <w:rsid w:val="00015D49"/>
    <w:rsid w:val="00055DE8"/>
    <w:rsid w:val="001053F5"/>
    <w:rsid w:val="001806D4"/>
    <w:rsid w:val="00182AEA"/>
    <w:rsid w:val="002048EC"/>
    <w:rsid w:val="00220D04"/>
    <w:rsid w:val="00302E03"/>
    <w:rsid w:val="00322D08"/>
    <w:rsid w:val="00330A75"/>
    <w:rsid w:val="00470174"/>
    <w:rsid w:val="004C00B4"/>
    <w:rsid w:val="004E59A8"/>
    <w:rsid w:val="0056222F"/>
    <w:rsid w:val="00586DCE"/>
    <w:rsid w:val="00604CD2"/>
    <w:rsid w:val="00671CA6"/>
    <w:rsid w:val="006E282C"/>
    <w:rsid w:val="006F1B0F"/>
    <w:rsid w:val="007064CA"/>
    <w:rsid w:val="007212D6"/>
    <w:rsid w:val="00797250"/>
    <w:rsid w:val="007D76D6"/>
    <w:rsid w:val="007E5C3A"/>
    <w:rsid w:val="007F2325"/>
    <w:rsid w:val="00800850"/>
    <w:rsid w:val="00803E32"/>
    <w:rsid w:val="008459A7"/>
    <w:rsid w:val="008800A8"/>
    <w:rsid w:val="00884BF4"/>
    <w:rsid w:val="008A17C7"/>
    <w:rsid w:val="00A663E0"/>
    <w:rsid w:val="00AC23C5"/>
    <w:rsid w:val="00B00BD5"/>
    <w:rsid w:val="00B104EE"/>
    <w:rsid w:val="00BF30DB"/>
    <w:rsid w:val="00CC5B02"/>
    <w:rsid w:val="00DC1DE9"/>
    <w:rsid w:val="00DC353C"/>
    <w:rsid w:val="00E63FCD"/>
    <w:rsid w:val="00EE75BF"/>
    <w:rsid w:val="00EF49EA"/>
    <w:rsid w:val="00F00EF2"/>
    <w:rsid w:val="00F07BCD"/>
    <w:rsid w:val="00F54B73"/>
    <w:rsid w:val="00F8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0FED"/>
  <w15:chartTrackingRefBased/>
  <w15:docId w15:val="{9A4F9FD6-31AD-46F5-A90B-6C7A4BAE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75BF"/>
    <w:rPr>
      <w:sz w:val="16"/>
      <w:szCs w:val="16"/>
    </w:rPr>
  </w:style>
  <w:style w:type="paragraph" w:styleId="CommentText">
    <w:name w:val="annotation text"/>
    <w:basedOn w:val="Normal"/>
    <w:link w:val="CommentTextChar"/>
    <w:uiPriority w:val="99"/>
    <w:semiHidden/>
    <w:unhideWhenUsed/>
    <w:rsid w:val="00EE75BF"/>
    <w:pPr>
      <w:spacing w:after="0" w:line="240" w:lineRule="auto"/>
    </w:pPr>
    <w:rPr>
      <w:rFonts w:ascii="Arial" w:eastAsia="Times New Roman" w:hAnsi="Arial" w:cs="Times New Roman"/>
      <w:sz w:val="20"/>
      <w:szCs w:val="20"/>
      <w:lang w:eastAsia="de-DE"/>
    </w:rPr>
  </w:style>
  <w:style w:type="character" w:customStyle="1" w:styleId="CommentTextChar">
    <w:name w:val="Comment Text Char"/>
    <w:basedOn w:val="DefaultParagraphFont"/>
    <w:link w:val="CommentText"/>
    <w:uiPriority w:val="99"/>
    <w:semiHidden/>
    <w:rsid w:val="00EE75BF"/>
    <w:rPr>
      <w:rFonts w:ascii="Arial" w:eastAsia="Times New Roman" w:hAnsi="Arial" w:cs="Times New Roman"/>
      <w:sz w:val="20"/>
      <w:szCs w:val="20"/>
      <w:lang w:eastAsia="de-DE"/>
    </w:rPr>
  </w:style>
  <w:style w:type="paragraph" w:styleId="BalloonText">
    <w:name w:val="Balloon Text"/>
    <w:basedOn w:val="Normal"/>
    <w:link w:val="BalloonTextChar"/>
    <w:uiPriority w:val="99"/>
    <w:semiHidden/>
    <w:unhideWhenUsed/>
    <w:rsid w:val="00EE7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BF"/>
    <w:rPr>
      <w:rFonts w:ascii="Segoe UI" w:hAnsi="Segoe UI" w:cs="Segoe UI"/>
      <w:sz w:val="18"/>
      <w:szCs w:val="18"/>
    </w:rPr>
  </w:style>
  <w:style w:type="paragraph" w:styleId="Bibliography">
    <w:name w:val="Bibliography"/>
    <w:basedOn w:val="Normal"/>
    <w:next w:val="Normal"/>
    <w:uiPriority w:val="37"/>
    <w:unhideWhenUsed/>
    <w:rsid w:val="00671CA6"/>
    <w:pPr>
      <w:tabs>
        <w:tab w:val="left" w:pos="504"/>
      </w:tabs>
      <w:spacing w:after="240" w:line="240" w:lineRule="auto"/>
      <w:ind w:left="504" w:hanging="504"/>
    </w:pPr>
  </w:style>
  <w:style w:type="paragraph" w:styleId="Header">
    <w:name w:val="header"/>
    <w:basedOn w:val="Normal"/>
    <w:link w:val="HeaderChar"/>
    <w:uiPriority w:val="99"/>
    <w:unhideWhenUsed/>
    <w:rsid w:val="0088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F4"/>
  </w:style>
  <w:style w:type="paragraph" w:styleId="Footer">
    <w:name w:val="footer"/>
    <w:basedOn w:val="Normal"/>
    <w:link w:val="FooterChar"/>
    <w:uiPriority w:val="99"/>
    <w:unhideWhenUsed/>
    <w:rsid w:val="0088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F4"/>
  </w:style>
  <w:style w:type="character" w:styleId="LineNumber">
    <w:name w:val="line number"/>
    <w:basedOn w:val="DefaultParagraphFont"/>
    <w:uiPriority w:val="99"/>
    <w:semiHidden/>
    <w:unhideWhenUsed/>
    <w:rsid w:val="0030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5869</Words>
  <Characters>33457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Landsheer, J.A. (Hans)</dc:creator>
  <cp:keywords/>
  <dc:description/>
  <cp:lastModifiedBy>Landsheer, J.A. (Hans)</cp:lastModifiedBy>
  <cp:revision>2</cp:revision>
  <cp:lastPrinted>2019-07-11T09:57:00Z</cp:lastPrinted>
  <dcterms:created xsi:type="dcterms:W3CDTF">2019-08-27T08:06:00Z</dcterms:created>
  <dcterms:modified xsi:type="dcterms:W3CDTF">2019-08-27T08:06:00Z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id="bRMnDgKv"/&gt;&lt;style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