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D1" w:rsidRDefault="0005097D">
      <w:pPr>
        <w:pStyle w:val="Heading1"/>
        <w:spacing w:after="473"/>
        <w:ind w:left="-5"/>
      </w:pPr>
      <w:bookmarkStart w:id="0" w:name="_GoBack"/>
      <w:bookmarkEnd w:id="0"/>
      <w:r>
        <w:t xml:space="preserve">Supplemental data </w:t>
      </w:r>
    </w:p>
    <w:p w:rsidR="00A307D1" w:rsidRDefault="0005097D">
      <w:pPr>
        <w:spacing w:after="303" w:line="259" w:lineRule="auto"/>
        <w:ind w:left="-5"/>
      </w:pPr>
      <w:r>
        <w:rPr>
          <w:sz w:val="32"/>
          <w:shd w:val="clear" w:color="auto" w:fill="auto"/>
        </w:rPr>
        <w:t xml:space="preserve">Increased midlife triglycerides predict brain amyloid </w:t>
      </w:r>
      <w:r>
        <w:rPr>
          <w:rFonts w:ascii="Segoe UI Symbol" w:eastAsia="Segoe UI Symbol" w:hAnsi="Segoe UI Symbol" w:cs="Segoe UI Symbol"/>
          <w:sz w:val="32"/>
          <w:shd w:val="clear" w:color="auto" w:fill="auto"/>
        </w:rPr>
        <w:t></w:t>
      </w:r>
      <w:r>
        <w:rPr>
          <w:sz w:val="32"/>
          <w:shd w:val="clear" w:color="auto" w:fill="auto"/>
        </w:rPr>
        <w:t xml:space="preserve"> and tau pathology </w:t>
      </w:r>
    </w:p>
    <w:p w:rsidR="00A307D1" w:rsidRDefault="0005097D">
      <w:pPr>
        <w:spacing w:after="383" w:line="259" w:lineRule="auto"/>
        <w:ind w:left="-5"/>
      </w:pPr>
      <w:r>
        <w:rPr>
          <w:sz w:val="32"/>
          <w:shd w:val="clear" w:color="auto" w:fill="auto"/>
        </w:rPr>
        <w:t xml:space="preserve">20 years later </w:t>
      </w:r>
    </w:p>
    <w:p w:rsidR="00A307D1" w:rsidRDefault="0005097D">
      <w:pPr>
        <w:spacing w:after="227" w:line="259" w:lineRule="auto"/>
        <w:ind w:left="-5"/>
      </w:pPr>
      <w:r>
        <w:rPr>
          <w:shd w:val="clear" w:color="auto" w:fill="auto"/>
        </w:rPr>
        <w:t xml:space="preserve">Katarina </w:t>
      </w:r>
      <w:proofErr w:type="spellStart"/>
      <w:r>
        <w:rPr>
          <w:shd w:val="clear" w:color="auto" w:fill="auto"/>
        </w:rPr>
        <w:t>Nägga</w:t>
      </w:r>
      <w:proofErr w:type="spellEnd"/>
      <w:r>
        <w:rPr>
          <w:shd w:val="clear" w:color="auto" w:fill="auto"/>
        </w:rPr>
        <w:t>, MD, PhD, Anna-</w:t>
      </w:r>
      <w:proofErr w:type="spellStart"/>
      <w:r>
        <w:rPr>
          <w:shd w:val="clear" w:color="auto" w:fill="auto"/>
        </w:rPr>
        <w:t>Märta</w:t>
      </w:r>
      <w:proofErr w:type="spellEnd"/>
      <w:r>
        <w:rPr>
          <w:shd w:val="clear" w:color="auto" w:fill="auto"/>
        </w:rPr>
        <w:t xml:space="preserve"> </w:t>
      </w:r>
      <w:proofErr w:type="spellStart"/>
      <w:r>
        <w:rPr>
          <w:shd w:val="clear" w:color="auto" w:fill="auto"/>
        </w:rPr>
        <w:t>Gustavsson</w:t>
      </w:r>
      <w:proofErr w:type="spellEnd"/>
      <w:r>
        <w:rPr>
          <w:shd w:val="clear" w:color="auto" w:fill="auto"/>
        </w:rPr>
        <w:t xml:space="preserve">, MD, Erik </w:t>
      </w:r>
      <w:proofErr w:type="spellStart"/>
      <w:r>
        <w:rPr>
          <w:shd w:val="clear" w:color="auto" w:fill="auto"/>
        </w:rPr>
        <w:t>Stomrud</w:t>
      </w:r>
      <w:proofErr w:type="spellEnd"/>
      <w:r>
        <w:rPr>
          <w:shd w:val="clear" w:color="auto" w:fill="auto"/>
        </w:rPr>
        <w:t xml:space="preserve">, MD, PhD, Daniel </w:t>
      </w:r>
    </w:p>
    <w:p w:rsidR="00A307D1" w:rsidRDefault="0005097D">
      <w:pPr>
        <w:spacing w:after="227" w:line="259" w:lineRule="auto"/>
        <w:ind w:left="-5"/>
      </w:pPr>
      <w:proofErr w:type="spellStart"/>
      <w:r>
        <w:rPr>
          <w:shd w:val="clear" w:color="auto" w:fill="auto"/>
        </w:rPr>
        <w:t>Lindqvist</w:t>
      </w:r>
      <w:proofErr w:type="spellEnd"/>
      <w:r>
        <w:rPr>
          <w:shd w:val="clear" w:color="auto" w:fill="auto"/>
        </w:rPr>
        <w:t xml:space="preserve">, MD, PhD, Danielle van </w:t>
      </w:r>
      <w:proofErr w:type="spellStart"/>
      <w:r>
        <w:rPr>
          <w:shd w:val="clear" w:color="auto" w:fill="auto"/>
        </w:rPr>
        <w:t>Westen</w:t>
      </w:r>
      <w:proofErr w:type="spellEnd"/>
      <w:r>
        <w:rPr>
          <w:shd w:val="clear" w:color="auto" w:fill="auto"/>
        </w:rPr>
        <w:t xml:space="preserve">, MD, PhD, </w:t>
      </w:r>
      <w:proofErr w:type="spellStart"/>
      <w:r>
        <w:rPr>
          <w:shd w:val="clear" w:color="auto" w:fill="auto"/>
        </w:rPr>
        <w:t>Kaj</w:t>
      </w:r>
      <w:proofErr w:type="spellEnd"/>
      <w:r>
        <w:rPr>
          <w:shd w:val="clear" w:color="auto" w:fill="auto"/>
        </w:rPr>
        <w:t xml:space="preserve"> </w:t>
      </w:r>
      <w:proofErr w:type="spellStart"/>
      <w:r>
        <w:rPr>
          <w:shd w:val="clear" w:color="auto" w:fill="auto"/>
        </w:rPr>
        <w:t>Blennow</w:t>
      </w:r>
      <w:proofErr w:type="spellEnd"/>
      <w:r>
        <w:rPr>
          <w:shd w:val="clear" w:color="auto" w:fill="auto"/>
        </w:rPr>
        <w:t xml:space="preserve">, MD, PhD, Henrik </w:t>
      </w:r>
    </w:p>
    <w:p w:rsidR="00A307D1" w:rsidRDefault="0005097D">
      <w:pPr>
        <w:spacing w:after="459" w:line="259" w:lineRule="auto"/>
        <w:ind w:left="-5"/>
      </w:pPr>
      <w:r>
        <w:rPr>
          <w:shd w:val="clear" w:color="auto" w:fill="auto"/>
        </w:rPr>
        <w:t xml:space="preserve">Zetterberg, MD, PhD, </w:t>
      </w:r>
      <w:proofErr w:type="spellStart"/>
      <w:r>
        <w:rPr>
          <w:shd w:val="clear" w:color="auto" w:fill="auto"/>
        </w:rPr>
        <w:t>Olle</w:t>
      </w:r>
      <w:proofErr w:type="spellEnd"/>
      <w:r>
        <w:rPr>
          <w:shd w:val="clear" w:color="auto" w:fill="auto"/>
        </w:rPr>
        <w:t xml:space="preserve"> </w:t>
      </w:r>
      <w:proofErr w:type="spellStart"/>
      <w:r>
        <w:rPr>
          <w:shd w:val="clear" w:color="auto" w:fill="auto"/>
        </w:rPr>
        <w:t>Melander</w:t>
      </w:r>
      <w:proofErr w:type="spellEnd"/>
      <w:r>
        <w:rPr>
          <w:shd w:val="clear" w:color="auto" w:fill="auto"/>
        </w:rPr>
        <w:t>, MD, PhD, Oskar Hansson, MD, PhD.</w:t>
      </w:r>
      <w:r>
        <w:rPr>
          <w:shd w:val="clear" w:color="auto" w:fill="auto"/>
          <w:vertAlign w:val="superscript"/>
        </w:rPr>
        <w:t xml:space="preserve"> </w:t>
      </w:r>
    </w:p>
    <w:p w:rsidR="00A307D1" w:rsidRDefault="0005097D">
      <w:pPr>
        <w:spacing w:after="453" w:line="259" w:lineRule="auto"/>
        <w:ind w:left="0" w:firstLine="0"/>
      </w:pPr>
      <w:r>
        <w:rPr>
          <w:b/>
          <w:sz w:val="28"/>
          <w:shd w:val="clear" w:color="auto" w:fill="auto"/>
        </w:rPr>
        <w:t xml:space="preserve"> </w:t>
      </w:r>
    </w:p>
    <w:p w:rsidR="00A307D1" w:rsidRDefault="0005097D">
      <w:pPr>
        <w:pStyle w:val="Heading1"/>
        <w:spacing w:after="376"/>
        <w:ind w:left="-5"/>
      </w:pPr>
      <w:r>
        <w:t>e-Methods</w:t>
      </w:r>
      <w:r>
        <w:rPr>
          <w:color w:val="231F20"/>
        </w:rPr>
        <w:t xml:space="preserve"> </w:t>
      </w:r>
    </w:p>
    <w:p w:rsidR="00A307D1" w:rsidRDefault="0005097D">
      <w:pPr>
        <w:ind w:left="-5"/>
      </w:pPr>
      <w:r>
        <w:rPr>
          <w:shd w:val="clear" w:color="auto" w:fill="auto"/>
        </w:rPr>
        <w:t>The following covariates were derived from the self-administered questionnaire at the baseline examination</w:t>
      </w:r>
      <w:r>
        <w:rPr>
          <w:shd w:val="clear" w:color="auto" w:fill="auto"/>
          <w:vertAlign w:val="superscript"/>
        </w:rPr>
        <w:t>1, 2</w:t>
      </w:r>
      <w:r w:rsidR="00513106" w:rsidRPr="00513106">
        <w:rPr>
          <w:shd w:val="clear" w:color="auto" w:fill="auto"/>
        </w:rPr>
        <w:t xml:space="preserve">. Smoking habits were stated as one of the following alternatives; 1 = Yes, I smoke regularly, 2 = Yes, I smoke occasionally, 3 = No, I have stopped smoking, </w:t>
      </w:r>
      <w:proofErr w:type="gramStart"/>
      <w:r w:rsidR="00513106" w:rsidRPr="00513106">
        <w:rPr>
          <w:shd w:val="clear" w:color="auto" w:fill="auto"/>
        </w:rPr>
        <w:t>or  4</w:t>
      </w:r>
      <w:proofErr w:type="gramEnd"/>
      <w:r w:rsidR="00513106" w:rsidRPr="00513106">
        <w:rPr>
          <w:shd w:val="clear" w:color="auto" w:fill="auto"/>
        </w:rPr>
        <w:t xml:space="preserve"> = No, I have never smoked. We then categorized smoking as ever smoker (alternative 1 through 3) or never smoker (alternative 4). Regarding cardiovascular diseases, participants responded to the following questions; “Have you ever been treated for heart attack (infarction)?”, “Have you ever been treated for stroke?” and “Have you ever been treated for claudication in the legs?” as yes/no. We then categorized cardiovascular disease as present if any of these three questions were answered with yes, thus defining cardiovascular disease as self-reported myocardial infarction, stroke and/or claudication in the </w:t>
      </w:r>
      <w:proofErr w:type="spellStart"/>
      <w:proofErr w:type="gramStart"/>
      <w:r w:rsidR="00513106" w:rsidRPr="00513106">
        <w:rPr>
          <w:shd w:val="clear" w:color="auto" w:fill="auto"/>
        </w:rPr>
        <w:t>legs.</w:t>
      </w:r>
      <w:r>
        <w:rPr>
          <w:shd w:val="clear" w:color="auto" w:fill="auto"/>
        </w:rPr>
        <w:t>Physical</w:t>
      </w:r>
      <w:proofErr w:type="spellEnd"/>
      <w:proofErr w:type="gramEnd"/>
      <w:r>
        <w:rPr>
          <w:shd w:val="clear" w:color="auto" w:fill="auto"/>
        </w:rPr>
        <w:t xml:space="preserve"> activity score was entered as a numeric variable constructed of self-reported minutes of physical activity in leisure time, multiplied with an activity specific factor representing the intensity of each reported activity</w:t>
      </w:r>
      <w:r>
        <w:rPr>
          <w:shd w:val="clear" w:color="auto" w:fill="auto"/>
          <w:vertAlign w:val="superscript"/>
        </w:rPr>
        <w:t>3, 4</w:t>
      </w:r>
      <w:r>
        <w:rPr>
          <w:shd w:val="clear" w:color="auto" w:fill="auto"/>
        </w:rPr>
        <w:t xml:space="preserve">.  </w:t>
      </w:r>
    </w:p>
    <w:p w:rsidR="00513106" w:rsidRPr="00513106" w:rsidRDefault="0005097D" w:rsidP="00513106">
      <w:pPr>
        <w:spacing w:after="37"/>
        <w:ind w:left="-5"/>
        <w:rPr>
          <w:shd w:val="clear" w:color="auto" w:fill="auto"/>
        </w:rPr>
      </w:pPr>
      <w:r>
        <w:rPr>
          <w:shd w:val="clear" w:color="auto" w:fill="auto"/>
        </w:rPr>
        <w:lastRenderedPageBreak/>
        <w:t xml:space="preserve">Since midlife lipids were the covariates of primary focus in this study, we included lipid-lowering medication at follow-up in the analyses (the only covariate not collected at baseline) </w:t>
      </w:r>
      <w:proofErr w:type="gramStart"/>
      <w:r>
        <w:rPr>
          <w:shd w:val="clear" w:color="auto" w:fill="auto"/>
        </w:rPr>
        <w:t>in order to</w:t>
      </w:r>
      <w:proofErr w:type="gramEnd"/>
      <w:r>
        <w:rPr>
          <w:shd w:val="clear" w:color="auto" w:fill="auto"/>
        </w:rPr>
        <w:t xml:space="preserve"> explore if lipid levels were associated with the outcome, regardless of potential treatment effects later on. </w:t>
      </w:r>
      <w:r w:rsidR="00513106" w:rsidRPr="00513106">
        <w:rPr>
          <w:shd w:val="clear" w:color="auto" w:fill="auto"/>
        </w:rPr>
        <w:t xml:space="preserve">Data on medication use was gathered at both MDCS baseline and MDCS re-examination using self-administered questionnaires. The questions regarding medication did not differ between the questionnaire forms. Participants stated use of medication in response to the questions: “What medical prescription drugs do you use regularly?” and “What medical drugs </w:t>
      </w:r>
    </w:p>
    <w:p w:rsidR="00513106" w:rsidRPr="00513106" w:rsidRDefault="00513106" w:rsidP="00513106">
      <w:pPr>
        <w:spacing w:after="37"/>
        <w:ind w:left="-5"/>
        <w:rPr>
          <w:shd w:val="clear" w:color="auto" w:fill="auto"/>
        </w:rPr>
      </w:pPr>
      <w:r w:rsidRPr="00513106">
        <w:rPr>
          <w:shd w:val="clear" w:color="auto" w:fill="auto"/>
        </w:rPr>
        <w:t>(</w:t>
      </w:r>
      <w:proofErr w:type="spellStart"/>
      <w:r w:rsidRPr="00513106">
        <w:rPr>
          <w:shd w:val="clear" w:color="auto" w:fill="auto"/>
        </w:rPr>
        <w:t>incl</w:t>
      </w:r>
      <w:proofErr w:type="spellEnd"/>
      <w:r w:rsidRPr="00513106">
        <w:rPr>
          <w:shd w:val="clear" w:color="auto" w:fill="auto"/>
        </w:rPr>
        <w:t xml:space="preserve"> vitamins </w:t>
      </w:r>
      <w:proofErr w:type="spellStart"/>
      <w:r w:rsidRPr="00513106">
        <w:rPr>
          <w:shd w:val="clear" w:color="auto" w:fill="auto"/>
        </w:rPr>
        <w:t>etc</w:t>
      </w:r>
      <w:proofErr w:type="spellEnd"/>
      <w:r w:rsidRPr="00513106">
        <w:rPr>
          <w:shd w:val="clear" w:color="auto" w:fill="auto"/>
        </w:rPr>
        <w:t xml:space="preserve">) that you have bought without a prescription do you use regularly?” Drugs were then classified according to the international Anatomical Therapeutic Chemical Classification (ACT) and all drugs from group C10 (lipid modifying agents) were categorized as lipid lowering medication. </w:t>
      </w:r>
    </w:p>
    <w:p w:rsidR="00513106" w:rsidRDefault="00513106" w:rsidP="00513106">
      <w:pPr>
        <w:spacing w:after="37"/>
        <w:ind w:left="-5" w:firstLine="5"/>
      </w:pPr>
      <w:r w:rsidRPr="00513106">
        <w:rPr>
          <w:shd w:val="clear" w:color="auto" w:fill="auto"/>
        </w:rPr>
        <w:t xml:space="preserve">A variable list covering the baseline questionnaire </w:t>
      </w:r>
      <w:proofErr w:type="gramStart"/>
      <w:r w:rsidRPr="00513106">
        <w:rPr>
          <w:shd w:val="clear" w:color="auto" w:fill="auto"/>
        </w:rPr>
        <w:t>as a whole is</w:t>
      </w:r>
      <w:proofErr w:type="gramEnd"/>
      <w:r w:rsidRPr="00513106">
        <w:rPr>
          <w:shd w:val="clear" w:color="auto" w:fill="auto"/>
        </w:rPr>
        <w:t xml:space="preserve"> enclosed as an appendix (appendix e-1).</w:t>
      </w:r>
    </w:p>
    <w:p w:rsidR="00A307D1" w:rsidRDefault="00A307D1">
      <w:pPr>
        <w:ind w:left="-5"/>
      </w:pPr>
    </w:p>
    <w:p w:rsidR="00A307D1" w:rsidRDefault="0005097D">
      <w:pPr>
        <w:pStyle w:val="Heading1"/>
        <w:spacing w:after="457"/>
        <w:ind w:left="-5"/>
      </w:pPr>
      <w:r>
        <w:t xml:space="preserve">e-Results </w:t>
      </w:r>
    </w:p>
    <w:p w:rsidR="00A307D1" w:rsidRDefault="0005097D">
      <w:pPr>
        <w:pStyle w:val="Heading2"/>
      </w:pPr>
      <w:r>
        <w:t xml:space="preserve">Sensitivity analyses </w:t>
      </w:r>
    </w:p>
    <w:p w:rsidR="00513106" w:rsidRDefault="0005097D" w:rsidP="00513106">
      <w:pPr>
        <w:spacing w:after="227" w:line="470" w:lineRule="auto"/>
        <w:ind w:left="-5"/>
        <w:rPr>
          <w:shd w:val="clear" w:color="auto" w:fill="auto"/>
        </w:rPr>
      </w:pPr>
      <w:r>
        <w:rPr>
          <w:shd w:val="clear" w:color="auto" w:fill="auto"/>
        </w:rPr>
        <w:t>Substituting systolic blood pressure with diastolic blood pressure and pulse pressure respectively, did not alter the associations between triglycerides and A</w:t>
      </w:r>
      <w:r>
        <w:rPr>
          <w:rFonts w:ascii="Segoe UI Symbol" w:eastAsia="Segoe UI Symbol" w:hAnsi="Segoe UI Symbol" w:cs="Segoe UI Symbol"/>
          <w:shd w:val="clear" w:color="auto" w:fill="auto"/>
        </w:rPr>
        <w:t></w:t>
      </w:r>
      <w:r>
        <w:rPr>
          <w:shd w:val="clear" w:color="auto" w:fill="auto"/>
        </w:rPr>
        <w:t xml:space="preserve">-pathology in the multivariable regression models. Neither did analyses where lipid-lowering medication at follow-up was substituted with lipid-lowering medication at baseline, alter the results (no individuals in the PET </w:t>
      </w:r>
      <w:r>
        <w:rPr>
          <w:shd w:val="clear" w:color="auto" w:fill="auto"/>
        </w:rPr>
        <w:lastRenderedPageBreak/>
        <w:t>group used lipid-lowering medication at baseline). Further, the results were not altered when we substituted BMI with weight reduction between baseline and follow-up.</w:t>
      </w:r>
    </w:p>
    <w:p w:rsidR="00A307D1" w:rsidRDefault="00513106" w:rsidP="00513106">
      <w:pPr>
        <w:spacing w:after="227" w:line="470" w:lineRule="auto"/>
        <w:ind w:left="-5"/>
      </w:pPr>
      <w:r w:rsidRPr="00513106">
        <w:rPr>
          <w:shd w:val="clear" w:color="auto" w:fill="auto"/>
        </w:rPr>
        <w:t>When logistic regression models were performed without any variable elimination, all the presented significant associations between triglycerides and brain Aβ remained robust (p&lt;0.05).</w:t>
      </w:r>
      <w:r w:rsidR="0005097D">
        <w:rPr>
          <w:shd w:val="clear" w:color="auto" w:fill="auto"/>
        </w:rPr>
        <w:t xml:space="preserve">  </w:t>
      </w:r>
    </w:p>
    <w:p w:rsidR="00A307D1" w:rsidRDefault="0005097D">
      <w:pPr>
        <w:pStyle w:val="Heading3"/>
      </w:pPr>
      <w:r>
        <w:t>APOE</w:t>
      </w:r>
      <w:r>
        <w:rPr>
          <w:i w:val="0"/>
        </w:rPr>
        <w:t xml:space="preserve"> ε4 </w:t>
      </w:r>
    </w:p>
    <w:p w:rsidR="00A307D1" w:rsidRDefault="0005097D">
      <w:pPr>
        <w:ind w:left="-5"/>
      </w:pPr>
      <w:r>
        <w:rPr>
          <w:shd w:val="clear" w:color="auto" w:fill="auto"/>
        </w:rPr>
        <w:t xml:space="preserve">Presence of </w:t>
      </w:r>
      <w:r>
        <w:rPr>
          <w:i/>
          <w:shd w:val="clear" w:color="auto" w:fill="auto"/>
        </w:rPr>
        <w:t>APOE</w:t>
      </w:r>
      <w:r>
        <w:rPr>
          <w:shd w:val="clear" w:color="auto" w:fill="auto"/>
        </w:rPr>
        <w:t xml:space="preserve"> ε4 was strongly associated with abnormal CSF Aβ</w:t>
      </w:r>
      <w:r>
        <w:rPr>
          <w:shd w:val="clear" w:color="auto" w:fill="auto"/>
          <w:vertAlign w:val="subscript"/>
        </w:rPr>
        <w:t>42</w:t>
      </w:r>
      <w:r>
        <w:rPr>
          <w:shd w:val="clear" w:color="auto" w:fill="auto"/>
        </w:rPr>
        <w:t xml:space="preserve"> (OR 7.96, 95% CI 4.4114.4, </w:t>
      </w:r>
      <w:r>
        <w:rPr>
          <w:i/>
          <w:shd w:val="clear" w:color="auto" w:fill="auto"/>
        </w:rPr>
        <w:t>p</w:t>
      </w:r>
      <w:r>
        <w:rPr>
          <w:shd w:val="clear" w:color="auto" w:fill="auto"/>
        </w:rPr>
        <w:t>&lt;0.0001), abnormal Aβ</w:t>
      </w:r>
      <w:r>
        <w:rPr>
          <w:shd w:val="clear" w:color="auto" w:fill="auto"/>
          <w:vertAlign w:val="subscript"/>
        </w:rPr>
        <w:t>42</w:t>
      </w:r>
      <w:r>
        <w:rPr>
          <w:shd w:val="clear" w:color="auto" w:fill="auto"/>
        </w:rPr>
        <w:t xml:space="preserve">/P-tau ratio (OR 7.32, 95% CI 3.71-14.5; </w:t>
      </w:r>
      <w:r>
        <w:rPr>
          <w:i/>
          <w:shd w:val="clear" w:color="auto" w:fill="auto"/>
        </w:rPr>
        <w:t>p</w:t>
      </w:r>
      <w:r>
        <w:rPr>
          <w:shd w:val="clear" w:color="auto" w:fill="auto"/>
        </w:rPr>
        <w:t xml:space="preserve">&lt;0.0001), and abnormal Aβ PET (OR 7.85, 95% CI 2.72-22.6; </w:t>
      </w:r>
      <w:r>
        <w:rPr>
          <w:i/>
          <w:shd w:val="clear" w:color="auto" w:fill="auto"/>
        </w:rPr>
        <w:t>p</w:t>
      </w:r>
      <w:r>
        <w:rPr>
          <w:shd w:val="clear" w:color="auto" w:fill="auto"/>
        </w:rPr>
        <w:t>&lt;0.0001) in multivariable logistic regression models adjusting for</w:t>
      </w:r>
      <w:r w:rsidR="00513106">
        <w:rPr>
          <w:shd w:val="clear" w:color="auto" w:fill="auto"/>
        </w:rPr>
        <w:t xml:space="preserve"> </w:t>
      </w:r>
      <w:r w:rsidR="00513106" w:rsidRPr="00513106">
        <w:rPr>
          <w:shd w:val="clear" w:color="auto" w:fill="auto"/>
        </w:rPr>
        <w:t xml:space="preserve">age, gender, education, triglycerides, IMT, systolic blood pressure, </w:t>
      </w:r>
      <w:proofErr w:type="spellStart"/>
      <w:r w:rsidR="00513106" w:rsidRPr="00513106">
        <w:rPr>
          <w:shd w:val="clear" w:color="auto" w:fill="auto"/>
        </w:rPr>
        <w:t>fbglucose</w:t>
      </w:r>
      <w:proofErr w:type="spellEnd"/>
      <w:r w:rsidR="00513106" w:rsidRPr="00513106">
        <w:rPr>
          <w:shd w:val="clear" w:color="auto" w:fill="auto"/>
        </w:rPr>
        <w:t xml:space="preserve">, BMI, cardiovascular disease, smoking, physical </w:t>
      </w:r>
      <w:proofErr w:type="gramStart"/>
      <w:r w:rsidR="00513106" w:rsidRPr="00513106">
        <w:rPr>
          <w:shd w:val="clear" w:color="auto" w:fill="auto"/>
        </w:rPr>
        <w:t>activity</w:t>
      </w:r>
      <w:proofErr w:type="gramEnd"/>
      <w:r w:rsidR="00513106" w:rsidRPr="00513106">
        <w:rPr>
          <w:shd w:val="clear" w:color="auto" w:fill="auto"/>
        </w:rPr>
        <w:t xml:space="preserve"> and lipid-lowering medication (at follow-up). We found no statistical interactions between triglyceride level and APOE ε4 (p&gt;0.05) when simultaneously entering triglycerides, APOE ε4 and a variable consisting of their product (triglycerides × APOE ε4) in regression models.</w:t>
      </w:r>
      <w:r>
        <w:rPr>
          <w:shd w:val="clear" w:color="auto" w:fill="auto"/>
        </w:rPr>
        <w:t xml:space="preserve"> </w:t>
      </w:r>
    </w:p>
    <w:p w:rsidR="00A307D1" w:rsidRDefault="0005097D">
      <w:pPr>
        <w:pStyle w:val="Heading1"/>
        <w:ind w:left="-5"/>
      </w:pPr>
      <w:r>
        <w:t xml:space="preserve">e-References </w:t>
      </w:r>
    </w:p>
    <w:p w:rsidR="00A307D1" w:rsidRDefault="0005097D">
      <w:pPr>
        <w:numPr>
          <w:ilvl w:val="0"/>
          <w:numId w:val="1"/>
        </w:numPr>
        <w:spacing w:after="12" w:line="241" w:lineRule="auto"/>
      </w:pPr>
      <w:r>
        <w:rPr>
          <w:rFonts w:ascii="Calibri" w:eastAsia="Calibri" w:hAnsi="Calibri" w:cs="Calibri"/>
          <w:sz w:val="22"/>
          <w:shd w:val="clear" w:color="auto" w:fill="auto"/>
        </w:rPr>
        <w:t xml:space="preserve">Berglund G, </w:t>
      </w:r>
      <w:proofErr w:type="spellStart"/>
      <w:r>
        <w:rPr>
          <w:rFonts w:ascii="Calibri" w:eastAsia="Calibri" w:hAnsi="Calibri" w:cs="Calibri"/>
          <w:sz w:val="22"/>
          <w:shd w:val="clear" w:color="auto" w:fill="auto"/>
        </w:rPr>
        <w:t>Elmstahl</w:t>
      </w:r>
      <w:proofErr w:type="spellEnd"/>
      <w:r>
        <w:rPr>
          <w:rFonts w:ascii="Calibri" w:eastAsia="Calibri" w:hAnsi="Calibri" w:cs="Calibri"/>
          <w:sz w:val="22"/>
          <w:shd w:val="clear" w:color="auto" w:fill="auto"/>
        </w:rPr>
        <w:t xml:space="preserve"> S, </w:t>
      </w:r>
      <w:proofErr w:type="spellStart"/>
      <w:r>
        <w:rPr>
          <w:rFonts w:ascii="Calibri" w:eastAsia="Calibri" w:hAnsi="Calibri" w:cs="Calibri"/>
          <w:sz w:val="22"/>
          <w:shd w:val="clear" w:color="auto" w:fill="auto"/>
        </w:rPr>
        <w:t>Janzon</w:t>
      </w:r>
      <w:proofErr w:type="spellEnd"/>
      <w:r>
        <w:rPr>
          <w:rFonts w:ascii="Calibri" w:eastAsia="Calibri" w:hAnsi="Calibri" w:cs="Calibri"/>
          <w:sz w:val="22"/>
          <w:shd w:val="clear" w:color="auto" w:fill="auto"/>
        </w:rPr>
        <w:t xml:space="preserve"> L, Larsson SA. The Malmo Diet and Cancer Study. Design and feasibility. J Intern Med </w:t>
      </w:r>
      <w:proofErr w:type="gramStart"/>
      <w:r>
        <w:rPr>
          <w:rFonts w:ascii="Calibri" w:eastAsia="Calibri" w:hAnsi="Calibri" w:cs="Calibri"/>
          <w:sz w:val="22"/>
          <w:shd w:val="clear" w:color="auto" w:fill="auto"/>
        </w:rPr>
        <w:t>1993;233:45</w:t>
      </w:r>
      <w:proofErr w:type="gramEnd"/>
      <w:r>
        <w:rPr>
          <w:rFonts w:ascii="Calibri" w:eastAsia="Calibri" w:hAnsi="Calibri" w:cs="Calibri"/>
          <w:sz w:val="22"/>
          <w:shd w:val="clear" w:color="auto" w:fill="auto"/>
        </w:rPr>
        <w:t xml:space="preserve">-51. </w:t>
      </w:r>
    </w:p>
    <w:p w:rsidR="00A307D1" w:rsidRDefault="0005097D">
      <w:pPr>
        <w:numPr>
          <w:ilvl w:val="0"/>
          <w:numId w:val="1"/>
        </w:numPr>
        <w:spacing w:after="12" w:line="241" w:lineRule="auto"/>
      </w:pPr>
      <w:proofErr w:type="spellStart"/>
      <w:r>
        <w:rPr>
          <w:rFonts w:ascii="Calibri" w:eastAsia="Calibri" w:hAnsi="Calibri" w:cs="Calibri"/>
          <w:sz w:val="22"/>
          <w:shd w:val="clear" w:color="auto" w:fill="auto"/>
        </w:rPr>
        <w:t>Manjer</w:t>
      </w:r>
      <w:proofErr w:type="spellEnd"/>
      <w:r>
        <w:rPr>
          <w:rFonts w:ascii="Calibri" w:eastAsia="Calibri" w:hAnsi="Calibri" w:cs="Calibri"/>
          <w:sz w:val="22"/>
          <w:shd w:val="clear" w:color="auto" w:fill="auto"/>
        </w:rPr>
        <w:t xml:space="preserve"> J, </w:t>
      </w:r>
      <w:proofErr w:type="spellStart"/>
      <w:r>
        <w:rPr>
          <w:rFonts w:ascii="Calibri" w:eastAsia="Calibri" w:hAnsi="Calibri" w:cs="Calibri"/>
          <w:sz w:val="22"/>
          <w:shd w:val="clear" w:color="auto" w:fill="auto"/>
        </w:rPr>
        <w:t>Carlsson</w:t>
      </w:r>
      <w:proofErr w:type="spellEnd"/>
      <w:r>
        <w:rPr>
          <w:rFonts w:ascii="Calibri" w:eastAsia="Calibri" w:hAnsi="Calibri" w:cs="Calibri"/>
          <w:sz w:val="22"/>
          <w:shd w:val="clear" w:color="auto" w:fill="auto"/>
        </w:rPr>
        <w:t xml:space="preserve"> S, </w:t>
      </w:r>
      <w:proofErr w:type="spellStart"/>
      <w:r>
        <w:rPr>
          <w:rFonts w:ascii="Calibri" w:eastAsia="Calibri" w:hAnsi="Calibri" w:cs="Calibri"/>
          <w:sz w:val="22"/>
          <w:shd w:val="clear" w:color="auto" w:fill="auto"/>
        </w:rPr>
        <w:t>Elmstahl</w:t>
      </w:r>
      <w:proofErr w:type="spellEnd"/>
      <w:r>
        <w:rPr>
          <w:rFonts w:ascii="Calibri" w:eastAsia="Calibri" w:hAnsi="Calibri" w:cs="Calibri"/>
          <w:sz w:val="22"/>
          <w:shd w:val="clear" w:color="auto" w:fill="auto"/>
        </w:rPr>
        <w:t xml:space="preserve"> S, et al. The Malmo Diet and Cancer Study: </w:t>
      </w:r>
      <w:proofErr w:type="spellStart"/>
      <w:r>
        <w:rPr>
          <w:rFonts w:ascii="Calibri" w:eastAsia="Calibri" w:hAnsi="Calibri" w:cs="Calibri"/>
          <w:sz w:val="22"/>
          <w:shd w:val="clear" w:color="auto" w:fill="auto"/>
        </w:rPr>
        <w:t>representativity</w:t>
      </w:r>
      <w:proofErr w:type="spellEnd"/>
      <w:r>
        <w:rPr>
          <w:rFonts w:ascii="Calibri" w:eastAsia="Calibri" w:hAnsi="Calibri" w:cs="Calibri"/>
          <w:sz w:val="22"/>
          <w:shd w:val="clear" w:color="auto" w:fill="auto"/>
        </w:rPr>
        <w:t xml:space="preserve">, cancer incidence and mortality in participants and non-participants. </w:t>
      </w:r>
      <w:proofErr w:type="spellStart"/>
      <w:r>
        <w:rPr>
          <w:rFonts w:ascii="Calibri" w:eastAsia="Calibri" w:hAnsi="Calibri" w:cs="Calibri"/>
          <w:sz w:val="22"/>
          <w:shd w:val="clear" w:color="auto" w:fill="auto"/>
        </w:rPr>
        <w:t>Eur</w:t>
      </w:r>
      <w:proofErr w:type="spellEnd"/>
      <w:r>
        <w:rPr>
          <w:rFonts w:ascii="Calibri" w:eastAsia="Calibri" w:hAnsi="Calibri" w:cs="Calibri"/>
          <w:sz w:val="22"/>
          <w:shd w:val="clear" w:color="auto" w:fill="auto"/>
        </w:rPr>
        <w:t xml:space="preserve"> J Cancer </w:t>
      </w:r>
      <w:proofErr w:type="spellStart"/>
      <w:r>
        <w:rPr>
          <w:rFonts w:ascii="Calibri" w:eastAsia="Calibri" w:hAnsi="Calibri" w:cs="Calibri"/>
          <w:sz w:val="22"/>
          <w:shd w:val="clear" w:color="auto" w:fill="auto"/>
        </w:rPr>
        <w:t>Prev</w:t>
      </w:r>
      <w:proofErr w:type="spellEnd"/>
      <w:r>
        <w:rPr>
          <w:rFonts w:ascii="Calibri" w:eastAsia="Calibri" w:hAnsi="Calibri" w:cs="Calibri"/>
          <w:sz w:val="22"/>
          <w:shd w:val="clear" w:color="auto" w:fill="auto"/>
        </w:rPr>
        <w:t xml:space="preserve"> </w:t>
      </w:r>
      <w:proofErr w:type="gramStart"/>
      <w:r>
        <w:rPr>
          <w:rFonts w:ascii="Calibri" w:eastAsia="Calibri" w:hAnsi="Calibri" w:cs="Calibri"/>
          <w:sz w:val="22"/>
          <w:shd w:val="clear" w:color="auto" w:fill="auto"/>
        </w:rPr>
        <w:t>2001;10:489</w:t>
      </w:r>
      <w:proofErr w:type="gramEnd"/>
      <w:r>
        <w:rPr>
          <w:rFonts w:ascii="Calibri" w:eastAsia="Calibri" w:hAnsi="Calibri" w:cs="Calibri"/>
          <w:sz w:val="22"/>
          <w:shd w:val="clear" w:color="auto" w:fill="auto"/>
        </w:rPr>
        <w:t xml:space="preserve">-499. 3. </w:t>
      </w:r>
      <w:r>
        <w:rPr>
          <w:rFonts w:ascii="Calibri" w:eastAsia="Calibri" w:hAnsi="Calibri" w:cs="Calibri"/>
          <w:sz w:val="22"/>
          <w:shd w:val="clear" w:color="auto" w:fill="auto"/>
        </w:rPr>
        <w:tab/>
      </w:r>
      <w:proofErr w:type="spellStart"/>
      <w:r>
        <w:rPr>
          <w:rFonts w:ascii="Calibri" w:eastAsia="Calibri" w:hAnsi="Calibri" w:cs="Calibri"/>
          <w:sz w:val="22"/>
          <w:shd w:val="clear" w:color="auto" w:fill="auto"/>
        </w:rPr>
        <w:t>Hedblad</w:t>
      </w:r>
      <w:proofErr w:type="spellEnd"/>
      <w:r>
        <w:rPr>
          <w:rFonts w:ascii="Calibri" w:eastAsia="Calibri" w:hAnsi="Calibri" w:cs="Calibri"/>
          <w:sz w:val="22"/>
          <w:shd w:val="clear" w:color="auto" w:fill="auto"/>
        </w:rPr>
        <w:t xml:space="preserve"> B, Nilsson P, </w:t>
      </w:r>
      <w:proofErr w:type="spellStart"/>
      <w:r>
        <w:rPr>
          <w:rFonts w:ascii="Calibri" w:eastAsia="Calibri" w:hAnsi="Calibri" w:cs="Calibri"/>
          <w:sz w:val="22"/>
          <w:shd w:val="clear" w:color="auto" w:fill="auto"/>
        </w:rPr>
        <w:t>Janzon</w:t>
      </w:r>
      <w:proofErr w:type="spellEnd"/>
      <w:r>
        <w:rPr>
          <w:rFonts w:ascii="Calibri" w:eastAsia="Calibri" w:hAnsi="Calibri" w:cs="Calibri"/>
          <w:sz w:val="22"/>
          <w:shd w:val="clear" w:color="auto" w:fill="auto"/>
        </w:rPr>
        <w:t xml:space="preserve"> L, Berglund G. Relation between insulin resistance and carotid intima-media thickness and stenosis in non-diabetic subjects. Results from a cross-sectional study in Malmo, Sweden. </w:t>
      </w:r>
      <w:proofErr w:type="spellStart"/>
      <w:r>
        <w:rPr>
          <w:rFonts w:ascii="Calibri" w:eastAsia="Calibri" w:hAnsi="Calibri" w:cs="Calibri"/>
          <w:sz w:val="22"/>
          <w:shd w:val="clear" w:color="auto" w:fill="auto"/>
        </w:rPr>
        <w:t>Diabet</w:t>
      </w:r>
      <w:proofErr w:type="spellEnd"/>
      <w:r>
        <w:rPr>
          <w:rFonts w:ascii="Calibri" w:eastAsia="Calibri" w:hAnsi="Calibri" w:cs="Calibri"/>
          <w:sz w:val="22"/>
          <w:shd w:val="clear" w:color="auto" w:fill="auto"/>
        </w:rPr>
        <w:t xml:space="preserve"> Med </w:t>
      </w:r>
      <w:proofErr w:type="gramStart"/>
      <w:r>
        <w:rPr>
          <w:rFonts w:ascii="Calibri" w:eastAsia="Calibri" w:hAnsi="Calibri" w:cs="Calibri"/>
          <w:sz w:val="22"/>
          <w:shd w:val="clear" w:color="auto" w:fill="auto"/>
        </w:rPr>
        <w:t>2000;17:299</w:t>
      </w:r>
      <w:proofErr w:type="gramEnd"/>
      <w:r>
        <w:rPr>
          <w:rFonts w:ascii="Calibri" w:eastAsia="Calibri" w:hAnsi="Calibri" w:cs="Calibri"/>
          <w:sz w:val="22"/>
          <w:shd w:val="clear" w:color="auto" w:fill="auto"/>
        </w:rPr>
        <w:t xml:space="preserve">-307. </w:t>
      </w:r>
    </w:p>
    <w:p w:rsidR="00A307D1" w:rsidRDefault="0005097D">
      <w:pPr>
        <w:spacing w:after="159" w:line="241" w:lineRule="auto"/>
        <w:ind w:left="-5"/>
      </w:pPr>
      <w:r>
        <w:rPr>
          <w:rFonts w:ascii="Calibri" w:eastAsia="Calibri" w:hAnsi="Calibri" w:cs="Calibri"/>
          <w:sz w:val="22"/>
          <w:shd w:val="clear" w:color="auto" w:fill="auto"/>
        </w:rPr>
        <w:t xml:space="preserve">4. </w:t>
      </w:r>
      <w:r>
        <w:rPr>
          <w:rFonts w:ascii="Calibri" w:eastAsia="Calibri" w:hAnsi="Calibri" w:cs="Calibri"/>
          <w:sz w:val="22"/>
          <w:shd w:val="clear" w:color="auto" w:fill="auto"/>
        </w:rPr>
        <w:tab/>
        <w:t xml:space="preserve">Taylor HL, Jacobs DR, Jr., </w:t>
      </w:r>
      <w:proofErr w:type="spellStart"/>
      <w:r>
        <w:rPr>
          <w:rFonts w:ascii="Calibri" w:eastAsia="Calibri" w:hAnsi="Calibri" w:cs="Calibri"/>
          <w:sz w:val="22"/>
          <w:shd w:val="clear" w:color="auto" w:fill="auto"/>
        </w:rPr>
        <w:t>Schucker</w:t>
      </w:r>
      <w:proofErr w:type="spellEnd"/>
      <w:r>
        <w:rPr>
          <w:rFonts w:ascii="Calibri" w:eastAsia="Calibri" w:hAnsi="Calibri" w:cs="Calibri"/>
          <w:sz w:val="22"/>
          <w:shd w:val="clear" w:color="auto" w:fill="auto"/>
        </w:rPr>
        <w:t xml:space="preserve"> B, Knudsen J, Leon AS, </w:t>
      </w:r>
      <w:proofErr w:type="spellStart"/>
      <w:r>
        <w:rPr>
          <w:rFonts w:ascii="Calibri" w:eastAsia="Calibri" w:hAnsi="Calibri" w:cs="Calibri"/>
          <w:sz w:val="22"/>
          <w:shd w:val="clear" w:color="auto" w:fill="auto"/>
        </w:rPr>
        <w:t>Debacker</w:t>
      </w:r>
      <w:proofErr w:type="spellEnd"/>
      <w:r>
        <w:rPr>
          <w:rFonts w:ascii="Calibri" w:eastAsia="Calibri" w:hAnsi="Calibri" w:cs="Calibri"/>
          <w:sz w:val="22"/>
          <w:shd w:val="clear" w:color="auto" w:fill="auto"/>
        </w:rPr>
        <w:t xml:space="preserve"> G. A questionnaire for the assessment of leisure time physical activities. J Chronic Dis </w:t>
      </w:r>
      <w:proofErr w:type="gramStart"/>
      <w:r>
        <w:rPr>
          <w:rFonts w:ascii="Calibri" w:eastAsia="Calibri" w:hAnsi="Calibri" w:cs="Calibri"/>
          <w:sz w:val="22"/>
          <w:shd w:val="clear" w:color="auto" w:fill="auto"/>
        </w:rPr>
        <w:t>1978;31:741</w:t>
      </w:r>
      <w:proofErr w:type="gramEnd"/>
      <w:r>
        <w:rPr>
          <w:rFonts w:ascii="Calibri" w:eastAsia="Calibri" w:hAnsi="Calibri" w:cs="Calibri"/>
          <w:sz w:val="22"/>
          <w:shd w:val="clear" w:color="auto" w:fill="auto"/>
        </w:rPr>
        <w:t xml:space="preserve">-755. </w:t>
      </w:r>
    </w:p>
    <w:p w:rsidR="00A307D1" w:rsidRDefault="0005097D">
      <w:pPr>
        <w:spacing w:after="175" w:line="259" w:lineRule="auto"/>
        <w:ind w:left="0" w:firstLine="0"/>
      </w:pPr>
      <w:r>
        <w:rPr>
          <w:rFonts w:ascii="Calibri" w:eastAsia="Calibri" w:hAnsi="Calibri" w:cs="Calibri"/>
          <w:sz w:val="22"/>
          <w:shd w:val="clear" w:color="auto" w:fill="auto"/>
        </w:rPr>
        <w:t xml:space="preserve"> </w:t>
      </w:r>
    </w:p>
    <w:p w:rsidR="00A307D1" w:rsidRDefault="0005097D">
      <w:pPr>
        <w:spacing w:after="0" w:line="259" w:lineRule="auto"/>
        <w:ind w:left="0" w:firstLine="0"/>
      </w:pPr>
      <w:r>
        <w:rPr>
          <w:sz w:val="18"/>
          <w:shd w:val="clear" w:color="auto" w:fill="auto"/>
        </w:rPr>
        <w:t xml:space="preserve"> </w:t>
      </w:r>
    </w:p>
    <w:sectPr w:rsidR="00A307D1">
      <w:headerReference w:type="even" r:id="rId7"/>
      <w:headerReference w:type="default" r:id="rId8"/>
      <w:footerReference w:type="even" r:id="rId9"/>
      <w:footerReference w:type="default" r:id="rId10"/>
      <w:headerReference w:type="first" r:id="rId11"/>
      <w:footerReference w:type="first" r:id="rId12"/>
      <w:pgSz w:w="12240" w:h="15840"/>
      <w:pgMar w:top="1613" w:right="1417" w:bottom="1882" w:left="1416" w:header="749"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0AF" w:rsidRDefault="003320AF">
      <w:pPr>
        <w:spacing w:after="0" w:line="240" w:lineRule="auto"/>
      </w:pPr>
      <w:r>
        <w:separator/>
      </w:r>
    </w:p>
  </w:endnote>
  <w:endnote w:type="continuationSeparator" w:id="0">
    <w:p w:rsidR="003320AF" w:rsidRDefault="0033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7D1" w:rsidRDefault="0005097D">
    <w:pPr>
      <w:spacing w:after="16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shd w:val="clear" w:color="auto" w:fill="auto"/>
      </w:rPr>
      <w:t>1</w:t>
    </w:r>
    <w:r>
      <w:rPr>
        <w:rFonts w:ascii="Calibri" w:eastAsia="Calibri" w:hAnsi="Calibri" w:cs="Calibri"/>
        <w:sz w:val="22"/>
        <w:shd w:val="clear" w:color="auto" w:fill="auto"/>
      </w:rPr>
      <w:fldChar w:fldCharType="end"/>
    </w:r>
    <w:r>
      <w:rPr>
        <w:rFonts w:ascii="Calibri" w:eastAsia="Calibri" w:hAnsi="Calibri" w:cs="Calibri"/>
        <w:sz w:val="22"/>
        <w:shd w:val="clear" w:color="auto" w:fill="auto"/>
      </w:rPr>
      <w:t xml:space="preserve"> </w:t>
    </w:r>
  </w:p>
  <w:p w:rsidR="00A307D1" w:rsidRDefault="0005097D">
    <w:pPr>
      <w:spacing w:after="0" w:line="259" w:lineRule="auto"/>
      <w:ind w:left="0" w:firstLine="0"/>
    </w:pPr>
    <w:r>
      <w:rPr>
        <w:rFonts w:ascii="Calibri" w:eastAsia="Calibri" w:hAnsi="Calibri" w:cs="Calibri"/>
        <w:sz w:val="22"/>
        <w:shd w:val="clear" w:color="auto" w:fill="aut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7D1" w:rsidRDefault="0005097D">
    <w:pPr>
      <w:spacing w:after="160" w:line="259" w:lineRule="auto"/>
      <w:ind w:left="0" w:right="-2" w:firstLine="0"/>
      <w:jc w:val="right"/>
    </w:pPr>
    <w:r>
      <w:fldChar w:fldCharType="begin"/>
    </w:r>
    <w:r>
      <w:instrText xml:space="preserve"> PAGE   \* MERGEFORMAT </w:instrText>
    </w:r>
    <w:r>
      <w:fldChar w:fldCharType="separate"/>
    </w:r>
    <w:r w:rsidR="001D34AE" w:rsidRPr="001D34AE">
      <w:rPr>
        <w:rFonts w:ascii="Calibri" w:eastAsia="Calibri" w:hAnsi="Calibri" w:cs="Calibri"/>
        <w:noProof/>
        <w:sz w:val="22"/>
        <w:shd w:val="clear" w:color="auto" w:fill="auto"/>
      </w:rPr>
      <w:t>3</w:t>
    </w:r>
    <w:r>
      <w:rPr>
        <w:rFonts w:ascii="Calibri" w:eastAsia="Calibri" w:hAnsi="Calibri" w:cs="Calibri"/>
        <w:sz w:val="22"/>
        <w:shd w:val="clear" w:color="auto" w:fill="auto"/>
      </w:rPr>
      <w:fldChar w:fldCharType="end"/>
    </w:r>
    <w:r>
      <w:rPr>
        <w:rFonts w:ascii="Calibri" w:eastAsia="Calibri" w:hAnsi="Calibri" w:cs="Calibri"/>
        <w:sz w:val="22"/>
        <w:shd w:val="clear" w:color="auto" w:fill="auto"/>
      </w:rPr>
      <w:t xml:space="preserve"> </w:t>
    </w:r>
  </w:p>
  <w:p w:rsidR="00A307D1" w:rsidRDefault="0005097D">
    <w:pPr>
      <w:spacing w:after="0" w:line="259" w:lineRule="auto"/>
      <w:ind w:left="0" w:firstLine="0"/>
    </w:pPr>
    <w:r>
      <w:rPr>
        <w:rFonts w:ascii="Calibri" w:eastAsia="Calibri" w:hAnsi="Calibri" w:cs="Calibri"/>
        <w:sz w:val="22"/>
        <w:shd w:val="clear" w:color="auto" w:fill="aut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7D1" w:rsidRDefault="0005097D">
    <w:pPr>
      <w:spacing w:after="16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shd w:val="clear" w:color="auto" w:fill="auto"/>
      </w:rPr>
      <w:t>1</w:t>
    </w:r>
    <w:r>
      <w:rPr>
        <w:rFonts w:ascii="Calibri" w:eastAsia="Calibri" w:hAnsi="Calibri" w:cs="Calibri"/>
        <w:sz w:val="22"/>
        <w:shd w:val="clear" w:color="auto" w:fill="auto"/>
      </w:rPr>
      <w:fldChar w:fldCharType="end"/>
    </w:r>
    <w:r>
      <w:rPr>
        <w:rFonts w:ascii="Calibri" w:eastAsia="Calibri" w:hAnsi="Calibri" w:cs="Calibri"/>
        <w:sz w:val="22"/>
        <w:shd w:val="clear" w:color="auto" w:fill="auto"/>
      </w:rPr>
      <w:t xml:space="preserve"> </w:t>
    </w:r>
  </w:p>
  <w:p w:rsidR="00A307D1" w:rsidRDefault="0005097D">
    <w:pPr>
      <w:spacing w:after="0" w:line="259" w:lineRule="auto"/>
      <w:ind w:left="0" w:firstLine="0"/>
    </w:pPr>
    <w:r>
      <w:rPr>
        <w:rFonts w:ascii="Calibri" w:eastAsia="Calibri" w:hAnsi="Calibri" w:cs="Calibri"/>
        <w:sz w:val="22"/>
        <w:shd w:val="clear" w:color="auto" w:fil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0AF" w:rsidRDefault="003320AF">
      <w:pPr>
        <w:spacing w:after="0" w:line="240" w:lineRule="auto"/>
      </w:pPr>
      <w:r>
        <w:separator/>
      </w:r>
    </w:p>
  </w:footnote>
  <w:footnote w:type="continuationSeparator" w:id="0">
    <w:p w:rsidR="003320AF" w:rsidRDefault="00332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7D1" w:rsidRDefault="0005097D">
    <w:pPr>
      <w:spacing w:after="158"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shd w:val="clear" w:color="auto" w:fill="auto"/>
      </w:rPr>
      <w:t>1</w:t>
    </w:r>
    <w:r>
      <w:rPr>
        <w:rFonts w:ascii="Calibri" w:eastAsia="Calibri" w:hAnsi="Calibri" w:cs="Calibri"/>
        <w:sz w:val="22"/>
        <w:shd w:val="clear" w:color="auto" w:fill="auto"/>
      </w:rPr>
      <w:fldChar w:fldCharType="end"/>
    </w:r>
    <w:r>
      <w:rPr>
        <w:rFonts w:ascii="Calibri" w:eastAsia="Calibri" w:hAnsi="Calibri" w:cs="Calibri"/>
        <w:sz w:val="22"/>
        <w:shd w:val="clear" w:color="auto" w:fill="auto"/>
      </w:rPr>
      <w:t xml:space="preserve"> </w:t>
    </w:r>
  </w:p>
  <w:p w:rsidR="00A307D1" w:rsidRDefault="0005097D">
    <w:pPr>
      <w:spacing w:after="0" w:line="259" w:lineRule="auto"/>
      <w:ind w:left="0" w:firstLine="0"/>
    </w:pPr>
    <w:r>
      <w:rPr>
        <w:rFonts w:ascii="Calibri" w:eastAsia="Calibri" w:hAnsi="Calibri" w:cs="Calibri"/>
        <w:sz w:val="22"/>
        <w:shd w:val="clear" w:color="auto" w:fil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7D1" w:rsidRDefault="0005097D">
    <w:pPr>
      <w:spacing w:after="158" w:line="259" w:lineRule="auto"/>
      <w:ind w:left="0" w:right="-2" w:firstLine="0"/>
      <w:jc w:val="right"/>
    </w:pPr>
    <w:r>
      <w:fldChar w:fldCharType="begin"/>
    </w:r>
    <w:r>
      <w:instrText xml:space="preserve"> PAGE   \* MERGEFORMAT </w:instrText>
    </w:r>
    <w:r>
      <w:fldChar w:fldCharType="separate"/>
    </w:r>
    <w:r w:rsidR="001D34AE" w:rsidRPr="001D34AE">
      <w:rPr>
        <w:rFonts w:ascii="Calibri" w:eastAsia="Calibri" w:hAnsi="Calibri" w:cs="Calibri"/>
        <w:noProof/>
        <w:sz w:val="22"/>
        <w:shd w:val="clear" w:color="auto" w:fill="auto"/>
      </w:rPr>
      <w:t>3</w:t>
    </w:r>
    <w:r>
      <w:rPr>
        <w:rFonts w:ascii="Calibri" w:eastAsia="Calibri" w:hAnsi="Calibri" w:cs="Calibri"/>
        <w:sz w:val="22"/>
        <w:shd w:val="clear" w:color="auto" w:fill="auto"/>
      </w:rPr>
      <w:fldChar w:fldCharType="end"/>
    </w:r>
    <w:r>
      <w:rPr>
        <w:rFonts w:ascii="Calibri" w:eastAsia="Calibri" w:hAnsi="Calibri" w:cs="Calibri"/>
        <w:sz w:val="22"/>
        <w:shd w:val="clear" w:color="auto" w:fill="auto"/>
      </w:rPr>
      <w:t xml:space="preserve"> </w:t>
    </w:r>
  </w:p>
  <w:p w:rsidR="00A307D1" w:rsidRDefault="0005097D">
    <w:pPr>
      <w:spacing w:after="0" w:line="259" w:lineRule="auto"/>
      <w:ind w:left="0" w:firstLine="0"/>
    </w:pPr>
    <w:r>
      <w:rPr>
        <w:rFonts w:ascii="Calibri" w:eastAsia="Calibri" w:hAnsi="Calibri" w:cs="Calibri"/>
        <w:sz w:val="22"/>
        <w:shd w:val="clear" w:color="auto" w:fil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7D1" w:rsidRDefault="0005097D">
    <w:pPr>
      <w:spacing w:after="158"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shd w:val="clear" w:color="auto" w:fill="auto"/>
      </w:rPr>
      <w:t>1</w:t>
    </w:r>
    <w:r>
      <w:rPr>
        <w:rFonts w:ascii="Calibri" w:eastAsia="Calibri" w:hAnsi="Calibri" w:cs="Calibri"/>
        <w:sz w:val="22"/>
        <w:shd w:val="clear" w:color="auto" w:fill="auto"/>
      </w:rPr>
      <w:fldChar w:fldCharType="end"/>
    </w:r>
    <w:r>
      <w:rPr>
        <w:rFonts w:ascii="Calibri" w:eastAsia="Calibri" w:hAnsi="Calibri" w:cs="Calibri"/>
        <w:sz w:val="22"/>
        <w:shd w:val="clear" w:color="auto" w:fill="auto"/>
      </w:rPr>
      <w:t xml:space="preserve"> </w:t>
    </w:r>
  </w:p>
  <w:p w:rsidR="00A307D1" w:rsidRDefault="0005097D">
    <w:pPr>
      <w:spacing w:after="0" w:line="259" w:lineRule="auto"/>
      <w:ind w:left="0" w:firstLine="0"/>
    </w:pPr>
    <w:r>
      <w:rPr>
        <w:rFonts w:ascii="Calibri" w:eastAsia="Calibri" w:hAnsi="Calibri" w:cs="Calibri"/>
        <w:sz w:val="22"/>
        <w:shd w:val="clear" w:color="auto" w:fil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5FC"/>
    <w:multiLevelType w:val="hybridMultilevel"/>
    <w:tmpl w:val="ABB00808"/>
    <w:lvl w:ilvl="0" w:tplc="5C92C4B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D8BA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5CAC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FE29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C22B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DE9D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865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D057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4EFB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D1"/>
    <w:rsid w:val="0005097D"/>
    <w:rsid w:val="001D34AE"/>
    <w:rsid w:val="003320AF"/>
    <w:rsid w:val="00497D8F"/>
    <w:rsid w:val="00513106"/>
    <w:rsid w:val="00A3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62A92-7638-4263-91D5-81AB87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7" w:line="480" w:lineRule="auto"/>
      <w:ind w:left="10" w:hanging="10"/>
    </w:pPr>
    <w:rPr>
      <w:rFonts w:ascii="Times New Roman" w:eastAsia="Times New Roman" w:hAnsi="Times New Roman" w:cs="Times New Roman"/>
      <w:color w:val="000000"/>
      <w:sz w:val="24"/>
      <w:shd w:val="clear" w:color="auto" w:fill="FFFF00"/>
    </w:rPr>
  </w:style>
  <w:style w:type="paragraph" w:styleId="Heading1">
    <w:name w:val="heading 1"/>
    <w:next w:val="Normal"/>
    <w:link w:val="Heading1Char"/>
    <w:uiPriority w:val="9"/>
    <w:unhideWhenUsed/>
    <w:qFormat/>
    <w:pPr>
      <w:keepNext/>
      <w:keepLines/>
      <w:spacing w:after="258"/>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12"/>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279"/>
      <w:outlineLvl w:val="2"/>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4109</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Anna-Märta Gustavsson</dc:creator>
  <cp:keywords/>
  <cp:lastModifiedBy>Robert Witherow</cp:lastModifiedBy>
  <cp:revision>3</cp:revision>
  <dcterms:created xsi:type="dcterms:W3CDTF">2017-10-12T13:09:00Z</dcterms:created>
  <dcterms:modified xsi:type="dcterms:W3CDTF">2017-10-12T13:10:00Z</dcterms:modified>
</cp:coreProperties>
</file>