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74" w:rsidRDefault="00326374" w:rsidP="00326374">
      <w:pPr>
        <w:spacing w:line="360" w:lineRule="auto"/>
        <w:ind w:left="993" w:hanging="993"/>
      </w:pPr>
      <w:r>
        <w:t>Early predictors of mortality</w:t>
      </w:r>
      <w:r>
        <w:t xml:space="preserve"> in parkinsonism and Parkinson</w:t>
      </w:r>
      <w:r>
        <w:t xml:space="preserve"> disease: a population-based study</w:t>
      </w:r>
    </w:p>
    <w:p w:rsidR="00326374" w:rsidRDefault="00326374" w:rsidP="00326374">
      <w:pPr>
        <w:spacing w:line="360" w:lineRule="auto"/>
        <w:ind w:left="993" w:hanging="993"/>
      </w:pPr>
      <w:r>
        <w:t>Supplemental Digital Content</w:t>
      </w:r>
    </w:p>
    <w:p w:rsidR="00326374" w:rsidRDefault="00326374" w:rsidP="00326374">
      <w:pPr>
        <w:spacing w:line="360" w:lineRule="auto"/>
        <w:ind w:left="993" w:hanging="993"/>
      </w:pPr>
      <w:r>
        <w:t xml:space="preserve">David </w:t>
      </w:r>
      <w:proofErr w:type="spellStart"/>
      <w:r>
        <w:t>Bäckström</w:t>
      </w:r>
      <w:proofErr w:type="spellEnd"/>
      <w:r>
        <w:t xml:space="preserve"> et al.</w:t>
      </w:r>
    </w:p>
    <w:p w:rsidR="00326374" w:rsidRDefault="00326374" w:rsidP="00326374">
      <w:pPr>
        <w:spacing w:line="360" w:lineRule="auto"/>
        <w:ind w:left="993" w:hanging="993"/>
      </w:pPr>
    </w:p>
    <w:p w:rsidR="00326374" w:rsidRDefault="00766B1D" w:rsidP="00326374">
      <w:pPr>
        <w:spacing w:line="360" w:lineRule="auto"/>
        <w:ind w:left="993" w:hanging="993"/>
      </w:pPr>
      <w:r>
        <w:rPr>
          <w:b/>
        </w:rPr>
        <w:t>Table e-1, SDC</w:t>
      </w:r>
      <w:r w:rsidR="00326374" w:rsidRPr="00326374">
        <w:rPr>
          <w:b/>
        </w:rPr>
        <w:t>.</w:t>
      </w:r>
      <w:r w:rsidR="00326374" w:rsidRPr="00326374">
        <w:t xml:space="preserve"> Survival</w:t>
      </w:r>
      <w:r w:rsidR="00326374" w:rsidRPr="00326374">
        <w:rPr>
          <w:lang w:bidi="sv-SE"/>
        </w:rPr>
        <w:t xml:space="preserve"> in incident, idiopathic Parkinsonism</w:t>
      </w:r>
    </w:p>
    <w:p w:rsidR="00326374" w:rsidRPr="00777FEF" w:rsidRDefault="00326374" w:rsidP="00326374">
      <w:pPr>
        <w:spacing w:line="360" w:lineRule="auto"/>
        <w:ind w:left="993" w:hanging="993"/>
      </w:pPr>
      <w:r w:rsidRPr="00777FEF">
        <w:t xml:space="preserve">Number at risk, </w:t>
      </w:r>
      <w:r>
        <w:t>Figure 2B</w:t>
      </w:r>
      <w:r w:rsidRPr="00777FEF">
        <w:t>:</w:t>
      </w:r>
    </w:p>
    <w:p w:rsidR="00326374" w:rsidRPr="000F433E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  <w:rPr>
          <w:u w:val="single"/>
        </w:rPr>
      </w:pPr>
      <w:r w:rsidRPr="000F433E">
        <w:rPr>
          <w:u w:val="single"/>
        </w:rPr>
        <w:t xml:space="preserve">Year </w:t>
      </w:r>
      <w:r w:rsidRPr="000F433E">
        <w:rPr>
          <w:u w:val="single"/>
        </w:rPr>
        <w:tab/>
        <w:t>0</w:t>
      </w:r>
      <w:r w:rsidRPr="000F433E">
        <w:rPr>
          <w:u w:val="single"/>
        </w:rPr>
        <w:tab/>
        <w:t>2</w:t>
      </w:r>
      <w:r w:rsidRPr="000F433E">
        <w:rPr>
          <w:u w:val="single"/>
        </w:rPr>
        <w:tab/>
        <w:t>4</w:t>
      </w:r>
      <w:r w:rsidRPr="000F433E">
        <w:rPr>
          <w:u w:val="single"/>
        </w:rPr>
        <w:tab/>
        <w:t>6</w:t>
      </w:r>
      <w:r w:rsidRPr="000F433E">
        <w:rPr>
          <w:u w:val="single"/>
        </w:rPr>
        <w:tab/>
        <w:t>8</w:t>
      </w:r>
      <w:r w:rsidRPr="000F433E">
        <w:rPr>
          <w:u w:val="single"/>
        </w:rPr>
        <w:tab/>
        <w:t>10</w:t>
      </w:r>
      <w:r w:rsidRPr="000F433E">
        <w:rPr>
          <w:u w:val="single"/>
        </w:rPr>
        <w:tab/>
        <w:t>12</w:t>
      </w:r>
    </w:p>
    <w:p w:rsidR="00326374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</w:pPr>
      <w:r>
        <w:t>Parkinson’s dis.</w:t>
      </w:r>
      <w:r w:rsidRPr="00777FEF">
        <w:t xml:space="preserve"> </w:t>
      </w:r>
      <w:r w:rsidRPr="00777FEF">
        <w:tab/>
      </w:r>
      <w:r>
        <w:t>143</w:t>
      </w:r>
      <w:r>
        <w:tab/>
        <w:t>139</w:t>
      </w:r>
      <w:r>
        <w:tab/>
        <w:t>125</w:t>
      </w:r>
      <w:r w:rsidRPr="00777FEF">
        <w:tab/>
      </w:r>
      <w:r>
        <w:t>108</w:t>
      </w:r>
      <w:r>
        <w:tab/>
        <w:t>92</w:t>
      </w:r>
      <w:r>
        <w:tab/>
        <w:t>46</w:t>
      </w:r>
      <w:r>
        <w:tab/>
        <w:t>15</w:t>
      </w:r>
    </w:p>
    <w:p w:rsidR="00326374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</w:pPr>
      <w:r>
        <w:t>PSP</w:t>
      </w:r>
      <w:r w:rsidRPr="00777FEF">
        <w:t xml:space="preserve"> </w:t>
      </w:r>
      <w:r w:rsidRPr="00777FEF">
        <w:tab/>
      </w:r>
      <w:r>
        <w:t>18</w:t>
      </w:r>
      <w:r>
        <w:tab/>
        <w:t>16</w:t>
      </w:r>
      <w:r>
        <w:tab/>
        <w:t>12</w:t>
      </w:r>
      <w:r w:rsidRPr="00777FEF">
        <w:tab/>
      </w:r>
      <w:r>
        <w:t>5</w:t>
      </w:r>
      <w:r>
        <w:tab/>
        <w:t>3</w:t>
      </w:r>
      <w:r>
        <w:tab/>
        <w:t>2</w:t>
      </w:r>
      <w:r>
        <w:tab/>
        <w:t>0</w:t>
      </w:r>
    </w:p>
    <w:p w:rsidR="00326374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</w:pPr>
      <w:r>
        <w:t>MSA</w:t>
      </w:r>
      <w:r w:rsidRPr="00777FEF">
        <w:t xml:space="preserve"> </w:t>
      </w:r>
      <w:r w:rsidRPr="00777FEF">
        <w:tab/>
      </w:r>
      <w:r>
        <w:t>13</w:t>
      </w:r>
      <w:r>
        <w:tab/>
        <w:t>1</w:t>
      </w:r>
      <w:bookmarkStart w:id="0" w:name="_GoBack"/>
      <w:bookmarkEnd w:id="0"/>
      <w:r>
        <w:t>1</w:t>
      </w:r>
      <w:r>
        <w:tab/>
        <w:t>8</w:t>
      </w:r>
      <w:r w:rsidRPr="00777FEF">
        <w:tab/>
      </w:r>
      <w:r>
        <w:t>3</w:t>
      </w:r>
      <w:r>
        <w:tab/>
        <w:t>2</w:t>
      </w:r>
      <w:r>
        <w:tab/>
        <w:t>1</w:t>
      </w:r>
      <w:r>
        <w:tab/>
        <w:t>0</w:t>
      </w:r>
    </w:p>
    <w:p w:rsidR="00A6530F" w:rsidRDefault="00A6530F"/>
    <w:p w:rsidR="00326374" w:rsidRDefault="00326374"/>
    <w:p w:rsidR="00326374" w:rsidRDefault="00766B1D">
      <w:pPr>
        <w:rPr>
          <w:lang w:bidi="sv-SE"/>
        </w:rPr>
      </w:pPr>
      <w:r>
        <w:rPr>
          <w:b/>
        </w:rPr>
        <w:t>Table e-2, SDC</w:t>
      </w:r>
      <w:r w:rsidR="00326374" w:rsidRPr="00326374">
        <w:rPr>
          <w:b/>
        </w:rPr>
        <w:t>.</w:t>
      </w:r>
      <w:r w:rsidR="00326374" w:rsidRPr="00326374">
        <w:t xml:space="preserve"> </w:t>
      </w:r>
      <w:r w:rsidR="00326374" w:rsidRPr="00326374">
        <w:rPr>
          <w:lang w:eastAsia="en-US"/>
        </w:rPr>
        <w:t xml:space="preserve">Survival in Parkinson’s disease </w:t>
      </w:r>
      <w:r w:rsidR="00326374" w:rsidRPr="00326374">
        <w:rPr>
          <w:lang w:bidi="sv-SE"/>
        </w:rPr>
        <w:t>in relation to phenotype</w:t>
      </w:r>
    </w:p>
    <w:p w:rsidR="00326374" w:rsidRPr="00777FEF" w:rsidRDefault="00326374" w:rsidP="00326374">
      <w:pPr>
        <w:spacing w:line="360" w:lineRule="auto"/>
      </w:pPr>
      <w:r w:rsidRPr="00777FEF">
        <w:t>Number at risk, Figure 3A:</w:t>
      </w:r>
    </w:p>
    <w:p w:rsidR="00326374" w:rsidRPr="000F433E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  <w:rPr>
          <w:u w:val="single"/>
        </w:rPr>
      </w:pPr>
      <w:r w:rsidRPr="000F433E">
        <w:rPr>
          <w:u w:val="single"/>
        </w:rPr>
        <w:t xml:space="preserve">Year </w:t>
      </w:r>
      <w:r w:rsidRPr="000F433E">
        <w:rPr>
          <w:u w:val="single"/>
        </w:rPr>
        <w:tab/>
        <w:t>0</w:t>
      </w:r>
      <w:r w:rsidRPr="000F433E">
        <w:rPr>
          <w:u w:val="single"/>
        </w:rPr>
        <w:tab/>
        <w:t>2</w:t>
      </w:r>
      <w:r w:rsidRPr="000F433E">
        <w:rPr>
          <w:u w:val="single"/>
        </w:rPr>
        <w:tab/>
        <w:t>4</w:t>
      </w:r>
      <w:r w:rsidRPr="000F433E">
        <w:rPr>
          <w:u w:val="single"/>
        </w:rPr>
        <w:tab/>
        <w:t>6</w:t>
      </w:r>
      <w:r w:rsidRPr="000F433E">
        <w:rPr>
          <w:u w:val="single"/>
        </w:rPr>
        <w:tab/>
        <w:t>8</w:t>
      </w:r>
      <w:r w:rsidRPr="000F433E">
        <w:rPr>
          <w:u w:val="single"/>
        </w:rPr>
        <w:tab/>
        <w:t>10</w:t>
      </w:r>
      <w:r w:rsidRPr="000F433E">
        <w:rPr>
          <w:u w:val="single"/>
        </w:rPr>
        <w:tab/>
        <w:t>12</w:t>
      </w:r>
    </w:p>
    <w:p w:rsidR="00326374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</w:pPr>
      <w:r>
        <w:t>Normal</w:t>
      </w:r>
      <w:r w:rsidRPr="00777FEF">
        <w:t xml:space="preserve"> </w:t>
      </w:r>
      <w:proofErr w:type="spellStart"/>
      <w:r>
        <w:t>cogn</w:t>
      </w:r>
      <w:proofErr w:type="spellEnd"/>
      <w:r>
        <w:t>.</w:t>
      </w:r>
      <w:r w:rsidRPr="00777FEF">
        <w:tab/>
      </w:r>
      <w:r>
        <w:t>82</w:t>
      </w:r>
      <w:r>
        <w:tab/>
        <w:t>81</w:t>
      </w:r>
      <w:r>
        <w:tab/>
        <w:t>75</w:t>
      </w:r>
      <w:r w:rsidRPr="00777FEF">
        <w:tab/>
        <w:t>6</w:t>
      </w:r>
      <w:r>
        <w:t>7</w:t>
      </w:r>
      <w:r>
        <w:tab/>
        <w:t>60</w:t>
      </w:r>
      <w:r>
        <w:tab/>
        <w:t>33</w:t>
      </w:r>
      <w:r w:rsidRPr="00777FEF">
        <w:tab/>
        <w:t>12</w:t>
      </w:r>
    </w:p>
    <w:p w:rsidR="00326374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</w:pPr>
      <w:r>
        <w:t>MCI</w:t>
      </w:r>
      <w:r w:rsidRPr="00777FEF">
        <w:t xml:space="preserve"> </w:t>
      </w:r>
      <w:r w:rsidRPr="00777FEF">
        <w:tab/>
      </w:r>
      <w:r>
        <w:t>61</w:t>
      </w:r>
      <w:r>
        <w:tab/>
        <w:t>58</w:t>
      </w:r>
      <w:r>
        <w:tab/>
        <w:t>50</w:t>
      </w:r>
      <w:r w:rsidRPr="00777FEF">
        <w:tab/>
      </w:r>
      <w:r>
        <w:t>41</w:t>
      </w:r>
      <w:r>
        <w:tab/>
        <w:t>32</w:t>
      </w:r>
      <w:r>
        <w:tab/>
        <w:t>13</w:t>
      </w:r>
      <w:r>
        <w:tab/>
        <w:t>3</w:t>
      </w:r>
    </w:p>
    <w:p w:rsidR="00326374" w:rsidRDefault="00326374" w:rsidP="00326374">
      <w:pPr>
        <w:spacing w:line="360" w:lineRule="auto"/>
      </w:pPr>
    </w:p>
    <w:p w:rsidR="00326374" w:rsidRPr="00777FEF" w:rsidRDefault="00326374" w:rsidP="00326374">
      <w:pPr>
        <w:spacing w:line="360" w:lineRule="auto"/>
      </w:pPr>
      <w:r w:rsidRPr="00777FEF">
        <w:t>Number at risk, Figure 3</w:t>
      </w:r>
      <w:r>
        <w:t>B</w:t>
      </w:r>
      <w:r w:rsidRPr="00777FEF">
        <w:t>:</w:t>
      </w:r>
    </w:p>
    <w:p w:rsidR="00326374" w:rsidRPr="000F433E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  <w:rPr>
          <w:u w:val="single"/>
        </w:rPr>
      </w:pPr>
      <w:r w:rsidRPr="000F433E">
        <w:rPr>
          <w:u w:val="single"/>
        </w:rPr>
        <w:t xml:space="preserve">Year </w:t>
      </w:r>
      <w:r w:rsidRPr="000F433E">
        <w:rPr>
          <w:u w:val="single"/>
        </w:rPr>
        <w:tab/>
        <w:t>0</w:t>
      </w:r>
      <w:r w:rsidRPr="000F433E">
        <w:rPr>
          <w:u w:val="single"/>
        </w:rPr>
        <w:tab/>
        <w:t xml:space="preserve"> 2    3</w:t>
      </w:r>
      <w:r w:rsidRPr="000F433E">
        <w:rPr>
          <w:u w:val="single"/>
        </w:rPr>
        <w:tab/>
        <w:t>4</w:t>
      </w:r>
      <w:r w:rsidRPr="000F433E">
        <w:rPr>
          <w:u w:val="single"/>
        </w:rPr>
        <w:tab/>
        <w:t>6</w:t>
      </w:r>
      <w:r w:rsidRPr="000F433E">
        <w:rPr>
          <w:u w:val="single"/>
        </w:rPr>
        <w:tab/>
        <w:t>8</w:t>
      </w:r>
      <w:r w:rsidRPr="000F433E">
        <w:rPr>
          <w:u w:val="single"/>
        </w:rPr>
        <w:tab/>
        <w:t>10</w:t>
      </w:r>
      <w:r w:rsidRPr="000F433E">
        <w:rPr>
          <w:u w:val="single"/>
        </w:rPr>
        <w:tab/>
        <w:t>12</w:t>
      </w:r>
    </w:p>
    <w:p w:rsidR="00326374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</w:pPr>
      <w:r>
        <w:t>Normal</w:t>
      </w:r>
      <w:r w:rsidRPr="00777FEF">
        <w:t xml:space="preserve"> </w:t>
      </w:r>
      <w:proofErr w:type="spellStart"/>
      <w:r>
        <w:t>cogn</w:t>
      </w:r>
      <w:proofErr w:type="spellEnd"/>
      <w:r>
        <w:t>.</w:t>
      </w:r>
      <w:r w:rsidRPr="00777FEF">
        <w:tab/>
      </w:r>
      <w:r w:rsidRPr="00777FEF">
        <w:tab/>
      </w:r>
      <w:r>
        <w:t xml:space="preserve">       58</w:t>
      </w:r>
      <w:r>
        <w:tab/>
      </w:r>
      <w:r w:rsidRPr="00777FEF">
        <w:tab/>
      </w:r>
      <w:r>
        <w:t>56</w:t>
      </w:r>
      <w:r>
        <w:tab/>
        <w:t>51</w:t>
      </w:r>
      <w:r>
        <w:tab/>
        <w:t>30</w:t>
      </w:r>
      <w:r>
        <w:tab/>
        <w:t>11</w:t>
      </w:r>
    </w:p>
    <w:p w:rsidR="00326374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</w:pPr>
      <w:r>
        <w:t>MCI</w:t>
      </w:r>
      <w:r w:rsidRPr="00777FEF">
        <w:t xml:space="preserve"> </w:t>
      </w:r>
      <w:r w:rsidRPr="00777FEF">
        <w:tab/>
      </w:r>
      <w:r w:rsidRPr="00777FEF">
        <w:tab/>
      </w:r>
      <w:r>
        <w:t xml:space="preserve">       48</w:t>
      </w:r>
      <w:r>
        <w:tab/>
      </w:r>
      <w:r w:rsidRPr="00777FEF">
        <w:tab/>
      </w:r>
      <w:r>
        <w:t>42</w:t>
      </w:r>
      <w:r>
        <w:tab/>
        <w:t>33</w:t>
      </w:r>
      <w:r>
        <w:tab/>
        <w:t>13</w:t>
      </w:r>
      <w:r>
        <w:tab/>
        <w:t>4</w:t>
      </w:r>
    </w:p>
    <w:p w:rsidR="00326374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</w:pPr>
      <w:r>
        <w:t>PDD</w:t>
      </w:r>
      <w:r w:rsidRPr="00777FEF">
        <w:t xml:space="preserve"> </w:t>
      </w:r>
      <w:r w:rsidRPr="00777FEF">
        <w:tab/>
      </w:r>
      <w:r w:rsidRPr="00777FEF">
        <w:tab/>
      </w:r>
      <w:r>
        <w:t xml:space="preserve">       23</w:t>
      </w:r>
      <w:r>
        <w:tab/>
      </w:r>
      <w:r w:rsidRPr="00777FEF">
        <w:tab/>
      </w:r>
      <w:r>
        <w:t>11</w:t>
      </w:r>
      <w:r w:rsidRPr="00777FEF">
        <w:tab/>
        <w:t>8</w:t>
      </w:r>
      <w:r w:rsidRPr="00777FEF">
        <w:tab/>
      </w:r>
      <w:r>
        <w:t>3</w:t>
      </w:r>
      <w:r>
        <w:tab/>
        <w:t>0</w:t>
      </w:r>
    </w:p>
    <w:p w:rsidR="00326374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</w:pPr>
    </w:p>
    <w:p w:rsidR="00326374" w:rsidRPr="00777FEF" w:rsidRDefault="00326374" w:rsidP="00326374">
      <w:pPr>
        <w:spacing w:line="360" w:lineRule="auto"/>
        <w:ind w:left="993" w:hanging="993"/>
      </w:pPr>
      <w:r w:rsidRPr="00777FEF">
        <w:t>Number at risk, Figure 3</w:t>
      </w:r>
      <w:r>
        <w:t>C</w:t>
      </w:r>
      <w:r w:rsidRPr="00777FEF">
        <w:t>:</w:t>
      </w:r>
    </w:p>
    <w:p w:rsidR="00326374" w:rsidRPr="000F433E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  <w:rPr>
          <w:u w:val="single"/>
        </w:rPr>
      </w:pPr>
      <w:r w:rsidRPr="000F433E">
        <w:rPr>
          <w:u w:val="single"/>
        </w:rPr>
        <w:t xml:space="preserve">Year </w:t>
      </w:r>
      <w:r w:rsidRPr="000F433E">
        <w:rPr>
          <w:u w:val="single"/>
        </w:rPr>
        <w:tab/>
        <w:t>0</w:t>
      </w:r>
      <w:r w:rsidRPr="000F433E">
        <w:rPr>
          <w:u w:val="single"/>
        </w:rPr>
        <w:tab/>
        <w:t>2</w:t>
      </w:r>
      <w:r w:rsidRPr="000F433E">
        <w:rPr>
          <w:u w:val="single"/>
        </w:rPr>
        <w:tab/>
        <w:t>4</w:t>
      </w:r>
      <w:r w:rsidRPr="000F433E">
        <w:rPr>
          <w:u w:val="single"/>
        </w:rPr>
        <w:tab/>
        <w:t>6</w:t>
      </w:r>
      <w:r w:rsidRPr="000F433E">
        <w:rPr>
          <w:u w:val="single"/>
        </w:rPr>
        <w:tab/>
        <w:t>8</w:t>
      </w:r>
      <w:r w:rsidRPr="000F433E">
        <w:rPr>
          <w:u w:val="single"/>
        </w:rPr>
        <w:tab/>
        <w:t>10</w:t>
      </w:r>
      <w:r w:rsidRPr="000F433E">
        <w:rPr>
          <w:u w:val="single"/>
        </w:rPr>
        <w:tab/>
        <w:t>12</w:t>
      </w:r>
    </w:p>
    <w:p w:rsidR="00326374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</w:pPr>
      <w:r>
        <w:t xml:space="preserve">Tremor </w:t>
      </w:r>
      <w:proofErr w:type="spellStart"/>
      <w:r>
        <w:t>predom</w:t>
      </w:r>
      <w:proofErr w:type="spellEnd"/>
      <w:r>
        <w:t>.</w:t>
      </w:r>
      <w:r w:rsidRPr="00777FEF">
        <w:t xml:space="preserve"> </w:t>
      </w:r>
      <w:r w:rsidRPr="00777FEF">
        <w:tab/>
      </w:r>
      <w:r>
        <w:t>42</w:t>
      </w:r>
      <w:r>
        <w:tab/>
        <w:t>42</w:t>
      </w:r>
      <w:r w:rsidRPr="00777FEF">
        <w:tab/>
        <w:t>4</w:t>
      </w:r>
      <w:r>
        <w:t>1</w:t>
      </w:r>
      <w:r w:rsidRPr="00777FEF">
        <w:tab/>
      </w:r>
      <w:r>
        <w:t>39</w:t>
      </w:r>
      <w:r>
        <w:tab/>
        <w:t>35</w:t>
      </w:r>
      <w:r>
        <w:tab/>
        <w:t>21</w:t>
      </w:r>
      <w:r>
        <w:tab/>
        <w:t>9</w:t>
      </w:r>
    </w:p>
    <w:p w:rsidR="00326374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</w:pPr>
      <w:r>
        <w:t>PIGD/</w:t>
      </w:r>
      <w:proofErr w:type="spellStart"/>
      <w:r>
        <w:t>Interm</w:t>
      </w:r>
      <w:proofErr w:type="spellEnd"/>
      <w:r>
        <w:t>.</w:t>
      </w:r>
      <w:r w:rsidRPr="00777FEF">
        <w:t xml:space="preserve"> </w:t>
      </w:r>
      <w:r w:rsidRPr="00777FEF">
        <w:tab/>
      </w:r>
      <w:r>
        <w:t>101</w:t>
      </w:r>
      <w:r>
        <w:tab/>
        <w:t>97</w:t>
      </w:r>
      <w:r w:rsidRPr="00777FEF">
        <w:tab/>
      </w:r>
      <w:r>
        <w:t>8</w:t>
      </w:r>
      <w:r w:rsidRPr="00777FEF">
        <w:t>4</w:t>
      </w:r>
      <w:r w:rsidRPr="00777FEF">
        <w:tab/>
        <w:t>6</w:t>
      </w:r>
      <w:r>
        <w:t>9</w:t>
      </w:r>
      <w:r>
        <w:tab/>
        <w:t>57</w:t>
      </w:r>
      <w:r>
        <w:tab/>
        <w:t>25</w:t>
      </w:r>
      <w:r>
        <w:tab/>
        <w:t>6</w:t>
      </w:r>
    </w:p>
    <w:p w:rsidR="00326374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</w:pPr>
    </w:p>
    <w:p w:rsidR="00326374" w:rsidRDefault="00326374">
      <w:pPr>
        <w:spacing w:after="160" w:line="259" w:lineRule="auto"/>
      </w:pPr>
      <w:r>
        <w:br w:type="page"/>
      </w:r>
    </w:p>
    <w:p w:rsidR="00326374" w:rsidRPr="00777FEF" w:rsidRDefault="00326374" w:rsidP="00326374">
      <w:pPr>
        <w:spacing w:line="360" w:lineRule="auto"/>
        <w:ind w:left="993" w:hanging="993"/>
      </w:pPr>
      <w:r w:rsidRPr="00777FEF">
        <w:lastRenderedPageBreak/>
        <w:t>Number at risk, Figure 3</w:t>
      </w:r>
      <w:r>
        <w:t>D</w:t>
      </w:r>
      <w:r w:rsidRPr="00777FEF">
        <w:t>:</w:t>
      </w:r>
    </w:p>
    <w:p w:rsidR="00326374" w:rsidRPr="000F433E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  <w:rPr>
          <w:u w:val="single"/>
        </w:rPr>
      </w:pPr>
      <w:r w:rsidRPr="000F433E">
        <w:rPr>
          <w:u w:val="single"/>
        </w:rPr>
        <w:t xml:space="preserve">Year </w:t>
      </w:r>
      <w:r w:rsidRPr="000F433E">
        <w:rPr>
          <w:u w:val="single"/>
        </w:rPr>
        <w:tab/>
        <w:t>0</w:t>
      </w:r>
      <w:r w:rsidRPr="000F433E">
        <w:rPr>
          <w:u w:val="single"/>
        </w:rPr>
        <w:tab/>
        <w:t>2</w:t>
      </w:r>
      <w:r w:rsidRPr="000F433E">
        <w:rPr>
          <w:u w:val="single"/>
        </w:rPr>
        <w:tab/>
        <w:t>4</w:t>
      </w:r>
      <w:r w:rsidRPr="000F433E">
        <w:rPr>
          <w:u w:val="single"/>
        </w:rPr>
        <w:tab/>
        <w:t>6</w:t>
      </w:r>
      <w:r w:rsidRPr="000F433E">
        <w:rPr>
          <w:u w:val="single"/>
        </w:rPr>
        <w:tab/>
        <w:t>8</w:t>
      </w:r>
      <w:r w:rsidRPr="000F433E">
        <w:rPr>
          <w:u w:val="single"/>
        </w:rPr>
        <w:tab/>
        <w:t>10</w:t>
      </w:r>
      <w:r w:rsidRPr="000F433E">
        <w:rPr>
          <w:u w:val="single"/>
        </w:rPr>
        <w:tab/>
        <w:t>12</w:t>
      </w:r>
    </w:p>
    <w:p w:rsidR="00326374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</w:pPr>
      <w:r>
        <w:t>Never</w:t>
      </w:r>
      <w:r w:rsidRPr="00777FEF">
        <w:t xml:space="preserve"> </w:t>
      </w:r>
      <w:r>
        <w:t>freezing</w:t>
      </w:r>
      <w:r w:rsidRPr="00777FEF">
        <w:tab/>
      </w:r>
      <w:r>
        <w:t>45</w:t>
      </w:r>
      <w:r>
        <w:tab/>
        <w:t>45</w:t>
      </w:r>
      <w:r w:rsidRPr="00777FEF">
        <w:tab/>
        <w:t>4</w:t>
      </w:r>
      <w:r>
        <w:t>4</w:t>
      </w:r>
      <w:r w:rsidRPr="00777FEF">
        <w:tab/>
      </w:r>
      <w:r>
        <w:t>43</w:t>
      </w:r>
      <w:r>
        <w:tab/>
        <w:t>39</w:t>
      </w:r>
      <w:r>
        <w:tab/>
        <w:t>25</w:t>
      </w:r>
      <w:r>
        <w:tab/>
        <w:t>11</w:t>
      </w:r>
    </w:p>
    <w:p w:rsidR="00326374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</w:pPr>
      <w:proofErr w:type="spellStart"/>
      <w:r>
        <w:t>Exper</w:t>
      </w:r>
      <w:proofErr w:type="spellEnd"/>
      <w:r>
        <w:t>. freezing</w:t>
      </w:r>
      <w:r w:rsidRPr="00777FEF">
        <w:t xml:space="preserve"> </w:t>
      </w:r>
      <w:r w:rsidRPr="00777FEF">
        <w:tab/>
      </w:r>
      <w:r>
        <w:t>95</w:t>
      </w:r>
      <w:r>
        <w:tab/>
        <w:t>91</w:t>
      </w:r>
      <w:r>
        <w:tab/>
        <w:t>79</w:t>
      </w:r>
      <w:r w:rsidRPr="00777FEF">
        <w:tab/>
        <w:t>6</w:t>
      </w:r>
      <w:r>
        <w:t>3</w:t>
      </w:r>
      <w:r>
        <w:tab/>
        <w:t>51</w:t>
      </w:r>
      <w:r>
        <w:tab/>
        <w:t>19</w:t>
      </w:r>
      <w:r>
        <w:tab/>
        <w:t>3</w:t>
      </w:r>
    </w:p>
    <w:p w:rsidR="00326374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</w:pPr>
    </w:p>
    <w:p w:rsidR="00326374" w:rsidRPr="00777FEF" w:rsidRDefault="00326374" w:rsidP="00326374">
      <w:pPr>
        <w:spacing w:line="360" w:lineRule="auto"/>
        <w:ind w:left="993" w:hanging="993"/>
      </w:pPr>
      <w:r w:rsidRPr="00777FEF">
        <w:t>Number at risk, Figure 3</w:t>
      </w:r>
      <w:r>
        <w:t>E</w:t>
      </w:r>
      <w:r w:rsidRPr="00777FEF">
        <w:t>:</w:t>
      </w:r>
    </w:p>
    <w:p w:rsidR="00326374" w:rsidRPr="000F433E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  <w:rPr>
          <w:u w:val="single"/>
        </w:rPr>
      </w:pPr>
      <w:r w:rsidRPr="000F433E">
        <w:rPr>
          <w:u w:val="single"/>
        </w:rPr>
        <w:t xml:space="preserve">Year </w:t>
      </w:r>
      <w:r w:rsidRPr="000F433E">
        <w:rPr>
          <w:u w:val="single"/>
        </w:rPr>
        <w:tab/>
        <w:t>0</w:t>
      </w:r>
      <w:r w:rsidRPr="000F433E">
        <w:rPr>
          <w:u w:val="single"/>
        </w:rPr>
        <w:tab/>
        <w:t>2</w:t>
      </w:r>
      <w:r w:rsidRPr="000F433E">
        <w:rPr>
          <w:u w:val="single"/>
        </w:rPr>
        <w:tab/>
        <w:t>4</w:t>
      </w:r>
      <w:r w:rsidRPr="000F433E">
        <w:rPr>
          <w:u w:val="single"/>
        </w:rPr>
        <w:tab/>
        <w:t>6</w:t>
      </w:r>
      <w:r w:rsidRPr="000F433E">
        <w:rPr>
          <w:u w:val="single"/>
        </w:rPr>
        <w:tab/>
        <w:t>8</w:t>
      </w:r>
      <w:r w:rsidRPr="000F433E">
        <w:rPr>
          <w:u w:val="single"/>
        </w:rPr>
        <w:tab/>
        <w:t>10</w:t>
      </w:r>
      <w:r w:rsidRPr="000F433E">
        <w:rPr>
          <w:u w:val="single"/>
        </w:rPr>
        <w:tab/>
        <w:t>12</w:t>
      </w:r>
    </w:p>
    <w:p w:rsidR="00326374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</w:pPr>
      <w:r>
        <w:t>No severe hypos</w:t>
      </w:r>
      <w:r w:rsidRPr="00777FEF">
        <w:t xml:space="preserve"> </w:t>
      </w:r>
      <w:r w:rsidRPr="00777FEF">
        <w:tab/>
      </w:r>
      <w:r>
        <w:t>94</w:t>
      </w:r>
      <w:r>
        <w:tab/>
        <w:t>93</w:t>
      </w:r>
      <w:r>
        <w:tab/>
        <w:t>91</w:t>
      </w:r>
      <w:r w:rsidRPr="00777FEF">
        <w:tab/>
      </w:r>
      <w:r>
        <w:t>85</w:t>
      </w:r>
      <w:r>
        <w:tab/>
        <w:t>76</w:t>
      </w:r>
      <w:r>
        <w:tab/>
        <w:t>41</w:t>
      </w:r>
      <w:r>
        <w:tab/>
        <w:t>12</w:t>
      </w:r>
    </w:p>
    <w:p w:rsidR="00326374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</w:pPr>
      <w:r>
        <w:t xml:space="preserve">Severe </w:t>
      </w:r>
      <w:proofErr w:type="spellStart"/>
      <w:r>
        <w:t>hyposm</w:t>
      </w:r>
      <w:proofErr w:type="spellEnd"/>
      <w:r>
        <w:t>.</w:t>
      </w:r>
      <w:r w:rsidRPr="00777FEF">
        <w:tab/>
      </w:r>
      <w:r>
        <w:t>31</w:t>
      </w:r>
      <w:r>
        <w:tab/>
        <w:t>30</w:t>
      </w:r>
      <w:r w:rsidRPr="00777FEF">
        <w:tab/>
      </w:r>
      <w:r>
        <w:t>2</w:t>
      </w:r>
      <w:r w:rsidRPr="00777FEF">
        <w:t>4</w:t>
      </w:r>
      <w:r w:rsidRPr="00777FEF">
        <w:tab/>
      </w:r>
      <w:r>
        <w:t>20</w:t>
      </w:r>
      <w:r>
        <w:tab/>
        <w:t>13</w:t>
      </w:r>
      <w:r>
        <w:tab/>
        <w:t>3</w:t>
      </w:r>
      <w:r>
        <w:tab/>
        <w:t>2</w:t>
      </w:r>
    </w:p>
    <w:p w:rsidR="00326374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</w:pPr>
    </w:p>
    <w:p w:rsidR="00326374" w:rsidRPr="00777FEF" w:rsidRDefault="00326374" w:rsidP="00326374">
      <w:pPr>
        <w:spacing w:line="360" w:lineRule="auto"/>
        <w:ind w:left="993" w:hanging="993"/>
      </w:pPr>
      <w:r w:rsidRPr="00777FEF">
        <w:t>Number at risk, Figure 3</w:t>
      </w:r>
      <w:r>
        <w:t>F</w:t>
      </w:r>
      <w:r w:rsidRPr="00777FEF">
        <w:t>:</w:t>
      </w:r>
    </w:p>
    <w:p w:rsidR="00326374" w:rsidRPr="000F433E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  <w:rPr>
          <w:u w:val="single"/>
        </w:rPr>
      </w:pPr>
      <w:r w:rsidRPr="000F433E">
        <w:rPr>
          <w:u w:val="single"/>
        </w:rPr>
        <w:t xml:space="preserve">Year </w:t>
      </w:r>
      <w:r w:rsidRPr="000F433E">
        <w:rPr>
          <w:u w:val="single"/>
        </w:rPr>
        <w:tab/>
        <w:t>0</w:t>
      </w:r>
      <w:r w:rsidRPr="000F433E">
        <w:rPr>
          <w:u w:val="single"/>
        </w:rPr>
        <w:tab/>
        <w:t>2</w:t>
      </w:r>
      <w:r w:rsidRPr="000F433E">
        <w:rPr>
          <w:u w:val="single"/>
        </w:rPr>
        <w:tab/>
        <w:t>4</w:t>
      </w:r>
      <w:r w:rsidRPr="000F433E">
        <w:rPr>
          <w:u w:val="single"/>
        </w:rPr>
        <w:tab/>
        <w:t>6</w:t>
      </w:r>
      <w:r w:rsidRPr="000F433E">
        <w:rPr>
          <w:u w:val="single"/>
        </w:rPr>
        <w:tab/>
        <w:t>8</w:t>
      </w:r>
      <w:r w:rsidRPr="000F433E">
        <w:rPr>
          <w:u w:val="single"/>
        </w:rPr>
        <w:tab/>
        <w:t>10</w:t>
      </w:r>
      <w:r w:rsidRPr="000F433E">
        <w:rPr>
          <w:u w:val="single"/>
        </w:rPr>
        <w:tab/>
        <w:t>12</w:t>
      </w:r>
    </w:p>
    <w:p w:rsidR="00326374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</w:pPr>
      <w:r>
        <w:t xml:space="preserve">No CSF </w:t>
      </w:r>
      <w:proofErr w:type="spellStart"/>
      <w:r>
        <w:t>leukoc</w:t>
      </w:r>
      <w:proofErr w:type="spellEnd"/>
      <w:r>
        <w:t>.</w:t>
      </w:r>
      <w:r w:rsidRPr="00777FEF">
        <w:t xml:space="preserve"> </w:t>
      </w:r>
      <w:r w:rsidRPr="00777FEF">
        <w:tab/>
      </w:r>
      <w:r>
        <w:t>86</w:t>
      </w:r>
      <w:r>
        <w:tab/>
        <w:t>85</w:t>
      </w:r>
      <w:r>
        <w:tab/>
        <w:t>81</w:t>
      </w:r>
      <w:r w:rsidRPr="00777FEF">
        <w:tab/>
      </w:r>
      <w:r>
        <w:t>74</w:t>
      </w:r>
      <w:r>
        <w:tab/>
        <w:t>66</w:t>
      </w:r>
      <w:r>
        <w:tab/>
        <w:t>33</w:t>
      </w:r>
      <w:r>
        <w:tab/>
        <w:t>7</w:t>
      </w:r>
    </w:p>
    <w:p w:rsidR="00326374" w:rsidRDefault="00326374" w:rsidP="0032637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ind w:right="-6"/>
      </w:pPr>
      <w:r>
        <w:t xml:space="preserve">CSF </w:t>
      </w:r>
      <w:proofErr w:type="spellStart"/>
      <w:r>
        <w:t>leukoc</w:t>
      </w:r>
      <w:proofErr w:type="spellEnd"/>
      <w:r>
        <w:t>.</w:t>
      </w:r>
      <w:r w:rsidRPr="00777FEF">
        <w:t xml:space="preserve"> </w:t>
      </w:r>
      <w:r w:rsidRPr="00777FEF">
        <w:tab/>
      </w:r>
      <w:r>
        <w:t>13</w:t>
      </w:r>
      <w:r>
        <w:tab/>
        <w:t>13</w:t>
      </w:r>
      <w:r>
        <w:tab/>
        <w:t>10</w:t>
      </w:r>
      <w:r w:rsidRPr="00777FEF">
        <w:tab/>
      </w:r>
      <w:r>
        <w:t>9</w:t>
      </w:r>
      <w:r>
        <w:tab/>
        <w:t>6</w:t>
      </w:r>
      <w:r>
        <w:tab/>
        <w:t>1</w:t>
      </w:r>
      <w:r>
        <w:tab/>
        <w:t>0</w:t>
      </w:r>
    </w:p>
    <w:p w:rsidR="00326374" w:rsidRDefault="00326374"/>
    <w:sectPr w:rsidR="00326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74"/>
    <w:rsid w:val="00326374"/>
    <w:rsid w:val="00766B1D"/>
    <w:rsid w:val="00A6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618B"/>
  <w15:chartTrackingRefBased/>
  <w15:docId w15:val="{5EC8A240-4E07-4C82-BD49-D32B71C8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37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Heise, Jessica</dc:creator>
  <cp:keywords/>
  <dc:description/>
  <cp:lastModifiedBy>Heise, Jessica</cp:lastModifiedBy>
  <cp:revision>2</cp:revision>
  <dcterms:created xsi:type="dcterms:W3CDTF">2018-10-16T14:16:00Z</dcterms:created>
  <dcterms:modified xsi:type="dcterms:W3CDTF">2018-10-16T14:23:00Z</dcterms:modified>
</cp:coreProperties>
</file>