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0"/>
        <w:gridCol w:w="4135"/>
        <w:gridCol w:w="160"/>
        <w:gridCol w:w="1701"/>
        <w:gridCol w:w="160"/>
        <w:gridCol w:w="1134"/>
        <w:gridCol w:w="160"/>
        <w:gridCol w:w="1701"/>
        <w:gridCol w:w="160"/>
        <w:gridCol w:w="1134"/>
        <w:gridCol w:w="160"/>
        <w:gridCol w:w="1701"/>
        <w:gridCol w:w="160"/>
        <w:gridCol w:w="1134"/>
      </w:tblGrid>
      <w:tr w:rsidR="00666717" w:rsidRPr="00B6480A" w:rsidTr="003C48EF">
        <w:trPr>
          <w:trHeight w:val="300"/>
        </w:trPr>
        <w:tc>
          <w:tcPr>
            <w:tcW w:w="1546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717" w:rsidRPr="00683C24" w:rsidRDefault="00666717" w:rsidP="006667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bookmarkStart w:id="0" w:name="_GoBack"/>
            <w:bookmarkEnd w:id="0"/>
            <w:r w:rsidRPr="00683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Supplemental Table </w:t>
            </w:r>
            <w:r w:rsidR="00077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>e-</w:t>
            </w:r>
            <w:r w:rsidRPr="00683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1: The rate ratio (RR) of amyotrophic lateral sclerosis (ALS) according to </w:t>
            </w:r>
            <w:r w:rsidR="00683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plasma </w:t>
            </w:r>
            <w:r w:rsidRPr="00683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levels of 404 metabolites in analyses including all </w:t>
            </w:r>
            <w:r w:rsidR="00BC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>participants and analyses strati</w:t>
            </w:r>
            <w:r w:rsidRPr="00683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  <w:t>fied on the time interval between blood draw and ALS onset.</w:t>
            </w:r>
          </w:p>
        </w:tc>
      </w:tr>
      <w:tr w:rsidR="009B2C97" w:rsidRPr="00B6480A" w:rsidTr="00DD6451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D731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683C2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F6731D" w:rsidRPr="00BB7AA4" w:rsidTr="00DD6451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F6731D" w:rsidRPr="00683C24" w:rsidRDefault="00F6731D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</w:tcPr>
          <w:p w:rsidR="00F6731D" w:rsidRPr="00683C24" w:rsidRDefault="00F6731D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4135" w:type="dxa"/>
            <w:shd w:val="clear" w:color="auto" w:fill="auto"/>
            <w:noWrap/>
            <w:vAlign w:val="bottom"/>
          </w:tcPr>
          <w:p w:rsidR="00F6731D" w:rsidRPr="00683C24" w:rsidRDefault="00F6731D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60" w:type="dxa"/>
          </w:tcPr>
          <w:p w:rsidR="00F6731D" w:rsidRPr="00683C24" w:rsidRDefault="00F6731D" w:rsidP="00D731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31D" w:rsidRPr="00BB7AA4" w:rsidRDefault="00F6731D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B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Including all</w:t>
            </w:r>
            <w:r w:rsidR="003C4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participants</w:t>
            </w:r>
          </w:p>
        </w:tc>
        <w:tc>
          <w:tcPr>
            <w:tcW w:w="160" w:type="dxa"/>
          </w:tcPr>
          <w:p w:rsidR="00F6731D" w:rsidRPr="00BB7AA4" w:rsidRDefault="00F6731D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31D" w:rsidRPr="00BB7AA4" w:rsidRDefault="00F6731D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B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Interval less than 5 years</w:t>
            </w:r>
          </w:p>
        </w:tc>
        <w:tc>
          <w:tcPr>
            <w:tcW w:w="160" w:type="dxa"/>
          </w:tcPr>
          <w:p w:rsidR="00F6731D" w:rsidRPr="00BB7AA4" w:rsidRDefault="00F6731D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31D" w:rsidRPr="00BB7AA4" w:rsidRDefault="00F6731D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B7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Interval 5 years or more</w:t>
            </w:r>
          </w:p>
        </w:tc>
      </w:tr>
      <w:tr w:rsidR="009B2C97" w:rsidRPr="00BB7AA4" w:rsidTr="00DD6451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B2C97" w:rsidRPr="00BB7AA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135" w:type="dxa"/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B2C97" w:rsidRPr="00BB7AA4" w:rsidRDefault="009B2C97" w:rsidP="00D731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2C97" w:rsidRPr="00BB7AA4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9B2C97" w:rsidRPr="00BB7AA4" w:rsidTr="00DD6451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HMDB</w:t>
            </w:r>
            <w:r w:rsidR="00A8078E"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DB4E1B"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ID 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Metabolite name</w:t>
            </w:r>
          </w:p>
        </w:tc>
        <w:tc>
          <w:tcPr>
            <w:tcW w:w="160" w:type="dxa"/>
          </w:tcPr>
          <w:p w:rsidR="009B2C97" w:rsidRPr="00044D19" w:rsidRDefault="009B2C97" w:rsidP="00D731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RR (95% CI)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P-value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RR (95% CI)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P-value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RR (95% CI)</w:t>
            </w:r>
          </w:p>
        </w:tc>
        <w:tc>
          <w:tcPr>
            <w:tcW w:w="160" w:type="dxa"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97" w:rsidRPr="00044D19" w:rsidRDefault="009B2C9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4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P-value</w:t>
            </w:r>
          </w:p>
        </w:tc>
      </w:tr>
      <w:tr w:rsidR="009E6737" w:rsidRPr="00BB7AA4" w:rsidTr="00DD6451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D731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6737" w:rsidRPr="00044D19" w:rsidRDefault="009E6737" w:rsidP="009E6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Alpha-hydroxybutyrate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(0.68 - 1.03)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(0.86 - 1.33)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Beta-hydroxybutyrate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(0.94 - 1.38)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4-pyridoxate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(0.86 - 1.30)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N-carbamoyl-beta-alanine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(0.67 - 1.02)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Taurocholate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(0.71 - 1.13)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HMDB00050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Adenosine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(0.90 - 1.44)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(0.66 - 1.01)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Cortisol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Creatine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(0.89 - 1.35)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Aconitate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(0.86 - 1.25)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(0.71 - 1.19)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(0.90 - 1.56)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Alpha-glycerophosphocholine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(0.71 - 1.12)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Cytidine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(0.74 - 1.05)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(0.58 - 0.99)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(0.80 - 1.27)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Dimethylglycine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Citrate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(0.81 - 1.17)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(0.77 - 1.27)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CMP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(0.96 - 1.49)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HMDB00099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Cystathionine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 (0.57 - 0.95)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GABA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(0.80 - 1.26)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HMDB00122*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Fructose/glucose/galactose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(0.83 - 1.37)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Glycine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(0.93 - 1.39)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 (0.58 - 0.93)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Alpha-glycerophosphate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(0.94 - 1.32)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(0.94 - 1.54)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(0.83 - 1.30)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Glucuronate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(0.96 - 1.30)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1.22 (0.97 - 1.54)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Guanidoacetic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(0.80 - 1.19)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(0.62 - 1.00)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Guanine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(0.73 - 1.00)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(0.67 - 1.00)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(0.71 - 1.15)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Guanosine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(0.89 - 1.43)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Glycocholate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(0.79 - 1.18)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(0.73 - 1.10)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Glutamate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(0.62 - 0.94)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Gentisate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(0.91 - 1.38)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Malate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(0.75 - 1.03)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HMDB00157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Hypoxanthine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(0.84 - 1.10)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(0.78 - 1.13)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(0.81 - 1.21)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Tyrosine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(0.76 - 1.21)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Phenylalanine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(0.77 - 1.02)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(0.74 - 1.09)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HMDB00161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Alanine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Threonine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Asparagine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Isoleucine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Histidine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(0.74 - 1.07)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(0.69 - 1.13)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(0.68 - 1.19)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Lysine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(0.78 - 1.16)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Lactose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1.28 (1.03 - 1.58)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Serine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HMDB00190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Lactate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(0.74 - 1.21)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Isocitrate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(0.70 - 0.99)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(0.61 - 1.02)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(0.70 - 1.12)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(0.84 - 1.10)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(0.79 - 1.13)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HMDB00197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Indoleacetic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(0.80 - 1.05)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(0.82 - 1.19)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N6-acetyllysine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(0.66 - 1.05)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HMDB00210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Pantothenate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(0.87 - 1.35)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Inositol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(0.75 - 1.07)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(0.66 - 1.08)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(0.74 - 1.23)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Ornithine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(0.83 - 1.26)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Quinolinate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(0.61 - 0.95)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Thiamine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(0.92 - 1.37)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Sorbitol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(0.95 - 1.26)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(0.95 - 1.37)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Taurine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(0.91 - 1.41)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Sphingosine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(0.73 - 1.03)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(0.67 - 1.10)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(0.68 - 1.13)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Succinate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(0.78 - 1.13)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(0.76 - 1.31)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(0.70 - 1.15)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Sucrose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(0.59 - 0.95)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1.36 (1.05 - 1.75)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Thymine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(0.79 - 1.09)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(0.76 - 1.21)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Sphinganine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Urate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(0.71 - 0.97)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(0.69 - 1.11)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Xanthine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(0.78 - 1.25)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HMDB00296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Uridine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(0.81 - 1.11)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(0.79 - 1.26)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HMDB00300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Uracil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HMDB00301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Urocanic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(0.86 - 1.24)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(0.83 - 1.39)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(0.77 - 1.32)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HMDB00448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Adipate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(0.96 - 1.35)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(0.94 - 1.48)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(0.85 - 1.40)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HMDB00462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Allantoin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HMDB00479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3-methylhistidine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(0.88 - 1.18)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HMDB00510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2-aminoadipate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(0.82 - 1.14)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(0.81 - 1.32)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HMDB00517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Arginine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HMDB00610*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C18:2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(0.88 - 1.33)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HMDB00630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Cytosine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HMDB00631*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Glycodeoxycholate/glycochenodeoxycholate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(0.60 - 0.92)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Glutamine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(0.62 - 0.98)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C10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(0.70 - 1.11)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C16:1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(0.73 - 1.10)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(0.91 - 1.42)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HMDB00670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Homoarginine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(0.92 - 1.22)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(0.74 - 1.08)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1.31 (1.06 - 1.62)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Homocitrulline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Indoxylsulfate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(0.74 - 1.08)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(0.68 - 1.00)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Kynurenine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(0.89 - 1.46)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Leucine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(0.67 - 1.01)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2-hydroxyglutarate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(0.64 - 1.05)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Methionine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HMDB00699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1-methylnicotinamide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(0.77 - 1.07)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(0.69 - 1.18)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C6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(0.71 - 1.12)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(0.78 - 1.23)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Hippurate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(0.86 - 1.25)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(0.66 - 1.00)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Kynurenic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(0.78 - 1.08)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(0.67 - 1.06)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(0.79 - 1.29)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Pipecolic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Hydroxyproline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Pseudouridine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(0.76 - 1.05)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(0.66 - 1.05)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HMDB00791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C8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(0.73 - 1.15)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N-acetylaspartic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(0.71 - 0.97)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 (0.59 - 0.91)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HMDB00840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Salicylurate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(0.85 - 1.25)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(0.73 - 1.20)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Acetyl-galactosamine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(0.77 - 1.07)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(0.68 - 1.08)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(0.75 - 1.24)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HMDB00870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Histamine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(0.79 - 1.18)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(0.92 - 1.51)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HMDB00875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Trigonelline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(0.87 - 1.34)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Xanthurenate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(0.81 - 1.14)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(0.59 - 0.99)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(0.91 - 1.43)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Valine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(0.77 - 1.03)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(0.67 - 1.02)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(0.78 - 1.18)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Ribothymidine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(0.78 - 1.23)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(0.64 - 1.01)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C16:0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7-methylguanine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(0.77 - 1.08)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(0.78 - 1.22)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(0.64 - 1.07)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HMDB00898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1-methylhistamine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(0.92 - 1.37)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(0.80 - 1.24)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Citrulline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(0.69 - 1.10)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(0.91 - 1.24)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Trimethylamine-N-oxide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(0.87 - 1.28)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Tryptophan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(0.85 - 1.25)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(0.65 - 1.07)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Hypotaurine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5-methylcytidine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(0.75 - 1.03)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HMDB00991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2-aminooctanoate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(0.80 - 1.14)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Biliverdin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(0.75 - 1.03)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(0.76 - 1.20)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HMDB01046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Cotinine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(0.83 - 1.28)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HMDB01276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N-acetylspermidine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(0.80 - 1.18)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HMDB01325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Trimethyllysine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HMDB01348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(0.80 - 1.10)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(0.88 - 1.38)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HMDB01390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Hydroxycotinine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(0.91 - 1.20)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(0.87 - 1.28)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HMDB01406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Niacinamide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(0.73 - 1.09)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HMDB01476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3-hydroxyanthranilic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(0.61 - 0.93)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(0.90 - 1.43)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HMDB01539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ADMA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(0.81 - 1.11)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(0.82 - 1.29)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(0.67 - 1.07)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HMDB01545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Pyridoxal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HMDB01563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1-methylguanosine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(0.71 - 0.96)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HMDB01565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Phosphocholine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HMDB01847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Caffeine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(0.85 - 1.26)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HMDB01859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Acetaminophen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(0.91 - 1.34)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HMDB01886*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3-methylxanthine pending_conf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(0.92 - 1.49)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HMDB01906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Aminoisobutyric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(0.84 - 1.24)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(0.83 - 1.34)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HMDB01991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7-methylxanthine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(0.86 - 1.27)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(0.93 - 1.48)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HMDB02000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Myristoleic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(0.87 - 1.28)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(0.80 - 1.25)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HMDB02005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Methionine sulfoxide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HMDB02013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(0.64 - 0.98)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HMDB02014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C14:1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(0.69 - 1.11)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HMDB02250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C12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(0.72 - 1.15)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HMDB02302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Indole-3-propionate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(0.76 - 1.03)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(0.61 - 0.96)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HMDB02329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Oxalate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(0.76 - 1.21)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HMDB02366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C5:1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(0.76 - 1.01)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(0.67 - 1.00)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HMDB02802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Cortisone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(0.74 - 1.09)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HMDB02815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(0.95 - 1.45)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HMDB03282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1-methylguanine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(0.65 - 1.03)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HMDB03331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1-methyladenosine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(0.80 - 1.11)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(0.67 - 1.08)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HMDB03334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SDMA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HMDB03357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N-acetylornithine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HMDB03464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4-guanidinobutanoic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(0.76 - 1.20)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HMDB03681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4-acetamidobutanoate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(0.78 - 1.22)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(0.75 - 1.17)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HMDB04030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21-deoxycortisol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HMDB04030a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Deoxycortisone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(0.93 - 1.41)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HMDB04193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N1-methyl-2-pyridone-5-carboxamide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(0.73 - 1.01)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(0.69 - 1.05)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(0.66 - 1.12)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HMDB04231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Pantothenol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(0.84 - 1.18)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(0.74 - 1.19)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(0.82 - 1.32)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HMDB04400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5-acetylamino-6-amino-3-methyluracil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HMDB04824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N2,N2-dimethylguanosine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(0.69 - 0.96)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(0.70 - 1.10)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 (0.56 - 0.94)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HMDB04827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Proline betaine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(0.74 - 1.09)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HMDB04949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C16:0 Ceramide (d18:1)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(0.78 - 1.08)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(0.67 - 1.12)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HMDB04952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C22:0 Ceramide (d18:1)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(0.71 - 1.04)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HMDB04953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C24:1 Ceramide (d18:1)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HMDB04956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C24:0 Ceramide (d18:1)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(0.82 - 1.12)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(0.85 - 1.36)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HMDB05065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(0.90 - 1.34)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HMDB05066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(0.74 - 1.11)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HMDB05356**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HMDB05357**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 (0.60 - 0.91)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HMDB05359**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(0.75 - 1.00)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HMDB05360**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(0.62 - 0.93)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HMDB05362**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C51:2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(0.78 - 1.19)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HMDB05363**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C52:4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HMDB05365*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(0.64 - 0.98)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HMDB05367*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(0.72 - 0.97)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HMDB05369*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(0.77 - 1.02)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(0.68 - 1.01)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C54:4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(0.88 - 1.16)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(0.87 - 1.30)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(0.79 - 1.16)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HMDB05376*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(0.66 - 0.99)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(0.83 - 1.29)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HMDB05377*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(0.77 - 1.03)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HMDB05384*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HMDB05385*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C54:5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(0.78 - 1.15)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HMDB05391*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C54:6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HMDB05392*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C56:8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(0.91 - 1.24)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(0.92 - 1.43)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HMDB05395*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(0.73 - 0.98)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HMDB05403*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HMDB05404*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(0.72 - 1.13)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HMDB05405*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(0.80 - 1.05)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(0.74 - 1.09)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HMDB05406*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C56:5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(0.93 - 1.23)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(0.92 - 1.37)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HMDB05410*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(0.77 - 1.13)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HMDB05413*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C58:8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(0.89 - 1.41)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HMDB05432*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(0.87 - 1.36)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HMDB05433*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(0.71 - 1.06)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HMDB05435*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C50:4 TAG +NH4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(0.92 - 1.40)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HMDB05436*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C52:6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(0.92 - 1.40)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HMDB05447*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C54:7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(0.96 - 1.48)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HMDB05448*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C56:9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(0.97 - 1.49)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HMDB05456*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C56:6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(0.91 - 1.22)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(0.86 - 1.31)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HMDB05458*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C58:6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(0.81 - 1.20)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(0.89 - 1.36)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HMDB05462*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C56:7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HMDB05463*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C58:9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(0.94 - 1.28)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(0.87 - 1.36)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(0.90 - 1.38)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HMDB05471*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C58:7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(0.89 - 1.39)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(0.88 - 1.35)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HMDB05476*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C58:10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(0.94 - 1.28)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(0.95 - 1.46)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HMDB05478*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C60:12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(0.84 - 1.32)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(0.88 - 1.33)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HMDB05923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N4-acetylcytidine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(0.71 - 1.00)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(0.66 - 1.11)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HMDB06344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Phenylacetylglutamine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(0.83 - 1.10)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HMDB06347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C26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HMDB06460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(0.80 - 1.25)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HMDB06469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C18:2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HMDB06725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C14:0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(0.65 - 0.96)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HMDB06726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C20:4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1.24 (1.01 - 1.53)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HMDB06729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C22:4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(1.02 - 1.41)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1.23 (0.98 - 1.53)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1.16 (0.92 - 1.47)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HMDB06731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C20:5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(0.80 - 1.18)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HMDB06733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C22:6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1.16 (0.93 - 1.43)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HMDB06736*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C20:3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(0.86 - 1.36)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HMDB06831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Butyrobetaine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(0.74 - 0.98)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(0.66 - 0.96)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HMDB07098*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C32:0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(0.64 - 0.95)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HMDB07099*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C32:1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(0.76 - 1.01)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HMDB07100*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C34:0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(0.66 - 1.00)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HMDB07102*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C34:1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(0.76 - 1.11)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HMDB07103*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C34:2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(0.76 - 1.11)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HMDB07128*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C32:2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(0.64 - 0.96)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HMDB07132*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C34:3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(0.69 - 1.04)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(0.83 - 1.24)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HMDB07158*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C36:0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(0.87 - 1.27)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(0.57 - 0.98)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C38:4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(0.87 - 1.15)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(0.77 - 1.10)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(0.90 - 1.38)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HMDB07199*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C38:5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(0.75 - 1.10)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(0.84 - 1.26)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HMDB07216*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C36:1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(0.65 - 0.97)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HMDB07218*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(0.75 - 0.99)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HMDB07219*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HMDB07248*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HMDB07448*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C38:3 DAG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(0.83 - 1.09)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(0.75 - 1.10)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(0.82 - 1.21)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HMDB07869*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C30:0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(0.91 - 1.42)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C30:1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1.32 (1.04 - 1.67)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HMDB07871*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C32:0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1.35 (1.07 - 1.71)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HMDB07873*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C32:1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1.26 (1.01 - 1.58)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HMDB07874*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C32:2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1.24 (0.98 - 1.56)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HMDB07883*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C34:4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(0.95 - 1.26)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(0.96 - 1.49)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HMDB07970*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C34:0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1.32 (1.05 - 1.66)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HMDB07972*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C34:1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1.22 (0.97 - 1.53)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HMDB07973*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C34:2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(0.86 - 1.19)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1.21 (0.92 - 1.59)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HMDB07983*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PC-A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(0.67 - 1.03)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(0.91 - 1.46)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HMDB07991*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C38:6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(0.92 - 1.27)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(0.94 - 1.46)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HMDB08006*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C34:3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(0.92 - 1.26)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(0.73 - 1.10)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1.40 (1.08 - 1.80)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HMDB08036*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C36:0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(0.62 - 0.98)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1.32 (1.04 - 1.67)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HMDB08038*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C36:1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(0.64 - 0.98)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1.26 (1.01 - 1.58)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HMDB08039*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(0.60 - 0.93)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HMDB08047*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C38:3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(0.64 - 0.96)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1.30 (1.03 - 1.64)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HMDB08048*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C38:4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(1.00 - 1.36)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1.36 (1.08 - 1.70)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HMDB08057*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C40:6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(0.87 - 1.16)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1.32 (1.05 - 1.66)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HMDB08105*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1.44 (1.10 - 1.88)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HMDB08138*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PC-B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(0.99 - 1.33)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1.24 (1.00 - 1.55)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HMDB08270*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C38:2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1.39 (1.09 - 1.77)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HMDB08511*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C40:10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(0.97 - 1.34)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1.31 (1.03 - 1.67)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HMDB08731*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C40:9 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(0.93 - 1.28)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(0.80 - 1.28)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1.16 (0.93 - 1.44)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HMDB08923*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C32:0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(0.85 - 1.13)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(0.94 - 1.50)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HMDB08925*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C34:0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(0.67 - 1.00)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HMDB08928*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C34:2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(0.73 - 1.05)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(0.89 - 1.39)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HMDB08937*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(0.90 - 1.18)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(0.84 - 1.18)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(0.88 - 1.37)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HMDB08942*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C38:2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(0.86 - 1.20)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(0.84 - 1.40)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HMDB08952*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C34:2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(0.84 - 1.25)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HMDB08991*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C36:0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(0.93 - 1.47)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HMDB08993*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C36:1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(0.85 - 1.13)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(0.71 - 1.04)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(0.94 - 1.46)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HMDB08994*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(0.70 - 1.02)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HMDB09003*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C38:4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(0.86 - 1.14)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(0.83 - 1.19)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HMDB09012*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C40:6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(0.83 - 1.25)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HMDB09060*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(0.91 - 1.21)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1.23 (0.99 - 1.54)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HMDB09069*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C38:5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(0.98 - 1.30)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(0.83 - 1.18)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1.39 (1.10 - 1.76)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HMDB09082*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1.40 (1.09 - 1.78)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HMDB09102*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C38:6 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(0.89 - 1.18)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(0.81 - 1.19)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(0.88 - 1.35)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HMDB09805*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C34:0 PI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(0.73 - 1.04)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(0.64 - 1.04)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(0.73 - 1.20)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HMDB10167*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C40:6 PS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(0.85 - 1.17)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(0.69 - 1.08)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(0.91 - 1.45)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HMDB10169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(0.78 - 1.07)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(0.73 - 1.15)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0.401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C18:0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(0.95 - 1.50)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HMDB10370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C18:3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(0.83 - 1.10)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(0.71 - 1.04)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C22:5 CE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(0.94 - 1.40)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(0.77 - 1.21)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C14:0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C16:0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(0.72 - 1.14)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C16:1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HMDB10384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C18:0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(0.78 - 1.18)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HMDB10386*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C18:2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(0.94 - 1.46)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C20:3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(0.80 - 1.07)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C20:4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(0.96 - 1.28)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1.28 (1.05 - 1.58)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HMDB10397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C20:5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(0.89 - 1.36)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C22:6 LPC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(0.91 - 1.23)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1.22 (0.97 - 1.52)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0.406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HMDB10407*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C16:1 LPC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(0.89 - 1.38)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HMDB10411*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C46:0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(0.62 - 0.93)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HMDB10412*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C46:1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HMDB10419*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C46:2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HMDB10471*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C50:5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(0.69 - 1.03)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(0.92 - 1.41)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HMDB10497*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C50:6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(0.96 - 1.48)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HMDB10498*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C54:9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(0.94 - 1.46)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HMDB10513*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C56:10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1.21 (0.97 - 1.52)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HMDB10517*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C52:7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(0.88 - 1.18)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(0.97 - 1.48)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HMDB10518*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C54:8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(0.95 - 1.46)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HMDB10531*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C58:11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(0.95 - 1.47)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HMDB11103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1,7-dimethyluric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(0.81 - 1.19)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(0.82 - 1.31)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HMDB11105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5-acetylamino-6-formylamino-3-methyluracil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(0.78 - 1.13)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HMDB11130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C18:0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HMDB11131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C18:0 MAG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(0.87 - 1.25)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(0.88 - 1.45)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(0.70 - 1.23)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0.596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HMDB11208*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C34:1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(0.97 - 1.33)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1.36 (1.06 - 1.76)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HMDB11210*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C34:2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1.14 (0.97 - 1.34)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(0.88 - 1.36)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(0.95 - 1.52)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HMDB11211*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C34:3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(0.85 - 1.17)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(0.79 - 1.23)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HMDB11212*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C34:4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(0.87 - 1.30)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HMDB11214*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C34:5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(0.95 - 1.53)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HMDB11220*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C36:5 PC plasmalogen-B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(0.98 - 1.34)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1.41 (1.10 - 1.81)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HMDB11221*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C36:5 PC plasmalogen-A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(0.95 - 1.47)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HMDB11229*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C38:7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(0.76 - 1.17)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HMDB11241*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C36:1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(0.96 - 1.34)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(0.85 - 1.36)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(0.93 - 1.52)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HMDB11243*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(0.90 - 1.24)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1.26 (0.99 - 1.61)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HMDB11244*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PC plasmalogen-A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1.25 (0.97 - 1.60)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HMDB11244a*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PC plasmalogen-B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(0.94 - 1.31)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1.30 (1.01 - 1.67)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HMDB11252*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C38:4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(0.96 - 1.31)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(0.78 - 1.17)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1.40 (1.09 - 1.81)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HMDB11294*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C40:7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(0.99 - 1.34)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(0.82 - 1.23)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1.40 (1.08 - 1.80)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HMDB11294</w:t>
            </w:r>
            <w:r w:rsidRPr="00044D1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C40:7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1.23 (1.04 - 1.45)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1.63 (1.23 - 2.15)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HMDB11310*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(0.95 - 1.30)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1.41 (1.10 - 1.80)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HMDB11343*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C34:3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(0.87 - 1.30)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HMDB11384*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C38:3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(0.88 - 1.21)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(0.76 - 1.18)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(0.89 - 1.43)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HMDB11386*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C38:5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HMDB11387*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C38:6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HMDB11394*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C40:7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(0.92 - 1.45)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HMDB11410*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C36:5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HMDB11420*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C38:7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HMDB11441*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(0.70 - 1.07)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HMDB11442*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(0.67 - 1.02)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1.23 (0.98 - 1.55)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C16:0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(0.90 - 1.21)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0.585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(0.89 - 1.34)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(0.78 - 1.23)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(0.89 - 1.37)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(0.73 - 1.15)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HMDB11507*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C18:2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(0.82 - 1.29)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(0.74 - 1.18)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C20:0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(0.86 - 1.28)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(0.65 - 1.04)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C20:4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(0.95 - 1.28)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1.22 (1.01 - 1.47)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(0.73 - 1.19)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C22:6 LPE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(0.92 - 1.24)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1.16 (0.94 - 1.44)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C16:1 MAG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(0.90 - 1.28)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1.10 (0.88 - 1.39)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(0.79 - 1.36)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HMDB11582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C22:1 MAG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(0.79 - 1.13)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(0.72 - 1.16)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HMDB11621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Cinnamoylglycine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(0.64 - 1.03)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HMDB11697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C24:0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1.26 (1.00 - 1.59)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HMDB11701*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C51:3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(0.78 - 1.19)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HMDB11705*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C49:1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HMDB11706*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C49:2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HMDB12097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(0.81 - 1.08)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(0.71 - 1.07)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HMDB12101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(0.98 - 1.34)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1.27 (1.02 - 1.58)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(0.81 - 1.28)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HMDB12102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C20:0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(0.75 - 1.16)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(0.80 - 1.27)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HMDB12103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C22:0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(0.90 - 1.24)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1.33 (1.04 - 1.69)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HMDB12104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C22:1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(0.96 - 1.32)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1.22 (0.96 - 1.55)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HMDB12107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C24:1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(0.87 - 1.20)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(0.81 - 1.24)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(0.82 - 1.29)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HMDB12252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Linoleoyl ethanolamide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(0.73 - 1.01)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(0.66 - 1.01)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(0.72 - 1.16)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HMDB12356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C34:0 PS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(0.95 - 1.50)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HMDB13122*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LPC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(0.87 - 1.37)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HMDB13127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C4-OH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(0.87 - 1.16)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(0.81 - 1.21)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HMDB13130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C5-DC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 (0.59 - 0.93)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HMDB13133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C3-DC-CH3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(0.82 - 1.12)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(0.68 - 1.09)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HMDB13238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C7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(0.76 - 1.01)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(0.65 - 0.97)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HMDB13287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Ne,Ne-dimethyllysine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(0.83 - 1.28)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HMDB13288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C9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(0.71 - 0.96)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(0.60 - 0.92)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HMDB13325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C10:2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(0.80 - 1.09)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(0.78 - 1.21)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HMDB13326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C12:1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HMDB13331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C14:2 carnitine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(0.80 - 1.10)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0.683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(0.73 - 1.16)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HMDB13631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Oleoyl glycine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(0.65 - 1.02)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HMDB13678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4-hydroxyhippurate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HMDB13713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N-acetyltryptophan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(0.74 - 0.99)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(0.64 - 0.96)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HMDB13733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Trimethylbenzene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HMDB13733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Trimethylbenzene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(0.82 - 1.28)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(0.59 - 0.97)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HMDB29377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Piperine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(0.73 - 1.07)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HMDB29416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NMMA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(0.80 - 1.27)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HMDB31106*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C51:0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(0.60 - 0.93)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(0.82 - 1.30)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HMDB38057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Dehydrophytosphingosine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(0.89 - 1.22)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HMDB38057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Sphingosine isomer2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(0.75 - 1.08)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(0.68 - 1.13)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(0.70 - 1.20)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HMDB42062*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C43:0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(0.77 - 1.06)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(0.62 - 0.97)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HMDB42063*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C44:0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(0.65 - 0.97)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(0.86 - 1.34)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HMDB42076*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C47:2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 (0.63 - 0.95)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(0.84 - 1.32)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HMDB42093*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C45:0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(0.64 - 1.00)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1.03 (0.82 - 1.30)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HMDB42094*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C47:0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(0.73 - 1.00)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(0.62 - 0.98)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(0.74 - 1.16)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HMDB42095*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C49:0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(0.74 - 1.01)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(0.63 - 0.97)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(0.77 - 1.21)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HMDB42098*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C43:1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(0.77 - 1.05)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(0.60 - 0.95)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HMDB42099*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C45:1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(0.64 - 0.97)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HMDB42100*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C47:1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 (0.75 - 1.01)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0.76 (0.62 - 0.94)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HMDB42103*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C49:3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(0.66 - 0.98)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HMDB42104*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C51:1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(0.71 - 0.96)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 (0.57 - 0.87)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HMDB42196*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C53:2 TAG +NH4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(0.76 - 1.02)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(0.68 - 1.02)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(0.76 - 1.15)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HMDB42226*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C55:2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(0.73 - 0.98)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(0.65 - 0.97)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(0.73 - 1.15)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HMDB42466*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C55:3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0.468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(0.76 - 1.12)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HMDB43058*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C53:3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(0.79 - 1.15)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HMDB43170*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C45:2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(0.76 - 1.03)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0.75 (0.61 - 0.93)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HMDB59824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4-hydroxy-3-methylacetophenone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(0.82 - 1.25)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(0.77 - 1.18)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0.637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HMDB0240212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DMGV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(0.81 - 1.11)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(0.69 - 1.07)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1.05 (0.83 - 1.33)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Pipecolic acid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(0.66 - 1.09)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N-methylproline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(0.81 - 1.21)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Ectoine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(0.91 - 1.23)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(0.91 - 1.39)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(0.80 - 1.22)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Proline betaine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(0.79 - 1.06)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0.128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2-aminoheptanoic acid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(0.75 - 1.02)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(0.74 - 1.12)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0.82 (0.65 - 1.04)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S-methyl-L-cysteine-S-oxide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(0.96 - 1.29)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(0.83 - 1.27)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1.19 (0.97 - 1.47)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Guanine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(0.82 - 1.09)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(0.79 - 1.16)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0.664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Hydroxyectoine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(0.86 - 1.32)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(0.68 - 1.09)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5-hydroxytryptophan isomer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(0.78 - 1.03)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(0.78 - 1.16)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L-threo-sphingosine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(0.72 - 1.04)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(0.59 - 1.03)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(0.74 - 1.21)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C18:1 LPC plasmalogen minor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(0.88 - 1.23)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(0.89 - 1.40)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(0.75 - 1.22)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0.704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C16:1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(0.93 - 1.28)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0.726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1.15 (0.91 - 1.47)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C42:0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 (0.69 - 1.03)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(0.87 - 1.36)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C18:2 SM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1.17 (1.00 - 1.36)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1.20 (0.98 - 1.47)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(0.88 - 1.41)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0.348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NH4 C44:2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 (0.77 - 1.04)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 (0.63 - 0.96)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(0.84 - 1.34)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0.613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C36:5 PC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(0.79 - 1.19)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1.01 (0.81 - 1.26)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NH4 C44:1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0.92 (0.79 - 1.07)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(0.66 - 1.00)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1.06 (0.85 - 1.33)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C44:2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0.174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0.79 (0.64 - 0.96)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C44:1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(0.78 - 1.06)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(0.85 - 1.34)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C36:3 PS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0.95 (0.78 - 1.17)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0.649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1.02 (0.80 - 1.29)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0.877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PS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0.99 (0.85 - 1.15)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0.891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1.16 (0.93 - 1.45)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0.198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C36:2 PS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 (0.83 - 1.11)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0.562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(0.77 - 1.22)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0.817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(0.77 - 1.14)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0.526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C36:1 PS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1.00 (0.86 - 1.16)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0.969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(0.75 - 1.15)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0.501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1.07 (0.86 - 1.34)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C45:3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0.90 (0.78 - 1.05)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 (0.60 - 0.91)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(0.90 - 1.41)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NH4 C46:3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0.93 (0.79 - 1.08)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 (0.65 - 0.98)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1.11 (0.88 - 1.40)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C46:4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(0.81 - 1.10)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0.83 (0.68 - 1.01)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1.12 (0.89 - 1.41)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0.338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C46:3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0.94 (0.81 - 1.09)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0.421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(0.66 - 1.00)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(0.89 - 1.42)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0.311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hydroxy-PC-B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(0.94 - 1.28)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(0.79 - 1.21)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0.844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1.23 (0.97 - 1.55)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C36:4 hydroxy-PC-A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1.09 (0.94 - 1.27)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(0.84 - 1.30)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0.695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(0.92 - 1.40)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C48:5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(0.85 - 1.14)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0.802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0.85 (0.70 - 1.04)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1.18 (0.94 - 1.48)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C44:13 PE plasmalogen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0.97 (0.83 - 1.13)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0.675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0.88 (0.72 - 1.09)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1.08 (0.86 - 1.36)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0.513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C48:4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0.98 (0.84 - 1.13)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0.745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0.86 (0.70 - 1.05)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0.135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1.13 (0.91 - 1.41)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</w:tr>
      <w:tr w:rsidR="00044D19" w:rsidRPr="00BB7AA4" w:rsidTr="000115FA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C54:10 TAG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0.91 (0.76 - 1.08)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0.281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0.81 (0.64 - 1.03)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1.04 (0.79 - 1.36)</w:t>
            </w:r>
          </w:p>
        </w:tc>
        <w:tc>
          <w:tcPr>
            <w:tcW w:w="160" w:type="dxa"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D19" w:rsidRPr="00044D19" w:rsidRDefault="00044D19" w:rsidP="00044D19">
            <w:pPr>
              <w:rPr>
                <w:rFonts w:ascii="Arial" w:hAnsi="Arial" w:cs="Arial"/>
                <w:sz w:val="20"/>
                <w:szCs w:val="20"/>
              </w:rPr>
            </w:pPr>
            <w:r w:rsidRPr="00044D19">
              <w:rPr>
                <w:rFonts w:ascii="Arial" w:hAnsi="Arial" w:cs="Arial"/>
                <w:sz w:val="20"/>
                <w:szCs w:val="20"/>
              </w:rPr>
              <w:t>0.785</w:t>
            </w:r>
          </w:p>
        </w:tc>
      </w:tr>
      <w:tr w:rsidR="004542AC" w:rsidRPr="00BB7AA4" w:rsidTr="0026048A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D731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542AC" w:rsidRPr="00BB7AA4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42AC" w:rsidRPr="00D731B1" w:rsidRDefault="004542AC" w:rsidP="009E67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26048A" w:rsidRPr="00B6480A" w:rsidTr="0026048A">
        <w:trPr>
          <w:trHeight w:val="300"/>
        </w:trPr>
        <w:tc>
          <w:tcPr>
            <w:tcW w:w="1546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6048A" w:rsidRDefault="0026048A" w:rsidP="002604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2604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All estimates are adjusted for age, sex, body mass index and matching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variables</w:t>
            </w:r>
            <w:r w:rsidR="00DB31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.</w:t>
            </w:r>
          </w:p>
          <w:p w:rsidR="00B6480A" w:rsidRPr="00B6480A" w:rsidRDefault="00B6480A" w:rsidP="00B648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B64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* </w:t>
            </w:r>
            <w:r w:rsidRPr="00B648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Representative ID</w:t>
            </w:r>
          </w:p>
        </w:tc>
      </w:tr>
    </w:tbl>
    <w:p w:rsidR="00CE01CC" w:rsidRPr="0026048A" w:rsidRDefault="00CE01CC">
      <w:pPr>
        <w:rPr>
          <w:rFonts w:ascii="Arial" w:hAnsi="Arial" w:cs="Arial"/>
          <w:sz w:val="20"/>
          <w:szCs w:val="20"/>
          <w:lang w:val="en-US"/>
        </w:rPr>
      </w:pPr>
    </w:p>
    <w:sectPr w:rsidR="00CE01CC" w:rsidRPr="0026048A" w:rsidSect="00D73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A2FEF"/>
    <w:multiLevelType w:val="hybridMultilevel"/>
    <w:tmpl w:val="593479D0"/>
    <w:lvl w:ilvl="0" w:tplc="315AC6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B1"/>
    <w:rsid w:val="00044D19"/>
    <w:rsid w:val="00054399"/>
    <w:rsid w:val="00065B3D"/>
    <w:rsid w:val="000708FC"/>
    <w:rsid w:val="00077814"/>
    <w:rsid w:val="00077B4F"/>
    <w:rsid w:val="000C6E46"/>
    <w:rsid w:val="000D691A"/>
    <w:rsid w:val="00152CFB"/>
    <w:rsid w:val="001A4713"/>
    <w:rsid w:val="001C4EE3"/>
    <w:rsid w:val="001C6C0A"/>
    <w:rsid w:val="00201F73"/>
    <w:rsid w:val="00203F48"/>
    <w:rsid w:val="0026048A"/>
    <w:rsid w:val="00263D5C"/>
    <w:rsid w:val="002C7928"/>
    <w:rsid w:val="00311E92"/>
    <w:rsid w:val="00312202"/>
    <w:rsid w:val="00322E57"/>
    <w:rsid w:val="003C48EF"/>
    <w:rsid w:val="004238F9"/>
    <w:rsid w:val="004542AC"/>
    <w:rsid w:val="004A5057"/>
    <w:rsid w:val="004A7035"/>
    <w:rsid w:val="00505423"/>
    <w:rsid w:val="005466A2"/>
    <w:rsid w:val="005B298F"/>
    <w:rsid w:val="005E6840"/>
    <w:rsid w:val="005F144E"/>
    <w:rsid w:val="006524A2"/>
    <w:rsid w:val="00656853"/>
    <w:rsid w:val="00666717"/>
    <w:rsid w:val="0067785A"/>
    <w:rsid w:val="00683C24"/>
    <w:rsid w:val="00687880"/>
    <w:rsid w:val="006B742A"/>
    <w:rsid w:val="006D5E22"/>
    <w:rsid w:val="006F77E2"/>
    <w:rsid w:val="006F7FB7"/>
    <w:rsid w:val="007349B7"/>
    <w:rsid w:val="0079641D"/>
    <w:rsid w:val="007E1240"/>
    <w:rsid w:val="008324E9"/>
    <w:rsid w:val="0089530C"/>
    <w:rsid w:val="008A1394"/>
    <w:rsid w:val="008B536D"/>
    <w:rsid w:val="008E383A"/>
    <w:rsid w:val="009146C3"/>
    <w:rsid w:val="00950659"/>
    <w:rsid w:val="00955D9F"/>
    <w:rsid w:val="009721F2"/>
    <w:rsid w:val="00993C65"/>
    <w:rsid w:val="009B2C97"/>
    <w:rsid w:val="009C1912"/>
    <w:rsid w:val="009C2675"/>
    <w:rsid w:val="009E6737"/>
    <w:rsid w:val="00A01339"/>
    <w:rsid w:val="00A10A8C"/>
    <w:rsid w:val="00A4482A"/>
    <w:rsid w:val="00A50238"/>
    <w:rsid w:val="00A8078E"/>
    <w:rsid w:val="00A92FA3"/>
    <w:rsid w:val="00AA2EF4"/>
    <w:rsid w:val="00AC538D"/>
    <w:rsid w:val="00B03E6A"/>
    <w:rsid w:val="00B0460A"/>
    <w:rsid w:val="00B37F10"/>
    <w:rsid w:val="00B5241B"/>
    <w:rsid w:val="00B6480A"/>
    <w:rsid w:val="00B83F6D"/>
    <w:rsid w:val="00BB36DE"/>
    <w:rsid w:val="00BB39EB"/>
    <w:rsid w:val="00BB7AA4"/>
    <w:rsid w:val="00BC095C"/>
    <w:rsid w:val="00C87DAE"/>
    <w:rsid w:val="00CC39A1"/>
    <w:rsid w:val="00CD7853"/>
    <w:rsid w:val="00CE01CC"/>
    <w:rsid w:val="00D31929"/>
    <w:rsid w:val="00D4758C"/>
    <w:rsid w:val="00D731B1"/>
    <w:rsid w:val="00D83406"/>
    <w:rsid w:val="00D91BB3"/>
    <w:rsid w:val="00D931F3"/>
    <w:rsid w:val="00D966B7"/>
    <w:rsid w:val="00DB3166"/>
    <w:rsid w:val="00DB4E1B"/>
    <w:rsid w:val="00DD6451"/>
    <w:rsid w:val="00DD7207"/>
    <w:rsid w:val="00DE2BAD"/>
    <w:rsid w:val="00DF5ACF"/>
    <w:rsid w:val="00E01D8C"/>
    <w:rsid w:val="00E03A1F"/>
    <w:rsid w:val="00E16D71"/>
    <w:rsid w:val="00E647FE"/>
    <w:rsid w:val="00E81952"/>
    <w:rsid w:val="00E81D37"/>
    <w:rsid w:val="00EB07B5"/>
    <w:rsid w:val="00F1531A"/>
    <w:rsid w:val="00F36F3D"/>
    <w:rsid w:val="00F570E8"/>
    <w:rsid w:val="00F6731D"/>
    <w:rsid w:val="00F924D3"/>
    <w:rsid w:val="00F963D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3D39"/>
  <w15:chartTrackingRefBased/>
  <w15:docId w15:val="{7A5E4BE3-587F-3C43-ACAF-13A8F37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6471</Words>
  <Characters>36886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Bjornevik, Kjetil</dc:creator>
  <cp:keywords/>
  <dc:description/>
  <cp:lastModifiedBy>Robert Witherow</cp:lastModifiedBy>
  <cp:revision>2</cp:revision>
  <cp:lastPrinted>2018-09-04T19:25:00Z</cp:lastPrinted>
  <dcterms:created xsi:type="dcterms:W3CDTF">2019-03-03T20:00:00Z</dcterms:created>
  <dcterms:modified xsi:type="dcterms:W3CDTF">2019-03-03T20:00:00Z</dcterms:modified>
</cp:coreProperties>
</file>