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page" w:tblpX="910" w:tblpY="1805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698"/>
        <w:gridCol w:w="1516"/>
        <w:gridCol w:w="1394"/>
        <w:gridCol w:w="704"/>
      </w:tblGrid>
      <w:tr w:rsidR="00157302" w:rsidRPr="000B3D48" w:rsidTr="002D2AE6">
        <w:trPr>
          <w:trHeight w:val="619"/>
        </w:trPr>
        <w:tc>
          <w:tcPr>
            <w:tcW w:w="66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C606EC">
              <w:rPr>
                <w:rFonts w:ascii="Times" w:hAnsi="Times" w:cs="Times"/>
                <w:sz w:val="16"/>
                <w:szCs w:val="22"/>
                <w:lang w:eastAsia="es-ES_tradnl"/>
              </w:rPr>
              <w:t xml:space="preserve">Table </w:t>
            </w:r>
            <w:r w:rsidR="00AA21D3">
              <w:rPr>
                <w:rFonts w:ascii="Times" w:hAnsi="Times" w:cs="Times"/>
                <w:sz w:val="16"/>
                <w:szCs w:val="22"/>
                <w:lang w:eastAsia="es-ES_tradnl"/>
              </w:rPr>
              <w:t>E</w:t>
            </w:r>
            <w:bookmarkStart w:id="0" w:name="_GoBack"/>
            <w:bookmarkEnd w:id="0"/>
            <w:r w:rsidRPr="00C606EC">
              <w:rPr>
                <w:rFonts w:ascii="Times" w:hAnsi="Times" w:cs="Times"/>
                <w:sz w:val="16"/>
                <w:szCs w:val="22"/>
                <w:lang w:eastAsia="es-ES_tradnl"/>
              </w:rPr>
              <w:t xml:space="preserve">1. </w:t>
            </w:r>
            <w:r w:rsidRPr="000F240C">
              <w:rPr>
                <w:rFonts w:ascii="Times" w:hAnsi="Times" w:cs="Times"/>
                <w:sz w:val="16"/>
                <w:szCs w:val="22"/>
                <w:lang w:eastAsia="es-ES_tradnl"/>
              </w:rPr>
              <w:t xml:space="preserve">Demographic Data of the Patients With NAION and Their Unaffected Fellow Eyes </w:t>
            </w:r>
            <w:r w:rsidR="000D61A2">
              <w:rPr>
                <w:rFonts w:ascii="Times" w:hAnsi="Times" w:cs="Times"/>
                <w:sz w:val="16"/>
                <w:szCs w:val="22"/>
                <w:lang w:eastAsia="es-ES_tradnl"/>
              </w:rPr>
              <w:t>and Healthy Controls</w:t>
            </w:r>
          </w:p>
        </w:tc>
      </w:tr>
      <w:tr w:rsidR="00157302" w:rsidRPr="000B3D48" w:rsidTr="002D2AE6">
        <w:trPr>
          <w:trHeight w:val="619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NAION eyes (N=29)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Contralateral unaffected eyes (N=21)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Control eyes (N=29)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 xml:space="preserve">P value </w:t>
            </w:r>
          </w:p>
        </w:tc>
      </w:tr>
      <w:tr w:rsidR="00157302" w:rsidRPr="000B3D48" w:rsidTr="002D2AE6">
        <w:tc>
          <w:tcPr>
            <w:tcW w:w="1346" w:type="dxa"/>
            <w:tcBorders>
              <w:top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Male/female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16/13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12/9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12/17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0.45</w:t>
            </w:r>
          </w:p>
        </w:tc>
      </w:tr>
      <w:tr w:rsidR="00157302" w:rsidRPr="000B3D48" w:rsidTr="002D2AE6">
        <w:tc>
          <w:tcPr>
            <w:tcW w:w="134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RE/LE</w:t>
            </w:r>
          </w:p>
        </w:tc>
        <w:tc>
          <w:tcPr>
            <w:tcW w:w="1698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11/18</w:t>
            </w:r>
          </w:p>
        </w:tc>
        <w:tc>
          <w:tcPr>
            <w:tcW w:w="151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13/8</w:t>
            </w:r>
          </w:p>
        </w:tc>
        <w:tc>
          <w:tcPr>
            <w:tcW w:w="139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12/17</w:t>
            </w:r>
          </w:p>
        </w:tc>
        <w:tc>
          <w:tcPr>
            <w:tcW w:w="70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0.20</w:t>
            </w:r>
          </w:p>
        </w:tc>
      </w:tr>
      <w:tr w:rsidR="00157302" w:rsidRPr="000B3D48" w:rsidTr="002D2AE6">
        <w:tc>
          <w:tcPr>
            <w:tcW w:w="134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Age, y</w:t>
            </w:r>
          </w:p>
        </w:tc>
        <w:tc>
          <w:tcPr>
            <w:tcW w:w="1698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67.20±11.25</w:t>
            </w:r>
          </w:p>
        </w:tc>
        <w:tc>
          <w:tcPr>
            <w:tcW w:w="151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66.47±11.49</w:t>
            </w:r>
          </w:p>
        </w:tc>
        <w:tc>
          <w:tcPr>
            <w:tcW w:w="139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68.03±12.11</w:t>
            </w:r>
          </w:p>
        </w:tc>
        <w:tc>
          <w:tcPr>
            <w:tcW w:w="70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0.89</w:t>
            </w:r>
          </w:p>
        </w:tc>
      </w:tr>
      <w:tr w:rsidR="00157302" w:rsidRPr="000B3D48" w:rsidTr="002D2AE6">
        <w:tc>
          <w:tcPr>
            <w:tcW w:w="134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AL</w:t>
            </w:r>
          </w:p>
        </w:tc>
        <w:tc>
          <w:tcPr>
            <w:tcW w:w="1698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22.86±1.11</w:t>
            </w:r>
          </w:p>
        </w:tc>
        <w:tc>
          <w:tcPr>
            <w:tcW w:w="151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23.20±0.99</w:t>
            </w:r>
          </w:p>
        </w:tc>
        <w:tc>
          <w:tcPr>
            <w:tcW w:w="139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23.24±0.78</w:t>
            </w:r>
          </w:p>
        </w:tc>
        <w:tc>
          <w:tcPr>
            <w:tcW w:w="70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0.29</w:t>
            </w:r>
          </w:p>
        </w:tc>
      </w:tr>
      <w:tr w:rsidR="00157302" w:rsidRPr="000B3D48" w:rsidTr="002D2AE6">
        <w:tc>
          <w:tcPr>
            <w:tcW w:w="134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SE</w:t>
            </w:r>
          </w:p>
        </w:tc>
        <w:tc>
          <w:tcPr>
            <w:tcW w:w="1698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0.96±2.22</w:t>
            </w:r>
          </w:p>
        </w:tc>
        <w:tc>
          <w:tcPr>
            <w:tcW w:w="1516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0.99±2.22</w:t>
            </w:r>
          </w:p>
        </w:tc>
        <w:tc>
          <w:tcPr>
            <w:tcW w:w="139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0.01±1.86</w:t>
            </w:r>
          </w:p>
        </w:tc>
        <w:tc>
          <w:tcPr>
            <w:tcW w:w="704" w:type="dxa"/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0.13</w:t>
            </w:r>
          </w:p>
        </w:tc>
      </w:tr>
      <w:tr w:rsidR="00157302" w:rsidRPr="000B3D48" w:rsidTr="002D2AE6">
        <w:trPr>
          <w:trHeight w:val="444"/>
        </w:trPr>
        <w:tc>
          <w:tcPr>
            <w:tcW w:w="1346" w:type="dxa"/>
            <w:tcBorders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IOP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17.51±2.30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16.66±2.00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17.21±1.59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157302" w:rsidRPr="000B3D48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5"/>
                <w:szCs w:val="18"/>
              </w:rPr>
            </w:pPr>
            <w:r w:rsidRPr="000B3D48">
              <w:rPr>
                <w:rFonts w:ascii="Times" w:hAnsi="Times" w:cs="Times"/>
                <w:sz w:val="15"/>
                <w:szCs w:val="18"/>
              </w:rPr>
              <w:t>0.33</w:t>
            </w:r>
          </w:p>
        </w:tc>
      </w:tr>
      <w:tr w:rsidR="00157302" w:rsidRPr="000B3D48" w:rsidTr="002D2AE6">
        <w:trPr>
          <w:trHeight w:val="880"/>
        </w:trPr>
        <w:tc>
          <w:tcPr>
            <w:tcW w:w="6658" w:type="dxa"/>
            <w:gridSpan w:val="5"/>
            <w:tcBorders>
              <w:top w:val="single" w:sz="4" w:space="0" w:color="auto"/>
            </w:tcBorders>
          </w:tcPr>
          <w:p w:rsidR="00157302" w:rsidRPr="00F33061" w:rsidRDefault="00157302" w:rsidP="002D2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18"/>
              </w:rPr>
            </w:pPr>
            <w:r w:rsidRPr="00F33061">
              <w:rPr>
                <w:rFonts w:ascii="Times" w:hAnsi="Times" w:cs="Times"/>
                <w:sz w:val="16"/>
                <w:szCs w:val="18"/>
              </w:rPr>
              <w:t xml:space="preserve">Data are presented as mean±SD.. NAION, non-arteritic ischaemic optic neuropathy; RE, right eye; LE, left eye; AL, axial length, SE; spherical equivalent; IOP, intraocular preassure. </w:t>
            </w:r>
          </w:p>
        </w:tc>
      </w:tr>
    </w:tbl>
    <w:p w:rsidR="00652F77" w:rsidRDefault="00652F77"/>
    <w:sectPr w:rsidR="00652F77" w:rsidSect="001573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9E" w:rsidRDefault="00D1349E" w:rsidP="00E62E12">
      <w:r>
        <w:separator/>
      </w:r>
    </w:p>
  </w:endnote>
  <w:endnote w:type="continuationSeparator" w:id="0">
    <w:p w:rsidR="00D1349E" w:rsidRDefault="00D1349E" w:rsidP="00E6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9E" w:rsidRDefault="00D1349E" w:rsidP="00E62E12">
      <w:r>
        <w:separator/>
      </w:r>
    </w:p>
  </w:footnote>
  <w:footnote w:type="continuationSeparator" w:id="0">
    <w:p w:rsidR="00D1349E" w:rsidRDefault="00D1349E" w:rsidP="00E6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C17"/>
    <w:multiLevelType w:val="hybridMultilevel"/>
    <w:tmpl w:val="ECD2ECB6"/>
    <w:lvl w:ilvl="0" w:tplc="68E6B9DE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A01"/>
    <w:multiLevelType w:val="hybridMultilevel"/>
    <w:tmpl w:val="B956C45C"/>
    <w:lvl w:ilvl="0" w:tplc="050291A4">
      <w:numFmt w:val="bullet"/>
      <w:lvlText w:val=""/>
      <w:lvlJc w:val="left"/>
      <w:pPr>
        <w:ind w:left="64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76D356BA"/>
    <w:multiLevelType w:val="hybridMultilevel"/>
    <w:tmpl w:val="93DCF666"/>
    <w:lvl w:ilvl="0" w:tplc="D0C0D8D2"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F"/>
    <w:rsid w:val="0000368B"/>
    <w:rsid w:val="00024B7E"/>
    <w:rsid w:val="000B3D48"/>
    <w:rsid w:val="000B3DBE"/>
    <w:rsid w:val="000D61A2"/>
    <w:rsid w:val="000F240C"/>
    <w:rsid w:val="000F4781"/>
    <w:rsid w:val="00142962"/>
    <w:rsid w:val="00157302"/>
    <w:rsid w:val="00166EFE"/>
    <w:rsid w:val="00174996"/>
    <w:rsid w:val="00186582"/>
    <w:rsid w:val="00187B5F"/>
    <w:rsid w:val="001A5B33"/>
    <w:rsid w:val="001B72E2"/>
    <w:rsid w:val="001C7D2C"/>
    <w:rsid w:val="001D7502"/>
    <w:rsid w:val="002357DB"/>
    <w:rsid w:val="00286556"/>
    <w:rsid w:val="00290540"/>
    <w:rsid w:val="00293AE6"/>
    <w:rsid w:val="002962A4"/>
    <w:rsid w:val="002B7FB8"/>
    <w:rsid w:val="002E1F44"/>
    <w:rsid w:val="002F0797"/>
    <w:rsid w:val="0032628E"/>
    <w:rsid w:val="00326CFC"/>
    <w:rsid w:val="00327514"/>
    <w:rsid w:val="00331428"/>
    <w:rsid w:val="003450AF"/>
    <w:rsid w:val="00347A44"/>
    <w:rsid w:val="00384C1C"/>
    <w:rsid w:val="003A0731"/>
    <w:rsid w:val="003A72DF"/>
    <w:rsid w:val="003B593D"/>
    <w:rsid w:val="003D6B8B"/>
    <w:rsid w:val="003F2925"/>
    <w:rsid w:val="00421573"/>
    <w:rsid w:val="00455844"/>
    <w:rsid w:val="0046139C"/>
    <w:rsid w:val="0046398C"/>
    <w:rsid w:val="0047418E"/>
    <w:rsid w:val="004979F9"/>
    <w:rsid w:val="004A556D"/>
    <w:rsid w:val="004C2B56"/>
    <w:rsid w:val="004C5521"/>
    <w:rsid w:val="004C7756"/>
    <w:rsid w:val="004D359E"/>
    <w:rsid w:val="004D4750"/>
    <w:rsid w:val="004D6224"/>
    <w:rsid w:val="004D6EE2"/>
    <w:rsid w:val="004D74ED"/>
    <w:rsid w:val="00504044"/>
    <w:rsid w:val="00507FED"/>
    <w:rsid w:val="00511189"/>
    <w:rsid w:val="00511296"/>
    <w:rsid w:val="00511353"/>
    <w:rsid w:val="00513EF6"/>
    <w:rsid w:val="005472E1"/>
    <w:rsid w:val="00551EE6"/>
    <w:rsid w:val="005927D0"/>
    <w:rsid w:val="005A0A01"/>
    <w:rsid w:val="005A5552"/>
    <w:rsid w:val="005C2982"/>
    <w:rsid w:val="005C38B4"/>
    <w:rsid w:val="005D0403"/>
    <w:rsid w:val="005D100B"/>
    <w:rsid w:val="005E1470"/>
    <w:rsid w:val="005E5BB3"/>
    <w:rsid w:val="00613651"/>
    <w:rsid w:val="00613A39"/>
    <w:rsid w:val="00620143"/>
    <w:rsid w:val="0062754F"/>
    <w:rsid w:val="00632256"/>
    <w:rsid w:val="00652F77"/>
    <w:rsid w:val="006A25DE"/>
    <w:rsid w:val="006B0243"/>
    <w:rsid w:val="006B4F50"/>
    <w:rsid w:val="006B53FC"/>
    <w:rsid w:val="006B746E"/>
    <w:rsid w:val="006B78F9"/>
    <w:rsid w:val="006E305A"/>
    <w:rsid w:val="006E3AEB"/>
    <w:rsid w:val="006F2540"/>
    <w:rsid w:val="00722EC5"/>
    <w:rsid w:val="00744149"/>
    <w:rsid w:val="00746A07"/>
    <w:rsid w:val="0076132D"/>
    <w:rsid w:val="00775DC6"/>
    <w:rsid w:val="00784A59"/>
    <w:rsid w:val="00793FC6"/>
    <w:rsid w:val="007A3061"/>
    <w:rsid w:val="007A3BE3"/>
    <w:rsid w:val="007A75D2"/>
    <w:rsid w:val="007B418C"/>
    <w:rsid w:val="007B518D"/>
    <w:rsid w:val="007C6C2E"/>
    <w:rsid w:val="00821898"/>
    <w:rsid w:val="0083120B"/>
    <w:rsid w:val="00842B8D"/>
    <w:rsid w:val="008452C2"/>
    <w:rsid w:val="00855F98"/>
    <w:rsid w:val="00860847"/>
    <w:rsid w:val="00873072"/>
    <w:rsid w:val="0087488A"/>
    <w:rsid w:val="008B1C4E"/>
    <w:rsid w:val="008B3129"/>
    <w:rsid w:val="008B72A2"/>
    <w:rsid w:val="008C457F"/>
    <w:rsid w:val="008C4908"/>
    <w:rsid w:val="008E39AA"/>
    <w:rsid w:val="008F5AC1"/>
    <w:rsid w:val="00901F76"/>
    <w:rsid w:val="009367DE"/>
    <w:rsid w:val="009402F0"/>
    <w:rsid w:val="00941760"/>
    <w:rsid w:val="00947E2E"/>
    <w:rsid w:val="00951D99"/>
    <w:rsid w:val="00956D06"/>
    <w:rsid w:val="009667B7"/>
    <w:rsid w:val="00991ABB"/>
    <w:rsid w:val="009E3344"/>
    <w:rsid w:val="009F2F7D"/>
    <w:rsid w:val="00A234F1"/>
    <w:rsid w:val="00A235F5"/>
    <w:rsid w:val="00A24B54"/>
    <w:rsid w:val="00A269D5"/>
    <w:rsid w:val="00A84EAE"/>
    <w:rsid w:val="00AA21D3"/>
    <w:rsid w:val="00AA664F"/>
    <w:rsid w:val="00AD03D9"/>
    <w:rsid w:val="00AD61AA"/>
    <w:rsid w:val="00AD68EA"/>
    <w:rsid w:val="00AD6DBC"/>
    <w:rsid w:val="00B27870"/>
    <w:rsid w:val="00B954DA"/>
    <w:rsid w:val="00B95B0D"/>
    <w:rsid w:val="00B97CA2"/>
    <w:rsid w:val="00BB0CCC"/>
    <w:rsid w:val="00BC343C"/>
    <w:rsid w:val="00BE5D3A"/>
    <w:rsid w:val="00BF60F5"/>
    <w:rsid w:val="00C37EC6"/>
    <w:rsid w:val="00C606EC"/>
    <w:rsid w:val="00C72642"/>
    <w:rsid w:val="00C9646B"/>
    <w:rsid w:val="00CA5A4A"/>
    <w:rsid w:val="00CC6F63"/>
    <w:rsid w:val="00CD463C"/>
    <w:rsid w:val="00CE3DFF"/>
    <w:rsid w:val="00CF1B02"/>
    <w:rsid w:val="00D1349E"/>
    <w:rsid w:val="00D169AF"/>
    <w:rsid w:val="00D36BA4"/>
    <w:rsid w:val="00D50D5E"/>
    <w:rsid w:val="00D51EDB"/>
    <w:rsid w:val="00D60C02"/>
    <w:rsid w:val="00D7761A"/>
    <w:rsid w:val="00D8107E"/>
    <w:rsid w:val="00D84B10"/>
    <w:rsid w:val="00DA773E"/>
    <w:rsid w:val="00DC0D7A"/>
    <w:rsid w:val="00DD0DDF"/>
    <w:rsid w:val="00DD234B"/>
    <w:rsid w:val="00DE2EA8"/>
    <w:rsid w:val="00E20150"/>
    <w:rsid w:val="00E44923"/>
    <w:rsid w:val="00E469A6"/>
    <w:rsid w:val="00E62E12"/>
    <w:rsid w:val="00E713EF"/>
    <w:rsid w:val="00E83236"/>
    <w:rsid w:val="00E84F71"/>
    <w:rsid w:val="00E860FA"/>
    <w:rsid w:val="00EA5BF4"/>
    <w:rsid w:val="00EE7847"/>
    <w:rsid w:val="00F3009B"/>
    <w:rsid w:val="00F33061"/>
    <w:rsid w:val="00F34098"/>
    <w:rsid w:val="00F76BEC"/>
    <w:rsid w:val="00F92E42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E7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E30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12"/>
  </w:style>
  <w:style w:type="paragraph" w:styleId="Footer">
    <w:name w:val="footer"/>
    <w:basedOn w:val="Normal"/>
    <w:link w:val="FooterChar"/>
    <w:uiPriority w:val="99"/>
    <w:unhideWhenUsed/>
    <w:rsid w:val="00E62E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12"/>
  </w:style>
  <w:style w:type="paragraph" w:styleId="ListParagraph">
    <w:name w:val="List Paragraph"/>
    <w:basedOn w:val="Normal"/>
    <w:uiPriority w:val="34"/>
    <w:qFormat/>
    <w:rsid w:val="0051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Carol Ray</cp:lastModifiedBy>
  <cp:revision>2</cp:revision>
  <cp:lastPrinted>2016-06-19T21:38:00Z</cp:lastPrinted>
  <dcterms:created xsi:type="dcterms:W3CDTF">2017-07-02T18:20:00Z</dcterms:created>
  <dcterms:modified xsi:type="dcterms:W3CDTF">2017-07-02T18:20:00Z</dcterms:modified>
</cp:coreProperties>
</file>