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1"/>
        <w:tblW w:w="9348" w:type="dxa"/>
        <w:tblLook w:val="04A0" w:firstRow="1" w:lastRow="0" w:firstColumn="1" w:lastColumn="0" w:noHBand="0" w:noVBand="1"/>
      </w:tblPr>
      <w:tblGrid>
        <w:gridCol w:w="3098"/>
        <w:gridCol w:w="6250"/>
      </w:tblGrid>
      <w:tr w:rsidR="00F4028B" w14:paraId="379AD219" w14:textId="77777777" w:rsidTr="00A26F17">
        <w:trPr>
          <w:trHeight w:val="605"/>
        </w:trPr>
        <w:tc>
          <w:tcPr>
            <w:tcW w:w="934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E9198A5" w14:textId="77777777" w:rsidR="00427953" w:rsidRPr="00427953" w:rsidRDefault="00427953" w:rsidP="009262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9AE30" w14:textId="543E042F" w:rsidR="00427953" w:rsidRPr="00427953" w:rsidRDefault="00427953" w:rsidP="009262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04BD7" w14:textId="2C529B78" w:rsidR="00113830" w:rsidRDefault="009262B6" w:rsidP="00926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3830">
              <w:rPr>
                <w:rFonts w:ascii="Arial" w:hAnsi="Arial" w:cs="Arial"/>
                <w:b/>
                <w:sz w:val="24"/>
                <w:szCs w:val="24"/>
              </w:rPr>
              <w:t>Supplemental Appendix:</w:t>
            </w:r>
            <w:r w:rsidR="00113830">
              <w:rPr>
                <w:rFonts w:ascii="Arial" w:hAnsi="Arial" w:cs="Arial"/>
                <w:b/>
                <w:sz w:val="24"/>
                <w:szCs w:val="24"/>
              </w:rPr>
              <w:t xml:space="preserve"> McMaster PICU Practice Guidelines for Early Mobilization in Critically </w:t>
            </w:r>
            <w:proofErr w:type="gramStart"/>
            <w:r w:rsidR="00113830">
              <w:rPr>
                <w:rFonts w:ascii="Arial" w:hAnsi="Arial" w:cs="Arial"/>
                <w:b/>
                <w:sz w:val="24"/>
                <w:szCs w:val="24"/>
              </w:rPr>
              <w:t>ill</w:t>
            </w:r>
            <w:proofErr w:type="gramEnd"/>
            <w:r w:rsidR="00113830">
              <w:rPr>
                <w:rFonts w:ascii="Arial" w:hAnsi="Arial" w:cs="Arial"/>
                <w:b/>
                <w:sz w:val="24"/>
                <w:szCs w:val="24"/>
              </w:rPr>
              <w:t xml:space="preserve"> Children</w:t>
            </w:r>
          </w:p>
          <w:p w14:paraId="5CBC1C69" w14:textId="15EE0ACE" w:rsidR="00427953" w:rsidRPr="00427953" w:rsidRDefault="00113830" w:rsidP="009262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427953" w:rsidRPr="00113830">
              <w:rPr>
                <w:rFonts w:ascii="Arial" w:hAnsi="Arial" w:cs="Arial"/>
                <w:b/>
                <w:sz w:val="24"/>
                <w:szCs w:val="24"/>
              </w:rPr>
              <w:t xml:space="preserve">Contraindications and Precautions to Mobilization in Critically </w:t>
            </w:r>
            <w:proofErr w:type="gramStart"/>
            <w:r w:rsidR="00427953" w:rsidRPr="00113830">
              <w:rPr>
                <w:rFonts w:ascii="Arial" w:hAnsi="Arial" w:cs="Arial"/>
                <w:b/>
                <w:sz w:val="24"/>
                <w:szCs w:val="24"/>
              </w:rPr>
              <w:t>ill</w:t>
            </w:r>
            <w:proofErr w:type="gramEnd"/>
            <w:r w:rsidR="00427953" w:rsidRPr="00113830">
              <w:rPr>
                <w:rFonts w:ascii="Arial" w:hAnsi="Arial" w:cs="Arial"/>
                <w:b/>
                <w:sz w:val="24"/>
                <w:szCs w:val="24"/>
              </w:rPr>
              <w:t xml:space="preserve"> Children</w:t>
            </w:r>
          </w:p>
        </w:tc>
      </w:tr>
      <w:tr w:rsidR="00F4028B" w14:paraId="07274E87" w14:textId="77777777" w:rsidTr="00A26F17">
        <w:trPr>
          <w:trHeight w:val="605"/>
        </w:trPr>
        <w:tc>
          <w:tcPr>
            <w:tcW w:w="9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7ACD6B" w14:textId="657A2006" w:rsidR="00427953" w:rsidRPr="00427953" w:rsidRDefault="00427953" w:rsidP="0064763E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7953">
              <w:rPr>
                <w:rFonts w:ascii="Arial" w:hAnsi="Arial" w:cs="Arial"/>
                <w:b/>
                <w:sz w:val="24"/>
                <w:szCs w:val="24"/>
              </w:rPr>
              <w:t xml:space="preserve">Contraindications </w:t>
            </w:r>
            <w:r w:rsidR="00D26E18">
              <w:rPr>
                <w:rFonts w:ascii="Arial" w:hAnsi="Arial" w:cs="Arial"/>
                <w:b/>
                <w:sz w:val="24"/>
                <w:szCs w:val="24"/>
              </w:rPr>
              <w:t>(Not safe to mobilize, bed repositioning only)</w:t>
            </w:r>
          </w:p>
        </w:tc>
      </w:tr>
      <w:tr w:rsidR="00F4028B" w14:paraId="4F950577" w14:textId="77777777" w:rsidTr="00113830">
        <w:tc>
          <w:tcPr>
            <w:tcW w:w="3077" w:type="dxa"/>
            <w:tcBorders>
              <w:top w:val="single" w:sz="4" w:space="0" w:color="000000" w:themeColor="text1"/>
            </w:tcBorders>
            <w:vAlign w:val="center"/>
          </w:tcPr>
          <w:p w14:paraId="09FC3D8E" w14:textId="77777777" w:rsidR="00427953" w:rsidRPr="00113830" w:rsidRDefault="00427953" w:rsidP="00427953">
            <w:pPr>
              <w:rPr>
                <w:rFonts w:ascii="Arial" w:hAnsi="Arial" w:cs="Arial"/>
                <w:sz w:val="24"/>
                <w:szCs w:val="24"/>
              </w:rPr>
            </w:pPr>
            <w:r w:rsidRPr="00113830">
              <w:rPr>
                <w:rFonts w:ascii="Arial" w:hAnsi="Arial" w:cs="Arial"/>
                <w:sz w:val="24"/>
                <w:szCs w:val="24"/>
              </w:rPr>
              <w:t>Hemodynamic Instability</w:t>
            </w:r>
          </w:p>
        </w:tc>
        <w:tc>
          <w:tcPr>
            <w:tcW w:w="6271" w:type="dxa"/>
            <w:tcBorders>
              <w:top w:val="single" w:sz="4" w:space="0" w:color="000000" w:themeColor="text1"/>
            </w:tcBorders>
          </w:tcPr>
          <w:p w14:paraId="2CD22004" w14:textId="41E79C78" w:rsidR="00427953" w:rsidRPr="00427953" w:rsidRDefault="004E4CE9" w:rsidP="004279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Hypotension (b</w:t>
            </w:r>
            <w:r w:rsidR="00427953"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lood pressure persistently below patient’s target causing end-organ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hypo</w:t>
            </w:r>
            <w:r w:rsidR="00427953"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>perfusion</w:t>
            </w:r>
            <w:proofErr w:type="spellEnd"/>
            <w:r w:rsidR="00427953"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  <w:p w14:paraId="14231279" w14:textId="4670AC96" w:rsidR="00427953" w:rsidRPr="00427953" w:rsidRDefault="004E4CE9" w:rsidP="004279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Ongoing need for fluid resuscitation and/or escalation in vasoactive medication </w:t>
            </w:r>
          </w:p>
          <w:p w14:paraId="20A65B3E" w14:textId="77777777" w:rsidR="002D136B" w:rsidRDefault="00427953" w:rsidP="004279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>Suspected/confirmed acute unstable or uncontrolled arrhythmia</w:t>
            </w:r>
          </w:p>
          <w:p w14:paraId="298B84F7" w14:textId="171E8E45" w:rsidR="00427953" w:rsidRPr="00427953" w:rsidRDefault="002D136B" w:rsidP="004279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Evidence of cardiac tamponade (untreated)</w:t>
            </w:r>
          </w:p>
          <w:p w14:paraId="6878C1D5" w14:textId="77777777" w:rsidR="00427953" w:rsidRPr="00427953" w:rsidRDefault="00427953" w:rsidP="004279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>Acute cardiac ischemia (symptomatic and/or confirmed ECG changes) – not resolved</w:t>
            </w:r>
          </w:p>
          <w:p w14:paraId="7BB0FADE" w14:textId="4EFD5E99" w:rsidR="00427953" w:rsidRPr="00427953" w:rsidRDefault="00427953" w:rsidP="004E4CE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>Acute systemic or pulmonary hy</w:t>
            </w:r>
            <w:r w:rsidR="004E4CE9">
              <w:rPr>
                <w:rFonts w:ascii="Arial" w:hAnsi="Arial" w:cs="Arial"/>
                <w:color w:val="000000" w:themeColor="text1"/>
                <w:sz w:val="22"/>
                <w:szCs w:val="22"/>
              </w:rPr>
              <w:t>pertensive crisis – not resolved and/or</w:t>
            </w:r>
            <w:r w:rsidR="004E4CE9"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E4CE9">
              <w:rPr>
                <w:rFonts w:ascii="Arial" w:hAnsi="Arial" w:cs="Arial"/>
                <w:color w:val="000000" w:themeColor="text1"/>
                <w:sz w:val="22"/>
                <w:szCs w:val="22"/>
              </w:rPr>
              <w:t>requiring IV</w:t>
            </w:r>
            <w:r w:rsidR="004E4CE9"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anti-hypertensive therapy </w:t>
            </w:r>
          </w:p>
        </w:tc>
      </w:tr>
      <w:tr w:rsidR="00F4028B" w14:paraId="534A69E6" w14:textId="77777777" w:rsidTr="00113830">
        <w:trPr>
          <w:trHeight w:val="2142"/>
        </w:trPr>
        <w:tc>
          <w:tcPr>
            <w:tcW w:w="3077" w:type="dxa"/>
            <w:vAlign w:val="center"/>
          </w:tcPr>
          <w:p w14:paraId="22FF98F3" w14:textId="77777777" w:rsidR="00427953" w:rsidRPr="00113830" w:rsidRDefault="00427953" w:rsidP="00427953">
            <w:pPr>
              <w:rPr>
                <w:rFonts w:ascii="Arial" w:hAnsi="Arial" w:cs="Arial"/>
                <w:sz w:val="24"/>
                <w:szCs w:val="24"/>
              </w:rPr>
            </w:pPr>
            <w:r w:rsidRPr="00113830">
              <w:rPr>
                <w:rFonts w:ascii="Arial" w:hAnsi="Arial" w:cs="Arial"/>
                <w:sz w:val="24"/>
                <w:szCs w:val="24"/>
              </w:rPr>
              <w:t>Respiratory Instability</w:t>
            </w:r>
          </w:p>
        </w:tc>
        <w:tc>
          <w:tcPr>
            <w:tcW w:w="6271" w:type="dxa"/>
          </w:tcPr>
          <w:p w14:paraId="429B5946" w14:textId="77777777" w:rsidR="00427953" w:rsidRPr="00427953" w:rsidRDefault="00427953" w:rsidP="004279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>Acute, impending respiratory failure, ongoing escalation in respiratory support, and/or endotracheal intubation is anticipated within the next 4 hours</w:t>
            </w:r>
          </w:p>
          <w:p w14:paraId="5CBCB8B5" w14:textId="0867C84C" w:rsidR="00427953" w:rsidRPr="00427953" w:rsidRDefault="002D136B" w:rsidP="004279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Escalating </w:t>
            </w:r>
            <w:r w:rsidR="00427953"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intravenous bronchodilator, intravenous or inhaled pulmonary vasodilator therapy within last 4 hours </w:t>
            </w:r>
          </w:p>
          <w:p w14:paraId="4F06CF45" w14:textId="5DD17A3A" w:rsidR="00427953" w:rsidRPr="00AE0492" w:rsidRDefault="00AE0492" w:rsidP="00AE0492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E04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Note: </w:t>
            </w:r>
            <w:r w:rsidR="00427953" w:rsidRPr="00AE0492">
              <w:rPr>
                <w:rFonts w:ascii="Arial" w:hAnsi="Arial" w:cs="Arial"/>
                <w:color w:val="000000" w:themeColor="text1"/>
                <w:sz w:val="22"/>
                <w:szCs w:val="22"/>
              </w:rPr>
              <w:t>(stable titration and or weaning of respiratory support and FiO</w:t>
            </w:r>
            <w:r w:rsidR="00427953" w:rsidRPr="00AE0492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427953" w:rsidRPr="00AE04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requirements even if high, are not absolute contraindications to mobilization) </w:t>
            </w:r>
          </w:p>
        </w:tc>
      </w:tr>
      <w:tr w:rsidR="00F4028B" w14:paraId="0A3DBB4E" w14:textId="77777777" w:rsidTr="00113830">
        <w:tc>
          <w:tcPr>
            <w:tcW w:w="3077" w:type="dxa"/>
            <w:vAlign w:val="center"/>
          </w:tcPr>
          <w:p w14:paraId="68CD829B" w14:textId="77777777" w:rsidR="00427953" w:rsidRPr="00113830" w:rsidRDefault="00427953" w:rsidP="00427953">
            <w:pPr>
              <w:rPr>
                <w:rFonts w:ascii="Arial" w:hAnsi="Arial" w:cs="Arial"/>
                <w:sz w:val="24"/>
                <w:szCs w:val="24"/>
              </w:rPr>
            </w:pPr>
            <w:r w:rsidRPr="00113830">
              <w:rPr>
                <w:rFonts w:ascii="Arial" w:hAnsi="Arial" w:cs="Arial"/>
                <w:sz w:val="24"/>
                <w:szCs w:val="24"/>
              </w:rPr>
              <w:t>Neurological Instability</w:t>
            </w:r>
          </w:p>
        </w:tc>
        <w:tc>
          <w:tcPr>
            <w:tcW w:w="6271" w:type="dxa"/>
          </w:tcPr>
          <w:p w14:paraId="2F185D49" w14:textId="77777777" w:rsidR="00427953" w:rsidRPr="00427953" w:rsidRDefault="00427953" w:rsidP="0042795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>Evidence of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high suspicion for acute cerebral edema, or active management of elevated </w:t>
            </w:r>
            <w:r>
              <w:rPr>
                <w:rFonts w:ascii="Arial" w:hAnsi="Arial" w:cs="Arial"/>
                <w:sz w:val="22"/>
                <w:szCs w:val="22"/>
              </w:rPr>
              <w:t>ICP</w:t>
            </w:r>
            <w:r w:rsidRPr="00427953">
              <w:rPr>
                <w:rFonts w:ascii="Arial" w:hAnsi="Arial" w:cs="Arial"/>
                <w:sz w:val="22"/>
                <w:szCs w:val="22"/>
              </w:rPr>
              <w:t xml:space="preserve"> with CPP not within target range</w:t>
            </w:r>
          </w:p>
          <w:p w14:paraId="54BF7F5A" w14:textId="77777777" w:rsidR="00427953" w:rsidRPr="00427953" w:rsidRDefault="00427953" w:rsidP="00427953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7953">
              <w:rPr>
                <w:rFonts w:ascii="Arial" w:eastAsia="MS Gothic" w:hAnsi="Arial" w:cs="Arial"/>
                <w:color w:val="000000"/>
                <w:sz w:val="22"/>
                <w:szCs w:val="22"/>
              </w:rPr>
              <w:t>Sudden, unexplained acute deterioration in level of consciousness</w:t>
            </w:r>
          </w:p>
          <w:p w14:paraId="5185849F" w14:textId="77777777" w:rsidR="00427953" w:rsidRPr="00427953" w:rsidRDefault="00427953" w:rsidP="004279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Active uncontrolled seizures, or refractory status epilepticus exacerbated by active or passive mobilization activity (documented) </w:t>
            </w:r>
          </w:p>
        </w:tc>
      </w:tr>
      <w:tr w:rsidR="00F4028B" w:rsidRPr="00CA0C16" w14:paraId="0CC74D7D" w14:textId="77777777" w:rsidTr="00113830"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D475641" w14:textId="77777777" w:rsidR="00427953" w:rsidRPr="00113830" w:rsidRDefault="00427953" w:rsidP="00427953">
            <w:pPr>
              <w:rPr>
                <w:rFonts w:ascii="Arial" w:hAnsi="Arial" w:cs="Arial"/>
                <w:sz w:val="24"/>
                <w:szCs w:val="24"/>
              </w:rPr>
            </w:pPr>
            <w:r w:rsidRPr="00113830">
              <w:rPr>
                <w:rFonts w:ascii="Arial" w:hAnsi="Arial" w:cs="Arial"/>
                <w:sz w:val="24"/>
                <w:szCs w:val="24"/>
              </w:rPr>
              <w:t xml:space="preserve">Surgical 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34C50149" w14:textId="77777777" w:rsidR="00427953" w:rsidRPr="00427953" w:rsidRDefault="00427953" w:rsidP="004279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>Uncontrolled major, active bleeding</w:t>
            </w:r>
          </w:p>
          <w:p w14:paraId="04CF2929" w14:textId="77777777" w:rsidR="00427953" w:rsidRPr="00427953" w:rsidRDefault="00427953" w:rsidP="004279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Unstable or </w:t>
            </w:r>
            <w:proofErr w:type="spellStart"/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>unstabilized</w:t>
            </w:r>
            <w:proofErr w:type="spellEnd"/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pelvic or spinal fracture</w:t>
            </w:r>
          </w:p>
          <w:p w14:paraId="1A6AC2FE" w14:textId="77777777" w:rsidR="00427953" w:rsidRPr="00427953" w:rsidRDefault="00427953" w:rsidP="0042795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2"/>
              </w:rPr>
              <w:t>Acute surgical emergency</w:t>
            </w:r>
          </w:p>
        </w:tc>
      </w:tr>
      <w:tr w:rsidR="00F4028B" w:rsidRPr="00CA0C16" w14:paraId="3EDDA5AA" w14:textId="77777777" w:rsidTr="00A26F17">
        <w:tc>
          <w:tcPr>
            <w:tcW w:w="9348" w:type="dxa"/>
            <w:gridSpan w:val="2"/>
            <w:shd w:val="clear" w:color="auto" w:fill="D9D9D9" w:themeFill="background1" w:themeFillShade="D9"/>
            <w:vAlign w:val="center"/>
          </w:tcPr>
          <w:p w14:paraId="54F46543" w14:textId="1BE8BEE3" w:rsidR="00427953" w:rsidRPr="00427953" w:rsidRDefault="00427953" w:rsidP="00AD218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279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Precautions (special care, resources and attention is required during mobilization of these patients):</w:t>
            </w:r>
          </w:p>
        </w:tc>
      </w:tr>
      <w:tr w:rsidR="00F4028B" w:rsidRPr="00CA0C16" w14:paraId="5939B06E" w14:textId="77777777" w:rsidTr="00113830">
        <w:trPr>
          <w:trHeight w:val="263"/>
        </w:trPr>
        <w:tc>
          <w:tcPr>
            <w:tcW w:w="3077" w:type="dxa"/>
            <w:vAlign w:val="center"/>
          </w:tcPr>
          <w:p w14:paraId="58293AEE" w14:textId="77777777" w:rsidR="00427953" w:rsidRPr="00113830" w:rsidRDefault="00427953" w:rsidP="0042795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830">
              <w:rPr>
                <w:rFonts w:ascii="Arial" w:hAnsi="Arial" w:cs="Arial"/>
                <w:color w:val="000000" w:themeColor="text1"/>
                <w:sz w:val="24"/>
                <w:szCs w:val="24"/>
              </w:rPr>
              <w:t>Cardiovascular</w:t>
            </w:r>
          </w:p>
        </w:tc>
        <w:tc>
          <w:tcPr>
            <w:tcW w:w="6271" w:type="dxa"/>
          </w:tcPr>
          <w:p w14:paraId="40C6A3F0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Patients receiving vasoactive infusion(s): Stable or weaning doses of vasoactive agents is </w:t>
            </w:r>
            <w:r w:rsidRPr="00427953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not</w:t>
            </w: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an absolute contraindication to mobilization. There is no consensus agreement on threshold doses for which mobilization is contraindicated, hence each case should be discussed </w:t>
            </w: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lastRenderedPageBreak/>
              <w:t>on case by case basis, with consideration of individual patient and combination of vasoactive drug(s).</w:t>
            </w:r>
          </w:p>
          <w:p w14:paraId="1F8C021C" w14:textId="77777777" w:rsidR="00427953" w:rsidRPr="00427953" w:rsidRDefault="00427953" w:rsidP="009262B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Systemic or Pulmonary hypertension</w:t>
            </w:r>
          </w:p>
        </w:tc>
      </w:tr>
      <w:tr w:rsidR="00F4028B" w:rsidRPr="00CA0C16" w14:paraId="0AA5CECD" w14:textId="77777777" w:rsidTr="00113830">
        <w:trPr>
          <w:trHeight w:val="263"/>
        </w:trPr>
        <w:tc>
          <w:tcPr>
            <w:tcW w:w="3077" w:type="dxa"/>
            <w:vAlign w:val="center"/>
          </w:tcPr>
          <w:p w14:paraId="15325803" w14:textId="77777777" w:rsidR="00427953" w:rsidRPr="00113830" w:rsidRDefault="00427953" w:rsidP="0042795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83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Respiratory</w:t>
            </w:r>
          </w:p>
        </w:tc>
        <w:tc>
          <w:tcPr>
            <w:tcW w:w="6271" w:type="dxa"/>
          </w:tcPr>
          <w:p w14:paraId="47671BB8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Patients receiving invasive or non-invasive mechanical ventilation</w:t>
            </w:r>
          </w:p>
          <w:p w14:paraId="599F3743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Patients with accessory muscle use and high oxygen requirements (i.e. FiO</w:t>
            </w: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  <w:vertAlign w:val="subscript"/>
              </w:rPr>
              <w:t>2</w:t>
            </w: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over 0.5)</w:t>
            </w:r>
          </w:p>
          <w:p w14:paraId="4B4134BA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Status post airway reconstructive surgery or fresh tracheostomy</w:t>
            </w:r>
          </w:p>
          <w:p w14:paraId="1F90A20F" w14:textId="4A9CD668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  <w:r w:rsidRPr="007B5B76">
              <w:rPr>
                <w:rFonts w:ascii="Arial" w:hAnsi="Arial" w:cs="Arial"/>
                <w:color w:val="000000" w:themeColor="text1"/>
                <w:sz w:val="22"/>
                <w:szCs w:val="24"/>
              </w:rPr>
              <w:t>Prone positioning</w:t>
            </w: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</w:t>
            </w:r>
            <w:r w:rsidR="00DE1349">
              <w:rPr>
                <w:rFonts w:ascii="Arial" w:hAnsi="Arial" w:cs="Arial"/>
                <w:color w:val="000000" w:themeColor="text1"/>
                <w:sz w:val="22"/>
                <w:szCs w:val="24"/>
              </w:rPr>
              <w:t>during mechanical ventilation</w:t>
            </w:r>
          </w:p>
        </w:tc>
      </w:tr>
      <w:tr w:rsidR="00F4028B" w:rsidRPr="00CA0C16" w14:paraId="44AC5F54" w14:textId="77777777" w:rsidTr="00113830">
        <w:trPr>
          <w:trHeight w:val="263"/>
        </w:trPr>
        <w:tc>
          <w:tcPr>
            <w:tcW w:w="3077" w:type="dxa"/>
            <w:vAlign w:val="center"/>
          </w:tcPr>
          <w:p w14:paraId="15FB4E8A" w14:textId="77777777" w:rsidR="00427953" w:rsidRPr="00113830" w:rsidRDefault="00427953" w:rsidP="0042795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830">
              <w:rPr>
                <w:rFonts w:ascii="Arial" w:hAnsi="Arial" w:cs="Arial"/>
                <w:color w:val="000000" w:themeColor="text1"/>
                <w:sz w:val="24"/>
                <w:szCs w:val="24"/>
              </w:rPr>
              <w:t>Neurological/Neurosurgical</w:t>
            </w:r>
          </w:p>
        </w:tc>
        <w:tc>
          <w:tcPr>
            <w:tcW w:w="6271" w:type="dxa"/>
          </w:tcPr>
          <w:p w14:paraId="6500C338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Status post </w:t>
            </w:r>
            <w:proofErr w:type="spellStart"/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craniectomy</w:t>
            </w:r>
            <w:proofErr w:type="spellEnd"/>
          </w:p>
          <w:p w14:paraId="694E394C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External ventricular drain/intracranial pressure monitor in situ</w:t>
            </w:r>
          </w:p>
          <w:p w14:paraId="78F8FF68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Acute spinal cord injury</w:t>
            </w:r>
          </w:p>
          <w:p w14:paraId="036B4114" w14:textId="64235499" w:rsidR="00427953" w:rsidRPr="00427953" w:rsidRDefault="00427953" w:rsidP="00E4508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Patient</w:t>
            </w:r>
            <w:r w:rsidR="00AE0492">
              <w:rPr>
                <w:rFonts w:ascii="Arial" w:hAnsi="Arial" w:cs="Arial"/>
                <w:color w:val="000000" w:themeColor="text1"/>
                <w:sz w:val="22"/>
                <w:szCs w:val="24"/>
              </w:rPr>
              <w:t>s</w:t>
            </w: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who </w:t>
            </w:r>
            <w:r w:rsidR="00AE0492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are on </w:t>
            </w:r>
            <w:r w:rsidR="00E45084">
              <w:rPr>
                <w:rFonts w:ascii="Arial" w:hAnsi="Arial" w:cs="Arial"/>
                <w:color w:val="000000" w:themeColor="text1"/>
                <w:sz w:val="22"/>
                <w:szCs w:val="24"/>
              </w:rPr>
              <w:t>neuromuscular blockers</w:t>
            </w: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or </w:t>
            </w:r>
            <w:r w:rsidR="00AE0492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present with acute </w:t>
            </w: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muscle paralysis</w:t>
            </w:r>
          </w:p>
        </w:tc>
      </w:tr>
      <w:tr w:rsidR="00F4028B" w:rsidRPr="00CA0C16" w14:paraId="3FABAC71" w14:textId="77777777" w:rsidTr="00113830">
        <w:trPr>
          <w:trHeight w:val="960"/>
        </w:trPr>
        <w:tc>
          <w:tcPr>
            <w:tcW w:w="3077" w:type="dxa"/>
            <w:vAlign w:val="center"/>
          </w:tcPr>
          <w:p w14:paraId="23D1E2CC" w14:textId="77777777" w:rsidR="00427953" w:rsidRPr="00113830" w:rsidRDefault="00427953" w:rsidP="0042795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830">
              <w:rPr>
                <w:rFonts w:ascii="Arial" w:hAnsi="Arial" w:cs="Arial"/>
                <w:color w:val="000000" w:themeColor="text1"/>
                <w:sz w:val="24"/>
                <w:szCs w:val="24"/>
              </w:rPr>
              <w:t>Orthopedic /Musculoskeletal</w:t>
            </w:r>
          </w:p>
        </w:tc>
        <w:tc>
          <w:tcPr>
            <w:tcW w:w="6271" w:type="dxa"/>
          </w:tcPr>
          <w:p w14:paraId="45F67850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Strict spinal precautions in place (inline immobilization required) </w:t>
            </w:r>
          </w:p>
          <w:p w14:paraId="1B72647D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Limb fractures, osteopenia</w:t>
            </w:r>
          </w:p>
          <w:p w14:paraId="0E85D792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Joint laxity, </w:t>
            </w:r>
            <w:proofErr w:type="spellStart"/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hypotonicity</w:t>
            </w:r>
            <w:proofErr w:type="spellEnd"/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or spasticity, specific regional/joint considerations</w:t>
            </w:r>
          </w:p>
        </w:tc>
      </w:tr>
      <w:tr w:rsidR="00F4028B" w:rsidRPr="00CA0C16" w14:paraId="08D2D967" w14:textId="77777777" w:rsidTr="00113830">
        <w:trPr>
          <w:trHeight w:val="3853"/>
        </w:trPr>
        <w:tc>
          <w:tcPr>
            <w:tcW w:w="3077" w:type="dxa"/>
            <w:vAlign w:val="center"/>
          </w:tcPr>
          <w:p w14:paraId="380351EE" w14:textId="77777777" w:rsidR="00427953" w:rsidRPr="00113830" w:rsidRDefault="00427953" w:rsidP="0042795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830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6271" w:type="dxa"/>
          </w:tcPr>
          <w:p w14:paraId="726AD9FF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Invasive lines/catheters in situ</w:t>
            </w:r>
          </w:p>
          <w:p w14:paraId="0839F0DE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Contin</w:t>
            </w:r>
            <w:r>
              <w:rPr>
                <w:rFonts w:ascii="Arial" w:hAnsi="Arial" w:cs="Arial"/>
                <w:color w:val="000000" w:themeColor="text1"/>
                <w:sz w:val="22"/>
                <w:szCs w:val="24"/>
              </w:rPr>
              <w:t>u</w:t>
            </w: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ous renal replacement therapy</w:t>
            </w:r>
          </w:p>
          <w:p w14:paraId="31DA3769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Specific requirements/instructions following surgery e.g. status post skin grafts/muscle flaps, open abdomen, risk of wound dehiscence (n</w:t>
            </w:r>
            <w:r>
              <w:rPr>
                <w:rFonts w:ascii="Arial" w:hAnsi="Arial" w:cs="Arial"/>
                <w:color w:val="000000" w:themeColor="text1"/>
                <w:sz w:val="22"/>
                <w:szCs w:val="24"/>
              </w:rPr>
              <w:t>ote:</w:t>
            </w: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these patients may have head of bed elevated and in-bed limb mobility as long as dressing seal or wound integrity can be maintained)</w:t>
            </w:r>
          </w:p>
          <w:p w14:paraId="1B8C8AEB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Visceral organ injury (e.g. high grade liver or splenic laceration)</w:t>
            </w:r>
          </w:p>
          <w:p w14:paraId="79BA0FB1" w14:textId="77777777" w:rsidR="00427953" w:rsidRPr="00427953" w:rsidRDefault="00427953" w:rsidP="004279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Uncontrolled agitation and or pain, confusion, or delirium</w:t>
            </w:r>
          </w:p>
          <w:p w14:paraId="75BF9018" w14:textId="18DB14A9" w:rsidR="00427953" w:rsidRPr="00BC1363" w:rsidRDefault="00BC1363" w:rsidP="00BC13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4"/>
              </w:rPr>
              <w:t>Bleeding Diathesis</w:t>
            </w:r>
          </w:p>
          <w:p w14:paraId="31FE6E1B" w14:textId="37921C43" w:rsidR="00427953" w:rsidRPr="00BC1363" w:rsidRDefault="00427953" w:rsidP="00BC136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Risk of postural hypotension/autonomic </w:t>
            </w:r>
            <w:proofErr w:type="spellStart"/>
            <w:r w:rsidRPr="00427953">
              <w:rPr>
                <w:rFonts w:ascii="Arial" w:hAnsi="Arial" w:cs="Arial"/>
                <w:color w:val="000000" w:themeColor="text1"/>
                <w:sz w:val="22"/>
                <w:szCs w:val="24"/>
              </w:rPr>
              <w:t>dysreflexia</w:t>
            </w:r>
            <w:proofErr w:type="spellEnd"/>
          </w:p>
        </w:tc>
      </w:tr>
    </w:tbl>
    <w:p w14:paraId="7FCE09E2" w14:textId="77777777" w:rsidR="00427953" w:rsidRDefault="00427953" w:rsidP="00427953">
      <w:pPr>
        <w:rPr>
          <w:rFonts w:ascii="Arial" w:hAnsi="Arial" w:cs="Arial"/>
        </w:rPr>
      </w:pPr>
    </w:p>
    <w:p w14:paraId="6922FD9A" w14:textId="7E67FDF8" w:rsidR="004E4CE9" w:rsidRDefault="004E4CE9" w:rsidP="00427953">
      <w:pPr>
        <w:rPr>
          <w:rFonts w:ascii="Arial" w:hAnsi="Arial" w:cs="Arial"/>
        </w:rPr>
      </w:pPr>
      <w:r>
        <w:rPr>
          <w:rFonts w:ascii="Arial" w:hAnsi="Arial" w:cs="Arial"/>
        </w:rPr>
        <w:t>IV: intravenous</w:t>
      </w:r>
    </w:p>
    <w:p w14:paraId="1E5E2E78" w14:textId="77777777" w:rsidR="00427953" w:rsidRDefault="00427953" w:rsidP="00427953">
      <w:pPr>
        <w:rPr>
          <w:rFonts w:ascii="Arial" w:hAnsi="Arial" w:cs="Arial"/>
        </w:rPr>
      </w:pPr>
      <w:r>
        <w:rPr>
          <w:rFonts w:ascii="Arial" w:hAnsi="Arial" w:cs="Arial"/>
        </w:rPr>
        <w:t>ECG: electrocardiogram</w:t>
      </w:r>
    </w:p>
    <w:p w14:paraId="39FC7CD3" w14:textId="3E7CC88B" w:rsidR="001A3711" w:rsidRDefault="00CA72CC">
      <w:pPr>
        <w:rPr>
          <w:rFonts w:ascii="Arial" w:hAnsi="Arial" w:cs="Arial"/>
        </w:rPr>
      </w:pPr>
      <w:r>
        <w:rPr>
          <w:rFonts w:ascii="Arial" w:hAnsi="Arial" w:cs="Arial"/>
        </w:rPr>
        <w:t>CPP: cerebral perfusion pressure</w:t>
      </w:r>
    </w:p>
    <w:p w14:paraId="73D638B3" w14:textId="7C4A2CCD" w:rsidR="002156B2" w:rsidRDefault="002156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C6BCFB" w14:textId="78231A04" w:rsidR="002156B2" w:rsidRDefault="00113830" w:rsidP="002156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2156B2">
        <w:rPr>
          <w:rFonts w:ascii="Arial" w:hAnsi="Arial" w:cs="Arial"/>
          <w:b/>
        </w:rPr>
        <w:t>Definitions of Mobility and Non-mobility interventions</w:t>
      </w:r>
      <w:r w:rsidR="002156B2" w:rsidRPr="00B8529E">
        <w:rPr>
          <w:rFonts w:ascii="Arial" w:hAnsi="Arial" w:cs="Arial"/>
          <w:b/>
        </w:rPr>
        <w:t xml:space="preserve"> </w:t>
      </w:r>
      <w:r w:rsidR="002156B2">
        <w:rPr>
          <w:rFonts w:ascii="Arial" w:hAnsi="Arial" w:cs="Arial"/>
          <w:b/>
        </w:rPr>
        <w:t xml:space="preserve">in </w:t>
      </w:r>
      <w:r w:rsidR="002156B2" w:rsidRPr="00B8529E">
        <w:rPr>
          <w:rFonts w:ascii="Arial" w:hAnsi="Arial" w:cs="Arial"/>
          <w:b/>
        </w:rPr>
        <w:t xml:space="preserve">Critically </w:t>
      </w:r>
      <w:proofErr w:type="gramStart"/>
      <w:r w:rsidR="002156B2" w:rsidRPr="00B8529E">
        <w:rPr>
          <w:rFonts w:ascii="Arial" w:hAnsi="Arial" w:cs="Arial"/>
          <w:b/>
        </w:rPr>
        <w:t>ill</w:t>
      </w:r>
      <w:proofErr w:type="gramEnd"/>
      <w:r w:rsidR="002156B2" w:rsidRPr="00B8529E">
        <w:rPr>
          <w:rFonts w:ascii="Arial" w:hAnsi="Arial" w:cs="Arial"/>
          <w:b/>
        </w:rPr>
        <w:t xml:space="preserve"> Children</w:t>
      </w:r>
    </w:p>
    <w:p w14:paraId="604C9FE1" w14:textId="77777777" w:rsidR="002156B2" w:rsidRPr="00181DAC" w:rsidRDefault="002156B2" w:rsidP="00113830">
      <w:pPr>
        <w:spacing w:after="0"/>
        <w:rPr>
          <w:rFonts w:ascii="Arial" w:hAnsi="Arial" w:cs="Arial"/>
        </w:rPr>
      </w:pPr>
      <w:r w:rsidRPr="00C256C0">
        <w:rPr>
          <w:rFonts w:ascii="Arial" w:hAnsi="Arial" w:cs="Arial"/>
          <w:i/>
        </w:rPr>
        <w:t>Passive</w:t>
      </w:r>
      <w:r w:rsidRPr="00181DAC">
        <w:rPr>
          <w:rFonts w:ascii="Arial" w:hAnsi="Arial" w:cs="Arial"/>
        </w:rPr>
        <w:t>: no effort by patient</w:t>
      </w:r>
    </w:p>
    <w:p w14:paraId="769E6B81" w14:textId="77777777" w:rsidR="002156B2" w:rsidRPr="00181DAC" w:rsidRDefault="002156B2" w:rsidP="00113830">
      <w:pPr>
        <w:spacing w:after="0"/>
        <w:rPr>
          <w:rFonts w:ascii="Arial" w:hAnsi="Arial" w:cs="Arial"/>
        </w:rPr>
      </w:pPr>
      <w:r w:rsidRPr="00035A23">
        <w:rPr>
          <w:rFonts w:ascii="Arial" w:hAnsi="Arial" w:cs="Arial"/>
          <w:i/>
        </w:rPr>
        <w:t>Assisted</w:t>
      </w:r>
      <w:r w:rsidRPr="00035A23">
        <w:rPr>
          <w:rFonts w:ascii="Arial" w:hAnsi="Arial" w:cs="Arial"/>
        </w:rPr>
        <w:t>: some</w:t>
      </w:r>
      <w:r w:rsidRPr="00181DAC">
        <w:rPr>
          <w:rFonts w:ascii="Arial" w:hAnsi="Arial" w:cs="Arial"/>
        </w:rPr>
        <w:t xml:space="preserve"> active participation by pat</w:t>
      </w:r>
      <w:r>
        <w:rPr>
          <w:rFonts w:ascii="Arial" w:hAnsi="Arial" w:cs="Arial"/>
        </w:rPr>
        <w:t>ient and with help of a therapist or assistant</w:t>
      </w:r>
      <w:r w:rsidRPr="00181DAC">
        <w:rPr>
          <w:rFonts w:ascii="Arial" w:hAnsi="Arial" w:cs="Arial"/>
        </w:rPr>
        <w:t xml:space="preserve"> </w:t>
      </w:r>
    </w:p>
    <w:p w14:paraId="368F1BDD" w14:textId="77777777" w:rsidR="002156B2" w:rsidRPr="00D8338C" w:rsidRDefault="002156B2" w:rsidP="00113830">
      <w:pPr>
        <w:spacing w:after="0"/>
        <w:rPr>
          <w:rFonts w:ascii="Arial" w:hAnsi="Arial" w:cs="Arial"/>
          <w:b/>
        </w:rPr>
      </w:pPr>
      <w:r w:rsidRPr="00C256C0">
        <w:rPr>
          <w:rFonts w:ascii="Arial" w:hAnsi="Arial" w:cs="Arial"/>
          <w:i/>
        </w:rPr>
        <w:t>Active</w:t>
      </w:r>
      <w:r w:rsidRPr="0099236B">
        <w:rPr>
          <w:rFonts w:ascii="Arial" w:hAnsi="Arial" w:cs="Arial"/>
        </w:rPr>
        <w:t xml:space="preserve">: some active participation </w:t>
      </w:r>
      <w:r>
        <w:rPr>
          <w:rFonts w:ascii="Arial" w:hAnsi="Arial" w:cs="Arial"/>
        </w:rPr>
        <w:t xml:space="preserve">(full to partial) </w:t>
      </w:r>
      <w:r w:rsidRPr="0099236B">
        <w:rPr>
          <w:rFonts w:ascii="Arial" w:hAnsi="Arial" w:cs="Arial"/>
        </w:rPr>
        <w:t>by the patient with or without help of therapist</w:t>
      </w:r>
    </w:p>
    <w:tbl>
      <w:tblPr>
        <w:tblW w:w="4810" w:type="pct"/>
        <w:tblInd w:w="-3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5962"/>
      </w:tblGrid>
      <w:tr w:rsidR="002156B2" w:rsidRPr="003A6E32" w14:paraId="54605670" w14:textId="77777777" w:rsidTr="00113830"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2CCB9F" w14:textId="77777777" w:rsidR="002156B2" w:rsidRPr="002156B2" w:rsidRDefault="002156B2" w:rsidP="00432E5D">
            <w:pPr>
              <w:ind w:left="173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56B2">
              <w:rPr>
                <w:rFonts w:ascii="Arial" w:hAnsi="Arial" w:cs="Arial"/>
                <w:b/>
                <w:color w:val="000000" w:themeColor="text1"/>
              </w:rPr>
              <w:t>Intervention</w:t>
            </w:r>
          </w:p>
        </w:tc>
        <w:tc>
          <w:tcPr>
            <w:tcW w:w="323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8C6089" w14:textId="77777777" w:rsidR="002156B2" w:rsidRPr="002156B2" w:rsidRDefault="002156B2" w:rsidP="00432E5D">
            <w:pPr>
              <w:ind w:left="99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56B2"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</w:tr>
      <w:tr w:rsidR="002156B2" w:rsidRPr="003A6E32" w14:paraId="65B619D5" w14:textId="77777777" w:rsidTr="00113830">
        <w:trPr>
          <w:trHeight w:val="299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EE0EB78" w14:textId="77777777" w:rsidR="002156B2" w:rsidRPr="000B00EA" w:rsidRDefault="002156B2" w:rsidP="00432E5D">
            <w:pPr>
              <w:ind w:left="720" w:hanging="544"/>
              <w:contextualSpacing/>
              <w:rPr>
                <w:rFonts w:ascii="Arial" w:hAnsi="Arial" w:cs="Arial"/>
                <w:b/>
              </w:rPr>
            </w:pPr>
            <w:r w:rsidRPr="0067184E">
              <w:rPr>
                <w:rFonts w:ascii="Arial" w:hAnsi="Arial" w:cs="Arial"/>
                <w:b/>
              </w:rPr>
              <w:t>Non-Mobility</w:t>
            </w:r>
          </w:p>
        </w:tc>
      </w:tr>
      <w:tr w:rsidR="002156B2" w:rsidRPr="003A6E32" w14:paraId="045CC1CA" w14:textId="77777777" w:rsidTr="00113830"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1609E5E9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Bed Repositioning only</w:t>
            </w: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C5D3D8" w14:textId="77777777" w:rsidR="002156B2" w:rsidRPr="00253643" w:rsidRDefault="002156B2" w:rsidP="00432E5D">
            <w:pPr>
              <w:ind w:left="5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Activity restricted to </w:t>
            </w:r>
            <w:r w:rsidRPr="00253643">
              <w:rPr>
                <w:rFonts w:ascii="Arial" w:hAnsi="Arial" w:cs="Arial"/>
                <w:sz w:val="22"/>
                <w:szCs w:val="22"/>
              </w:rPr>
              <w:t>passive position changes in bed</w:t>
            </w:r>
          </w:p>
        </w:tc>
      </w:tr>
      <w:tr w:rsidR="002156B2" w:rsidRPr="003A6E32" w14:paraId="291CE054" w14:textId="77777777" w:rsidTr="00113830"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75831E53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Respiratory or “</w:t>
            </w:r>
            <w:r w:rsidRPr="00113830">
              <w:rPr>
                <w:rFonts w:ascii="Arial" w:hAnsi="Arial" w:cs="Arial"/>
                <w:color w:val="000000" w:themeColor="text1"/>
                <w:sz w:val="22"/>
                <w:szCs w:val="22"/>
              </w:rPr>
              <w:t>chest physiotherapy</w:t>
            </w:r>
            <w:r w:rsidRPr="0011383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2F3BFB" w14:textId="77777777" w:rsidR="002156B2" w:rsidRPr="0005477D" w:rsidRDefault="002156B2" w:rsidP="00432E5D">
            <w:pPr>
              <w:ind w:left="33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53643">
              <w:rPr>
                <w:rFonts w:ascii="Arial" w:hAnsi="Arial" w:cs="Arial"/>
                <w:sz w:val="22"/>
                <w:szCs w:val="22"/>
              </w:rPr>
              <w:t>Physical methods to improve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5477D">
              <w:rPr>
                <w:rFonts w:ascii="Arial" w:hAnsi="Arial" w:cs="Arial"/>
                <w:sz w:val="22"/>
                <w:szCs w:val="22"/>
              </w:rPr>
              <w:t xml:space="preserve">ventilation and V/Q matching, breathing mechanics, </w:t>
            </w:r>
            <w:r>
              <w:rPr>
                <w:rFonts w:ascii="Arial" w:hAnsi="Arial" w:cs="Arial"/>
                <w:sz w:val="22"/>
                <w:szCs w:val="22"/>
              </w:rPr>
              <w:t xml:space="preserve">respiratory muscle strength </w:t>
            </w:r>
            <w:r w:rsidRPr="0005477D">
              <w:rPr>
                <w:rFonts w:ascii="Arial" w:hAnsi="Arial" w:cs="Arial"/>
                <w:sz w:val="22"/>
                <w:szCs w:val="22"/>
              </w:rPr>
              <w:t xml:space="preserve">and airway secretions clearance – e.g. chest wall vibrations, percussion techniques, manual facilitation of chest wall movement, </w:t>
            </w:r>
            <w:r w:rsidRPr="00992030">
              <w:rPr>
                <w:rFonts w:ascii="Arial" w:hAnsi="Arial" w:cs="Arial"/>
                <w:sz w:val="22"/>
                <w:szCs w:val="22"/>
              </w:rPr>
              <w:t>manual or ventilator hyperinflation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477D">
              <w:rPr>
                <w:rFonts w:ascii="Arial" w:hAnsi="Arial" w:cs="Arial"/>
                <w:sz w:val="22"/>
                <w:szCs w:val="22"/>
              </w:rPr>
              <w:t xml:space="preserve">deep breathing exercises (including blowing bubbles and incentive spirometry), </w:t>
            </w:r>
            <w:r>
              <w:rPr>
                <w:rFonts w:ascii="Arial" w:hAnsi="Arial" w:cs="Arial"/>
                <w:sz w:val="22"/>
                <w:szCs w:val="22"/>
              </w:rPr>
              <w:t>and inspiratory muscle training</w:t>
            </w:r>
          </w:p>
        </w:tc>
      </w:tr>
      <w:tr w:rsidR="002156B2" w:rsidRPr="003A6E32" w14:paraId="1BBC9A4F" w14:textId="77777777" w:rsidTr="00113830"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53D6CFAE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Passive Range of Motion and Stretching exercises</w:t>
            </w: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EA25E4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5A23">
              <w:rPr>
                <w:rFonts w:ascii="Arial" w:hAnsi="Arial" w:cs="Arial"/>
                <w:sz w:val="22"/>
                <w:szCs w:val="22"/>
              </w:rPr>
              <w:t xml:space="preserve">Therapist </w:t>
            </w:r>
            <w:r>
              <w:rPr>
                <w:rFonts w:ascii="Arial" w:hAnsi="Arial" w:cs="Arial"/>
                <w:sz w:val="22"/>
                <w:szCs w:val="22"/>
              </w:rPr>
              <w:t xml:space="preserve">moves joints and </w:t>
            </w:r>
            <w:r w:rsidRPr="00035A23">
              <w:rPr>
                <w:rFonts w:ascii="Arial" w:hAnsi="Arial" w:cs="Arial"/>
                <w:sz w:val="22"/>
                <w:szCs w:val="22"/>
              </w:rPr>
              <w:t xml:space="preserve">stretches </w:t>
            </w:r>
            <w:r>
              <w:rPr>
                <w:rFonts w:ascii="Arial" w:hAnsi="Arial" w:cs="Arial"/>
                <w:sz w:val="22"/>
                <w:szCs w:val="22"/>
              </w:rPr>
              <w:t>muscles</w:t>
            </w:r>
            <w:r w:rsidRPr="00035A23">
              <w:rPr>
                <w:rFonts w:ascii="Arial" w:hAnsi="Arial" w:cs="Arial"/>
                <w:sz w:val="22"/>
                <w:szCs w:val="22"/>
              </w:rPr>
              <w:t xml:space="preserve"> through</w:t>
            </w:r>
            <w:r>
              <w:rPr>
                <w:rFonts w:ascii="Arial" w:hAnsi="Arial" w:cs="Arial"/>
                <w:sz w:val="22"/>
                <w:szCs w:val="22"/>
              </w:rPr>
              <w:t xml:space="preserve"> their full available</w:t>
            </w:r>
            <w:r w:rsidRPr="00035A23">
              <w:rPr>
                <w:rFonts w:ascii="Arial" w:hAnsi="Arial" w:cs="Arial"/>
                <w:sz w:val="22"/>
                <w:szCs w:val="22"/>
              </w:rPr>
              <w:t xml:space="preserve"> range of motion to prevent or correct tight</w:t>
            </w:r>
            <w:r>
              <w:rPr>
                <w:rFonts w:ascii="Arial" w:hAnsi="Arial" w:cs="Arial"/>
                <w:sz w:val="22"/>
                <w:szCs w:val="22"/>
              </w:rPr>
              <w:t>ening of</w:t>
            </w:r>
            <w:r w:rsidRPr="00035A23">
              <w:rPr>
                <w:rFonts w:ascii="Arial" w:hAnsi="Arial" w:cs="Arial"/>
                <w:sz w:val="22"/>
                <w:szCs w:val="22"/>
              </w:rPr>
              <w:t xml:space="preserve"> muscles or joints</w:t>
            </w:r>
            <w:r>
              <w:rPr>
                <w:rFonts w:ascii="Arial" w:hAnsi="Arial" w:cs="Arial"/>
                <w:sz w:val="22"/>
                <w:szCs w:val="22"/>
              </w:rPr>
              <w:t>, which could lead to contracture formation</w:t>
            </w:r>
            <w:r w:rsidRPr="00035A2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156B2" w:rsidRPr="003A6E32" w14:paraId="05C173AC" w14:textId="77777777" w:rsidTr="00113830">
        <w:trPr>
          <w:trHeight w:val="290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78938E" w14:textId="77777777" w:rsidR="002156B2" w:rsidRPr="00035A2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7184E">
              <w:rPr>
                <w:rFonts w:ascii="Arial" w:hAnsi="Arial" w:cs="Arial"/>
                <w:b/>
                <w:szCs w:val="22"/>
              </w:rPr>
              <w:t xml:space="preserve">Mobility </w:t>
            </w:r>
          </w:p>
        </w:tc>
      </w:tr>
      <w:tr w:rsidR="002156B2" w:rsidRPr="003A6E32" w14:paraId="26AD7AA6" w14:textId="77777777" w:rsidTr="00113830">
        <w:trPr>
          <w:trHeight w:val="3305"/>
        </w:trPr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697F5317" w14:textId="77777777" w:rsidR="002156B2" w:rsidRPr="00113830" w:rsidRDefault="002156B2" w:rsidP="00432E5D">
            <w:pPr>
              <w:contextualSpacing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 xml:space="preserve">Active range of motion and stretching exercises </w:t>
            </w:r>
          </w:p>
          <w:p w14:paraId="54A38FBE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(“AROM” or “AAROM”)</w:t>
            </w:r>
          </w:p>
          <w:p w14:paraId="21CE4591" w14:textId="77777777" w:rsidR="002156B2" w:rsidRPr="00113830" w:rsidRDefault="002156B2" w:rsidP="00432E5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14F817A" w14:textId="77777777" w:rsidR="002156B2" w:rsidRPr="00113830" w:rsidRDefault="002156B2" w:rsidP="00432E5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226E8D4" w14:textId="77777777" w:rsidR="002156B2" w:rsidRPr="00113830" w:rsidRDefault="002156B2" w:rsidP="00432E5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BF001C" w14:textId="77777777" w:rsidR="002156B2" w:rsidRPr="00113830" w:rsidRDefault="002156B2" w:rsidP="00432E5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F73F11C" w14:textId="77777777" w:rsidR="002156B2" w:rsidRPr="00113830" w:rsidRDefault="002156B2" w:rsidP="00432E5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Strengthening exercises</w:t>
            </w:r>
          </w:p>
          <w:p w14:paraId="1DF5AF31" w14:textId="77777777" w:rsidR="002156B2" w:rsidRPr="00113830" w:rsidRDefault="002156B2" w:rsidP="00432E5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54EB38E" w14:textId="77777777" w:rsidR="002156B2" w:rsidRDefault="002156B2" w:rsidP="00432E5D">
            <w:pPr>
              <w:ind w:left="8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B36BC" w14:textId="77777777" w:rsidR="002156B2" w:rsidRPr="00253643" w:rsidRDefault="002156B2" w:rsidP="00432E5D">
            <w:pPr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7FB6B8" w14:textId="77777777" w:rsidR="002156B2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3643">
              <w:rPr>
                <w:rFonts w:ascii="Arial" w:hAnsi="Arial" w:cs="Arial"/>
                <w:sz w:val="22"/>
                <w:szCs w:val="22"/>
              </w:rPr>
              <w:t>Active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movement of patient’s limbs through available range of joint motion. These movements can be independently done </w:t>
            </w:r>
            <w:r w:rsidRPr="00035A23">
              <w:rPr>
                <w:rFonts w:ascii="Arial" w:hAnsi="Arial" w:cs="Arial"/>
                <w:sz w:val="22"/>
                <w:szCs w:val="22"/>
              </w:rPr>
              <w:t>by patient (active ROM</w:t>
            </w:r>
            <w:r>
              <w:rPr>
                <w:rFonts w:ascii="Arial" w:hAnsi="Arial" w:cs="Arial"/>
                <w:sz w:val="22"/>
                <w:szCs w:val="22"/>
              </w:rPr>
              <w:t>; “AROM”</w:t>
            </w:r>
            <w:r w:rsidRPr="00035A23">
              <w:rPr>
                <w:rFonts w:ascii="Arial" w:hAnsi="Arial" w:cs="Arial"/>
                <w:sz w:val="22"/>
                <w:szCs w:val="22"/>
              </w:rPr>
              <w:t>), active stretching (patient uses opposing muscle group to stretch affected group),</w:t>
            </w:r>
            <w:r>
              <w:rPr>
                <w:rFonts w:ascii="Arial" w:hAnsi="Arial" w:cs="Arial"/>
                <w:sz w:val="22"/>
                <w:szCs w:val="22"/>
              </w:rPr>
              <w:t xml:space="preserve"> or the patient may need assistance in order to complete the full available joint range (</w:t>
            </w:r>
            <w:r w:rsidRPr="00253643">
              <w:rPr>
                <w:rFonts w:ascii="Arial" w:hAnsi="Arial" w:cs="Arial"/>
                <w:sz w:val="22"/>
                <w:szCs w:val="22"/>
              </w:rPr>
              <w:t>active-assisted</w:t>
            </w:r>
            <w:r>
              <w:rPr>
                <w:rFonts w:ascii="Arial" w:hAnsi="Arial" w:cs="Arial"/>
                <w:sz w:val="22"/>
                <w:szCs w:val="22"/>
              </w:rPr>
              <w:t xml:space="preserve"> ROM; “AAROM”)</w:t>
            </w:r>
          </w:p>
          <w:p w14:paraId="7D91844F" w14:textId="77777777" w:rsidR="002156B2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28DD83D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Exercises to place load on muscles in order to achieve greater muscle strength.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by a patient actively moving a weak limb against gravity; by the therapist providing manual graded resistance to movement; </w:t>
            </w:r>
            <w:r w:rsidRPr="00035A23">
              <w:rPr>
                <w:rFonts w:ascii="Arial" w:hAnsi="Arial" w:cs="Arial"/>
                <w:sz w:val="22"/>
                <w:szCs w:val="22"/>
              </w:rPr>
              <w:t>by applying tension to cycling on the ergometer.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156B2" w:rsidRPr="003A6E32" w14:paraId="2A3BF62C" w14:textId="77777777" w:rsidTr="00113830"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6846E7A7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Neurodevelopmental play:</w:t>
            </w: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31D819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Goal directed</w:t>
            </w:r>
            <w:r w:rsidRPr="00253643">
              <w:rPr>
                <w:rFonts w:ascii="Arial" w:hAnsi="Arial" w:cs="Arial"/>
                <w:sz w:val="22"/>
                <w:szCs w:val="22"/>
              </w:rPr>
              <w:t xml:space="preserve"> activities to </w:t>
            </w:r>
            <w:r>
              <w:rPr>
                <w:rFonts w:ascii="Arial" w:hAnsi="Arial" w:cs="Arial"/>
                <w:sz w:val="22"/>
                <w:szCs w:val="22"/>
              </w:rPr>
              <w:t>maintain or improve</w:t>
            </w:r>
            <w:r w:rsidRPr="00253643">
              <w:rPr>
                <w:rFonts w:ascii="Arial" w:hAnsi="Arial" w:cs="Arial"/>
                <w:sz w:val="22"/>
                <w:szCs w:val="22"/>
              </w:rPr>
              <w:t xml:space="preserve"> fine and gross motor development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muscle strength, thoracic mobility, coordination and balance </w:t>
            </w:r>
            <w:r w:rsidRPr="00253643">
              <w:rPr>
                <w:rFonts w:ascii="Arial" w:hAnsi="Arial" w:cs="Arial"/>
                <w:sz w:val="22"/>
                <w:szCs w:val="22"/>
              </w:rPr>
              <w:t>for infants and developmentally delayed children.</w:t>
            </w:r>
          </w:p>
        </w:tc>
      </w:tr>
      <w:tr w:rsidR="002156B2" w:rsidRPr="003A6E32" w14:paraId="7DB5D023" w14:textId="77777777" w:rsidTr="00113830"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</w:tcPr>
          <w:p w14:paraId="595FCD94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Mobility device (e.g. In-bed cycling):</w:t>
            </w:r>
          </w:p>
          <w:p w14:paraId="4B5E7E35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31C901F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D1B912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3643">
              <w:rPr>
                <w:rFonts w:ascii="Arial" w:hAnsi="Arial" w:cs="Arial"/>
                <w:sz w:val="22"/>
                <w:szCs w:val="22"/>
              </w:rPr>
              <w:t xml:space="preserve">Activities done with a device that facilitates </w:t>
            </w:r>
            <w:r>
              <w:rPr>
                <w:rFonts w:ascii="Arial" w:hAnsi="Arial" w:cs="Arial"/>
                <w:sz w:val="22"/>
                <w:szCs w:val="22"/>
              </w:rPr>
              <w:t xml:space="preserve">functional </w:t>
            </w:r>
            <w:r w:rsidRPr="00253643">
              <w:rPr>
                <w:rFonts w:ascii="Arial" w:hAnsi="Arial" w:cs="Arial"/>
                <w:sz w:val="22"/>
                <w:szCs w:val="22"/>
              </w:rPr>
              <w:t>limb movement</w:t>
            </w:r>
            <w:r>
              <w:rPr>
                <w:rFonts w:ascii="Arial" w:hAnsi="Arial" w:cs="Arial"/>
                <w:sz w:val="22"/>
                <w:szCs w:val="22"/>
              </w:rPr>
              <w:t>, range of motion and strengthening</w:t>
            </w:r>
            <w:r w:rsidRPr="0025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e.g</w:t>
            </w:r>
            <w:r w:rsidRPr="00253643">
              <w:rPr>
                <w:rFonts w:ascii="Arial" w:hAnsi="Arial" w:cs="Arial"/>
                <w:sz w:val="22"/>
                <w:szCs w:val="22"/>
              </w:rPr>
              <w:t>. cycle ergometer. May be active or passive, and executed in the supine patient.</w:t>
            </w:r>
            <w:r>
              <w:rPr>
                <w:rFonts w:ascii="Arial" w:hAnsi="Arial" w:cs="Arial"/>
                <w:sz w:val="22"/>
                <w:szCs w:val="22"/>
              </w:rPr>
              <w:t xml:space="preserve"> May be conducted in lower or upper limbs.</w:t>
            </w:r>
          </w:p>
        </w:tc>
      </w:tr>
      <w:tr w:rsidR="002156B2" w:rsidRPr="003A6E32" w14:paraId="6F34C8A2" w14:textId="77777777" w:rsidTr="00113830"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42FED583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Bed Mobility</w:t>
            </w: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51D3BD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a</w:t>
            </w:r>
            <w:r w:rsidRPr="00253643">
              <w:rPr>
                <w:rFonts w:ascii="Arial" w:hAnsi="Arial" w:cs="Arial"/>
                <w:sz w:val="22"/>
                <w:szCs w:val="22"/>
              </w:rPr>
              <w:t>ctivities done while patient is recumbent in bed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53643">
              <w:rPr>
                <w:rFonts w:ascii="Arial" w:hAnsi="Arial" w:cs="Arial"/>
                <w:sz w:val="22"/>
                <w:szCs w:val="22"/>
              </w:rPr>
              <w:t xml:space="preserve"> but require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253643">
              <w:rPr>
                <w:rFonts w:ascii="Arial" w:hAnsi="Arial" w:cs="Arial"/>
                <w:sz w:val="22"/>
                <w:szCs w:val="22"/>
              </w:rPr>
              <w:t xml:space="preserve">active participation of the patient; e.g. active or active- assisted repositioning in bed; rolling from side to side; and bridging (i.e. </w:t>
            </w:r>
            <w:r>
              <w:rPr>
                <w:rFonts w:ascii="Arial" w:hAnsi="Arial" w:cs="Arial"/>
                <w:sz w:val="22"/>
                <w:szCs w:val="22"/>
              </w:rPr>
              <w:t xml:space="preserve">supine with </w:t>
            </w:r>
            <w:r w:rsidRPr="00253643">
              <w:rPr>
                <w:rFonts w:ascii="Arial" w:hAnsi="Arial" w:cs="Arial"/>
                <w:sz w:val="22"/>
                <w:szCs w:val="22"/>
              </w:rPr>
              <w:t>pelvic or hip lifts),</w:t>
            </w:r>
            <w:r w:rsidRPr="00253643">
              <w:rPr>
                <w:rFonts w:ascii="Arial" w:hAnsi="Arial" w:cs="Calibri"/>
                <w:color w:val="000000"/>
                <w:sz w:val="22"/>
                <w:szCs w:val="22"/>
              </w:rPr>
              <w:t xml:space="preserve"> does not involve moving out of bed or over the edge of the bed</w:t>
            </w:r>
            <w:r>
              <w:rPr>
                <w:rFonts w:ascii="Arial" w:hAnsi="Arial" w:cs="Calibri"/>
                <w:color w:val="000000"/>
                <w:sz w:val="22"/>
                <w:szCs w:val="22"/>
              </w:rPr>
              <w:t>.</w:t>
            </w:r>
          </w:p>
        </w:tc>
      </w:tr>
      <w:tr w:rsidR="002156B2" w:rsidRPr="003A6E32" w14:paraId="40D13BDA" w14:textId="77777777" w:rsidTr="00113830"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</w:tcPr>
          <w:p w14:paraId="5701D9EC" w14:textId="77777777" w:rsidR="002156B2" w:rsidRDefault="002156B2" w:rsidP="00432E5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2224D" w14:textId="77777777" w:rsidR="002156B2" w:rsidRPr="00113830" w:rsidRDefault="002156B2" w:rsidP="00432E5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 xml:space="preserve">  Transfers:</w:t>
            </w:r>
          </w:p>
          <w:p w14:paraId="3BBACF92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Calibri"/>
                <w:color w:val="000000"/>
                <w:sz w:val="22"/>
                <w:szCs w:val="22"/>
              </w:rPr>
            </w:pPr>
          </w:p>
          <w:p w14:paraId="08B9E796" w14:textId="77777777" w:rsidR="002156B2" w:rsidRPr="00113830" w:rsidRDefault="002156B2" w:rsidP="00432E5D">
            <w:pPr>
              <w:ind w:left="321"/>
              <w:contextualSpacing/>
              <w:rPr>
                <w:rFonts w:ascii="Arial" w:hAnsi="Arial" w:cs="Calibri"/>
                <w:color w:val="000000"/>
                <w:sz w:val="22"/>
                <w:szCs w:val="22"/>
              </w:rPr>
            </w:pPr>
          </w:p>
          <w:p w14:paraId="5EF62D46" w14:textId="77777777" w:rsidR="002156B2" w:rsidRPr="00113830" w:rsidRDefault="002156B2" w:rsidP="00432E5D">
            <w:pPr>
              <w:ind w:left="321"/>
              <w:contextualSpacing/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</w:pPr>
            <w:r w:rsidRPr="00113830">
              <w:rPr>
                <w:rFonts w:ascii="Arial" w:hAnsi="Arial" w:cs="Calibri"/>
                <w:color w:val="000000"/>
                <w:sz w:val="22"/>
                <w:szCs w:val="22"/>
              </w:rPr>
              <w:t>Transfer from lying to sitting at edge of bed</w:t>
            </w:r>
          </w:p>
          <w:p w14:paraId="2533B0B8" w14:textId="77777777" w:rsidR="002156B2" w:rsidRPr="00113830" w:rsidRDefault="002156B2" w:rsidP="00432E5D">
            <w:pPr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B0F57F6" w14:textId="77777777" w:rsidR="002156B2" w:rsidRPr="00113830" w:rsidRDefault="002156B2" w:rsidP="00432E5D">
            <w:pPr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Transfer from bed to/from chair</w:t>
            </w:r>
          </w:p>
          <w:p w14:paraId="26AE5F65" w14:textId="77777777" w:rsidR="002156B2" w:rsidRPr="00113830" w:rsidRDefault="002156B2" w:rsidP="00432E5D">
            <w:pPr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A8E762B" w14:textId="77777777" w:rsidR="002156B2" w:rsidRPr="00113830" w:rsidRDefault="002156B2" w:rsidP="00432E5D">
            <w:pPr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658063F" w14:textId="77777777" w:rsidR="002156B2" w:rsidRPr="00113830" w:rsidRDefault="002156B2" w:rsidP="00432E5D">
            <w:pPr>
              <w:ind w:left="32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F46252" w14:textId="77777777" w:rsidR="002156B2" w:rsidRPr="00253643" w:rsidRDefault="002156B2" w:rsidP="00432E5D">
            <w:pPr>
              <w:ind w:left="321"/>
              <w:contextualSpacing/>
              <w:rPr>
                <w:rFonts w:ascii="Arial" w:eastAsiaTheme="majorEastAsia" w:hAnsi="Arial" w:cs="Arial"/>
                <w:b/>
                <w:color w:val="1F4D78" w:themeColor="accent1" w:themeShade="7F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Transfer from Sitting to/from standing</w:t>
            </w: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6CCFE9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3643">
              <w:rPr>
                <w:rFonts w:ascii="Arial" w:hAnsi="Arial" w:cs="Arial"/>
                <w:sz w:val="22"/>
                <w:szCs w:val="22"/>
              </w:rPr>
              <w:t xml:space="preserve">These activities </w:t>
            </w:r>
            <w:r>
              <w:rPr>
                <w:rFonts w:ascii="Arial" w:hAnsi="Arial" w:cs="Arial"/>
                <w:sz w:val="22"/>
                <w:szCs w:val="22"/>
              </w:rPr>
              <w:t xml:space="preserve">may be active or passive, may </w:t>
            </w:r>
            <w:r w:rsidRPr="00253643">
              <w:rPr>
                <w:rFonts w:ascii="Arial" w:hAnsi="Arial" w:cs="Arial"/>
                <w:sz w:val="22"/>
                <w:szCs w:val="22"/>
              </w:rPr>
              <w:t>occur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varying degrees of</w:t>
            </w:r>
            <w:r w:rsidRPr="0025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caregiver</w:t>
            </w:r>
            <w:r w:rsidRPr="00253643">
              <w:rPr>
                <w:rFonts w:ascii="Arial" w:hAnsi="Arial" w:cs="Arial"/>
                <w:sz w:val="22"/>
                <w:szCs w:val="22"/>
              </w:rPr>
              <w:t xml:space="preserve"> assistance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supervision, or may be performed independently. </w:t>
            </w:r>
          </w:p>
          <w:p w14:paraId="4C70FB9B" w14:textId="77777777" w:rsidR="002156B2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5713A9C" w14:textId="77777777" w:rsidR="002156B2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3643">
              <w:rPr>
                <w:rFonts w:ascii="Arial" w:hAnsi="Arial" w:cs="Arial"/>
                <w:sz w:val="22"/>
                <w:szCs w:val="22"/>
              </w:rPr>
              <w:t xml:space="preserve">Sitting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Pr="00253643">
              <w:rPr>
                <w:rFonts w:ascii="Arial" w:hAnsi="Arial" w:cs="Arial"/>
                <w:sz w:val="22"/>
                <w:szCs w:val="22"/>
              </w:rPr>
              <w:t xml:space="preserve"> of bed, with or without caregiver support as needed.</w:t>
            </w:r>
          </w:p>
          <w:p w14:paraId="03E22939" w14:textId="77777777" w:rsidR="002156B2" w:rsidRDefault="002156B2" w:rsidP="00432E5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6542C2D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Transfers from bed to chair, wheelchair or a neuro-chair, </w:t>
            </w:r>
            <w:r w:rsidRPr="00253643">
              <w:rPr>
                <w:rFonts w:ascii="Arial" w:hAnsi="Arial" w:cs="Arial"/>
                <w:sz w:val="22"/>
                <w:szCs w:val="22"/>
              </w:rPr>
              <w:t>using mechanical lift</w:t>
            </w:r>
            <w:r>
              <w:rPr>
                <w:rFonts w:ascii="Arial" w:hAnsi="Arial" w:cs="Arial"/>
                <w:sz w:val="22"/>
                <w:szCs w:val="22"/>
              </w:rPr>
              <w:t xml:space="preserve">, sliding board, </w:t>
            </w:r>
            <w:r w:rsidRPr="00253643">
              <w:rPr>
                <w:rFonts w:ascii="Arial" w:hAnsi="Arial" w:cs="Arial"/>
                <w:sz w:val="22"/>
                <w:szCs w:val="22"/>
              </w:rPr>
              <w:t>caregiver assistance</w:t>
            </w:r>
            <w:r>
              <w:rPr>
                <w:rFonts w:ascii="Arial" w:hAnsi="Arial" w:cs="Arial"/>
                <w:sz w:val="22"/>
                <w:szCs w:val="22"/>
              </w:rPr>
              <w:t xml:space="preserve"> through patient pivoting, stepping or shuffling to the chair/wheelchair or commode.</w:t>
            </w:r>
          </w:p>
          <w:p w14:paraId="362F843A" w14:textId="77777777" w:rsidR="002156B2" w:rsidRPr="00253643" w:rsidRDefault="002156B2" w:rsidP="00432E5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7F082A8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3643">
              <w:rPr>
                <w:rFonts w:ascii="Arial" w:hAnsi="Arial" w:cs="Arial"/>
                <w:sz w:val="22"/>
                <w:szCs w:val="22"/>
              </w:rPr>
              <w:t xml:space="preserve">The patient is </w:t>
            </w:r>
            <w:r w:rsidRPr="00253643">
              <w:rPr>
                <w:rFonts w:ascii="Arial" w:hAnsi="Arial" w:cs="Calibri"/>
                <w:color w:val="000000"/>
                <w:sz w:val="22"/>
                <w:szCs w:val="22"/>
              </w:rPr>
              <w:t xml:space="preserve">able to </w:t>
            </w:r>
            <w:r>
              <w:rPr>
                <w:rFonts w:ascii="Arial" w:hAnsi="Arial" w:cs="Calibri"/>
                <w:color w:val="000000"/>
                <w:sz w:val="22"/>
                <w:szCs w:val="22"/>
              </w:rPr>
              <w:t xml:space="preserve">get from sitting to/from standing with supervision or assistance. </w:t>
            </w:r>
          </w:p>
        </w:tc>
      </w:tr>
      <w:tr w:rsidR="002156B2" w:rsidRPr="003A6E32" w14:paraId="23C5BA5F" w14:textId="77777777" w:rsidTr="00113830"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35F1E559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Sitting Tolerance</w:t>
            </w: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F8684B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3643">
              <w:rPr>
                <w:rFonts w:ascii="Arial" w:hAnsi="Arial" w:cs="Arial"/>
                <w:sz w:val="22"/>
                <w:szCs w:val="22"/>
              </w:rPr>
              <w:t xml:space="preserve">Patient tolerates transfers from bed to </w:t>
            </w:r>
            <w:r>
              <w:rPr>
                <w:rFonts w:ascii="Arial" w:hAnsi="Arial" w:cs="Arial"/>
                <w:sz w:val="22"/>
                <w:szCs w:val="22"/>
              </w:rPr>
              <w:t xml:space="preserve">a bedside </w:t>
            </w:r>
            <w:r w:rsidRPr="00253643">
              <w:rPr>
                <w:rFonts w:ascii="Arial" w:hAnsi="Arial" w:cs="Arial"/>
                <w:sz w:val="22"/>
                <w:szCs w:val="22"/>
              </w:rPr>
              <w:t xml:space="preserve">chair </w:t>
            </w:r>
            <w:r>
              <w:rPr>
                <w:rFonts w:ascii="Arial" w:hAnsi="Arial" w:cs="Arial"/>
                <w:sz w:val="22"/>
                <w:szCs w:val="22"/>
              </w:rPr>
              <w:t xml:space="preserve">or wheelchair, </w:t>
            </w:r>
            <w:r w:rsidRPr="00253643">
              <w:rPr>
                <w:rFonts w:ascii="Arial" w:hAnsi="Arial" w:cs="Arial"/>
                <w:sz w:val="22"/>
                <w:szCs w:val="22"/>
              </w:rPr>
              <w:t>and is able to tolerate sitting</w:t>
            </w:r>
            <w:r>
              <w:rPr>
                <w:rFonts w:ascii="Arial" w:hAnsi="Arial" w:cs="Arial"/>
                <w:sz w:val="22"/>
                <w:szCs w:val="22"/>
              </w:rPr>
              <w:t xml:space="preserve"> tilted or upright,</w:t>
            </w:r>
            <w:r w:rsidRPr="00253643">
              <w:rPr>
                <w:rFonts w:ascii="Arial" w:hAnsi="Arial" w:cs="Arial"/>
                <w:sz w:val="22"/>
                <w:szCs w:val="22"/>
              </w:rPr>
              <w:t xml:space="preserve"> for periods of time (i.e.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253643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>
              <w:rPr>
                <w:rFonts w:ascii="Arial" w:hAnsi="Arial" w:cs="Arial"/>
                <w:sz w:val="22"/>
                <w:szCs w:val="22"/>
              </w:rPr>
              <w:t>30 minutes</w:t>
            </w:r>
            <w:r w:rsidRPr="0025364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2156B2" w:rsidRPr="003A6E32" w14:paraId="366443C0" w14:textId="77777777" w:rsidTr="00113830"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738BA008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Crawling</w:t>
            </w: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E8744B9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3643">
              <w:rPr>
                <w:rFonts w:ascii="Arial" w:hAnsi="Arial" w:cs="Arial"/>
                <w:sz w:val="22"/>
                <w:szCs w:val="22"/>
              </w:rPr>
              <w:t xml:space="preserve">Crawling with/without assistance </w:t>
            </w:r>
          </w:p>
        </w:tc>
      </w:tr>
      <w:tr w:rsidR="002156B2" w:rsidRPr="003A6E32" w14:paraId="4B6A35EA" w14:textId="77777777" w:rsidTr="00113830">
        <w:trPr>
          <w:trHeight w:val="554"/>
        </w:trPr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3F87EEB9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Pre-gait activities</w:t>
            </w: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DDFE1B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3643">
              <w:rPr>
                <w:rFonts w:ascii="Arial" w:hAnsi="Arial" w:cs="Arial"/>
                <w:sz w:val="22"/>
                <w:szCs w:val="22"/>
              </w:rPr>
              <w:t>Exercises prior to ambulation, conducted with or without assistance e.g. moving from seated to a standing position, weight shifting from foot to foot, stepping in place, and sideways stepping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156B2" w:rsidRPr="003A6E32" w14:paraId="4702B19F" w14:textId="77777777" w:rsidTr="00113830">
        <w:trPr>
          <w:trHeight w:val="800"/>
        </w:trPr>
        <w:tc>
          <w:tcPr>
            <w:tcW w:w="1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44A31F42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Ambulation</w:t>
            </w: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F30B3B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53643">
              <w:rPr>
                <w:rFonts w:ascii="Arial" w:hAnsi="Arial" w:cs="Arial"/>
                <w:sz w:val="22"/>
                <w:szCs w:val="22"/>
              </w:rPr>
              <w:t>Walking away from bed or chair (i.e. on each foot) with or without assistance from a therapist or a gait aid (e.g. walker).</w:t>
            </w:r>
          </w:p>
        </w:tc>
      </w:tr>
      <w:tr w:rsidR="002156B2" w:rsidRPr="00253643" w14:paraId="2001009F" w14:textId="77777777" w:rsidTr="00113830">
        <w:tc>
          <w:tcPr>
            <w:tcW w:w="1764" w:type="pct"/>
            <w:tcBorders>
              <w:top w:val="single" w:sz="8" w:space="0" w:color="000000" w:themeColor="text1"/>
              <w:left w:val="single" w:sz="8" w:space="0" w:color="C0504D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4D64FCC6" w14:textId="77777777" w:rsidR="002156B2" w:rsidRPr="00113830" w:rsidRDefault="002156B2" w:rsidP="00432E5D">
            <w:pPr>
              <w:ind w:left="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3830">
              <w:rPr>
                <w:rFonts w:ascii="Arial" w:hAnsi="Arial" w:cs="Arial"/>
                <w:sz w:val="22"/>
                <w:szCs w:val="22"/>
              </w:rPr>
              <w:t>Activities of daily living</w:t>
            </w:r>
          </w:p>
        </w:tc>
        <w:tc>
          <w:tcPr>
            <w:tcW w:w="323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C0504D"/>
            </w:tcBorders>
            <w:shd w:val="clear" w:color="auto" w:fill="auto"/>
          </w:tcPr>
          <w:p w14:paraId="364213DE" w14:textId="77777777" w:rsidR="002156B2" w:rsidRPr="00253643" w:rsidRDefault="002156B2" w:rsidP="00432E5D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e.g. face washing, oral hygiene, dressing. May occur with varying degrees of caregiver assistance.</w:t>
            </w:r>
          </w:p>
        </w:tc>
      </w:tr>
    </w:tbl>
    <w:p w14:paraId="6181867D" w14:textId="77777777" w:rsidR="002156B2" w:rsidRPr="009339A3" w:rsidRDefault="002156B2" w:rsidP="002156B2">
      <w:pPr>
        <w:rPr>
          <w:rFonts w:ascii="Arial" w:hAnsi="Arial" w:cs="Arial"/>
          <w:sz w:val="22"/>
        </w:rPr>
      </w:pPr>
      <w:r w:rsidRPr="009339A3">
        <w:rPr>
          <w:rFonts w:ascii="Arial" w:hAnsi="Arial" w:cs="Arial"/>
          <w:sz w:val="22"/>
        </w:rPr>
        <w:t xml:space="preserve"> </w:t>
      </w:r>
    </w:p>
    <w:p w14:paraId="41114220" w14:textId="77777777" w:rsidR="002156B2" w:rsidRPr="009339A3" w:rsidRDefault="002156B2" w:rsidP="002156B2">
      <w:pPr>
        <w:rPr>
          <w:rFonts w:ascii="Arial" w:hAnsi="Arial" w:cs="Arial"/>
          <w:sz w:val="22"/>
        </w:rPr>
      </w:pPr>
      <w:r w:rsidRPr="009339A3">
        <w:rPr>
          <w:rFonts w:ascii="Arial" w:hAnsi="Arial" w:cs="Arial"/>
          <w:sz w:val="22"/>
        </w:rPr>
        <w:t>ROM range of motion</w:t>
      </w:r>
      <w:r>
        <w:rPr>
          <w:rFonts w:ascii="Arial" w:hAnsi="Arial" w:cs="Arial"/>
          <w:sz w:val="22"/>
        </w:rPr>
        <w:t xml:space="preserve">, </w:t>
      </w:r>
      <w:r w:rsidRPr="009339A3">
        <w:rPr>
          <w:rFonts w:ascii="Arial" w:hAnsi="Arial" w:cs="Arial"/>
          <w:sz w:val="22"/>
        </w:rPr>
        <w:t>AROM active range of motion</w:t>
      </w:r>
      <w:r>
        <w:rPr>
          <w:rFonts w:ascii="Arial" w:hAnsi="Arial" w:cs="Arial"/>
          <w:sz w:val="22"/>
        </w:rPr>
        <w:t xml:space="preserve">, </w:t>
      </w:r>
      <w:r w:rsidRPr="009339A3">
        <w:rPr>
          <w:rFonts w:ascii="Arial" w:hAnsi="Arial" w:cs="Arial"/>
          <w:sz w:val="22"/>
        </w:rPr>
        <w:t>AAROM active assisted range of motion</w:t>
      </w:r>
      <w:r>
        <w:rPr>
          <w:rFonts w:ascii="Arial" w:hAnsi="Arial" w:cs="Arial"/>
          <w:sz w:val="22"/>
        </w:rPr>
        <w:t xml:space="preserve">, </w:t>
      </w:r>
      <w:r w:rsidRPr="009339A3">
        <w:rPr>
          <w:rFonts w:ascii="Arial" w:hAnsi="Arial" w:cs="Arial"/>
          <w:sz w:val="22"/>
        </w:rPr>
        <w:t>V/Q ventilation/perfusion</w:t>
      </w:r>
    </w:p>
    <w:p w14:paraId="44A5A564" w14:textId="77777777" w:rsidR="002156B2" w:rsidRDefault="002156B2"/>
    <w:p w14:paraId="0FFA609C" w14:textId="77777777" w:rsidR="00113830" w:rsidRDefault="00113830"/>
    <w:p w14:paraId="1358EA8F" w14:textId="77777777" w:rsidR="00113830" w:rsidRDefault="00113830"/>
    <w:p w14:paraId="57C30DCE" w14:textId="77777777" w:rsidR="00113830" w:rsidRDefault="00113830"/>
    <w:p w14:paraId="3455B9BB" w14:textId="7D0B8684" w:rsidR="00113830" w:rsidRPr="00113830" w:rsidRDefault="00113830" w:rsidP="00113830">
      <w:pPr>
        <w:pStyle w:val="p1"/>
        <w:ind w:left="0" w:firstLine="0"/>
        <w:jc w:val="both"/>
        <w:rPr>
          <w:rFonts w:ascii="Arial" w:hAnsi="Arial" w:cs="Arial"/>
          <w:sz w:val="20"/>
          <w:szCs w:val="20"/>
        </w:rPr>
      </w:pPr>
      <w:r w:rsidRPr="00113830">
        <w:rPr>
          <w:rFonts w:ascii="Arial" w:hAnsi="Arial" w:cs="Arial"/>
          <w:sz w:val="20"/>
          <w:szCs w:val="20"/>
        </w:rPr>
        <w:t xml:space="preserve">Adapted with permission from: Choong K, Canci F, Clark H, Hopkins RO, Kudchadkar SR, Lati J, et al. Practice Recommendations for Early Mobilization in Critically </w:t>
      </w:r>
      <w:proofErr w:type="gramStart"/>
      <w:r w:rsidRPr="00113830">
        <w:rPr>
          <w:rFonts w:ascii="Arial" w:hAnsi="Arial" w:cs="Arial"/>
          <w:sz w:val="20"/>
          <w:szCs w:val="20"/>
        </w:rPr>
        <w:t>ill</w:t>
      </w:r>
      <w:proofErr w:type="gramEnd"/>
      <w:r w:rsidRPr="00113830">
        <w:rPr>
          <w:rFonts w:ascii="Arial" w:hAnsi="Arial" w:cs="Arial"/>
          <w:sz w:val="20"/>
          <w:szCs w:val="20"/>
        </w:rPr>
        <w:t xml:space="preserve"> Children. Journal of Pediatric Intensive Care. 2017;</w:t>
      </w:r>
      <w:r w:rsidR="00295F3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113830">
        <w:rPr>
          <w:rFonts w:ascii="Arial" w:hAnsi="Arial" w:cs="Arial"/>
          <w:sz w:val="20"/>
          <w:szCs w:val="20"/>
        </w:rPr>
        <w:t>00:1-12.</w:t>
      </w:r>
    </w:p>
    <w:p w14:paraId="552B3807" w14:textId="0D833C7E" w:rsidR="00113830" w:rsidRDefault="00113830"/>
    <w:sectPr w:rsidR="00113830" w:rsidSect="00F63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09B"/>
    <w:multiLevelType w:val="hybridMultilevel"/>
    <w:tmpl w:val="65C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909"/>
    <w:multiLevelType w:val="hybridMultilevel"/>
    <w:tmpl w:val="CAF242A4"/>
    <w:lvl w:ilvl="0" w:tplc="DE4C856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101A"/>
    <w:multiLevelType w:val="hybridMultilevel"/>
    <w:tmpl w:val="B366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3F97"/>
    <w:multiLevelType w:val="hybridMultilevel"/>
    <w:tmpl w:val="6A8E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7C8E"/>
    <w:multiLevelType w:val="hybridMultilevel"/>
    <w:tmpl w:val="6FB603DE"/>
    <w:lvl w:ilvl="0" w:tplc="138665F8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A0B79"/>
    <w:multiLevelType w:val="hybridMultilevel"/>
    <w:tmpl w:val="B99C31DC"/>
    <w:lvl w:ilvl="0" w:tplc="FBC44E90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D1122"/>
    <w:multiLevelType w:val="hybridMultilevel"/>
    <w:tmpl w:val="11D46808"/>
    <w:lvl w:ilvl="0" w:tplc="F222AF9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82A07"/>
    <w:multiLevelType w:val="hybridMultilevel"/>
    <w:tmpl w:val="F226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65204"/>
    <w:multiLevelType w:val="hybridMultilevel"/>
    <w:tmpl w:val="6C5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125F0"/>
    <w:multiLevelType w:val="hybridMultilevel"/>
    <w:tmpl w:val="1FE4DE70"/>
    <w:lvl w:ilvl="0" w:tplc="DB26D98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53"/>
    <w:rsid w:val="00091F31"/>
    <w:rsid w:val="00113830"/>
    <w:rsid w:val="00134358"/>
    <w:rsid w:val="001A3711"/>
    <w:rsid w:val="002156B2"/>
    <w:rsid w:val="00295F37"/>
    <w:rsid w:val="002D136B"/>
    <w:rsid w:val="00304842"/>
    <w:rsid w:val="00333A1E"/>
    <w:rsid w:val="003841C0"/>
    <w:rsid w:val="00425D00"/>
    <w:rsid w:val="00427953"/>
    <w:rsid w:val="004E4CE9"/>
    <w:rsid w:val="00547F4F"/>
    <w:rsid w:val="0056108E"/>
    <w:rsid w:val="005C4664"/>
    <w:rsid w:val="005F4BED"/>
    <w:rsid w:val="0064763E"/>
    <w:rsid w:val="007B5B76"/>
    <w:rsid w:val="00842AC7"/>
    <w:rsid w:val="009262B6"/>
    <w:rsid w:val="009921D0"/>
    <w:rsid w:val="009B32B8"/>
    <w:rsid w:val="009F270F"/>
    <w:rsid w:val="00A11375"/>
    <w:rsid w:val="00A26F17"/>
    <w:rsid w:val="00AC62E1"/>
    <w:rsid w:val="00AD2181"/>
    <w:rsid w:val="00AD307A"/>
    <w:rsid w:val="00AE0492"/>
    <w:rsid w:val="00AF2BC6"/>
    <w:rsid w:val="00BC1363"/>
    <w:rsid w:val="00C368A9"/>
    <w:rsid w:val="00CA72CC"/>
    <w:rsid w:val="00D26E18"/>
    <w:rsid w:val="00DE1349"/>
    <w:rsid w:val="00DF4DFB"/>
    <w:rsid w:val="00E45084"/>
    <w:rsid w:val="00F4028B"/>
    <w:rsid w:val="00F63333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21C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7953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27953"/>
  </w:style>
  <w:style w:type="character" w:customStyle="1" w:styleId="CommentTextChar">
    <w:name w:val="Comment Text Char"/>
    <w:basedOn w:val="DefaultParagraphFont"/>
    <w:link w:val="CommentText"/>
    <w:uiPriority w:val="99"/>
    <w:rsid w:val="00427953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27953"/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9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2E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E1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E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E1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customStyle="1" w:styleId="p1">
    <w:name w:val="p1"/>
    <w:basedOn w:val="Normal"/>
    <w:rsid w:val="00113830"/>
    <w:pPr>
      <w:spacing w:after="0"/>
      <w:ind w:left="540" w:hanging="540"/>
    </w:pPr>
    <w:rPr>
      <w:rFonts w:ascii="Helvetica" w:eastAsiaTheme="minorHAnsi" w:hAnsi="Helvetic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2017-05-11T16:12:00Z</dcterms:created>
  <dcterms:modified xsi:type="dcterms:W3CDTF">2017-05-11T16:12:00Z</dcterms:modified>
</cp:coreProperties>
</file>