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92" w:rsidRPr="00EC6AFF" w:rsidRDefault="00A35D92" w:rsidP="00A35D92">
      <w:pPr>
        <w:overflowPunct/>
        <w:autoSpaceDE/>
        <w:autoSpaceDN/>
        <w:adjustRightInd/>
        <w:spacing w:line="360" w:lineRule="auto"/>
        <w:textAlignment w:val="auto"/>
        <w:rPr>
          <w:b/>
          <w:color w:val="000000"/>
          <w:sz w:val="24"/>
          <w:szCs w:val="24"/>
          <w:lang w:val="en-US"/>
        </w:rPr>
      </w:pPr>
      <w:r w:rsidRPr="00EC6AFF">
        <w:rPr>
          <w:b/>
          <w:color w:val="000000"/>
          <w:sz w:val="24"/>
          <w:szCs w:val="24"/>
          <w:lang w:val="en-US"/>
        </w:rPr>
        <w:t xml:space="preserve">Appendix A: Validity of the mixed effects Poisson model </w:t>
      </w:r>
    </w:p>
    <w:p w:rsidR="00A35D92" w:rsidRPr="00EC6AFF" w:rsidRDefault="00A35D92" w:rsidP="00A35D92">
      <w:pPr>
        <w:overflowPunct/>
        <w:autoSpaceDE/>
        <w:autoSpaceDN/>
        <w:adjustRightInd/>
        <w:spacing w:line="360" w:lineRule="auto"/>
        <w:textAlignment w:val="auto"/>
        <w:rPr>
          <w:b/>
          <w:color w:val="000000"/>
          <w:sz w:val="24"/>
          <w:szCs w:val="24"/>
          <w:lang w:val="en-US"/>
        </w:rPr>
      </w:pPr>
    </w:p>
    <w:p w:rsidR="00A35D92" w:rsidRPr="00EC6AFF" w:rsidRDefault="00A35D92" w:rsidP="00A35D92">
      <w:pPr>
        <w:overflowPunct/>
        <w:autoSpaceDE/>
        <w:autoSpaceDN/>
        <w:adjustRightInd/>
        <w:spacing w:line="360" w:lineRule="auto"/>
        <w:textAlignment w:val="auto"/>
        <w:rPr>
          <w:b/>
          <w:color w:val="000000"/>
          <w:sz w:val="24"/>
          <w:szCs w:val="24"/>
          <w:lang w:val="en-US"/>
        </w:rPr>
      </w:pPr>
      <w:r w:rsidRPr="00EC6AFF">
        <w:rPr>
          <w:b/>
          <w:color w:val="000000"/>
          <w:sz w:val="24"/>
          <w:szCs w:val="24"/>
          <w:lang w:val="en-US"/>
        </w:rPr>
        <w:t>1. Model</w:t>
      </w:r>
    </w:p>
    <w:p w:rsidR="00A35D92" w:rsidRPr="00EC6AFF" w:rsidRDefault="00A35D92" w:rsidP="00A35D92">
      <w:pPr>
        <w:ind w:left="561"/>
        <w:rPr>
          <w:b/>
          <w:bCs/>
          <w:sz w:val="24"/>
          <w:szCs w:val="24"/>
          <w:lang w:val="en-US"/>
        </w:rPr>
      </w:pPr>
    </w:p>
    <w:p w:rsidR="00A35D92" w:rsidRPr="00EC6AFF" w:rsidRDefault="00A35D92" w:rsidP="00A35D92">
      <w:pPr>
        <w:rPr>
          <w:sz w:val="24"/>
          <w:szCs w:val="24"/>
          <w:lang w:val="en-US"/>
        </w:rPr>
      </w:pPr>
      <w:r w:rsidRPr="00EC6AFF">
        <w:rPr>
          <w:sz w:val="24"/>
          <w:szCs w:val="24"/>
          <w:lang w:val="en-US"/>
        </w:rPr>
        <w:t xml:space="preserve">We assume that the number of cancellations </w:t>
      </w:r>
      <w:r w:rsidRPr="00EC6AFF">
        <w:rPr>
          <w:position w:val="-14"/>
          <w:sz w:val="24"/>
          <w:szCs w:val="24"/>
          <w:lang w:val="en-US"/>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v:imagedata r:id="rId4" o:title=""/>
          </v:shape>
          <o:OLEObject Type="Embed" ProgID="Equation.3" ShapeID="_x0000_i1025" DrawAspect="Content" ObjectID="_1366022802" r:id="rId5"/>
        </w:object>
      </w:r>
      <w:r w:rsidRPr="00EC6AFF">
        <w:rPr>
          <w:sz w:val="24"/>
          <w:szCs w:val="24"/>
          <w:lang w:val="en-US"/>
        </w:rPr>
        <w:t xml:space="preserve"> of center (hospital) </w:t>
      </w:r>
      <w:proofErr w:type="spellStart"/>
      <w:r w:rsidRPr="00EC6AFF">
        <w:rPr>
          <w:sz w:val="24"/>
          <w:szCs w:val="24"/>
          <w:lang w:val="en-US"/>
        </w:rPr>
        <w:t>i</w:t>
      </w:r>
      <w:proofErr w:type="spellEnd"/>
      <w:r w:rsidRPr="00EC6AFF">
        <w:rPr>
          <w:sz w:val="24"/>
          <w:szCs w:val="24"/>
          <w:lang w:val="en-US"/>
        </w:rPr>
        <w:t xml:space="preserve">, service j and day k is Poisson distributed with </w:t>
      </w:r>
      <w:proofErr w:type="gramStart"/>
      <w:r w:rsidRPr="00EC6AFF">
        <w:rPr>
          <w:sz w:val="24"/>
          <w:szCs w:val="24"/>
          <w:lang w:val="en-US"/>
        </w:rPr>
        <w:t xml:space="preserve">mean </w:t>
      </w:r>
      <w:proofErr w:type="gramEnd"/>
      <w:r w:rsidRPr="00EC6AFF">
        <w:rPr>
          <w:position w:val="-14"/>
          <w:sz w:val="24"/>
          <w:szCs w:val="24"/>
          <w:lang w:val="en-US"/>
        </w:rPr>
        <w:object w:dxaOrig="380" w:dyaOrig="380">
          <v:shape id="_x0000_i1026" type="#_x0000_t75" style="width:18.75pt;height:18.75pt" o:ole="">
            <v:imagedata r:id="rId6" o:title=""/>
          </v:shape>
          <o:OLEObject Type="Embed" ProgID="Equation.3" ShapeID="_x0000_i1026" DrawAspect="Content" ObjectID="_1366022803" r:id="rId7"/>
        </w:object>
      </w:r>
      <w:r w:rsidRPr="00EC6AFF">
        <w:rPr>
          <w:sz w:val="24"/>
          <w:szCs w:val="24"/>
          <w:lang w:val="en-US"/>
        </w:rPr>
        <w:t xml:space="preserve">. We assume further that the dependence of </w:t>
      </w:r>
      <w:r w:rsidRPr="00EC6AFF">
        <w:rPr>
          <w:position w:val="-14"/>
          <w:sz w:val="24"/>
          <w:szCs w:val="24"/>
          <w:lang w:val="en-US"/>
        </w:rPr>
        <w:object w:dxaOrig="380" w:dyaOrig="380">
          <v:shape id="_x0000_i1027" type="#_x0000_t75" style="width:18.75pt;height:18.75pt" o:ole="">
            <v:imagedata r:id="rId6" o:title=""/>
          </v:shape>
          <o:OLEObject Type="Embed" ProgID="Equation.3" ShapeID="_x0000_i1027" DrawAspect="Content" ObjectID="_1366022804" r:id="rId8"/>
        </w:object>
      </w:r>
      <w:r w:rsidRPr="00EC6AFF">
        <w:rPr>
          <w:sz w:val="24"/>
          <w:szCs w:val="24"/>
          <w:lang w:val="en-US"/>
        </w:rPr>
        <w:t xml:space="preserve"> on hospital type and service type can be described by the following model: </w:t>
      </w:r>
    </w:p>
    <w:p w:rsidR="00A35D92" w:rsidRPr="00EC6AFF" w:rsidRDefault="00A35D92" w:rsidP="00A35D92">
      <w:pPr>
        <w:rPr>
          <w:sz w:val="24"/>
          <w:szCs w:val="24"/>
          <w:lang w:val="en-US"/>
        </w:rPr>
      </w:pPr>
    </w:p>
    <w:p w:rsidR="00A35D92" w:rsidRPr="00EC6AFF" w:rsidRDefault="00A35D92" w:rsidP="00A35D92">
      <w:pPr>
        <w:rPr>
          <w:sz w:val="24"/>
          <w:szCs w:val="24"/>
          <w:lang w:val="en-US"/>
        </w:rPr>
      </w:pPr>
      <w:r w:rsidRPr="00EC6AFF">
        <w:rPr>
          <w:position w:val="-14"/>
          <w:sz w:val="24"/>
          <w:szCs w:val="24"/>
          <w:lang w:val="en-US"/>
        </w:rPr>
        <w:object w:dxaOrig="7420" w:dyaOrig="400">
          <v:shape id="_x0000_i1028" type="#_x0000_t75" style="width:370.5pt;height:20.25pt" o:ole="">
            <v:imagedata r:id="rId9" o:title=""/>
          </v:shape>
          <o:OLEObject Type="Embed" ProgID="Equation.3" ShapeID="_x0000_i1028" DrawAspect="Content" ObjectID="_1366022805" r:id="rId10"/>
        </w:object>
      </w:r>
      <w:r w:rsidRPr="00EC6AFF">
        <w:rPr>
          <w:sz w:val="24"/>
          <w:szCs w:val="24"/>
          <w:lang w:val="en-US"/>
        </w:rPr>
        <w:t xml:space="preserve"> </w:t>
      </w:r>
    </w:p>
    <w:p w:rsidR="00A35D92" w:rsidRPr="00EC6AFF" w:rsidRDefault="00A35D92" w:rsidP="00A35D92">
      <w:pPr>
        <w:rPr>
          <w:sz w:val="24"/>
          <w:szCs w:val="24"/>
          <w:lang w:val="en-US"/>
        </w:rPr>
      </w:pPr>
    </w:p>
    <w:p w:rsidR="00A35D92" w:rsidRPr="00EC6AFF" w:rsidRDefault="00A35D92" w:rsidP="00A35D92">
      <w:pPr>
        <w:rPr>
          <w:sz w:val="24"/>
          <w:szCs w:val="24"/>
          <w:lang w:val="en-US"/>
        </w:rPr>
      </w:pPr>
      <w:r w:rsidRPr="00EC6AFF">
        <w:rPr>
          <w:position w:val="-14"/>
          <w:sz w:val="24"/>
          <w:szCs w:val="24"/>
          <w:lang w:val="en-US"/>
        </w:rPr>
        <w:object w:dxaOrig="320" w:dyaOrig="380">
          <v:shape id="_x0000_i1029" type="#_x0000_t75" style="width:16.5pt;height:18.75pt" o:ole="">
            <v:imagedata r:id="rId11" o:title=""/>
          </v:shape>
          <o:OLEObject Type="Embed" ProgID="Equation.3" ShapeID="_x0000_i1029" DrawAspect="Content" ObjectID="_1366022806" r:id="rId12"/>
        </w:object>
      </w:r>
      <w:r w:rsidRPr="00EC6AFF">
        <w:rPr>
          <w:sz w:val="24"/>
          <w:szCs w:val="24"/>
          <w:lang w:val="en-US"/>
        </w:rPr>
        <w:t xml:space="preserve"> </w:t>
      </w:r>
      <w:proofErr w:type="gramStart"/>
      <w:r>
        <w:rPr>
          <w:sz w:val="24"/>
          <w:szCs w:val="24"/>
          <w:lang w:val="en-US"/>
        </w:rPr>
        <w:t>is</w:t>
      </w:r>
      <w:proofErr w:type="gramEnd"/>
      <w:r w:rsidRPr="00EC6AFF">
        <w:rPr>
          <w:sz w:val="24"/>
          <w:szCs w:val="24"/>
          <w:lang w:val="en-US"/>
        </w:rPr>
        <w:t xml:space="preserve"> the number of scheduled operations, </w:t>
      </w:r>
      <w:r w:rsidRPr="00EC6AFF">
        <w:rPr>
          <w:position w:val="-14"/>
          <w:sz w:val="24"/>
          <w:szCs w:val="24"/>
          <w:lang w:val="en-US"/>
        </w:rPr>
        <w:object w:dxaOrig="940" w:dyaOrig="400">
          <v:shape id="_x0000_i1030" type="#_x0000_t75" style="width:47.25pt;height:20.25pt" o:ole="">
            <v:imagedata r:id="rId13" o:title=""/>
          </v:shape>
          <o:OLEObject Type="Embed" ProgID="Equation.3" ShapeID="_x0000_i1030" DrawAspect="Content" ObjectID="_1366022807" r:id="rId14"/>
        </w:object>
      </w:r>
      <w:r w:rsidRPr="00EC6AFF">
        <w:rPr>
          <w:sz w:val="24"/>
          <w:szCs w:val="24"/>
          <w:lang w:val="en-US"/>
        </w:rPr>
        <w:t xml:space="preserve"> are dummy variables coding the hospital type and </w:t>
      </w:r>
      <w:r w:rsidRPr="00EC6AFF">
        <w:rPr>
          <w:position w:val="-14"/>
          <w:sz w:val="24"/>
          <w:szCs w:val="24"/>
          <w:lang w:val="en-US"/>
        </w:rPr>
        <w:object w:dxaOrig="1280" w:dyaOrig="400">
          <v:shape id="_x0000_i1031" type="#_x0000_t75" style="width:64.5pt;height:20.25pt" o:ole="">
            <v:imagedata r:id="rId15" o:title=""/>
          </v:shape>
          <o:OLEObject Type="Embed" ProgID="Equation.3" ShapeID="_x0000_i1031" DrawAspect="Content" ObjectID="_1366022808" r:id="rId16"/>
        </w:object>
      </w:r>
      <w:r w:rsidRPr="00EC6AFF">
        <w:rPr>
          <w:sz w:val="24"/>
          <w:szCs w:val="24"/>
          <w:lang w:val="en-US"/>
        </w:rPr>
        <w:t xml:space="preserve"> are dummy variables for the service types. The random intercepts </w:t>
      </w:r>
      <w:r w:rsidRPr="00EC6AFF">
        <w:rPr>
          <w:position w:val="-12"/>
          <w:sz w:val="24"/>
          <w:szCs w:val="24"/>
          <w:lang w:val="en-US"/>
        </w:rPr>
        <w:object w:dxaOrig="220" w:dyaOrig="360">
          <v:shape id="_x0000_i1032" type="#_x0000_t75" style="width:10.5pt;height:18pt" o:ole="">
            <v:imagedata r:id="rId17" o:title=""/>
          </v:shape>
          <o:OLEObject Type="Embed" ProgID="Equation.3" ShapeID="_x0000_i1032" DrawAspect="Content" ObjectID="_1366022809" r:id="rId18"/>
        </w:object>
      </w:r>
      <w:r w:rsidRPr="00EC6AFF">
        <w:rPr>
          <w:sz w:val="24"/>
          <w:szCs w:val="24"/>
          <w:lang w:val="en-US"/>
        </w:rPr>
        <w:t xml:space="preserve"> and </w:t>
      </w:r>
      <w:r w:rsidRPr="00EC6AFF">
        <w:rPr>
          <w:position w:val="-14"/>
          <w:sz w:val="24"/>
          <w:szCs w:val="24"/>
          <w:lang w:val="en-US"/>
        </w:rPr>
        <w:object w:dxaOrig="260" w:dyaOrig="380">
          <v:shape id="_x0000_i1033" type="#_x0000_t75" style="width:13.5pt;height:18.75pt" o:ole="">
            <v:imagedata r:id="rId19" o:title=""/>
          </v:shape>
          <o:OLEObject Type="Embed" ProgID="Equation.3" ShapeID="_x0000_i1033" DrawAspect="Content" ObjectID="_1366022810" r:id="rId20"/>
        </w:object>
      </w:r>
      <w:r w:rsidRPr="00EC6AFF">
        <w:rPr>
          <w:sz w:val="24"/>
          <w:szCs w:val="24"/>
          <w:lang w:val="en-US"/>
        </w:rPr>
        <w:t xml:space="preserve">are independent normally distributed with mean 0 and variances </w:t>
      </w:r>
      <w:r w:rsidRPr="00EC6AFF">
        <w:rPr>
          <w:position w:val="-10"/>
          <w:sz w:val="24"/>
          <w:szCs w:val="24"/>
          <w:lang w:val="en-US"/>
        </w:rPr>
        <w:object w:dxaOrig="320" w:dyaOrig="360">
          <v:shape id="_x0000_i1034" type="#_x0000_t75" style="width:16.5pt;height:18pt" o:ole="">
            <v:imagedata r:id="rId21" o:title=""/>
          </v:shape>
          <o:OLEObject Type="Embed" ProgID="Equation.3" ShapeID="_x0000_i1034" DrawAspect="Content" ObjectID="_1366022811" r:id="rId22"/>
        </w:object>
      </w:r>
      <w:r w:rsidRPr="00EC6AFF">
        <w:rPr>
          <w:sz w:val="24"/>
          <w:szCs w:val="24"/>
          <w:lang w:val="en-US"/>
        </w:rPr>
        <w:t xml:space="preserve"> </w:t>
      </w:r>
      <w:proofErr w:type="gramStart"/>
      <w:r w:rsidRPr="00EC6AFF">
        <w:rPr>
          <w:sz w:val="24"/>
          <w:szCs w:val="24"/>
          <w:lang w:val="en-US"/>
        </w:rPr>
        <w:t xml:space="preserve">and </w:t>
      </w:r>
      <w:proofErr w:type="gramEnd"/>
      <w:r w:rsidRPr="00EC6AFF">
        <w:rPr>
          <w:position w:val="-10"/>
          <w:sz w:val="24"/>
          <w:szCs w:val="24"/>
          <w:lang w:val="en-US"/>
        </w:rPr>
        <w:object w:dxaOrig="320" w:dyaOrig="360">
          <v:shape id="_x0000_i1035" type="#_x0000_t75" style="width:16.5pt;height:18pt" o:ole="">
            <v:imagedata r:id="rId23" o:title=""/>
          </v:shape>
          <o:OLEObject Type="Embed" ProgID="Equation.3" ShapeID="_x0000_i1035" DrawAspect="Content" ObjectID="_1366022812" r:id="rId24"/>
        </w:object>
      </w:r>
      <w:r w:rsidRPr="00EC6AFF">
        <w:rPr>
          <w:sz w:val="24"/>
          <w:szCs w:val="24"/>
          <w:lang w:val="en-US"/>
        </w:rPr>
        <w:t>, respectively.</w:t>
      </w:r>
    </w:p>
    <w:p w:rsidR="00A35D92" w:rsidRPr="00EC6AFF" w:rsidRDefault="00A35D92" w:rsidP="00A35D92">
      <w:pPr>
        <w:rPr>
          <w:sz w:val="24"/>
          <w:szCs w:val="24"/>
          <w:lang w:val="en-US"/>
        </w:rPr>
      </w:pPr>
    </w:p>
    <w:p w:rsidR="00A35D92" w:rsidRPr="00EC6AFF" w:rsidRDefault="00A35D92" w:rsidP="00A35D92">
      <w:pPr>
        <w:overflowPunct/>
        <w:autoSpaceDE/>
        <w:autoSpaceDN/>
        <w:adjustRightInd/>
        <w:spacing w:line="360" w:lineRule="auto"/>
        <w:textAlignment w:val="auto"/>
        <w:rPr>
          <w:b/>
          <w:color w:val="000000"/>
          <w:sz w:val="24"/>
          <w:szCs w:val="24"/>
          <w:lang w:val="en-US"/>
        </w:rPr>
      </w:pPr>
      <w:r w:rsidRPr="00EC6AFF">
        <w:rPr>
          <w:b/>
          <w:color w:val="000000"/>
          <w:sz w:val="24"/>
          <w:szCs w:val="24"/>
          <w:lang w:val="en-US"/>
        </w:rPr>
        <w:t>2. Model validity</w:t>
      </w:r>
    </w:p>
    <w:p w:rsidR="00A35D92" w:rsidRPr="00EC6AFF" w:rsidRDefault="00A35D92" w:rsidP="00A35D92">
      <w:pPr>
        <w:pStyle w:val="Heading2"/>
        <w:rPr>
          <w:bCs w:val="0"/>
          <w:sz w:val="24"/>
          <w:szCs w:val="24"/>
        </w:rPr>
      </w:pPr>
    </w:p>
    <w:p w:rsidR="00A35D92" w:rsidRPr="00EC6AFF" w:rsidRDefault="00A35D92" w:rsidP="00A35D92">
      <w:pPr>
        <w:spacing w:line="360" w:lineRule="auto"/>
        <w:rPr>
          <w:sz w:val="24"/>
          <w:szCs w:val="24"/>
          <w:lang w:val="en-US"/>
        </w:rPr>
      </w:pPr>
      <w:r w:rsidRPr="00EC6AFF">
        <w:rPr>
          <w:sz w:val="24"/>
          <w:szCs w:val="24"/>
          <w:lang w:val="en-US"/>
        </w:rPr>
        <w:t xml:space="preserve">For the Poisson regression model several conditions must be met. One of these is that for each service the probability for cancellation remains constant over the 10 days considered. </w:t>
      </w:r>
    </w:p>
    <w:p w:rsidR="00A35D92" w:rsidRPr="00EC6AFF" w:rsidRDefault="00A35D92" w:rsidP="00A35D92">
      <w:pPr>
        <w:spacing w:line="360" w:lineRule="auto"/>
        <w:rPr>
          <w:sz w:val="24"/>
          <w:szCs w:val="24"/>
          <w:lang w:val="en-US"/>
        </w:rPr>
      </w:pPr>
      <w:r w:rsidRPr="00EC6AFF">
        <w:rPr>
          <w:sz w:val="24"/>
          <w:szCs w:val="24"/>
          <w:lang w:val="en-US"/>
        </w:rPr>
        <w:t>We examine</w:t>
      </w:r>
      <w:r>
        <w:rPr>
          <w:sz w:val="24"/>
          <w:szCs w:val="24"/>
          <w:lang w:val="en-US"/>
        </w:rPr>
        <w:t>d</w:t>
      </w:r>
      <w:r w:rsidRPr="00EC6AFF">
        <w:rPr>
          <w:sz w:val="24"/>
          <w:szCs w:val="24"/>
          <w:lang w:val="en-US"/>
        </w:rPr>
        <w:t xml:space="preserve"> various degrees of violation of this assumption on the actual alpha error and the power.</w:t>
      </w:r>
    </w:p>
    <w:p w:rsidR="00A35D92" w:rsidRPr="00EC6AFF" w:rsidRDefault="00A35D92" w:rsidP="00A35D92">
      <w:pPr>
        <w:spacing w:line="360" w:lineRule="auto"/>
        <w:rPr>
          <w:sz w:val="24"/>
          <w:szCs w:val="24"/>
          <w:lang w:val="en-US"/>
        </w:rPr>
      </w:pPr>
      <w:r w:rsidRPr="00EC6AFF">
        <w:rPr>
          <w:sz w:val="24"/>
          <w:szCs w:val="24"/>
          <w:lang w:val="en-US"/>
        </w:rPr>
        <w:t>For each simulation sample we first sample</w:t>
      </w:r>
      <w:r>
        <w:rPr>
          <w:sz w:val="24"/>
          <w:szCs w:val="24"/>
          <w:lang w:val="en-US"/>
        </w:rPr>
        <w:t>d</w:t>
      </w:r>
      <w:r w:rsidRPr="00EC6AFF">
        <w:rPr>
          <w:sz w:val="24"/>
          <w:szCs w:val="24"/>
          <w:lang w:val="en-US"/>
        </w:rPr>
        <w:t xml:space="preserve"> probabilities for cancellation from a beta distribution with fixed expectation p and variance ranging from 0% up to 100% of the maximal achievable variance </w:t>
      </w:r>
      <w:proofErr w:type="gramStart"/>
      <w:r w:rsidRPr="00EC6AFF">
        <w:rPr>
          <w:sz w:val="24"/>
          <w:szCs w:val="24"/>
          <w:lang w:val="en-US"/>
        </w:rPr>
        <w:t>p(</w:t>
      </w:r>
      <w:proofErr w:type="gramEnd"/>
      <w:r w:rsidRPr="00EC6AFF">
        <w:rPr>
          <w:sz w:val="24"/>
          <w:szCs w:val="24"/>
          <w:lang w:val="en-US"/>
        </w:rPr>
        <w:t xml:space="preserve">1-p). Using </w:t>
      </w:r>
      <w:r>
        <w:rPr>
          <w:sz w:val="24"/>
          <w:szCs w:val="24"/>
          <w:lang w:val="en-US"/>
        </w:rPr>
        <w:t>these</w:t>
      </w:r>
      <w:r w:rsidRPr="00EC6AFF">
        <w:rPr>
          <w:sz w:val="24"/>
          <w:szCs w:val="24"/>
          <w:lang w:val="en-US"/>
        </w:rPr>
        <w:t xml:space="preserve"> probabilities the number of cancellations for each day and service is determined by random numbers in a second step. For each variance N=10,000 samples are generated.</w:t>
      </w:r>
    </w:p>
    <w:p w:rsidR="00A35D92" w:rsidRPr="00EC6AFF" w:rsidRDefault="00A35D92" w:rsidP="00A35D92">
      <w:pPr>
        <w:pStyle w:val="TOC1"/>
      </w:pPr>
    </w:p>
    <w:p w:rsidR="00A35D92" w:rsidRPr="00EC6AFF" w:rsidRDefault="00A35D92" w:rsidP="00A35D92">
      <w:pPr>
        <w:pStyle w:val="BodyText"/>
        <w:spacing w:line="360" w:lineRule="auto"/>
        <w:rPr>
          <w:sz w:val="24"/>
          <w:szCs w:val="24"/>
        </w:rPr>
      </w:pPr>
      <w:r w:rsidRPr="00EC6AFF">
        <w:rPr>
          <w:sz w:val="24"/>
          <w:szCs w:val="24"/>
        </w:rPr>
        <w:t xml:space="preserve">Influence of variance on actual alpha error </w:t>
      </w:r>
    </w:p>
    <w:p w:rsidR="00A35D92" w:rsidRPr="00EC6AFF" w:rsidRDefault="00A35D92" w:rsidP="00A35D92">
      <w:pPr>
        <w:pStyle w:val="BodyText"/>
        <w:spacing w:line="360" w:lineRule="auto"/>
        <w:rPr>
          <w:sz w:val="24"/>
          <w:szCs w:val="24"/>
        </w:rPr>
      </w:pPr>
      <w:r w:rsidRPr="00EC6AFF">
        <w:rPr>
          <w:sz w:val="24"/>
          <w:szCs w:val="24"/>
        </w:rPr>
        <w:t>We assume that for all services and days the common probability for cancellation is p=0.09 (empirical mean). We estimate</w:t>
      </w:r>
      <w:r>
        <w:rPr>
          <w:sz w:val="24"/>
          <w:szCs w:val="24"/>
        </w:rPr>
        <w:t>d</w:t>
      </w:r>
      <w:r w:rsidRPr="00EC6AFF">
        <w:rPr>
          <w:sz w:val="24"/>
          <w:szCs w:val="24"/>
        </w:rPr>
        <w:t xml:space="preserve"> the error of the first kind by counting the number of simulation samples where at least one of the nine contrasts (</w:t>
      </w:r>
      <w:r>
        <w:rPr>
          <w:sz w:val="24"/>
          <w:szCs w:val="24"/>
        </w:rPr>
        <w:t>T</w:t>
      </w:r>
      <w:r w:rsidRPr="00EC6AFF">
        <w:rPr>
          <w:sz w:val="24"/>
          <w:szCs w:val="24"/>
        </w:rPr>
        <w:t>able 4) has a P-value &lt; 0.05/9=0.0056.</w:t>
      </w:r>
    </w:p>
    <w:p w:rsidR="00A35D92" w:rsidRPr="00EC6AFF" w:rsidRDefault="00A35D92" w:rsidP="00A35D92">
      <w:pPr>
        <w:pStyle w:val="TOC1"/>
      </w:pPr>
    </w:p>
    <w:p w:rsidR="00A35D92" w:rsidRPr="00EC6AFF" w:rsidRDefault="00D27D2E" w:rsidP="00A35D92">
      <w:pPr>
        <w:pStyle w:val="TOC1"/>
      </w:pPr>
      <w:r>
        <w:rPr>
          <w:noProof/>
          <w:lang w:eastAsia="en-US"/>
        </w:rPr>
        <w:lastRenderedPageBreak/>
        <w:drawing>
          <wp:inline distT="0" distB="0" distL="0" distR="0">
            <wp:extent cx="4572000" cy="45720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srcRect/>
                    <a:stretch>
                      <a:fillRect/>
                    </a:stretch>
                  </pic:blipFill>
                  <pic:spPr bwMode="auto">
                    <a:xfrm>
                      <a:off x="0" y="0"/>
                      <a:ext cx="4572000" cy="4572000"/>
                    </a:xfrm>
                    <a:prstGeom prst="rect">
                      <a:avLst/>
                    </a:prstGeom>
                    <a:noFill/>
                    <a:ln w="9525">
                      <a:noFill/>
                      <a:miter lim="800000"/>
                      <a:headEnd/>
                      <a:tailEnd/>
                    </a:ln>
                  </pic:spPr>
                </pic:pic>
              </a:graphicData>
            </a:graphic>
          </wp:inline>
        </w:drawing>
      </w:r>
    </w:p>
    <w:p w:rsidR="00A35D92" w:rsidRPr="00EC6AFF" w:rsidRDefault="00A35D92" w:rsidP="00A35D92">
      <w:pPr>
        <w:pStyle w:val="TOC1"/>
      </w:pPr>
    </w:p>
    <w:p w:rsidR="00A35D92" w:rsidRPr="00EC6AFF" w:rsidRDefault="00A35D92" w:rsidP="00A35D92">
      <w:pPr>
        <w:pStyle w:val="TOC1"/>
      </w:pPr>
      <w:r w:rsidRPr="00EC6AFF">
        <w:t>Results: We observe</w:t>
      </w:r>
      <w:r>
        <w:t>d</w:t>
      </w:r>
      <w:r w:rsidRPr="00EC6AFF">
        <w:t xml:space="preserve"> a negligible influence on the error of the first kind. So it is rather unlikely that the significant P-values of 0.0001 and 0.002 (</w:t>
      </w:r>
      <w:r>
        <w:t>T</w:t>
      </w:r>
      <w:r w:rsidRPr="00EC6AFF">
        <w:t>able 4) are due to model misspecification.</w:t>
      </w:r>
    </w:p>
    <w:p w:rsidR="00A35D92" w:rsidRPr="00EC6AFF" w:rsidRDefault="00A35D92" w:rsidP="00A35D92">
      <w:pPr>
        <w:rPr>
          <w:sz w:val="24"/>
          <w:szCs w:val="24"/>
          <w:lang w:val="en-US"/>
        </w:rPr>
      </w:pPr>
    </w:p>
    <w:p w:rsidR="00A35D92" w:rsidRPr="00EC6AFF" w:rsidRDefault="00A35D92" w:rsidP="00A35D92">
      <w:pPr>
        <w:spacing w:line="360" w:lineRule="auto"/>
        <w:rPr>
          <w:sz w:val="24"/>
          <w:szCs w:val="24"/>
          <w:lang w:val="en-US"/>
        </w:rPr>
      </w:pPr>
      <w:r w:rsidRPr="00EC6AFF">
        <w:rPr>
          <w:sz w:val="24"/>
          <w:szCs w:val="24"/>
        </w:rPr>
        <w:t>Influence of variance on the power of the test</w:t>
      </w:r>
      <w:r w:rsidRPr="00EC6AFF">
        <w:rPr>
          <w:sz w:val="24"/>
          <w:szCs w:val="24"/>
          <w:lang w:val="en-US"/>
        </w:rPr>
        <w:t xml:space="preserve"> </w:t>
      </w:r>
    </w:p>
    <w:p w:rsidR="00A35D92" w:rsidRPr="00EC6AFF" w:rsidRDefault="00A35D92" w:rsidP="00A35D92">
      <w:pPr>
        <w:spacing w:line="360" w:lineRule="auto"/>
        <w:rPr>
          <w:sz w:val="24"/>
          <w:szCs w:val="24"/>
          <w:lang w:val="en-US"/>
        </w:rPr>
      </w:pPr>
      <w:r w:rsidRPr="00EC6AFF">
        <w:rPr>
          <w:sz w:val="24"/>
          <w:szCs w:val="24"/>
          <w:lang w:val="en-US"/>
        </w:rPr>
        <w:t>We assume</w:t>
      </w:r>
      <w:r>
        <w:rPr>
          <w:sz w:val="24"/>
          <w:szCs w:val="24"/>
          <w:lang w:val="en-US"/>
        </w:rPr>
        <w:t>d</w:t>
      </w:r>
      <w:r w:rsidRPr="00EC6AFF">
        <w:rPr>
          <w:sz w:val="24"/>
          <w:szCs w:val="24"/>
          <w:lang w:val="en-US"/>
        </w:rPr>
        <w:t xml:space="preserve"> that for each service the probability for cancellation equals the empirical cancellation rate. We regard</w:t>
      </w:r>
      <w:r>
        <w:rPr>
          <w:sz w:val="24"/>
          <w:szCs w:val="24"/>
          <w:lang w:val="en-US"/>
        </w:rPr>
        <w:t>ed</w:t>
      </w:r>
      <w:r w:rsidRPr="00EC6AFF">
        <w:rPr>
          <w:sz w:val="24"/>
          <w:szCs w:val="24"/>
          <w:lang w:val="en-US"/>
        </w:rPr>
        <w:t xml:space="preserve"> a simulation sample as significant if both significant contrasts from </w:t>
      </w:r>
      <w:r>
        <w:rPr>
          <w:sz w:val="24"/>
          <w:szCs w:val="24"/>
          <w:lang w:val="en-US"/>
        </w:rPr>
        <w:t>T</w:t>
      </w:r>
      <w:r w:rsidRPr="00EC6AFF">
        <w:rPr>
          <w:sz w:val="24"/>
          <w:szCs w:val="24"/>
          <w:lang w:val="en-US"/>
        </w:rPr>
        <w:t>able 3 have P-values &lt; 0.05/9=0.0056.</w:t>
      </w:r>
    </w:p>
    <w:p w:rsidR="00A35D92" w:rsidRPr="00EC6AFF" w:rsidRDefault="00A35D92" w:rsidP="00A35D92">
      <w:pPr>
        <w:ind w:left="561"/>
        <w:rPr>
          <w:sz w:val="24"/>
          <w:szCs w:val="24"/>
          <w:lang w:val="en-US"/>
        </w:rPr>
      </w:pPr>
    </w:p>
    <w:p w:rsidR="00A35D92" w:rsidRPr="00EC6AFF" w:rsidRDefault="00D27D2E" w:rsidP="00A35D92">
      <w:pPr>
        <w:ind w:left="561"/>
        <w:rPr>
          <w:sz w:val="24"/>
          <w:szCs w:val="24"/>
          <w:lang w:val="en-US"/>
        </w:rPr>
      </w:pPr>
      <w:r>
        <w:rPr>
          <w:noProof/>
          <w:lang w:val="en-US" w:eastAsia="en-US"/>
        </w:rPr>
        <w:lastRenderedPageBreak/>
        <w:drawing>
          <wp:inline distT="0" distB="0" distL="0" distR="0">
            <wp:extent cx="5943600" cy="5943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A35D92" w:rsidRPr="00EC6AFF" w:rsidRDefault="00A35D92" w:rsidP="00A35D92">
      <w:pPr>
        <w:spacing w:line="360" w:lineRule="auto"/>
        <w:rPr>
          <w:sz w:val="24"/>
          <w:szCs w:val="24"/>
          <w:lang w:val="en-US"/>
        </w:rPr>
      </w:pPr>
      <w:r w:rsidRPr="00EC6AFF">
        <w:rPr>
          <w:sz w:val="24"/>
          <w:szCs w:val="24"/>
          <w:lang w:val="en-US"/>
        </w:rPr>
        <w:t>Results: The power of the Poisson regression model deteriorates with variance dramatically. However, since days with high cancellation rates are rare in our sample the variation of the daily cancellation probabilities must be small and therefore the distribution must be very close to Poisson distribution.</w:t>
      </w:r>
    </w:p>
    <w:p w:rsidR="00A35D92" w:rsidRPr="00EC6AFF" w:rsidRDefault="00A35D92" w:rsidP="00A35D92">
      <w:pPr>
        <w:ind w:left="561"/>
        <w:rPr>
          <w:sz w:val="24"/>
          <w:szCs w:val="24"/>
          <w:lang w:val="en-US"/>
        </w:rPr>
      </w:pPr>
    </w:p>
    <w:p w:rsidR="007358E6" w:rsidRDefault="00A35D92" w:rsidP="00A35D92">
      <w:r w:rsidRPr="00EC6AFF">
        <w:rPr>
          <w:color w:val="000000"/>
          <w:sz w:val="24"/>
          <w:szCs w:val="24"/>
          <w:lang w:val="en-US"/>
        </w:rPr>
        <w:br w:type="page"/>
      </w:r>
    </w:p>
    <w:sectPr w:rsidR="007358E6" w:rsidSect="00697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D92"/>
    <w:rsid w:val="0000747E"/>
    <w:rsid w:val="00044ADD"/>
    <w:rsid w:val="000F47BA"/>
    <w:rsid w:val="00182514"/>
    <w:rsid w:val="0018461B"/>
    <w:rsid w:val="00582FDF"/>
    <w:rsid w:val="0069731C"/>
    <w:rsid w:val="009352BF"/>
    <w:rsid w:val="00A35D92"/>
    <w:rsid w:val="00D27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Heading2">
    <w:name w:val="heading 2"/>
    <w:basedOn w:val="Normal"/>
    <w:next w:val="Normal"/>
    <w:link w:val="Heading2Char"/>
    <w:qFormat/>
    <w:rsid w:val="00A35D92"/>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5D92"/>
    <w:rPr>
      <w:rFonts w:ascii="Times New Roman" w:eastAsia="Times New Roman" w:hAnsi="Times New Roman" w:cs="Times New Roman"/>
      <w:b/>
      <w:bCs/>
      <w:sz w:val="20"/>
      <w:szCs w:val="20"/>
      <w:lang w:val="de-DE" w:eastAsia="de-DE"/>
    </w:rPr>
  </w:style>
  <w:style w:type="paragraph" w:styleId="BodyText">
    <w:name w:val="Body Text"/>
    <w:basedOn w:val="Normal"/>
    <w:link w:val="BodyTextChar"/>
    <w:uiPriority w:val="99"/>
    <w:rsid w:val="00A35D92"/>
    <w:pPr>
      <w:spacing w:line="480" w:lineRule="auto"/>
    </w:pPr>
    <w:rPr>
      <w:sz w:val="22"/>
      <w:lang w:val="en-US"/>
    </w:rPr>
  </w:style>
  <w:style w:type="character" w:customStyle="1" w:styleId="BodyTextChar">
    <w:name w:val="Body Text Char"/>
    <w:basedOn w:val="DefaultParagraphFont"/>
    <w:link w:val="BodyText"/>
    <w:uiPriority w:val="99"/>
    <w:rsid w:val="00A35D92"/>
    <w:rPr>
      <w:rFonts w:ascii="Times New Roman" w:eastAsia="Times New Roman" w:hAnsi="Times New Roman" w:cs="Times New Roman"/>
      <w:szCs w:val="20"/>
      <w:lang w:eastAsia="de-DE"/>
    </w:rPr>
  </w:style>
  <w:style w:type="paragraph" w:styleId="TOC1">
    <w:name w:val="toc 1"/>
    <w:basedOn w:val="Normal"/>
    <w:next w:val="Normal"/>
    <w:autoRedefine/>
    <w:semiHidden/>
    <w:rsid w:val="00A35D92"/>
    <w:pPr>
      <w:overflowPunct/>
      <w:autoSpaceDE/>
      <w:autoSpaceDN/>
      <w:adjustRightInd/>
      <w:spacing w:line="360" w:lineRule="auto"/>
      <w:textAlignment w:val="auto"/>
    </w:pPr>
    <w:rPr>
      <w:b/>
      <w:sz w:val="24"/>
      <w:szCs w:val="24"/>
      <w:vertAlign w:val="superscript"/>
      <w:lang w:val="en-US"/>
    </w:rPr>
  </w:style>
  <w:style w:type="paragraph" w:styleId="BalloonText">
    <w:name w:val="Balloon Text"/>
    <w:basedOn w:val="Normal"/>
    <w:link w:val="BalloonTextChar"/>
    <w:uiPriority w:val="99"/>
    <w:semiHidden/>
    <w:unhideWhenUsed/>
    <w:rsid w:val="00D27D2E"/>
    <w:rPr>
      <w:rFonts w:ascii="Tahoma" w:hAnsi="Tahoma" w:cs="Tahoma"/>
      <w:sz w:val="16"/>
      <w:szCs w:val="16"/>
    </w:rPr>
  </w:style>
  <w:style w:type="character" w:customStyle="1" w:styleId="BalloonTextChar">
    <w:name w:val="Balloon Text Char"/>
    <w:basedOn w:val="DefaultParagraphFont"/>
    <w:link w:val="BalloonText"/>
    <w:uiPriority w:val="99"/>
    <w:semiHidden/>
    <w:rsid w:val="00D27D2E"/>
    <w:rPr>
      <w:rFonts w:ascii="Tahoma" w:eastAsia="Times New Roman"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image" Target="media/image7.wmf"/><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oleObject" Target="embeddings/oleObject11.bin"/><Relationship Id="rId5"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oleObject" Target="embeddings/oleObject4.bin"/><Relationship Id="rId19" Type="http://schemas.openxmlformats.org/officeDocument/2006/relationships/image" Target="media/image8.wmf"/><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 Kluwer</dc:creator>
  <cp:keywords/>
  <dc:description/>
  <cp:lastModifiedBy>Wolters Kluwer</cp:lastModifiedBy>
  <cp:revision>2</cp:revision>
  <dcterms:created xsi:type="dcterms:W3CDTF">2011-05-04T17:44:00Z</dcterms:created>
  <dcterms:modified xsi:type="dcterms:W3CDTF">2011-05-04T18:00:00Z</dcterms:modified>
</cp:coreProperties>
</file>